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BE8F2" w14:textId="77777777" w:rsidR="0062751A" w:rsidRPr="005A3CDE" w:rsidRDefault="0062751A" w:rsidP="0062751A">
      <w:pPr>
        <w:spacing w:before="120" w:after="0" w:line="240" w:lineRule="auto"/>
        <w:jc w:val="center"/>
        <w:rPr>
          <w:rFonts w:ascii="Arial" w:hAnsi="Arial" w:cs="Arial"/>
          <w:b/>
          <w:bCs/>
          <w:sz w:val="40"/>
          <w:szCs w:val="40"/>
        </w:rPr>
      </w:pPr>
      <w:r w:rsidRPr="005A3CDE">
        <w:rPr>
          <w:rFonts w:ascii="Arial" w:hAnsi="Arial" w:cs="Arial"/>
          <w:b/>
          <w:bCs/>
          <w:sz w:val="40"/>
          <w:szCs w:val="40"/>
        </w:rPr>
        <w:t>CURRICULUM AS A MIRROR OF AFFILIATION: TYPOLOGY OF ISLAMIC BOARDING SCHOOLS IN THE CONTEXT OF INDONESIAN ISLAMIC ORGANIZATIONS</w:t>
      </w:r>
    </w:p>
    <w:p w14:paraId="6A51B9C2" w14:textId="77777777" w:rsidR="005E297E" w:rsidRDefault="005E297E">
      <w:pPr>
        <w:pBdr>
          <w:top w:val="nil"/>
          <w:left w:val="nil"/>
          <w:bottom w:val="nil"/>
          <w:right w:val="nil"/>
          <w:between w:val="nil"/>
        </w:pBdr>
        <w:spacing w:after="0" w:line="330" w:lineRule="auto"/>
        <w:jc w:val="both"/>
        <w:rPr>
          <w:rFonts w:ascii="Arial" w:eastAsia="Arial" w:hAnsi="Arial" w:cs="Arial"/>
          <w:b/>
          <w:sz w:val="40"/>
          <w:szCs w:val="40"/>
        </w:rPr>
      </w:pPr>
    </w:p>
    <w:p w14:paraId="5C503AA4" w14:textId="3C8CBD9E" w:rsidR="005E297E" w:rsidRDefault="0062751A">
      <w:pPr>
        <w:pBdr>
          <w:top w:val="nil"/>
          <w:left w:val="nil"/>
          <w:bottom w:val="nil"/>
          <w:right w:val="nil"/>
          <w:between w:val="nil"/>
        </w:pBdr>
        <w:spacing w:after="113" w:line="240" w:lineRule="auto"/>
        <w:jc w:val="center"/>
        <w:rPr>
          <w:rFonts w:ascii="Garamond" w:eastAsia="Garamond" w:hAnsi="Garamond" w:cs="Garamond"/>
          <w:b/>
          <w:sz w:val="28"/>
          <w:szCs w:val="28"/>
        </w:rPr>
      </w:pPr>
      <w:r>
        <w:rPr>
          <w:rFonts w:ascii="Garamond" w:eastAsia="Garamond" w:hAnsi="Garamond" w:cs="Garamond"/>
          <w:b/>
          <w:sz w:val="28"/>
          <w:szCs w:val="28"/>
        </w:rPr>
        <w:t>Zuhriyyah Hidayati</w:t>
      </w:r>
      <w:r w:rsidR="00000000">
        <w:rPr>
          <w:rFonts w:ascii="Garamond" w:eastAsia="Garamond" w:hAnsi="Garamond" w:cs="Garamond"/>
          <w:b/>
          <w:sz w:val="28"/>
          <w:szCs w:val="28"/>
          <w:vertAlign w:val="superscript"/>
        </w:rPr>
        <w:footnoteReference w:id="1"/>
      </w:r>
    </w:p>
    <w:p w14:paraId="0CE68664" w14:textId="436CDBC6" w:rsidR="005E297E" w:rsidRDefault="0062751A" w:rsidP="00AF4385">
      <w:pPr>
        <w:pBdr>
          <w:top w:val="nil"/>
          <w:left w:val="nil"/>
          <w:bottom w:val="nil"/>
          <w:right w:val="nil"/>
          <w:between w:val="nil"/>
        </w:pBdr>
        <w:spacing w:after="0" w:line="240" w:lineRule="auto"/>
        <w:jc w:val="center"/>
        <w:rPr>
          <w:rFonts w:ascii="Garamond" w:eastAsia="Garamond" w:hAnsi="Garamond" w:cs="Garamond"/>
          <w:sz w:val="18"/>
          <w:szCs w:val="18"/>
        </w:rPr>
      </w:pPr>
      <w:r>
        <w:rPr>
          <w:rFonts w:ascii="Garamond" w:eastAsia="Garamond" w:hAnsi="Garamond" w:cs="Garamond"/>
          <w:sz w:val="18"/>
          <w:szCs w:val="18"/>
        </w:rPr>
        <w:t xml:space="preserve">Pendidikan Agama Islam, </w:t>
      </w:r>
      <w:proofErr w:type="spellStart"/>
      <w:r>
        <w:rPr>
          <w:rFonts w:ascii="Garamond" w:eastAsia="Garamond" w:hAnsi="Garamond" w:cs="Garamond"/>
          <w:sz w:val="18"/>
          <w:szCs w:val="18"/>
        </w:rPr>
        <w:t>Fakulatas</w:t>
      </w:r>
      <w:proofErr w:type="spellEnd"/>
      <w:r>
        <w:rPr>
          <w:rFonts w:ascii="Garamond" w:eastAsia="Garamond" w:hAnsi="Garamond" w:cs="Garamond"/>
          <w:sz w:val="18"/>
          <w:szCs w:val="18"/>
        </w:rPr>
        <w:t xml:space="preserve"> Agama Islam, </w:t>
      </w:r>
      <w:proofErr w:type="spellStart"/>
      <w:r>
        <w:rPr>
          <w:rFonts w:ascii="Garamond" w:eastAsia="Garamond" w:hAnsi="Garamond" w:cs="Garamond"/>
          <w:sz w:val="18"/>
          <w:szCs w:val="18"/>
        </w:rPr>
        <w:t>Univesitas</w:t>
      </w:r>
      <w:proofErr w:type="spellEnd"/>
      <w:r>
        <w:rPr>
          <w:rFonts w:ascii="Garamond" w:eastAsia="Garamond" w:hAnsi="Garamond" w:cs="Garamond"/>
          <w:sz w:val="18"/>
          <w:szCs w:val="18"/>
        </w:rPr>
        <w:t xml:space="preserve"> </w:t>
      </w:r>
      <w:proofErr w:type="spellStart"/>
      <w:r>
        <w:rPr>
          <w:rFonts w:ascii="Garamond" w:eastAsia="Garamond" w:hAnsi="Garamond" w:cs="Garamond"/>
          <w:sz w:val="18"/>
          <w:szCs w:val="18"/>
        </w:rPr>
        <w:t>Billfath</w:t>
      </w:r>
      <w:proofErr w:type="spellEnd"/>
      <w:r w:rsidR="00AF4385">
        <w:rPr>
          <w:rFonts w:ascii="Garamond" w:eastAsia="Garamond" w:hAnsi="Garamond" w:cs="Garamond"/>
          <w:sz w:val="18"/>
          <w:szCs w:val="18"/>
        </w:rPr>
        <w:t xml:space="preserve">, </w:t>
      </w:r>
      <w:proofErr w:type="spellStart"/>
      <w:r>
        <w:rPr>
          <w:rFonts w:ascii="Garamond" w:eastAsia="Garamond" w:hAnsi="Garamond" w:cs="Garamond"/>
          <w:sz w:val="18"/>
          <w:szCs w:val="18"/>
        </w:rPr>
        <w:t>Lamongan</w:t>
      </w:r>
      <w:proofErr w:type="spellEnd"/>
      <w:r>
        <w:rPr>
          <w:rFonts w:ascii="Garamond" w:eastAsia="Garamond" w:hAnsi="Garamond" w:cs="Garamond"/>
          <w:sz w:val="18"/>
          <w:szCs w:val="18"/>
        </w:rPr>
        <w:t>, Jawa Timur Indonesia</w:t>
      </w:r>
    </w:p>
    <w:p w14:paraId="5A4A0EB7" w14:textId="3D5C94D2" w:rsidR="005E297E" w:rsidRDefault="00000000">
      <w:pPr>
        <w:pBdr>
          <w:top w:val="nil"/>
          <w:left w:val="nil"/>
          <w:bottom w:val="nil"/>
          <w:right w:val="nil"/>
          <w:between w:val="nil"/>
        </w:pBdr>
        <w:spacing w:after="0" w:line="240" w:lineRule="auto"/>
        <w:jc w:val="center"/>
        <w:rPr>
          <w:rFonts w:ascii="Garamond" w:eastAsia="Garamond" w:hAnsi="Garamond" w:cs="Garamond"/>
          <w:sz w:val="18"/>
          <w:szCs w:val="18"/>
        </w:rPr>
      </w:pPr>
      <w:r>
        <w:rPr>
          <w:rFonts w:ascii="Garamond" w:eastAsia="Garamond" w:hAnsi="Garamond" w:cs="Garamond"/>
          <w:sz w:val="18"/>
          <w:szCs w:val="18"/>
        </w:rPr>
        <w:t xml:space="preserve">e-mail </w:t>
      </w:r>
      <w:hyperlink r:id="rId8" w:history="1">
        <w:r w:rsidR="0062751A" w:rsidRPr="00824843">
          <w:rPr>
            <w:rStyle w:val="Hyperlink"/>
            <w:rFonts w:ascii="Garamond" w:eastAsia="Garamond" w:hAnsi="Garamond" w:cs="Garamond"/>
            <w:sz w:val="18"/>
            <w:szCs w:val="18"/>
          </w:rPr>
          <w:t>zuhriyyahhidayati@gmail.com</w:t>
        </w:r>
      </w:hyperlink>
      <w:r w:rsidR="0062751A">
        <w:rPr>
          <w:rFonts w:ascii="Garamond" w:eastAsia="Garamond" w:hAnsi="Garamond" w:cs="Garamond"/>
          <w:sz w:val="18"/>
          <w:szCs w:val="18"/>
        </w:rPr>
        <w:t xml:space="preserve"> </w:t>
      </w:r>
    </w:p>
    <w:p w14:paraId="6623738C" w14:textId="77777777" w:rsidR="005E297E" w:rsidRDefault="005E297E">
      <w:pPr>
        <w:pBdr>
          <w:top w:val="nil"/>
          <w:left w:val="nil"/>
          <w:bottom w:val="nil"/>
          <w:right w:val="nil"/>
          <w:between w:val="nil"/>
        </w:pBdr>
        <w:spacing w:after="0" w:line="246" w:lineRule="auto"/>
        <w:jc w:val="center"/>
        <w:rPr>
          <w:rFonts w:ascii="Garamond" w:eastAsia="Garamond" w:hAnsi="Garamond" w:cs="Garamond"/>
          <w:sz w:val="18"/>
          <w:szCs w:val="18"/>
        </w:rPr>
      </w:pPr>
    </w:p>
    <w:p w14:paraId="7914B65F" w14:textId="7B3289F4" w:rsidR="005E297E" w:rsidRDefault="0062751A">
      <w:pPr>
        <w:pBdr>
          <w:top w:val="nil"/>
          <w:left w:val="nil"/>
          <w:bottom w:val="nil"/>
          <w:right w:val="nil"/>
          <w:between w:val="nil"/>
        </w:pBdr>
        <w:spacing w:after="113" w:line="240" w:lineRule="auto"/>
        <w:jc w:val="center"/>
        <w:rPr>
          <w:rFonts w:ascii="Garamond" w:eastAsia="Garamond" w:hAnsi="Garamond" w:cs="Garamond"/>
          <w:b/>
          <w:sz w:val="28"/>
          <w:szCs w:val="28"/>
        </w:rPr>
      </w:pPr>
      <w:r>
        <w:rPr>
          <w:rFonts w:ascii="Garamond" w:eastAsia="Garamond" w:hAnsi="Garamond" w:cs="Garamond"/>
          <w:b/>
          <w:sz w:val="28"/>
          <w:szCs w:val="28"/>
        </w:rPr>
        <w:t>Achmad Maulidi</w:t>
      </w:r>
    </w:p>
    <w:p w14:paraId="2AA545A9" w14:textId="6829FF29" w:rsidR="005E297E" w:rsidRDefault="0062751A" w:rsidP="00AF4385">
      <w:pPr>
        <w:spacing w:after="0" w:line="240" w:lineRule="auto"/>
        <w:jc w:val="center"/>
        <w:rPr>
          <w:rFonts w:ascii="Garamond" w:eastAsia="Garamond" w:hAnsi="Garamond" w:cs="Garamond"/>
          <w:sz w:val="18"/>
          <w:szCs w:val="18"/>
        </w:rPr>
      </w:pPr>
      <w:r w:rsidRPr="0062751A">
        <w:rPr>
          <w:rFonts w:ascii="Garamond" w:eastAsia="Garamond" w:hAnsi="Garamond" w:cs="Garamond"/>
          <w:sz w:val="18"/>
          <w:szCs w:val="18"/>
        </w:rPr>
        <w:t>Universitas Al-</w:t>
      </w:r>
      <w:proofErr w:type="spellStart"/>
      <w:r w:rsidRPr="0062751A">
        <w:rPr>
          <w:rFonts w:ascii="Garamond" w:eastAsia="Garamond" w:hAnsi="Garamond" w:cs="Garamond"/>
          <w:sz w:val="18"/>
          <w:szCs w:val="18"/>
        </w:rPr>
        <w:t>Amien</w:t>
      </w:r>
      <w:proofErr w:type="spellEnd"/>
      <w:r w:rsidRPr="0062751A">
        <w:rPr>
          <w:rFonts w:ascii="Garamond" w:eastAsia="Garamond" w:hAnsi="Garamond" w:cs="Garamond"/>
          <w:sz w:val="18"/>
          <w:szCs w:val="18"/>
        </w:rPr>
        <w:t xml:space="preserve"> </w:t>
      </w:r>
      <w:proofErr w:type="spellStart"/>
      <w:r w:rsidRPr="0062751A">
        <w:rPr>
          <w:rFonts w:ascii="Garamond" w:eastAsia="Garamond" w:hAnsi="Garamond" w:cs="Garamond"/>
          <w:sz w:val="18"/>
          <w:szCs w:val="18"/>
        </w:rPr>
        <w:t>Prenduan</w:t>
      </w:r>
      <w:proofErr w:type="spellEnd"/>
      <w:r w:rsidR="00AF4385">
        <w:rPr>
          <w:rFonts w:ascii="Garamond" w:eastAsia="Garamond" w:hAnsi="Garamond" w:cs="Garamond"/>
          <w:sz w:val="18"/>
          <w:szCs w:val="18"/>
        </w:rPr>
        <w:t xml:space="preserve">, </w:t>
      </w:r>
      <w:proofErr w:type="spellStart"/>
      <w:r w:rsidRPr="0062751A">
        <w:rPr>
          <w:rFonts w:ascii="Garamond" w:eastAsia="Garamond" w:hAnsi="Garamond" w:cs="Garamond"/>
          <w:sz w:val="18"/>
          <w:szCs w:val="18"/>
        </w:rPr>
        <w:t>Sumenep</w:t>
      </w:r>
      <w:proofErr w:type="spellEnd"/>
      <w:r>
        <w:rPr>
          <w:rFonts w:ascii="Garamond" w:eastAsia="Garamond" w:hAnsi="Garamond" w:cs="Garamond"/>
          <w:sz w:val="18"/>
          <w:szCs w:val="18"/>
        </w:rPr>
        <w:t>, Jawa Timur</w:t>
      </w:r>
    </w:p>
    <w:p w14:paraId="1BE66606" w14:textId="2CADDAA8" w:rsidR="005E297E" w:rsidRDefault="00000000">
      <w:pPr>
        <w:spacing w:after="0" w:line="240" w:lineRule="auto"/>
        <w:jc w:val="center"/>
        <w:rPr>
          <w:rFonts w:ascii="Garamond" w:eastAsia="Garamond" w:hAnsi="Garamond" w:cs="Garamond"/>
          <w:sz w:val="18"/>
          <w:szCs w:val="18"/>
        </w:rPr>
      </w:pPr>
      <w:r>
        <w:rPr>
          <w:rFonts w:ascii="Garamond" w:eastAsia="Garamond" w:hAnsi="Garamond" w:cs="Garamond"/>
          <w:sz w:val="18"/>
          <w:szCs w:val="18"/>
        </w:rPr>
        <w:t xml:space="preserve">e-mail </w:t>
      </w:r>
      <w:hyperlink r:id="rId9" w:history="1">
        <w:r w:rsidR="0062751A" w:rsidRPr="00824843">
          <w:rPr>
            <w:rStyle w:val="Hyperlink"/>
            <w:rFonts w:ascii="Garamond" w:eastAsia="Garamond" w:hAnsi="Garamond" w:cs="Garamond"/>
            <w:sz w:val="18"/>
            <w:szCs w:val="18"/>
          </w:rPr>
          <w:t>achmadmaulidi@unia.ac.id</w:t>
        </w:r>
      </w:hyperlink>
    </w:p>
    <w:p w14:paraId="300F7F34" w14:textId="77777777" w:rsidR="0062751A" w:rsidRDefault="0062751A">
      <w:pPr>
        <w:spacing w:after="0" w:line="240" w:lineRule="auto"/>
        <w:jc w:val="center"/>
        <w:rPr>
          <w:rFonts w:ascii="Garamond" w:eastAsia="Garamond" w:hAnsi="Garamond" w:cs="Garamond"/>
          <w:sz w:val="18"/>
          <w:szCs w:val="18"/>
        </w:rPr>
      </w:pPr>
    </w:p>
    <w:p w14:paraId="01A2D291" w14:textId="77777777" w:rsidR="00AF4385" w:rsidRPr="00AF4385" w:rsidRDefault="00AF4385" w:rsidP="00AF4385">
      <w:pPr>
        <w:spacing w:after="0" w:line="240" w:lineRule="auto"/>
        <w:jc w:val="center"/>
        <w:rPr>
          <w:rFonts w:ascii="Garamond" w:eastAsia="Garamond" w:hAnsi="Garamond" w:cs="Garamond"/>
          <w:b/>
          <w:bCs/>
          <w:sz w:val="28"/>
          <w:szCs w:val="28"/>
        </w:rPr>
      </w:pPr>
      <w:proofErr w:type="spellStart"/>
      <w:r w:rsidRPr="00AF4385">
        <w:rPr>
          <w:rFonts w:ascii="Garamond" w:eastAsia="Garamond" w:hAnsi="Garamond" w:cs="Garamond"/>
          <w:b/>
          <w:bCs/>
          <w:sz w:val="28"/>
          <w:szCs w:val="28"/>
        </w:rPr>
        <w:t>Khoirun</w:t>
      </w:r>
      <w:proofErr w:type="spellEnd"/>
      <w:r w:rsidRPr="00AF4385">
        <w:rPr>
          <w:rFonts w:ascii="Garamond" w:eastAsia="Garamond" w:hAnsi="Garamond" w:cs="Garamond"/>
          <w:b/>
          <w:bCs/>
          <w:sz w:val="28"/>
          <w:szCs w:val="28"/>
        </w:rPr>
        <w:t xml:space="preserve"> Niam</w:t>
      </w:r>
    </w:p>
    <w:p w14:paraId="5E74BFB8" w14:textId="77777777" w:rsidR="00AF4385" w:rsidRPr="00AF4385" w:rsidRDefault="00AF4385" w:rsidP="00AF4385">
      <w:pPr>
        <w:spacing w:after="0" w:line="240" w:lineRule="auto"/>
        <w:jc w:val="center"/>
        <w:rPr>
          <w:rFonts w:ascii="Garamond" w:eastAsia="Garamond" w:hAnsi="Garamond" w:cs="Garamond"/>
          <w:sz w:val="18"/>
          <w:szCs w:val="18"/>
        </w:rPr>
      </w:pPr>
      <w:r w:rsidRPr="00AF4385">
        <w:rPr>
          <w:rFonts w:ascii="Garamond" w:eastAsia="Garamond" w:hAnsi="Garamond" w:cs="Garamond"/>
          <w:sz w:val="18"/>
          <w:szCs w:val="18"/>
        </w:rPr>
        <w:t>Universitas Islam Negeri Sunan Ampel Surabaya, Indonesia</w:t>
      </w:r>
    </w:p>
    <w:p w14:paraId="4342CCF8" w14:textId="3FEBD4C8" w:rsidR="00AF4385" w:rsidRDefault="00AF4385" w:rsidP="00AF4385">
      <w:pPr>
        <w:spacing w:after="0" w:line="240" w:lineRule="auto"/>
        <w:jc w:val="center"/>
        <w:rPr>
          <w:rFonts w:ascii="Garamond" w:eastAsia="Garamond" w:hAnsi="Garamond" w:cs="Garamond"/>
          <w:sz w:val="18"/>
          <w:szCs w:val="18"/>
        </w:rPr>
      </w:pPr>
      <w:r w:rsidRPr="00AF4385">
        <w:rPr>
          <w:rFonts w:ascii="Garamond" w:eastAsia="Garamond" w:hAnsi="Garamond" w:cs="Garamond"/>
          <w:sz w:val="18"/>
          <w:szCs w:val="18"/>
        </w:rPr>
        <w:t>khoirunniam@uinsby.ac.id</w:t>
      </w:r>
    </w:p>
    <w:p w14:paraId="7DDD6B96" w14:textId="77777777" w:rsidR="00AF4385" w:rsidRDefault="00AF4385">
      <w:pPr>
        <w:spacing w:after="0" w:line="240" w:lineRule="auto"/>
        <w:jc w:val="center"/>
        <w:rPr>
          <w:rFonts w:ascii="Garamond" w:eastAsia="Garamond" w:hAnsi="Garamond" w:cs="Garamond"/>
          <w:sz w:val="18"/>
          <w:szCs w:val="18"/>
        </w:rPr>
      </w:pPr>
    </w:p>
    <w:p w14:paraId="5AF07422" w14:textId="14D0F14C" w:rsidR="00AF4385" w:rsidRPr="00AF4385" w:rsidRDefault="00AF4385">
      <w:pPr>
        <w:spacing w:after="0" w:line="240" w:lineRule="auto"/>
        <w:jc w:val="center"/>
        <w:rPr>
          <w:rFonts w:ascii="Garamond" w:eastAsia="Garamond" w:hAnsi="Garamond" w:cs="Garamond"/>
          <w:b/>
          <w:bCs/>
          <w:sz w:val="28"/>
          <w:szCs w:val="28"/>
        </w:rPr>
      </w:pPr>
      <w:proofErr w:type="spellStart"/>
      <w:r w:rsidRPr="00AF4385">
        <w:rPr>
          <w:rFonts w:ascii="Garamond" w:eastAsia="Garamond" w:hAnsi="Garamond" w:cs="Garamond"/>
          <w:b/>
          <w:bCs/>
          <w:sz w:val="28"/>
          <w:szCs w:val="28"/>
        </w:rPr>
        <w:t>Husniyatus</w:t>
      </w:r>
      <w:proofErr w:type="spellEnd"/>
      <w:r w:rsidRPr="00AF4385">
        <w:rPr>
          <w:rFonts w:ascii="Garamond" w:eastAsia="Garamond" w:hAnsi="Garamond" w:cs="Garamond"/>
          <w:b/>
          <w:bCs/>
          <w:sz w:val="28"/>
          <w:szCs w:val="28"/>
        </w:rPr>
        <w:t xml:space="preserve"> Salamah </w:t>
      </w:r>
      <w:proofErr w:type="spellStart"/>
      <w:r w:rsidRPr="00AF4385">
        <w:rPr>
          <w:rFonts w:ascii="Garamond" w:eastAsia="Garamond" w:hAnsi="Garamond" w:cs="Garamond"/>
          <w:b/>
          <w:bCs/>
          <w:sz w:val="28"/>
          <w:szCs w:val="28"/>
        </w:rPr>
        <w:t>Zainiyati</w:t>
      </w:r>
      <w:proofErr w:type="spellEnd"/>
    </w:p>
    <w:p w14:paraId="2F23E30D" w14:textId="0ECA3B53" w:rsidR="00AF4385" w:rsidRDefault="00AF4385">
      <w:pPr>
        <w:spacing w:after="0" w:line="240" w:lineRule="auto"/>
        <w:jc w:val="center"/>
        <w:rPr>
          <w:rFonts w:ascii="Garamond" w:eastAsia="Garamond" w:hAnsi="Garamond" w:cs="Garamond"/>
          <w:sz w:val="18"/>
          <w:szCs w:val="18"/>
        </w:rPr>
      </w:pPr>
      <w:r w:rsidRPr="00AF4385">
        <w:rPr>
          <w:rFonts w:ascii="Garamond" w:eastAsia="Garamond" w:hAnsi="Garamond" w:cs="Garamond"/>
          <w:sz w:val="18"/>
          <w:szCs w:val="18"/>
        </w:rPr>
        <w:t>Universitas Islam Negeri Sunan Ampel Surabaya, Indonesia</w:t>
      </w:r>
    </w:p>
    <w:p w14:paraId="08088BF3" w14:textId="32755952" w:rsidR="0062751A" w:rsidRDefault="0062751A">
      <w:pPr>
        <w:spacing w:after="0" w:line="240" w:lineRule="auto"/>
        <w:jc w:val="center"/>
        <w:rPr>
          <w:rFonts w:ascii="Garamond" w:eastAsia="Garamond" w:hAnsi="Garamond" w:cs="Garamond"/>
          <w:sz w:val="18"/>
          <w:szCs w:val="18"/>
        </w:rPr>
      </w:pPr>
      <w:r w:rsidRPr="0062751A">
        <w:rPr>
          <w:rFonts w:ascii="Garamond" w:eastAsia="Garamond" w:hAnsi="Garamond" w:cs="Garamond"/>
          <w:sz w:val="18"/>
          <w:szCs w:val="18"/>
        </w:rPr>
        <w:t>husniyatussalamah@uinsby.ac.id</w:t>
      </w:r>
    </w:p>
    <w:p w14:paraId="7B739273" w14:textId="77777777" w:rsidR="005E297E" w:rsidRDefault="005E297E">
      <w:pPr>
        <w:pBdr>
          <w:top w:val="nil"/>
          <w:left w:val="nil"/>
          <w:bottom w:val="nil"/>
          <w:right w:val="nil"/>
          <w:between w:val="nil"/>
        </w:pBdr>
        <w:spacing w:after="0" w:line="330" w:lineRule="auto"/>
        <w:jc w:val="both"/>
        <w:rPr>
          <w:rFonts w:ascii="Garamond" w:eastAsia="Garamond" w:hAnsi="Garamond" w:cs="Garamond"/>
          <w:sz w:val="18"/>
          <w:szCs w:val="18"/>
        </w:rPr>
      </w:pPr>
    </w:p>
    <w:p w14:paraId="5D0320B4" w14:textId="77777777" w:rsidR="00AF4385" w:rsidRPr="00A80463" w:rsidRDefault="00000000" w:rsidP="00AF4385">
      <w:pPr>
        <w:spacing w:before="240" w:after="40" w:line="288" w:lineRule="auto"/>
        <w:jc w:val="both"/>
        <w:rPr>
          <w:rFonts w:ascii="Garamond" w:hAnsi="Garamond"/>
          <w:sz w:val="24"/>
          <w:szCs w:val="24"/>
        </w:rPr>
      </w:pPr>
      <w:r>
        <w:rPr>
          <w:rFonts w:ascii="Garamond" w:eastAsia="Garamond" w:hAnsi="Garamond" w:cs="Garamond"/>
          <w:b/>
          <w:sz w:val="24"/>
          <w:szCs w:val="24"/>
        </w:rPr>
        <w:t xml:space="preserve">Abstract: </w:t>
      </w:r>
      <w:r w:rsidR="00AF4385" w:rsidRPr="00A80463">
        <w:rPr>
          <w:rFonts w:ascii="Garamond" w:hAnsi="Garamond"/>
          <w:sz w:val="24"/>
          <w:szCs w:val="24"/>
        </w:rPr>
        <w:t xml:space="preserve">The classic categorization of </w:t>
      </w:r>
      <w:proofErr w:type="spellStart"/>
      <w:r w:rsidR="00AF4385" w:rsidRPr="00A80463">
        <w:rPr>
          <w:rFonts w:ascii="Garamond" w:hAnsi="Garamond"/>
          <w:sz w:val="24"/>
          <w:szCs w:val="24"/>
        </w:rPr>
        <w:t>pesantren</w:t>
      </w:r>
      <w:proofErr w:type="spellEnd"/>
      <w:r w:rsidR="00AF4385" w:rsidRPr="00A80463">
        <w:rPr>
          <w:rFonts w:ascii="Garamond" w:hAnsi="Garamond"/>
          <w:sz w:val="24"/>
          <w:szCs w:val="24"/>
        </w:rPr>
        <w:t xml:space="preserve"> as </w:t>
      </w:r>
      <w:proofErr w:type="spellStart"/>
      <w:r w:rsidR="00AF4385" w:rsidRPr="00A80463">
        <w:rPr>
          <w:rFonts w:ascii="Garamond" w:hAnsi="Garamond"/>
          <w:sz w:val="24"/>
          <w:szCs w:val="24"/>
        </w:rPr>
        <w:t>salaf</w:t>
      </w:r>
      <w:proofErr w:type="spellEnd"/>
      <w:r w:rsidR="00AF4385" w:rsidRPr="00A80463">
        <w:rPr>
          <w:rFonts w:ascii="Garamond" w:hAnsi="Garamond"/>
          <w:sz w:val="24"/>
          <w:szCs w:val="24"/>
        </w:rPr>
        <w:t xml:space="preserve">, </w:t>
      </w:r>
      <w:proofErr w:type="spellStart"/>
      <w:r w:rsidR="00AF4385" w:rsidRPr="00A80463">
        <w:rPr>
          <w:rFonts w:ascii="Garamond" w:hAnsi="Garamond"/>
          <w:sz w:val="24"/>
          <w:szCs w:val="24"/>
        </w:rPr>
        <w:t>khalaf</w:t>
      </w:r>
      <w:proofErr w:type="spellEnd"/>
      <w:r w:rsidR="00AF4385" w:rsidRPr="00A80463">
        <w:rPr>
          <w:rFonts w:ascii="Garamond" w:hAnsi="Garamond"/>
          <w:sz w:val="24"/>
          <w:szCs w:val="24"/>
        </w:rPr>
        <w:t xml:space="preserve">, and a combination is no longer adequate to describe the complexity of contemporary </w:t>
      </w:r>
      <w:proofErr w:type="spellStart"/>
      <w:r w:rsidR="00AF4385" w:rsidRPr="00A80463">
        <w:rPr>
          <w:rFonts w:ascii="Garamond" w:hAnsi="Garamond"/>
          <w:sz w:val="24"/>
          <w:szCs w:val="24"/>
        </w:rPr>
        <w:t>pesantren</w:t>
      </w:r>
      <w:proofErr w:type="spellEnd"/>
      <w:r w:rsidR="00AF4385" w:rsidRPr="00A80463">
        <w:rPr>
          <w:rFonts w:ascii="Garamond" w:hAnsi="Garamond"/>
          <w:sz w:val="24"/>
          <w:szCs w:val="24"/>
        </w:rPr>
        <w:t xml:space="preserve"> in Indonesia. This article offers a new approach in building a typology of Islamic boarding schools based on the affiliation of religious organizations, focusing on the structure and content of the curriculum as a reflection of the ideology and educational orientation of each affiliate. The research was conducted through a literature study of curriculum documents, academic literature, and institutional sources from five main affiliates: </w:t>
      </w:r>
      <w:proofErr w:type="spellStart"/>
      <w:r w:rsidR="00AF4385" w:rsidRPr="00A80463">
        <w:rPr>
          <w:rFonts w:ascii="Garamond" w:hAnsi="Garamond"/>
          <w:sz w:val="24"/>
          <w:szCs w:val="24"/>
        </w:rPr>
        <w:t>Nahdlatul</w:t>
      </w:r>
      <w:proofErr w:type="spellEnd"/>
      <w:r w:rsidR="00AF4385" w:rsidRPr="00A80463">
        <w:rPr>
          <w:rFonts w:ascii="Garamond" w:hAnsi="Garamond"/>
          <w:sz w:val="24"/>
          <w:szCs w:val="24"/>
        </w:rPr>
        <w:t xml:space="preserve"> Ulama (NU), Muhammadiyah, Islamic Association (Persis), Shia, and the Indonesian Islamic Da'wah Institute (LDII). The results of the analysis show that each affiliate develops a distinctive curriculum, both in terms of teaching resources, pedagogical approaches, and educational objectives. The NU Islamic Boarding School maintains a traditional model based on the yellow book and scientific </w:t>
      </w:r>
      <w:proofErr w:type="spellStart"/>
      <w:r w:rsidR="00AF4385" w:rsidRPr="00A80463">
        <w:rPr>
          <w:rFonts w:ascii="Garamond" w:hAnsi="Garamond"/>
          <w:sz w:val="24"/>
          <w:szCs w:val="24"/>
        </w:rPr>
        <w:t>sanad</w:t>
      </w:r>
      <w:proofErr w:type="spellEnd"/>
      <w:r w:rsidR="00AF4385" w:rsidRPr="00A80463">
        <w:rPr>
          <w:rFonts w:ascii="Garamond" w:hAnsi="Garamond"/>
          <w:sz w:val="24"/>
          <w:szCs w:val="24"/>
        </w:rPr>
        <w:t xml:space="preserve">. Muhammadiyah emphasizes the integration of the national curriculum with modern Islamic value education. Shia developed a curriculum system based on Islamic philosophy and argumentative logic typical of </w:t>
      </w:r>
      <w:proofErr w:type="spellStart"/>
      <w:r w:rsidR="00AF4385" w:rsidRPr="00A80463">
        <w:rPr>
          <w:rFonts w:ascii="Garamond" w:hAnsi="Garamond"/>
          <w:sz w:val="24"/>
          <w:szCs w:val="24"/>
        </w:rPr>
        <w:t>Hauzah</w:t>
      </w:r>
      <w:proofErr w:type="spellEnd"/>
      <w:r w:rsidR="00AF4385" w:rsidRPr="00A80463">
        <w:rPr>
          <w:rFonts w:ascii="Garamond" w:hAnsi="Garamond"/>
          <w:sz w:val="24"/>
          <w:szCs w:val="24"/>
        </w:rPr>
        <w:t xml:space="preserve">. LDII implements a systematic and multi-level internal cadre regeneration curriculum. Meanwhile, Persis prioritizes a rational-scriptural approach with an emphasis on the purification of </w:t>
      </w:r>
      <w:proofErr w:type="spellStart"/>
      <w:r w:rsidR="00AF4385" w:rsidRPr="00A80463">
        <w:rPr>
          <w:rFonts w:ascii="Garamond" w:hAnsi="Garamond"/>
          <w:sz w:val="24"/>
          <w:szCs w:val="24"/>
        </w:rPr>
        <w:t>aqidah</w:t>
      </w:r>
      <w:proofErr w:type="spellEnd"/>
      <w:r w:rsidR="00AF4385" w:rsidRPr="00A80463">
        <w:rPr>
          <w:rFonts w:ascii="Garamond" w:hAnsi="Garamond"/>
          <w:sz w:val="24"/>
          <w:szCs w:val="24"/>
        </w:rPr>
        <w:t xml:space="preserve">. This article concludes that a new typology of </w:t>
      </w:r>
      <w:proofErr w:type="spellStart"/>
      <w:r w:rsidR="00AF4385" w:rsidRPr="00A80463">
        <w:rPr>
          <w:rFonts w:ascii="Garamond" w:hAnsi="Garamond"/>
          <w:sz w:val="24"/>
          <w:szCs w:val="24"/>
        </w:rPr>
        <w:lastRenderedPageBreak/>
        <w:t>pesantren</w:t>
      </w:r>
      <w:proofErr w:type="spellEnd"/>
      <w:r w:rsidR="00AF4385" w:rsidRPr="00A80463">
        <w:rPr>
          <w:rFonts w:ascii="Garamond" w:hAnsi="Garamond"/>
          <w:sz w:val="24"/>
          <w:szCs w:val="24"/>
        </w:rPr>
        <w:t xml:space="preserve"> needs to be constructed by paying attention to the dimensions of ideological and pedagogical affiliation simultaneously. These findings not only broaden the theoretical horizon of </w:t>
      </w:r>
      <w:proofErr w:type="spellStart"/>
      <w:r w:rsidR="00AF4385" w:rsidRPr="00A80463">
        <w:rPr>
          <w:rFonts w:ascii="Garamond" w:hAnsi="Garamond"/>
          <w:sz w:val="24"/>
          <w:szCs w:val="24"/>
        </w:rPr>
        <w:t>pesantren</w:t>
      </w:r>
      <w:proofErr w:type="spellEnd"/>
      <w:r w:rsidR="00AF4385" w:rsidRPr="00A80463">
        <w:rPr>
          <w:rFonts w:ascii="Garamond" w:hAnsi="Garamond"/>
          <w:sz w:val="24"/>
          <w:szCs w:val="24"/>
        </w:rPr>
        <w:t xml:space="preserve"> studies, but also make a practical contribution to the formulation of inclusive, adaptive, and contextual national Islamic education policies.</w:t>
      </w:r>
    </w:p>
    <w:p w14:paraId="5C0A8C1B" w14:textId="77777777" w:rsidR="00AF4385" w:rsidRDefault="00AF4385" w:rsidP="00AF4385">
      <w:pPr>
        <w:spacing w:before="240" w:after="40" w:line="288" w:lineRule="auto"/>
        <w:jc w:val="both"/>
        <w:rPr>
          <w:rFonts w:ascii="Garamond" w:hAnsi="Garamond"/>
          <w:sz w:val="24"/>
          <w:szCs w:val="24"/>
        </w:rPr>
      </w:pPr>
      <w:r w:rsidRPr="00A80463">
        <w:rPr>
          <w:rFonts w:ascii="Garamond" w:hAnsi="Garamond"/>
          <w:b/>
          <w:bCs/>
          <w:sz w:val="24"/>
          <w:szCs w:val="24"/>
        </w:rPr>
        <w:t xml:space="preserve">Kata </w:t>
      </w:r>
      <w:proofErr w:type="spellStart"/>
      <w:r w:rsidRPr="00A80463">
        <w:rPr>
          <w:rFonts w:ascii="Garamond" w:hAnsi="Garamond"/>
          <w:b/>
          <w:bCs/>
          <w:sz w:val="24"/>
          <w:szCs w:val="24"/>
        </w:rPr>
        <w:t>kunci</w:t>
      </w:r>
      <w:proofErr w:type="spellEnd"/>
      <w:r w:rsidRPr="00A80463">
        <w:rPr>
          <w:rFonts w:ascii="Garamond" w:hAnsi="Garamond"/>
          <w:b/>
          <w:bCs/>
          <w:sz w:val="24"/>
          <w:szCs w:val="24"/>
        </w:rPr>
        <w:t>:</w:t>
      </w:r>
      <w:r w:rsidRPr="00A80463">
        <w:rPr>
          <w:rFonts w:ascii="Garamond" w:hAnsi="Garamond"/>
          <w:sz w:val="24"/>
          <w:szCs w:val="24"/>
        </w:rPr>
        <w:t xml:space="preserve"> </w:t>
      </w:r>
      <w:proofErr w:type="spellStart"/>
      <w:r w:rsidRPr="00A80463">
        <w:rPr>
          <w:rFonts w:ascii="Garamond" w:hAnsi="Garamond"/>
          <w:sz w:val="24"/>
          <w:szCs w:val="24"/>
        </w:rPr>
        <w:t>pesantren</w:t>
      </w:r>
      <w:proofErr w:type="spellEnd"/>
      <w:r w:rsidRPr="00A80463">
        <w:rPr>
          <w:rFonts w:ascii="Garamond" w:hAnsi="Garamond"/>
          <w:sz w:val="24"/>
          <w:szCs w:val="24"/>
        </w:rPr>
        <w:t>, curriculum, typology, religious affiliation, Islamic education, NU, Muhammadiyah, Syiah, LDII, Persis.</w:t>
      </w:r>
    </w:p>
    <w:p w14:paraId="0DD875D2" w14:textId="1BADC52C" w:rsidR="005E297E" w:rsidRDefault="005E297E" w:rsidP="00AF4385">
      <w:pPr>
        <w:pBdr>
          <w:top w:val="nil"/>
          <w:left w:val="nil"/>
          <w:bottom w:val="nil"/>
          <w:right w:val="nil"/>
          <w:between w:val="nil"/>
        </w:pBdr>
        <w:spacing w:before="96" w:after="0" w:line="279" w:lineRule="auto"/>
        <w:ind w:left="567" w:right="567"/>
        <w:jc w:val="both"/>
        <w:rPr>
          <w:rFonts w:ascii="Garamond" w:eastAsia="Garamond" w:hAnsi="Garamond" w:cs="Garamond"/>
          <w:i/>
          <w:sz w:val="21"/>
          <w:szCs w:val="21"/>
        </w:rPr>
      </w:pPr>
    </w:p>
    <w:p w14:paraId="442CBB87" w14:textId="77777777" w:rsidR="005E297E" w:rsidRDefault="005E297E">
      <w:pPr>
        <w:pBdr>
          <w:top w:val="nil"/>
          <w:left w:val="nil"/>
          <w:bottom w:val="nil"/>
          <w:right w:val="nil"/>
          <w:between w:val="nil"/>
        </w:pBdr>
        <w:spacing w:after="0" w:line="240" w:lineRule="auto"/>
        <w:rPr>
          <w:rFonts w:ascii="Garamond" w:eastAsia="Garamond" w:hAnsi="Garamond" w:cs="Garamond"/>
          <w:i/>
          <w:sz w:val="21"/>
          <w:szCs w:val="21"/>
        </w:rPr>
      </w:pPr>
    </w:p>
    <w:p w14:paraId="0322F367" w14:textId="4C2A14FB" w:rsidR="005E297E" w:rsidRDefault="00000000">
      <w:pPr>
        <w:pBdr>
          <w:top w:val="nil"/>
          <w:left w:val="nil"/>
          <w:bottom w:val="nil"/>
          <w:right w:val="nil"/>
          <w:between w:val="nil"/>
        </w:pBdr>
        <w:spacing w:before="85" w:after="0" w:line="240" w:lineRule="auto"/>
        <w:rPr>
          <w:rFonts w:ascii="Arial" w:eastAsia="Arial" w:hAnsi="Arial" w:cs="Arial"/>
          <w:b/>
          <w:sz w:val="32"/>
          <w:szCs w:val="32"/>
        </w:rPr>
      </w:pPr>
      <w:r>
        <w:rPr>
          <w:rFonts w:ascii="Arial" w:eastAsia="Arial" w:hAnsi="Arial" w:cs="Arial"/>
          <w:b/>
          <w:sz w:val="32"/>
          <w:szCs w:val="32"/>
        </w:rPr>
        <w:t xml:space="preserve">Introduction </w:t>
      </w:r>
    </w:p>
    <w:p w14:paraId="0C40177D" w14:textId="77777777" w:rsidR="00AF4385" w:rsidRPr="0087384A" w:rsidRDefault="00AF4385" w:rsidP="00AF4385">
      <w:pPr>
        <w:spacing w:before="240" w:after="40" w:line="240" w:lineRule="auto"/>
        <w:ind w:firstLine="567"/>
        <w:jc w:val="both"/>
        <w:rPr>
          <w:rFonts w:ascii="Garamond" w:hAnsi="Garamond"/>
          <w:sz w:val="24"/>
          <w:szCs w:val="24"/>
        </w:rPr>
      </w:pPr>
      <w:bookmarkStart w:id="0" w:name="_heading=h.gjdgxs" w:colFirst="0" w:colLast="0"/>
      <w:bookmarkEnd w:id="0"/>
      <w:proofErr w:type="spellStart"/>
      <w:r w:rsidRPr="0087384A">
        <w:rPr>
          <w:rFonts w:ascii="Garamond" w:hAnsi="Garamond"/>
          <w:sz w:val="24"/>
          <w:szCs w:val="24"/>
        </w:rPr>
        <w:t>Pesantren</w:t>
      </w:r>
      <w:proofErr w:type="spellEnd"/>
      <w:r w:rsidRPr="0087384A">
        <w:rPr>
          <w:rFonts w:ascii="Garamond" w:hAnsi="Garamond"/>
          <w:sz w:val="24"/>
          <w:szCs w:val="24"/>
        </w:rPr>
        <w:t xml:space="preserve"> is an Islamic educational institution that has strong roots in the history and culture of Islam in Indonesia. In its historical trajectory, </w:t>
      </w:r>
      <w:proofErr w:type="spellStart"/>
      <w:r w:rsidRPr="0087384A">
        <w:rPr>
          <w:rFonts w:ascii="Garamond" w:hAnsi="Garamond"/>
          <w:sz w:val="24"/>
          <w:szCs w:val="24"/>
        </w:rPr>
        <w:t>pesantren</w:t>
      </w:r>
      <w:proofErr w:type="spellEnd"/>
      <w:r w:rsidRPr="0087384A">
        <w:rPr>
          <w:rFonts w:ascii="Garamond" w:hAnsi="Garamond"/>
          <w:sz w:val="24"/>
          <w:szCs w:val="24"/>
        </w:rPr>
        <w:t xml:space="preserve"> not only became a place for the transmission of classical Islamic sciences, but also developed into a </w:t>
      </w:r>
      <w:proofErr w:type="spellStart"/>
      <w:r w:rsidRPr="0087384A">
        <w:rPr>
          <w:rFonts w:ascii="Garamond" w:hAnsi="Garamond"/>
          <w:sz w:val="24"/>
          <w:szCs w:val="24"/>
        </w:rPr>
        <w:t>center</w:t>
      </w:r>
      <w:proofErr w:type="spellEnd"/>
      <w:r w:rsidRPr="0087384A">
        <w:rPr>
          <w:rFonts w:ascii="Garamond" w:hAnsi="Garamond"/>
          <w:sz w:val="24"/>
          <w:szCs w:val="24"/>
        </w:rPr>
        <w:t xml:space="preserve"> for moral, social, and leadership development of the ummah </w:t>
      </w:r>
      <w:r w:rsidRPr="0087384A">
        <w:rPr>
          <w:rFonts w:ascii="Garamond" w:hAnsi="Garamond"/>
          <w:sz w:val="24"/>
          <w:szCs w:val="24"/>
        </w:rPr>
        <w:fldChar w:fldCharType="begin" w:fldLock="1"/>
      </w:r>
      <w:r w:rsidRPr="0087384A">
        <w:rPr>
          <w:rFonts w:ascii="Garamond" w:hAnsi="Garamond"/>
          <w:sz w:val="24"/>
          <w:szCs w:val="24"/>
        </w:rPr>
        <w:instrText>ADDIN CSL_CITATION {"citationItems":[{"id":"ITEM-1","itemData":{"author":[{"dropping-particle":"","family":"Dhofier","given":"Zamakhsyari","non-dropping-particle":"","parse-names":false,"suffix":""}],"id":"ITEM-1","issued":{"date-parts":[["1982"]]},"publisher":"LP3ES","publisher-place":"Jakarta","title":"Tradisi Pesantren: Studi Pandangan Hidup Kiyai dan Visinya Mengenai Masa Depan Indonesia","type":"book"},"uris":["http://www.mendeley.com/documents/?uuid=e0844cfb-7ac6-4cdb-9f96-52a626348bda"]},{"id":"ITEM-2","itemData":{"author":[{"dropping-particle":"","family":"Azra","given":"Azyumardi","non-dropping-particle":"","parse-names":false,"suffix":""}],"id":"ITEM-2","issued":{"date-parts":[["2002"]]},"publisher":"Logos","publisher-place":"Jakarta","title":"Pendidikan Islam, Tradsi dan Modernisasi Menuju Milenium Baru","type":"book"},"uris":["http://www.mendeley.com/documents/?uuid=9637d1d6-b8d3-4319-b61b-e0af173909a7"]}],"mendeley":{"formattedCitation":"(Azra, 2002; Dhofier, 1982)","plainTextFormattedCitation":"(Azra, 2002; Dhofier, 1982)","previouslyFormattedCitation":"(Azra, 2002; Dhofier, 1982)"},"properties":{"noteIndex":0},"schema":"https://github.com/citation-style-language/schema/raw/master/csl-citation.json"}</w:instrText>
      </w:r>
      <w:r w:rsidRPr="0087384A">
        <w:rPr>
          <w:rFonts w:ascii="Garamond" w:hAnsi="Garamond"/>
          <w:sz w:val="24"/>
          <w:szCs w:val="24"/>
        </w:rPr>
        <w:fldChar w:fldCharType="separate"/>
      </w:r>
      <w:r w:rsidRPr="0087384A">
        <w:rPr>
          <w:rFonts w:ascii="Garamond" w:hAnsi="Garamond"/>
          <w:noProof/>
          <w:sz w:val="24"/>
          <w:szCs w:val="24"/>
        </w:rPr>
        <w:t>(Azra, 2002; Dhofier, 1982)</w:t>
      </w:r>
      <w:r w:rsidRPr="0087384A">
        <w:rPr>
          <w:rFonts w:ascii="Garamond" w:hAnsi="Garamond"/>
          <w:sz w:val="24"/>
          <w:szCs w:val="24"/>
        </w:rPr>
        <w:fldChar w:fldCharType="end"/>
      </w:r>
      <w:r w:rsidRPr="0087384A">
        <w:rPr>
          <w:rFonts w:ascii="Garamond" w:hAnsi="Garamond"/>
          <w:sz w:val="24"/>
          <w:szCs w:val="24"/>
        </w:rPr>
        <w:t xml:space="preserve">. Along with the complexity of social change and the challenges of modern times, </w:t>
      </w:r>
      <w:proofErr w:type="spellStart"/>
      <w:r w:rsidRPr="0087384A">
        <w:rPr>
          <w:rFonts w:ascii="Garamond" w:hAnsi="Garamond"/>
          <w:sz w:val="24"/>
          <w:szCs w:val="24"/>
        </w:rPr>
        <w:t>pesantren</w:t>
      </w:r>
      <w:proofErr w:type="spellEnd"/>
      <w:r w:rsidRPr="0087384A">
        <w:rPr>
          <w:rFonts w:ascii="Garamond" w:hAnsi="Garamond"/>
          <w:sz w:val="24"/>
          <w:szCs w:val="24"/>
        </w:rPr>
        <w:t xml:space="preserve"> show strong adaptability through the diversification of education and learning models, especially in curriculum aspects.</w:t>
      </w:r>
    </w:p>
    <w:p w14:paraId="11D1D6ED" w14:textId="77777777" w:rsidR="00AF4385" w:rsidRDefault="00AF4385" w:rsidP="00AF4385">
      <w:pPr>
        <w:pStyle w:val="Para1"/>
        <w:spacing w:before="240" w:after="40" w:line="240" w:lineRule="auto"/>
        <w:ind w:left="0"/>
        <w:rPr>
          <w:rFonts w:ascii="Garamond" w:hAnsi="Garamond"/>
        </w:rPr>
      </w:pPr>
      <w:r w:rsidRPr="0087384A">
        <w:rPr>
          <w:rFonts w:ascii="Garamond" w:hAnsi="Garamond"/>
        </w:rPr>
        <w:t xml:space="preserve">Although many studies have been conducted related to Islamic boarding schools, studies on </w:t>
      </w:r>
      <w:proofErr w:type="spellStart"/>
      <w:r>
        <w:rPr>
          <w:rFonts w:ascii="Garamond" w:hAnsi="Garamond"/>
        </w:rPr>
        <w:t>pesantren</w:t>
      </w:r>
      <w:proofErr w:type="spellEnd"/>
      <w:r w:rsidRPr="0087384A">
        <w:rPr>
          <w:rFonts w:ascii="Garamond" w:hAnsi="Garamond"/>
        </w:rPr>
        <w:t xml:space="preserve"> tend to be general, focusing on classic typologies such as </w:t>
      </w:r>
      <w:proofErr w:type="spellStart"/>
      <w:r w:rsidRPr="0087384A">
        <w:rPr>
          <w:rFonts w:ascii="Garamond" w:hAnsi="Garamond"/>
        </w:rPr>
        <w:t>salafiyah</w:t>
      </w:r>
      <w:proofErr w:type="spellEnd"/>
      <w:r w:rsidRPr="0087384A">
        <w:rPr>
          <w:rFonts w:ascii="Garamond" w:hAnsi="Garamond"/>
        </w:rPr>
        <w:t xml:space="preserve">, </w:t>
      </w:r>
      <w:proofErr w:type="spellStart"/>
      <w:r w:rsidRPr="0087384A">
        <w:rPr>
          <w:rFonts w:ascii="Garamond" w:hAnsi="Garamond"/>
        </w:rPr>
        <w:t>khalafiyah</w:t>
      </w:r>
      <w:proofErr w:type="spellEnd"/>
      <w:r w:rsidRPr="0087384A">
        <w:rPr>
          <w:rFonts w:ascii="Garamond" w:hAnsi="Garamond"/>
        </w:rPr>
        <w:t xml:space="preserve">, or a combination of </w:t>
      </w:r>
      <w:proofErr w:type="spellStart"/>
      <w:r>
        <w:rPr>
          <w:rFonts w:ascii="Garamond" w:hAnsi="Garamond"/>
        </w:rPr>
        <w:t>pesantren</w:t>
      </w:r>
      <w:proofErr w:type="spellEnd"/>
      <w:r w:rsidRPr="0087384A">
        <w:rPr>
          <w:rFonts w:ascii="Garamond" w:hAnsi="Garamond"/>
        </w:rPr>
        <w:t xml:space="preserve">. In fact, in the last two decades there have been the emergence of </w:t>
      </w:r>
      <w:proofErr w:type="spellStart"/>
      <w:r>
        <w:rPr>
          <w:rFonts w:ascii="Garamond" w:hAnsi="Garamond"/>
        </w:rPr>
        <w:t>pesantren</w:t>
      </w:r>
      <w:proofErr w:type="spellEnd"/>
      <w:r w:rsidRPr="0087384A">
        <w:rPr>
          <w:rFonts w:ascii="Garamond" w:hAnsi="Garamond"/>
        </w:rPr>
        <w:t xml:space="preserve"> with </w:t>
      </w:r>
      <w:r w:rsidRPr="0087384A">
        <w:rPr>
          <w:rFonts w:ascii="Garamond" w:hAnsi="Garamond"/>
          <w:i/>
          <w:iCs/>
        </w:rPr>
        <w:t xml:space="preserve">a hybrid </w:t>
      </w:r>
      <w:r w:rsidRPr="0087384A">
        <w:rPr>
          <w:rFonts w:ascii="Garamond" w:hAnsi="Garamond"/>
        </w:rPr>
        <w:t>or combination model</w:t>
      </w:r>
      <w:r>
        <w:rPr>
          <w:rFonts w:ascii="Garamond" w:hAnsi="Garamond"/>
        </w:rPr>
        <w:t xml:space="preserve"> </w:t>
      </w:r>
      <w:r w:rsidRPr="0087384A">
        <w:rPr>
          <w:rFonts w:ascii="Garamond" w:hAnsi="Garamond"/>
        </w:rPr>
        <w:fldChar w:fldCharType="begin" w:fldLock="1"/>
      </w:r>
      <w:r w:rsidRPr="0087384A">
        <w:rPr>
          <w:rFonts w:ascii="Garamond" w:hAnsi="Garamond"/>
        </w:rPr>
        <w:instrText>ADDIN CSL_CITATION {"citationItems":[{"id":"ITEM-1","itemData":{"abstract":"This study outlines the integration of salaf Islamic boarding school education with the public school curriculum (study of Islamic boarding schools in Cirebon). The discussion of the integration of education pesantren is managed in the traditional system, while madrasas and schools are managed by the conventional system. The existence of madrasahs and schools is a strategic step for pesantren in improving their education system. The presence of madrasahs and schools does not necessarily replace the traditional education system of pesantren, but complements it. Madrasahs and schools are managed with a modern system using the curriculum and always pay attention to strategic changes in responding to modernity. The framework method used in this article is field research, and the approach in this study uses a phenomenological approach and case studies with more emphasis on religious behavior. This type of research is a type of qualitative research. The results indicate that pesantren's adaptation to changing times involves curriculum revisions and the establishment of educational institutions accommodating general education needs, emphasizing the importance of integration to create well-rounded individuals capable of excelling in both religious and general sciences. Penelitian ini menguraikan integrasi pendidikan pesantren Islam Salaf dengan kurikulum sekolah umum pada pesantren di Cirebon. Pembahasan tentang integrasi pendidikan pesantren dikelola dalam sistem tradisional, sementara madrasah dan sekolah dikelola oleh sistem konvensional. Keberadaan madrasah dan sekolah merupakan langkah strategis bagi pesantren dalam meningkatkan sistem pendidikannya. Keberadaan madrasah dan sekolah tidak selalu menggantikan sistem pendidikan tradisional pesantren, melainkan melengkapinya. Madrasah dan sekolah dikelola dengan sistem modern menggunakan kurikulum dan selalu memperhatikan perubahan strategis dalam merespons modernitas. Metode kerangka yang digunakan dalam artikel ini adalah penelitian lapangan, dan pendekatan dalam penelitian ini menggunakan pendekatan fenomenologis dan studi kasus dengan penekanan lebih pada perilaku keagamaan. Jenis penelitian ini adalah jenis penelitian kualitatif. Hasil penelitian menunjukkan bahwa adaptasi pesantren terhadap perubahan zaman melibatkan revisi kurikulum dan pembentukan lembaga pendidikan yang mengakomodasi kebutuhan pendidikan umum, menekankan pentingnya integrasi untuk menciptakan individu berkepribadian baik yang mampu un…","author":[{"dropping-particle":"","family":"Saefudin Zuhri","given":"Atikah Syamsi","non-dropping-particle":"","parse-names":false,"suffix":""}],"container-title":"TARBIYA: Journal of Education in Muslim Society","id":"ITEM-1","issue":"1","issued":{"date-parts":[["2023"]]},"page":"35-50","title":"Integration of Salaf Islamic Boarding School Education with Modern School Curriculum","type":"article-journal","volume":"10"},"uris":["http://www.mendeley.com/documents/?uuid=abaa0a0c-a91e-42d0-b36c-e4a29ed739e3"]},{"id":"ITEM-2","itemData":{"DOI":"10.32832/tadibuna.v2i1.547","ISSN":"2252-5793","abstract":"&lt;p&gt;&lt;em&gt;Pesantren as an informal institution of education has been growing from recent years. Nowadays, the development of pesantren has been progressed. In these days, most people know Pesantren because of its success in making our nations have a better generations. Pesantren has gotten many respect from the society and another formal institutions because of their organized and neatly plans in their programs. Regardless of whether it is possible or not that their format and concept of education have been found, this phenomenon clearly indicates that the symptoms to establish Pesantren educational institutions are interesting to study.Generally, this study is having a goal to describe integrated boarding innovation management in Pesantren Terpadu and Pesantren at al-Karimiyah Darussalam and to acknowledge the format of an ideal concept of integrated management of schools in both of Pesantren. The design of this study is using a qualitative approachment with multicases design. In this study, our data have been collected through interviews, participant observation and documentation. The results of this study indicated the existence of an integrated management of Pesantren in Al-Karimiyah boarding schools and Daarussalam boarding schools. Both schools are also incorporate the concept of curriculum of the National Education Ministry and Religion Ministry, while maintaining the tradition of reviewing the books of yellow as a characteristic of the Pesantren. Pesantren Al-Karimiyah managed their education and their technique of teaching by assimilating the three systems of education management, such as management of education based on the Ministry of Religion curriculum, education management based on Pesantren Salaf, and management of education that refers to the modern Pesantren Gontor. Based on that three types of management education assimilation, They are synthesized into a pattern of innovation management education and technique of teaching which are interesting to study. With their way, &lt;/em&gt;&lt;em&gt;Pesantren Al-Karimiyah and Daarussalam&lt;/em&gt;&lt;em&gt; are able to make their education and technique of teaching more vibrant and competitive with the times.&lt;/em&gt;&lt;/p&gt;","author":[{"dropping-particle":"","family":"Damanhuri","given":"Ahmad","non-dropping-particle":"","parse-names":false,"suffix":""},{"dropping-particle":"","family":"Mujahidin","given":"Endin","non-dropping-particle":"","parse-names":false,"suffix":""},{"dropping-particle":"","family":"Hafidhuddin","given":"Didin","non-dropping-particle":"","parse-names":false,"suffix":""}],"container-title":"Ta'dibuna: Jurnal Pendidikan Islam","id":"ITEM-2","issue":"1","issued":{"date-parts":[["2013"]]},"page":"17","title":"Inovasi Pengelolaan Pesantren dalam Menghadapi Persaingan di Era Globalisasi","type":"article-journal","volume":"2"},"uris":["http://www.mendeley.com/documents/?uuid=38021b34-9dc0-4d92-ab98-d90380d533f1"]}],"mendeley":{"formattedCitation":"(Damanhuri, Mujahidin, &amp; Hafidhuddin, 2013; Saefudin Zuhri, 2023)","plainTextFormattedCitation":"(Damanhuri, Mujahidin, &amp; Hafidhuddin, 2013; Saefudin Zuhri, 2023)","previouslyFormattedCitation":"(Damanhuri, Mujahidin, &amp; Hafidhuddin, 2013; Saefudin Zuhri, 2023)"},"properties":{"noteIndex":0},"schema":"https://github.com/citation-style-language/schema/raw/master/csl-citation.json"}</w:instrText>
      </w:r>
      <w:r w:rsidRPr="0087384A">
        <w:rPr>
          <w:rFonts w:ascii="Garamond" w:hAnsi="Garamond"/>
        </w:rPr>
        <w:fldChar w:fldCharType="separate"/>
      </w:r>
      <w:r w:rsidRPr="0087384A">
        <w:rPr>
          <w:rFonts w:ascii="Garamond" w:hAnsi="Garamond"/>
          <w:noProof/>
        </w:rPr>
        <w:t>(Damanhuri, Mujahidin, &amp; Hafidhuddin, 2013; Saefudin Zuhri, 2023)</w:t>
      </w:r>
      <w:r w:rsidRPr="0087384A">
        <w:rPr>
          <w:rFonts w:ascii="Garamond" w:hAnsi="Garamond"/>
        </w:rPr>
        <w:fldChar w:fldCharType="end"/>
      </w:r>
      <w:r w:rsidRPr="0087384A">
        <w:rPr>
          <w:rFonts w:ascii="Garamond" w:hAnsi="Garamond"/>
        </w:rPr>
        <w:t>, entrepreneur</w:t>
      </w:r>
      <w:r>
        <w:rPr>
          <w:rFonts w:ascii="Garamond" w:hAnsi="Garamond"/>
        </w:rPr>
        <w:t xml:space="preserve"> </w:t>
      </w:r>
      <w:proofErr w:type="spellStart"/>
      <w:r w:rsidRPr="0087384A">
        <w:rPr>
          <w:rFonts w:ascii="Garamond" w:hAnsi="Garamond"/>
        </w:rPr>
        <w:t>pesantren</w:t>
      </w:r>
      <w:proofErr w:type="spellEnd"/>
      <w:r w:rsidRPr="0087384A">
        <w:rPr>
          <w:rFonts w:ascii="Garamond" w:hAnsi="Garamond"/>
        </w:rPr>
        <w:t>,</w:t>
      </w:r>
      <w:r>
        <w:rPr>
          <w:rFonts w:ascii="Garamond" w:hAnsi="Garamond"/>
        </w:rPr>
        <w:t xml:space="preserve"> </w:t>
      </w:r>
      <w:r w:rsidRPr="0087384A">
        <w:rPr>
          <w:rStyle w:val="FootnoteReference"/>
          <w:rFonts w:ascii="Garamond" w:hAnsi="Garamond"/>
        </w:rPr>
        <w:fldChar w:fldCharType="begin" w:fldLock="1"/>
      </w:r>
      <w:r w:rsidRPr="0087384A">
        <w:rPr>
          <w:rFonts w:ascii="Garamond" w:hAnsi="Garamond"/>
        </w:rPr>
        <w:instrText>ADDIN CSL_CITATION {"citationItems":[{"id":"ITEM-1","itemData":{"DOI":"10.22219/jibe.vol1.no02.71-82","ISSN":"2580-9431","abstract":"Business Incubator is one of PPSD’s (Pondok Pesantren Sunan Drajat) sub-units that supports their owneconomy independency. PPSD have existed as an important part of education, social and especially economic institution for Muslim community in East Java. Each year, Muslim intellectuals graduate from PPDS as Santri graduates, and mostly work, not only as religion teachers, but also as entrepreneurs, back in their hometown. The phenomenon of Santri Entrepreneurs appears to be the main inspiration for Business Incubator foundation. The researcher subsequently observes such phenomenon, also known as Santri anti-poverty agent, by using Action Research method as a base of observation for data collecting, analysis and synthesis process. The aim is to describe innovative methods of PPSD’s Business Incubator in generating entrepreneurs along with pesantren ecosystem where this research was conducted. The research findings are the description of knowledge management and recommendation for developing entrepreneurship within incubator related to PPSD policy. ","author":[{"dropping-particle":"","family":"Ahwarumi","given":"Biyati","non-dropping-particle":"","parse-names":false,"suffix":""},{"dropping-particle":"","family":"Sawarjuwono","given":"Tjiptohadi","non-dropping-particle":"","parse-names":false,"suffix":""}],"container-title":"Journal of Innovation in Business and Economics","id":"ITEM-1","issue":"02","issued":{"date-parts":[["2017"]]},"page":"71","title":"Enhancing Innovation Roles of Pesantren Business Incubator in Pondok Pesantren Sunan Drajat","type":"article-journal","volume":"1"},"uris":["http://www.mendeley.com/documents/?uuid=f752182a-548b-4f6f-8d14-8b953387e20b"]}],"mendeley":{"formattedCitation":"(Ahwarumi &amp; Sawarjuwono, 2017)","plainTextFormattedCitation":"(Ahwarumi &amp; Sawarjuwono, 2017)","previouslyFormattedCitation":"(Ahwarumi &amp; Sawarjuwono, 2017)"},"properties":{"noteIndex":0},"schema":"https://github.com/citation-style-language/schema/raw/master/csl-citation.json"}</w:instrText>
      </w:r>
      <w:r w:rsidRPr="0087384A">
        <w:rPr>
          <w:rStyle w:val="FootnoteReference"/>
          <w:rFonts w:ascii="Garamond" w:hAnsi="Garamond"/>
        </w:rPr>
        <w:fldChar w:fldCharType="separate"/>
      </w:r>
      <w:r w:rsidRPr="0087384A">
        <w:rPr>
          <w:rFonts w:ascii="Garamond" w:hAnsi="Garamond"/>
          <w:bCs/>
          <w:noProof/>
        </w:rPr>
        <w:t>(Ahwarumi &amp; Sawarjuwono, 2017)</w:t>
      </w:r>
      <w:r w:rsidRPr="0087384A">
        <w:rPr>
          <w:rStyle w:val="FootnoteReference"/>
          <w:rFonts w:ascii="Garamond" w:hAnsi="Garamond"/>
        </w:rPr>
        <w:fldChar w:fldCharType="end"/>
      </w:r>
      <w:r w:rsidRPr="0087384A">
        <w:rPr>
          <w:rFonts w:ascii="Garamond" w:hAnsi="Garamond"/>
        </w:rPr>
        <w:t xml:space="preserve"> </w:t>
      </w:r>
      <w:proofErr w:type="spellStart"/>
      <w:r w:rsidRPr="0087384A">
        <w:rPr>
          <w:rFonts w:ascii="Garamond" w:hAnsi="Garamond"/>
        </w:rPr>
        <w:t>pesantren</w:t>
      </w:r>
      <w:proofErr w:type="spellEnd"/>
      <w:r w:rsidRPr="0087384A">
        <w:rPr>
          <w:rFonts w:ascii="Garamond" w:hAnsi="Garamond"/>
        </w:rPr>
        <w:t xml:space="preserve"> </w:t>
      </w:r>
      <w:r>
        <w:rPr>
          <w:rFonts w:ascii="Garamond" w:hAnsi="Garamond"/>
        </w:rPr>
        <w:t xml:space="preserve">of science </w:t>
      </w:r>
      <w:r w:rsidRPr="0087384A">
        <w:rPr>
          <w:rFonts w:ascii="Garamond" w:hAnsi="Garamond"/>
        </w:rPr>
        <w:fldChar w:fldCharType="begin" w:fldLock="1"/>
      </w:r>
      <w:r w:rsidRPr="0087384A">
        <w:rPr>
          <w:rFonts w:ascii="Garamond" w:hAnsi="Garamond"/>
        </w:rPr>
        <w:instrText>ADDIN CSL_CITATION {"citationItems":[{"id":"ITEM-1","itemData":{"DOI":"10.21580/ws.23.2.280","ISSN":"0852-7172","abstract":"&lt;p class=\"IIABSBARU\"&gt;Muslims around the world mostly was under the domination of the West in the mastery of science and technology. Establishing educational institutions that are based on science and technology is one of the ways to solve the problem.This study had the purpose to examine the epistemology of science in the teaching system in SMA Trensains boarding school Tebuireng Jombang. Applying the method of field research through qualitative approach and philosophical analyses, this study revealed that SMA Trensains Tebuireng Jombang applied \"Islamic Science\" in which science is constructed based on the revelation of God. It is meant that in Islamic epistemology, revelation and the Sunnah are the sources which are inspiring for building sciences. It is hoped that the building the Islamic epistemology of science will bear pious Muslim generation in religious field and proficient in science and technology, and it will impact to the glory of Islamic civilization in the future.&lt;/p&gt;&lt;p class=\"IIABSBARU\" align=\"center\"&gt;***&lt;/p&gt;Pada umumnya, umat Islam di dunia ini berada di bawah dominasi Barat dalam penguasaan ilmu dan teknologi. Pendirian lembaga pendidikan yang didasarkan pada ilmu dan teknologi merupakan salah satu cara untuk mengatasi masalah tersebut. Kajian ini bertujuan untuk meneliti epistemologi ilmu dalam sistem pengajaran di SMA Trensains di pondok Pesantren Tebuireng Jombang. Dengan menggunakan metode penelitian lapangan dan dengan pendekatan penelitian kualitatif serta analisis filosofis, kajian ini menemukan bahwa SMA Trensains Tebuireng Jombang menerapkan Sains Islam, di mana ilmu dibangun berdasar wahyu Tuhan. Maksudnya adalah bahwa dalam epistemologi Islam wahyu dan sunnah adalah sumber yang memberikan inspirasi bagi pembangunan ilmu pengetahuan. Diharapkan pembangunan epistemologi Islam untuk ilmu penge­tahuan akan melahirkan generasi Muslim yang shalih dalam bidang agama dan ahli dalam bidang ilmu pengetahuan dan teknologi, yang pada gilirannya akan memberikan dampak bagi kejayaan peradaban Islam di masa yang akan datang.","author":[{"dropping-particle":"","family":"Yusuf","given":"Mohamad Yasin","non-dropping-particle":"","parse-names":false,"suffix":""}],"container-title":"Walisongo: Jurnal Penelitian Sosial Keagamaan","id":"ITEM-1","issue":"2","issued":{"date-parts":[["2015"]]},"page":"283","title":"Pesantren Sains: Epistemology of Islamic Science in Teaching System","type":"article-journal","volume":"23"},"uris":["http://www.mendeley.com/documents/?uuid=10ebd153-2da8-4e48-add0-579856052e5a"]},{"id":"ITEM-2","itemData":{"DOI":"10.14421/jpi.2022.112.121-135","ISSN":"2301-9166","abstract":"Purpose – This study aims to explain the factors of the emergence of “pesantren sains/science pesantren” (Trensains) and their implications for the shift in the orientation of Islamic education in Indonesia. Existing pesantren studies have looked more at practical aspects, such as curriculum development and learning, but not yet at philosophical aspects, which have implications for a shift in the orientation of Islamic education.\r Design/methods/approach – Data was collected using interviews and documentation. The research, which utilized a phenomenological approach, was conducted at Sragen Muhammadiyah Trensains Senior High School in Central Java and Tebuireng Trensains Senior High School in East Java. The primary respondent was Agus Purwanto, the initiator, founder, and developer of a science boarding school, who had first-hand experience with the events that took place while he was a student at the Pesantren.\r Findings – The findings of this study suggest that Trensains is a new pesantren genre that was developed as a reaction to the lack of science and technology in the Islamic world due to the heavy jurisprudential emphasis on Islamic education. In the history of the curricula at pesantren, including philosophy as a topic is a novelty.\r Research implications/limitations – The emergence of Trensains has implications for a shift in the orientation of pesantren in Indonesia from a Sufistic-fiqh orientation to a scientific-philosophical orientation which is marked by the following changes: (1) in the function of transmission and transfer of Islamic knowledge (tafaqquh fī al-dīn) to the study of Islamic sciences general science; (2) from maintaining the Islamic tradition to cultivating the scientific tradition; and (3) from a reproduction of religionists to producers of scientists. However, some drawbacks need to be acknowledged. This study has not discussed Trensains as a whole, and its effectiveness in shaping the character of pesantren is unknown. Therefore, further research is needed to understand the impact and role of Trensains in the development of Islamic education in Indonesia.","author":[{"dropping-particle":"","family":"Azaki Khoirudin","given":"","non-dropping-particle":"","parse-names":false,"suffix":""},{"dropping-particle":"","family":"Abdul Munip","given":"","non-dropping-particle":"","parse-names":false,"suffix":""},{"dropping-particle":"","family":"Imam Machali","given":"","non-dropping-particle":"","parse-names":false,"suffix":""},{"dropping-particle":"","family":"Hamzah Fansuri","given":"","non-dropping-particle":"","parse-names":false,"suffix":""}],"container-title":"Jurnal Pendidikan Islam","id":"ITEM-2","issue":"2","issued":{"date-parts":[["2022"]]},"page":"121-135","title":"Trensains: The New Pesantren and Shifting Orientation of Islamic Education in Indonesia","type":"article-journal","volume":"11"},"uris":["http://www.mendeley.com/documents/?uuid=df450894-1d22-4942-9d4d-47451b5a51a0"]}],"mendeley":{"formattedCitation":"(Azaki Khoirudin, Abdul Munip, Imam Machali, &amp; Hamzah Fansuri, 2022; Yusuf, 2015)","plainTextFormattedCitation":"(Azaki Khoirudin, Abdul Munip, Imam Machali, &amp; Hamzah Fansuri, 2022; Yusuf, 2015)","previouslyFormattedCitation":"(Azaki Khoirudin, Abdul Munip, Imam Machali, &amp; Hamzah Fansuri, 2022; Yusuf, 2015)"},"properties":{"noteIndex":0},"schema":"https://github.com/citation-style-language/schema/raw/master/csl-citation.json"}</w:instrText>
      </w:r>
      <w:r w:rsidRPr="0087384A">
        <w:rPr>
          <w:rFonts w:ascii="Garamond" w:hAnsi="Garamond"/>
        </w:rPr>
        <w:fldChar w:fldCharType="separate"/>
      </w:r>
      <w:r w:rsidRPr="0087384A">
        <w:rPr>
          <w:rFonts w:ascii="Garamond" w:hAnsi="Garamond"/>
          <w:noProof/>
        </w:rPr>
        <w:t>(Azaki Khoirudin, Abdul Munip, Imam Machali, &amp; Hamzah Fansuri, 2022; Yusuf, 2015)</w:t>
      </w:r>
      <w:r w:rsidRPr="0087384A">
        <w:rPr>
          <w:rFonts w:ascii="Garamond" w:hAnsi="Garamond"/>
        </w:rPr>
        <w:fldChar w:fldCharType="end"/>
      </w:r>
      <w:r w:rsidRPr="0087384A">
        <w:rPr>
          <w:rFonts w:ascii="Garamond" w:hAnsi="Garamond"/>
        </w:rPr>
        <w:t xml:space="preserve">, </w:t>
      </w:r>
      <w:proofErr w:type="spellStart"/>
      <w:r w:rsidRPr="0087384A">
        <w:rPr>
          <w:rFonts w:ascii="Garamond" w:hAnsi="Garamond"/>
        </w:rPr>
        <w:t>e</w:t>
      </w:r>
      <w:r>
        <w:rPr>
          <w:rFonts w:ascii="Garamond" w:hAnsi="Garamond"/>
        </w:rPr>
        <w:t>c</w:t>
      </w:r>
      <w:r w:rsidRPr="0087384A">
        <w:rPr>
          <w:rFonts w:ascii="Garamond" w:hAnsi="Garamond"/>
        </w:rPr>
        <w:t>opesantren</w:t>
      </w:r>
      <w:proofErr w:type="spellEnd"/>
      <w:r>
        <w:rPr>
          <w:rFonts w:ascii="Garamond" w:hAnsi="Garamond"/>
        </w:rPr>
        <w:t xml:space="preserve"> </w:t>
      </w:r>
      <w:r w:rsidRPr="0087384A">
        <w:rPr>
          <w:rFonts w:ascii="Garamond" w:hAnsi="Garamond"/>
        </w:rPr>
        <w:fldChar w:fldCharType="begin" w:fldLock="1"/>
      </w:r>
      <w:r w:rsidRPr="0087384A">
        <w:rPr>
          <w:rFonts w:ascii="Garamond" w:hAnsi="Garamond"/>
        </w:rPr>
        <w:instrText>ADDIN CSL_CITATION {"citationItems":[{"id":"ITEM-1","itemData":{"DOI":"10.11591/ijere.v13i1.25930","ISSN":"26205440","abstract":"Pesantren or Islamic boarding school plays a vital and strategic role in improving environmentally sound education. Eco-pesantren is a movement that puts a high concern for the environment. This study aimed to analyze eco-pesantren modeling techniques in education. It is a case study with a qualitative research method. The research was conducted at Islamic Boarding School Sumber Mental Agama Allah (SPMAA), Turi Lamongan, East Java, Indonesia. Data were collected by observation, interviews, questionnaires, and document studies. This research concluded that modeling techniques can at least be pursued in four main ways: the individual role model of pesantren leaders; infrastructure and their use; governance systems; and culture or traditions. Besides, using integrated modeling techniques at both school and pesantren culture can increase insight and application of environmentally friendly behavior through a direct observation and habituation of healthy educational practices. Modeling can help students turn abstract ideas of green life into actual implementations. Direct observation of continuous practices equips students with the knowledge required to perform expected behaviors. Research on modeling assists eco-pesantren institutions encourage learning and practices about healthy environment. In the global context, it can be a role model for the implementation of environmentally friendly education that promotes environmentally sound learning.","author":[{"dropping-particle":"","family":"Aulia","given":"Rihlah Nur","non-dropping-particle":"","parse-names":false,"suffix":""},{"dropping-particle":"","family":"Abbas","given":"Hafid","non-dropping-particle":"","parse-names":false,"suffix":""},{"dropping-particle":"","family":"Nurhattati","given":"","non-dropping-particle":"","parse-names":false,"suffix":""},{"dropping-particle":"","family":"Jasin","given":"Faisal M.","non-dropping-particle":"","parse-names":false,"suffix":""},{"dropping-particle":"","family":"Mushlihin","given":"","non-dropping-particle":"","parse-names":false,"suffix":""}],"container-title":"International Journal of Evaluation and Research in Education ","id":"ITEM-1","issue":"1","issued":{"date-parts":[["2024"]]},"page":"223-229","title":"Eco-pesantren modeling for environmentally friendly behavior: new lessons from Indonesia","type":"article-journal","volume":"13"},"uris":["http://www.mendeley.com/documents/?uuid=cc2f6fef-34cf-420b-b1a4-174a550d32bb"]},{"id":"ITEM-2","itemData":{"DOI":"10.18860/JIA.V6I3.7967","ISSN":"23564644","abstract":"The implementation of Eco-Pesantren is a contribution of the Islamic Architecture product towards the current global issue. Eco-Pesantren aims to produce a green Islamic boarding school, which contributes a positive effect in terms of environmental conservation and energy saving. Therefore, this research assesses the Eco-Pesantren implementation of Darul Ulum Islamic Boarding School in Banda Aceh. The research method is descriptive qualitative. The researcher collects data through in-situ observation based on the research tool. The result shows that this Islamic Boarding School is not yet categorized as an Eco-Pesantren. to implement this concept. The management should improve some aspects such as optimizing natural renewable resources, optimizing the existing green space, and optimizing waste management. This study also reveals the role of architects in implementing the Eco-building concept and determines the building performance.","author":[{"dropping-particle":"","family":"Bakri","given":"Maysarah","non-dropping-particle":"","parse-names":false,"suffix":""}],"container-title":"Journal of Islamic Architecture","id":"ITEM-2","issue":"3","issued":{"date-parts":[["2021"]]},"page":"143-150","title":"ECO-Pesantren assessment study of Islamic Boarding School in Banda Aceh, Indonesia","type":"article-journal","volume":"6"},"uris":["http://www.mendeley.com/documents/?uuid=40ed0f39-b02d-473c-a0c0-48a155f79030"]},{"id":"ITEM-3","itemData":{"DOI":"10.24857/rgsa.v18n5-079","ISSN":"1981982X","abstract":"Purpose: The primary aim of this study is to evaluate the impact of an environmental education curriculum on shaping the environmental culture among students in Islamic boarding schools. Recognizing the importance of environmental awareness and stewardship, particularly within educational settings, this research seeks to assess the effectiveness of an environmental education intervention in fostering a culture of environmental responsibility and sustainability among students. Methods: The research methodology employed is an experimental approach involving 107 participants from three Islamic boarding schools located in Surabaya, Indonesia. The environmental education intervention consists of two stages: the delivery of educational materials and practical implementation in everyday life, spanning across 14 sessions. Data analysis is conducted using the product moment correlation test, with a significance level set at 0.05, to examine the relationship between the environmental education curriculum and the development of environmental culture among students. Results and Discussion: The study findings reveal that the environmental education curriculum significantly influences the development of environmental culture among students in Islamic boarding schools. Additionally, the analysis indicates correlations between knowledge, attitude, and behavior related to environmental management, as well as between cooperation, responsibility, and environmental care. These findings underscore the interconnectedness of various components within the framework of environmental education and highlight the importance of fostering a holistic approach to environmental awareness and action among students. Implications of the Research: The results of this study have significant implications for educational policymakers, curriculum developers, and practitioners in Islamic boarding schools and beyond. By demonstrating the positive impact of environmental education on shaping environmental culture, the research advocates for the integration of comprehensive environmental education curricula into the academic framework of Islamic boarding schools. Furthermore, the findings underscore the importance of promoting active engagement and practical application of environmental principles to foster sustainable environmental practices among students. Originality/Value: This study contributes to the growing body of literature on environmental education by focusing specifically on its impact…","author":[{"dropping-particle":"","family":"Lutfauziah","given":"Asmaul","non-dropping-particle":"","parse-names":false,"suffix":""},{"dropping-particle":"","family":"Al-Muhdhar","given":"Mimien Henie Irawati","non-dropping-particle":"","parse-names":false,"suffix":""},{"dropping-particle":"","family":"Suhadi","given":"","non-dropping-particle":"","parse-names":false,"suffix":""},{"dropping-particle":"","family":"Rohman","given":"Fatchur","non-dropping-particle":"","parse-names":false,"suffix":""}],"container-title":"Revista de Gestao Social e Ambiental","id":"ITEM-3","issue":"5","issued":{"date-parts":[["2024"]]},"page":"1-16","title":"Does Environmental Education Curriculum Affect Student’S Environmental Culture in Islamic Boarding School?","type":"article-journal","volume":"18"},"uris":["http://www.mendeley.com/documents/?uuid=d0e2276e-35c8-4dd6-bd4b-b2f10b9b22f6"]},{"id":"ITEM-4","itemData":{"DOI":"10.36681/tused.2023.028","ISSN":"13046020","abstract":"This study aimed to produce and to evaluate a curriculum for environmental education to support sustainable development programmes at an environmentally friendly Islamic boarding school (eco-pesantren). It is a development study with a model of area-based curriculum. The development stage includes analysis, design, develop, implementation, and evaluation. This curriculum has been implemented in 3 Islamic boarding schools (107 students). This curriculum contains curriculum foundations, learning outcomes, teaching materials, learning activities, and learning evaluations. The foundation of this curriculum includes philosophical, psychological, organisational, socio-cultural, scientific and technological aspects. Teaching materials focus on the problems faced by students in everyday life. Learning activities include 2 stages (theory and practice). The results of this study indicate that it is a suitable curriculum for use in Islamic boarding schools with an eligibility percentage of 92% (very feasible category) based on aspects of consistency, relevance, effectiveness, completeness, continuity, correctness of content and language. The results of this study also show that this curriculum is practically used in Islamic boarding schools. The practicality of the curriculum is seen from the aspect of good communication, cooperation, sufficient time, and the ease of understanding the material.","author":[{"dropping-particle":"","family":"Lutfauziah","given":"Asmaul","non-dropping-particle":"","parse-names":false,"suffix":""},{"dropping-particle":"","family":"Muhdhar","given":"Mimien Henie Irawati","non-dropping-particle":"Al","parse-names":false,"suffix":""},{"dropping-particle":"","family":"Suhadi","given":"","non-dropping-particle":"","parse-names":false,"suffix":""},{"dropping-particle":"","family":"Rohman","given":"Fatchur","non-dropping-particle":"","parse-names":false,"suffix":""}],"container-title":"Journal of Turkish Science Education","id":"ITEM-4","issue":"3","issued":{"date-parts":[["2023"]]},"page":"490-503","title":"Curriculum development for environmental education at an Islamic boarding school","type":"article-journal","volume":"20"},"uris":["http://www.mendeley.com/documents/?uuid=f0809a52-7ebc-4fb8-a230-13a443765dd7"]}],"mendeley":{"formattedCitation":"(Aulia, Abbas, Nurhattati, Jasin, &amp; Mushlihin, 2024; Bakri, 2021; Lutfauziah, Al-Muhdhar, Suhadi, &amp; Rohman, 2024; Lutfauziah, Al Muhdhar, Suhadi, &amp; Rohman, 2023)","plainTextFormattedCitation":"(Aulia, Abbas, Nurhattati, Jasin, &amp; Mushlihin, 2024; Bakri, 2021; Lutfauziah, Al-Muhdhar, Suhadi, &amp; Rohman, 2024; Lutfauziah, Al Muhdhar, Suhadi, &amp; Rohman, 2023)","previouslyFormattedCitation":"(Aulia, Abbas, Nurhattati, Jasin, &amp; Mushlihin, 2024; Bakri, 2021; Lutfauziah, Al-Muhdhar, Suhadi, &amp; Rohman, 2024; Lutfauziah, Al Muhdhar, Suhadi, &amp; Rohman, 2023)"},"properties":{"noteIndex":0},"schema":"https://github.com/citation-style-language/schema/raw/master/csl-citation.json"}</w:instrText>
      </w:r>
      <w:r w:rsidRPr="0087384A">
        <w:rPr>
          <w:rFonts w:ascii="Garamond" w:hAnsi="Garamond"/>
        </w:rPr>
        <w:fldChar w:fldCharType="separate"/>
      </w:r>
      <w:r w:rsidRPr="0087384A">
        <w:rPr>
          <w:rFonts w:ascii="Garamond" w:hAnsi="Garamond"/>
          <w:noProof/>
        </w:rPr>
        <w:t>(Aulia, Abbas, Nurhattati, Jasin, &amp; Mushlihin, 2024; Bakri, 2021; Lutfauziah, Al-Muhdhar, Suhadi, &amp; Rohman, 2024; Lutfauziah, Al Muhdhar, Suhadi, &amp; Rohman, 2023)</w:t>
      </w:r>
      <w:r w:rsidRPr="0087384A">
        <w:rPr>
          <w:rFonts w:ascii="Garamond" w:hAnsi="Garamond"/>
        </w:rPr>
        <w:fldChar w:fldCharType="end"/>
      </w:r>
      <w:r w:rsidRPr="0087384A">
        <w:rPr>
          <w:rFonts w:ascii="Garamond" w:hAnsi="Garamond"/>
        </w:rPr>
        <w:t xml:space="preserve">, </w:t>
      </w:r>
      <w:r>
        <w:rPr>
          <w:rFonts w:ascii="Garamond" w:hAnsi="Garamond"/>
        </w:rPr>
        <w:t>to</w:t>
      </w:r>
      <w:r w:rsidRPr="0087384A">
        <w:rPr>
          <w:rFonts w:ascii="Garamond" w:hAnsi="Garamond"/>
        </w:rPr>
        <w:t xml:space="preserve"> </w:t>
      </w:r>
      <w:proofErr w:type="spellStart"/>
      <w:r w:rsidRPr="0087384A">
        <w:rPr>
          <w:rFonts w:ascii="Garamond" w:hAnsi="Garamond"/>
        </w:rPr>
        <w:t>pesantren</w:t>
      </w:r>
      <w:proofErr w:type="spellEnd"/>
      <w:r w:rsidRPr="0087384A">
        <w:rPr>
          <w:rFonts w:ascii="Garamond" w:hAnsi="Garamond"/>
        </w:rPr>
        <w:t xml:space="preserve"> based on digital technology </w:t>
      </w:r>
      <w:r w:rsidRPr="0087384A">
        <w:rPr>
          <w:rFonts w:ascii="Garamond" w:hAnsi="Garamond"/>
        </w:rPr>
        <w:fldChar w:fldCharType="begin" w:fldLock="1"/>
      </w:r>
      <w:r w:rsidRPr="0087384A">
        <w:rPr>
          <w:rFonts w:ascii="Garamond" w:hAnsi="Garamond"/>
        </w:rPr>
        <w:instrText>ADDIN CSL_CITATION {"citationItems":[{"id":"ITEM-1","itemData":{"DOI":"10.20414/ujis.v24i1.385","ISSN":"23557648","abstract":"There have been social, political and religious changes in Indonesia since the fall of the New Order regime in 1998. Globalization has furthered acceleration of the change. These forces have given tremenduous impacts on Indonesian educational system, and Islamic educational system (pesantren) in particular. This article examines how pesantrens respond globalization and explores what pesantrens have developed during the era. Based on an ethnographic study in pesantrens in East Java, this study explores the conception, policy and practices of Islamic education in the pesantren in this globalization era. It argues that globalization increases the complexity and the necessity of learning and teaching development, particularly in preparing students (santri) to deal with the challenges of rapid growth and change of contemporary world. The responses of pesantren on global challenges have been shown through the development of its traditional system, namely curricula development and leadership. The new pesantren educational system, management and leadership are now sustainable and relevant to the modern world. The shifting educational paradigm in the pesantren’s policy supports Sadalah’s and Hefner’s contention that the Islamic educational system in the contemporary era needs to adopt, accept and integrate the teaching content of non-traditional Islamic subjects into their programs.","author":[{"dropping-particle":"","family":"Kawakip","given":"Akhmad Nurul","non-dropping-particle":"","parse-names":false,"suffix":""}],"container-title":"Ulumuna","id":"ITEM-1","issue":"1","issued":{"date-parts":[["2020"]]},"page":"105-131","title":"Globalization and islamic educational challenges: Views from east javanese pesantren","type":"article-journal","volume":"24"},"uris":["http://www.mendeley.com/documents/?uuid=aea8b76c-4091-4448-b2df-5f4c586d5ba9"]},{"id":"ITEM-2","itemData":{"DOI":"10.35940/ijeat.E1149.0585C19","ISSN":"22498958","abstract":"The advance of science and technology requires an organization to make changes in developing its organization. Learning organization is seen as the ability of an organization to develop and improve the knowledge and attitude of all human resources in responding to the various changes that arise. Islamic boarding school is the oldest educational institutions in the national history of Indonesia as the nation’s assets in people’s life. The objective of this study is to analyze learning dynamics, organizational transformation, and the application of technology in Islamic boarding school in facing the challenges of disruptive innovation. The results of the research showed that all personnel in Islamic boarding school form learning interaction model both individual and group. An Islamic boarding school that renews the vision of the organization is a form of transformation in response to the changes that occur. Furthermore, the use of information technology is implemented in learning activities.sed for the utilized as a piece of a diesel motor with diesel mixes.","author":[{"dropping-particle":"","family":"Ridwan","given":"Taufik","non-dropping-particle":"","parse-names":false,"suffix":""},{"dropping-particle":"","family":"Ibrahim","given":"Nurdin","non-dropping-particle":"","parse-names":false,"suffix":""},{"dropping-particle":"","family":"Sumantri","given":"Moch Syarif","non-dropping-particle":"","parse-names":false,"suffix":""}],"container-title":"International Journal of Engineering and Advanced Technology","id":"ITEM-2","issue":"5","issued":{"date-parts":[["2019"]]},"page":"1054-1056","title":"Islamic boarding school learning organization: Analysis of learning dynamic, organizational transformation and application of technology","type":"article-journal","volume":"8"},"uris":["http://www.mendeley.com/documents/?uuid=c2516bff-ee6a-4c5c-8036-9c9bcbe77386"]},{"id":"ITEM-3","itemData":{"DOI":"10.14421/jpai.2021.182-15","ISSN":"25022075","abstract":"This research is motivated by developing technology. Pesantren have the choice to adapt to technology or reject it. Both choices have their respective impacts. This study aims to explain the adaptation to the use of technology in the Darul Ulum Pesantren in Kudus and how the position of the Pesantren Kyai after the use of technology. The research method used is a qualitative research method through the process of data collection, data reduction, data presentation, conclusion, and data verification. Search data using interviews, observation, and documentation. The object of this research is the Pesantren program related to the application of technology and the communication process of Kyai with Pesantren residents. The findings of this study state that Darul Ulum Kudus Pesantren is conducting an adaptation process to technological advances by approaching education, digital literacy, and the virtual Qur’an. Pesantren utilizes Whatsapp, Facebook, Instagram, and Youtube. This causes the existence of Pesantren outside to be better, meaning that more people know and know about the programs Pesantren. However, it causes a decrease in the sacredness of the Kyai for his santri. Kyai becomes dialogic and democratic rather than authoritarian. This research implies that Islamic boarding schools that choose to adapt to technological developments will change the authority of the Kyai. But the Kyai also has the authority to make his Pesantren adapt to technology or reject technology.","author":[{"dropping-particle":"","family":"Zafi","given":"Ashif Az","non-dropping-particle":"","parse-names":false,"suffix":""},{"dropping-particle":"","family":"Jamaluddin","given":"Dindin","non-dropping-particle":"","parse-names":false,"suffix":""},{"dropping-particle":"","family":"Partono","given":"","non-dropping-particle":"","parse-names":false,"suffix":""},{"dropping-particle":"","family":"Fuadi","given":"Salis Irvan","non-dropping-particle":"","parse-names":false,"suffix":""},{"dropping-particle":"","family":"Chamadi","given":"Muhamad Riza","non-dropping-particle":"","parse-names":false,"suffix":""}],"container-title":"Jurnal Pendidikan Agama Islam","id":"ITEM-3","issue":"2","issued":{"date-parts":[["2021"]]},"page":"493-510","title":"The Existence of Pesantren Based Technology: Digitalization of Learning in Pondok Pesantren Darul Ulum Kudus","type":"article-journal","volume":"18"},"uris":["http://www.mendeley.com/documents/?uuid=b0dffda0-3cfc-4b22-ac84-60d2c072d8f5"]}],"mendeley":{"formattedCitation":"(Kawakip, 2020; Ridwan, Ibrahim, &amp; Sumantri, 2019; Zafi, Jamaluddin, Partono, Fuadi, &amp; Chamadi, 2021)","plainTextFormattedCitation":"(Kawakip, 2020; Ridwan, Ibrahim, &amp; Sumantri, 2019; Zafi, Jamaluddin, Partono, Fuadi, &amp; Chamadi, 2021)","previouslyFormattedCitation":"(Kawakip, 2020; Ridwan, Ibrahim, &amp; Sumantri, 2019; Zafi, Jamaluddin, Partono, Fuadi, &amp; Chamadi, 2021)"},"properties":{"noteIndex":0},"schema":"https://github.com/citation-style-language/schema/raw/master/csl-citation.json"}</w:instrText>
      </w:r>
      <w:r w:rsidRPr="0087384A">
        <w:rPr>
          <w:rFonts w:ascii="Garamond" w:hAnsi="Garamond"/>
        </w:rPr>
        <w:fldChar w:fldCharType="separate"/>
      </w:r>
      <w:r w:rsidRPr="0087384A">
        <w:rPr>
          <w:rFonts w:ascii="Garamond" w:hAnsi="Garamond"/>
          <w:noProof/>
        </w:rPr>
        <w:t>(Kawakip, 2020; Ridwan, Ibrahim, &amp; Sumantri, 2019; Zafi, Jamaluddin, Partono, Fuadi, &amp; Chamadi, 2021)</w:t>
      </w:r>
      <w:r w:rsidRPr="0087384A">
        <w:rPr>
          <w:rFonts w:ascii="Garamond" w:hAnsi="Garamond"/>
        </w:rPr>
        <w:fldChar w:fldCharType="end"/>
      </w:r>
      <w:r w:rsidRPr="0087384A">
        <w:rPr>
          <w:rFonts w:ascii="Garamond" w:hAnsi="Garamond"/>
        </w:rPr>
        <w:t xml:space="preserve"> which integrates religious education with modern science and </w:t>
      </w:r>
      <w:r w:rsidRPr="0087384A">
        <w:rPr>
          <w:rFonts w:ascii="Garamond" w:hAnsi="Garamond"/>
          <w:i/>
          <w:iCs/>
        </w:rPr>
        <w:t>soft skills.</w:t>
      </w:r>
      <w:r w:rsidRPr="0087384A">
        <w:rPr>
          <w:rFonts w:ascii="Garamond" w:hAnsi="Garamond"/>
        </w:rPr>
        <w:t xml:space="preserve"> In some studies, it is also mentioned that there is a naming </w:t>
      </w:r>
      <w:proofErr w:type="spellStart"/>
      <w:r w:rsidRPr="0087384A">
        <w:rPr>
          <w:rFonts w:ascii="Garamond" w:hAnsi="Garamond"/>
        </w:rPr>
        <w:t>pesantren</w:t>
      </w:r>
      <w:proofErr w:type="spellEnd"/>
      <w:r>
        <w:rPr>
          <w:rFonts w:ascii="Garamond" w:hAnsi="Garamond"/>
        </w:rPr>
        <w:t xml:space="preserve"> of</w:t>
      </w:r>
      <w:r w:rsidRPr="0087384A">
        <w:rPr>
          <w:rFonts w:ascii="Garamond" w:hAnsi="Garamond"/>
        </w:rPr>
        <w:t xml:space="preserve"> </w:t>
      </w:r>
      <w:proofErr w:type="spellStart"/>
      <w:r w:rsidRPr="0087384A">
        <w:rPr>
          <w:rFonts w:ascii="Garamond" w:hAnsi="Garamond"/>
        </w:rPr>
        <w:t>salafi</w:t>
      </w:r>
      <w:proofErr w:type="spellEnd"/>
      <w:r w:rsidRPr="0087384A">
        <w:rPr>
          <w:rFonts w:ascii="Garamond" w:hAnsi="Garamond"/>
        </w:rPr>
        <w:t>-jihadis</w:t>
      </w:r>
      <w:r>
        <w:rPr>
          <w:rFonts w:ascii="Garamond" w:hAnsi="Garamond"/>
        </w:rPr>
        <w:t xml:space="preserve"> </w:t>
      </w:r>
      <w:r w:rsidRPr="0087384A">
        <w:rPr>
          <w:rStyle w:val="FootnoteReference"/>
          <w:rFonts w:ascii="Garamond" w:hAnsi="Garamond"/>
        </w:rPr>
        <w:fldChar w:fldCharType="begin" w:fldLock="1"/>
      </w:r>
      <w:r w:rsidRPr="0087384A">
        <w:rPr>
          <w:rFonts w:ascii="Garamond" w:hAnsi="Garamond"/>
        </w:rPr>
        <w:instrText>ADDIN CSL_CITATION {"citationItems":[{"id":"ITEM-1","itemData":{"DOI":"10.31004/joe.v6i1.2925","ISSN":"2655-1365","abstract":"The existence of Salaf pesantren which is suspected to be affiliated with jihadists lately has strengthened the presence of a new traditional pesantren typology namely Salafi-jihadis. Typology pesantren are considered vulnerable to radicalism and terrorism. This article reveals the resilience of the Salafi jihadi pesantren literacy culture which is allegedly affiliated with radical jihadist groups. This was done to determine the extent of the existence of salaf-jihadis pesantren literacy. The majority of people questioned the relevance of pesantren to the spread of radicalism and terrorism issues. The data of this study were collected through observation and in-depth interviews with former convicted terrorists (suspected theorists) as well as managing Salafi-jihadis pesantren as well as several religious teachers at the pesantren. The findings of this study indicate that the salafi-jihadis pesantren teach jihad fiqh up to the ahkamudiammah chapter. However, according to the boarding school manager, the jihad literacy taught in the pesantren is recognized as having no connection with radicalism and terrorism. The findings of this study can have implications for the terminology of jihad to be pejorative. Although the majority of traditional Islamic boarding schools have diverse resistance to the issue of radicalism.","author":[{"dropping-particle":"","family":"Malik","given":"Abdul","non-dropping-particle":"","parse-names":false,"suffix":""}],"container-title":"Journal on Education","id":"ITEM-1","issue":"1","issued":{"date-parts":[["2023"]]},"page":"121-137","title":"The Resilience of Literacy Culture in Salafi Jihadis Pesantren; Study on Traditional Islamic Boarding School in Indonesia","type":"article-journal","volume":"6"},"uris":["http://www.mendeley.com/documents/?uuid=86f348ad-be87-45fa-ad09-e54ab1ced32a"]}],"mendeley":{"formattedCitation":"(Malik, 2023)","plainTextFormattedCitation":"(Malik, 2023)","previouslyFormattedCitation":"(Malik, 2023)"},"properties":{"noteIndex":0},"schema":"https://github.com/citation-style-language/schema/raw/master/csl-citation.json"}</w:instrText>
      </w:r>
      <w:r w:rsidRPr="0087384A">
        <w:rPr>
          <w:rStyle w:val="FootnoteReference"/>
          <w:rFonts w:ascii="Garamond" w:hAnsi="Garamond"/>
        </w:rPr>
        <w:fldChar w:fldCharType="separate"/>
      </w:r>
      <w:r w:rsidRPr="0087384A">
        <w:rPr>
          <w:rFonts w:ascii="Garamond" w:hAnsi="Garamond"/>
          <w:bCs/>
          <w:noProof/>
        </w:rPr>
        <w:t>(Malik, 2023)</w:t>
      </w:r>
      <w:r w:rsidRPr="0087384A">
        <w:rPr>
          <w:rStyle w:val="FootnoteReference"/>
          <w:rFonts w:ascii="Garamond" w:hAnsi="Garamond"/>
        </w:rPr>
        <w:fldChar w:fldCharType="end"/>
      </w:r>
      <w:r w:rsidRPr="0087384A">
        <w:rPr>
          <w:rFonts w:ascii="Garamond" w:hAnsi="Garamond"/>
        </w:rPr>
        <w:t xml:space="preserve"> which, if analyzed with the old typological glasses, is not well accommodated. Meanwhile, on the other hand, the dimension of religious institutional affiliation—such as </w:t>
      </w:r>
      <w:proofErr w:type="spellStart"/>
      <w:r w:rsidRPr="0087384A">
        <w:rPr>
          <w:rFonts w:ascii="Garamond" w:hAnsi="Garamond"/>
        </w:rPr>
        <w:t>Nahdlatul</w:t>
      </w:r>
      <w:proofErr w:type="spellEnd"/>
      <w:r w:rsidRPr="0087384A">
        <w:rPr>
          <w:rFonts w:ascii="Garamond" w:hAnsi="Garamond"/>
        </w:rPr>
        <w:t xml:space="preserve"> Ulama (NU), Muhammadiyah, the Islamic Association (Persis), Shia, and the Indonesian Islamic Da'wah Institute (LDII)—is still rarely systematically examined as a typological foundation that affects the learning curriculum. In fact, this affiliation is not only symbolic, but also forms the epistemological orientation, teaching methods, curriculum content, and educational goals embraced by each </w:t>
      </w:r>
      <w:proofErr w:type="spellStart"/>
      <w:r w:rsidRPr="0087384A">
        <w:rPr>
          <w:rFonts w:ascii="Garamond" w:hAnsi="Garamond"/>
        </w:rPr>
        <w:t>pesantren</w:t>
      </w:r>
      <w:proofErr w:type="spellEnd"/>
      <w:r w:rsidRPr="0087384A">
        <w:rPr>
          <w:rFonts w:ascii="Garamond" w:hAnsi="Garamond"/>
        </w:rPr>
        <w:t>.</w:t>
      </w:r>
    </w:p>
    <w:p w14:paraId="3A2F04A2" w14:textId="77777777" w:rsidR="00AF4385" w:rsidRPr="0087384A" w:rsidRDefault="00AF4385" w:rsidP="00AF4385">
      <w:pPr>
        <w:pStyle w:val="Para1"/>
        <w:spacing w:before="240" w:after="40" w:line="240" w:lineRule="auto"/>
        <w:ind w:left="0"/>
        <w:rPr>
          <w:rFonts w:ascii="Garamond" w:hAnsi="Garamond"/>
        </w:rPr>
      </w:pPr>
      <w:r w:rsidRPr="0087384A">
        <w:rPr>
          <w:rFonts w:ascii="Garamond" w:hAnsi="Garamond"/>
        </w:rPr>
        <w:t xml:space="preserve">In this context, there is a conceptual gap that is important to be bridged, namely the lack of comparative studies on the </w:t>
      </w:r>
      <w:proofErr w:type="spellStart"/>
      <w:r>
        <w:rPr>
          <w:rFonts w:ascii="Garamond" w:hAnsi="Garamond"/>
        </w:rPr>
        <w:t>pesantren</w:t>
      </w:r>
      <w:proofErr w:type="spellEnd"/>
      <w:r w:rsidRPr="0087384A">
        <w:rPr>
          <w:rFonts w:ascii="Garamond" w:hAnsi="Garamond"/>
        </w:rPr>
        <w:t xml:space="preserve"> learning curriculum based on organizational affiliation. Existing research generally only highlights traditional content (</w:t>
      </w:r>
      <w:r>
        <w:rPr>
          <w:rFonts w:ascii="Garamond" w:hAnsi="Garamond"/>
          <w:i/>
          <w:iCs/>
        </w:rPr>
        <w:t xml:space="preserve">kitab </w:t>
      </w:r>
      <w:proofErr w:type="spellStart"/>
      <w:r>
        <w:rPr>
          <w:rFonts w:ascii="Garamond" w:hAnsi="Garamond"/>
          <w:i/>
          <w:iCs/>
        </w:rPr>
        <w:t>kuning</w:t>
      </w:r>
      <w:proofErr w:type="spellEnd"/>
      <w:r w:rsidRPr="0087384A">
        <w:rPr>
          <w:rFonts w:ascii="Garamond" w:hAnsi="Garamond"/>
        </w:rPr>
        <w:t xml:space="preserve">), the integration of science and religion, or institutional transformation, without looking at how ideological and institutional affiliations contribute to the structure and content of the curriculum systematically </w:t>
      </w:r>
      <w:r w:rsidRPr="0087384A">
        <w:rPr>
          <w:rFonts w:ascii="Garamond" w:hAnsi="Garamond"/>
        </w:rPr>
        <w:fldChar w:fldCharType="begin" w:fldLock="1"/>
      </w:r>
      <w:r w:rsidRPr="0087384A">
        <w:rPr>
          <w:rFonts w:ascii="Garamond" w:hAnsi="Garamond"/>
        </w:rPr>
        <w:instrText>ADDIN CSL_CITATION {"citationItems":[{"id":"ITEM-1","itemData":{"DOI":"10.37680/qalamuna.v14i1.4398","ISSN":"1907-6355","abstract":"This research addresses the pressing need for an integrated madrasah-Islamic boarding school curriculum as a strategic response to the contemporary challenges demanding graduates with both extensive knowledge and profound religious understanding. With the imperative for cognitive and spiritual intelligence in the disruptive era, the study focuses on MAN 2 Malang City, utilizing a qualitative case study approach involving observations, interviews, and document analysis. The research reveals essential aspects of the integrated curriculum, encompassing unified objectives and organized content planning. The implementation phase includes the integration of academic calendars and a structured supervision framework. The study also emphasizes the significance of an evaluative process covering contextual, input, process, and outcome dimensions. Ultimately, this research underscores the critical role of an integrated curriculum in nurturing well-rounded individuals equipped to navigate the complexities of the modern world, offering valuable insights for educational practitioners and policymakers.","author":[{"dropping-particle":"","family":"Ashari","given":"Riza","non-dropping-particle":"","parse-names":false,"suffix":""},{"dropping-particle":"","family":"Sukrisna","given":"Chandra","non-dropping-particle":"","parse-names":false,"suffix":""},{"dropping-particle":"","family":"Budiman","given":"Agus","non-dropping-particle":"","parse-names":false,"suffix":""},{"dropping-particle":"","family":"Zarkasyi","given":"Azmi","non-dropping-particle":"","parse-names":false,"suffix":""},{"dropping-particle":"","family":"Wajdi","given":"Muh Barid Nizarudin","non-dropping-particle":"","parse-names":false,"suffix":""}],"container-title":"QALAMUNA: Jurnal Pendidikan, Sosial, dan Agama","id":"ITEM-1","issue":"1","issued":{"date-parts":[["2022"]]},"page":"483-496","title":"The Integrative Curriculum Management with a Boarding System in High Schools","type":"article-journal","volume":"14"},"uris":["http://www.mendeley.com/documents/?uuid=8249c7d4-2e6a-46dd-b6e6-893776cc3509"]},{"id":"ITEM-2","itemData":{"DOI":"10.21315/eimj2025.17.1.10","ISSN":"21801932","abstract":"Upon entering medical school, many first-year medical students face obstacles in the adaptation process, which may lead to psychological problems. To overcome this situation, they apply coping mechanisms, which are a defining factor of university adjustment. Universities should obtain information on students’ adaptation and coping mechanisms so that they can better manage their students’ adjustment-related problems. This study investigates medical students’ adaptation processes and coping mechanisms using the Student Adaptation to College Questionnaire (SACQ) and Brief-Coping Orientation to Problems Experienced Inventory (Brief-COPE). The students were also asked to write their self-reflections on their adaptation and how they resolved their problems. This mixed-method, cross-sectional study involved 36 first-year international class students from the Faculty of Medicine, Universitas Indonesia (Batch 2022–2023). Using the validated SACQ and Brief-COPE questionnaires, the results indicated less significant impacts of age and gender on adaptation and how students coped with stress. Seven components from SACQ and Brief-COPE yielded statistically significant results, with p-values &lt; 0.05. This study revealed four major themes: adaptation in medical school, adaptation process, factors influencing adaptation and coping strategies. Furthermore, 17 subthemes and 56 sub-subthemes related to adaptation and coping strategies were identified. Regarding academic adjustment, the aspects of curriculum, learning methods, task loads, subjects, assessment and learning activities are challenging for medical students. The findings underscore the need for personal and academic adjustment support for first-year medical students. By addressing these challenges, their overall well-being and learning experiences can be improved, ultimately enhancing their success during this crucial phase of education. © Malaysian Association of Education in Medicine and Health Sciences and Penerbit Universiti Sains Malaysia. 2025.","author":[{"dropping-particle":"","family":"Wahid","given":"Mardiastuti","non-dropping-particle":"","parse-names":false,"suffix":""},{"dropping-particle":"","family":"Triastari","given":"Stella Kristi","non-dropping-particle":"","parse-names":false,"suffix":""},{"dropping-particle":"","family":"Amirah","given":"Shakira","non-dropping-particle":"","parse-names":false,"suffix":""},{"dropping-particle":"","family":"Zhuhra","given":"Rahma Tsania","non-dropping-particle":"","parse-names":false,"suffix":""}],"container-title":"Education in Medicine Journal","id":"ITEM-2","issue":"1","issued":{"date-parts":[["2025"]]},"note":"Cited by: 0; All Open Access, Gold Open Access","page":"129 – 148","publisher":"Penerbit Universiti Sains Malaysia","title":"Exploring the Adaptation Processes of First-Year Medical Students: A Mixed-Method Study","type":"article-journal","volume":"17"},"uris":["http://www.mendeley.com/documents/?uuid=8de02444-c6ba-48fd-97ab-7b078122a8f2"]}],"mendeley":{"formattedCitation":"(Ashari, Sukrisna, Budiman, Zarkasyi, &amp; Wajdi, 2022; Wahid, Triastari, Amirah, &amp; Zhuhra, 2025)","plainTextFormattedCitation":"(Ashari, Sukrisna, Budiman, Zarkasyi, &amp; Wajdi, 2022; Wahid, Triastari, Amirah, &amp; Zhuhra, 2025)","previouslyFormattedCitation":"(Ashari, Sukrisna, Budiman, Zarkasyi, &amp; Wajdi, 2022; Wahid, Triastari, Amirah, &amp; Zhuhra, 2025)"},"properties":{"noteIndex":0},"schema":"https://github.com/citation-style-language/schema/raw/master/csl-citation.json"}</w:instrText>
      </w:r>
      <w:r w:rsidRPr="0087384A">
        <w:rPr>
          <w:rFonts w:ascii="Garamond" w:hAnsi="Garamond"/>
        </w:rPr>
        <w:fldChar w:fldCharType="separate"/>
      </w:r>
      <w:r w:rsidRPr="0087384A">
        <w:rPr>
          <w:rFonts w:ascii="Garamond" w:hAnsi="Garamond"/>
          <w:noProof/>
        </w:rPr>
        <w:t xml:space="preserve">(Ashari, Sukrisna, Budiman, Zarkasyi, &amp; Wajdi, 2022; Wahid, </w:t>
      </w:r>
      <w:r w:rsidRPr="0087384A">
        <w:rPr>
          <w:rFonts w:ascii="Garamond" w:hAnsi="Garamond"/>
          <w:noProof/>
        </w:rPr>
        <w:lastRenderedPageBreak/>
        <w:t>Triastari, Amirah, &amp; Zhuhra, 2025)</w:t>
      </w:r>
      <w:r w:rsidRPr="0087384A">
        <w:rPr>
          <w:rFonts w:ascii="Garamond" w:hAnsi="Garamond"/>
        </w:rPr>
        <w:fldChar w:fldCharType="end"/>
      </w:r>
      <w:r w:rsidRPr="0087384A">
        <w:rPr>
          <w:rFonts w:ascii="Garamond" w:hAnsi="Garamond"/>
        </w:rPr>
        <w:t xml:space="preserve">. As a result, the understanding of the internal dynamics of </w:t>
      </w:r>
      <w:proofErr w:type="spellStart"/>
      <w:r w:rsidRPr="0087384A">
        <w:rPr>
          <w:rFonts w:ascii="Garamond" w:hAnsi="Garamond"/>
        </w:rPr>
        <w:t>pesantren</w:t>
      </w:r>
      <w:proofErr w:type="spellEnd"/>
      <w:r w:rsidRPr="0087384A">
        <w:rPr>
          <w:rFonts w:ascii="Garamond" w:hAnsi="Garamond"/>
        </w:rPr>
        <w:t xml:space="preserve"> is often generalist, even simplistic.</w:t>
      </w:r>
    </w:p>
    <w:p w14:paraId="38D1A015" w14:textId="77777777" w:rsidR="00AF4385" w:rsidRPr="0087384A" w:rsidRDefault="00AF4385" w:rsidP="00AF4385">
      <w:pPr>
        <w:spacing w:before="240" w:after="40" w:line="240" w:lineRule="auto"/>
        <w:ind w:firstLine="567"/>
        <w:jc w:val="both"/>
        <w:rPr>
          <w:rFonts w:ascii="Garamond" w:hAnsi="Garamond"/>
          <w:sz w:val="24"/>
          <w:szCs w:val="24"/>
        </w:rPr>
      </w:pPr>
      <w:r w:rsidRPr="0087384A">
        <w:rPr>
          <w:rFonts w:ascii="Garamond" w:hAnsi="Garamond"/>
          <w:sz w:val="24"/>
          <w:szCs w:val="24"/>
        </w:rPr>
        <w:t xml:space="preserve">To answer this gap, an approach is needed that examines the learning curriculum as a mirror of the affiliation of religious organizations that oversee </w:t>
      </w:r>
      <w:proofErr w:type="spellStart"/>
      <w:r w:rsidRPr="0087384A">
        <w:rPr>
          <w:rFonts w:ascii="Garamond" w:hAnsi="Garamond"/>
        </w:rPr>
        <w:t>pesantren</w:t>
      </w:r>
      <w:proofErr w:type="spellEnd"/>
      <w:r w:rsidRPr="0087384A">
        <w:rPr>
          <w:rFonts w:ascii="Garamond" w:hAnsi="Garamond"/>
          <w:sz w:val="24"/>
          <w:szCs w:val="24"/>
        </w:rPr>
        <w:t>. Several approaches that may be taken, such as a descriptive study of the curriculum of each Islamic boarding school, qualitative-comparative studies across organizational affiliations, and an ethnographic approach in looking at value- and ideological-based learning practices.</w:t>
      </w:r>
    </w:p>
    <w:p w14:paraId="5CF70850" w14:textId="77777777" w:rsidR="00AF4385" w:rsidRPr="0087384A" w:rsidRDefault="00AF4385" w:rsidP="00AF4385">
      <w:pPr>
        <w:spacing w:before="240" w:after="40" w:line="240" w:lineRule="auto"/>
        <w:ind w:firstLine="567"/>
        <w:jc w:val="both"/>
        <w:rPr>
          <w:rFonts w:ascii="Garamond" w:hAnsi="Garamond"/>
          <w:sz w:val="24"/>
          <w:szCs w:val="24"/>
        </w:rPr>
      </w:pPr>
      <w:r w:rsidRPr="0087384A">
        <w:rPr>
          <w:rFonts w:ascii="Garamond" w:hAnsi="Garamond"/>
          <w:sz w:val="24"/>
          <w:szCs w:val="24"/>
        </w:rPr>
        <w:t xml:space="preserve">Of these alternatives, the cross-affiliation comparative-qualitative approach is considered the most effective because it allows for a more in-depth and contextual reading of the curriculum used in </w:t>
      </w:r>
      <w:proofErr w:type="spellStart"/>
      <w:r w:rsidRPr="0087384A">
        <w:rPr>
          <w:rFonts w:ascii="Garamond" w:hAnsi="Garamond"/>
        </w:rPr>
        <w:t>pesantren</w:t>
      </w:r>
      <w:proofErr w:type="spellEnd"/>
      <w:r w:rsidRPr="0087384A">
        <w:rPr>
          <w:rFonts w:ascii="Garamond" w:hAnsi="Garamond"/>
          <w:sz w:val="24"/>
          <w:szCs w:val="24"/>
        </w:rPr>
        <w:t xml:space="preserve"> from different affiliation backgrounds. The curriculum in this case is not understood simply as a formal document or syllabus, but as a manifestation of educational ideology and organizational values </w:t>
      </w:r>
      <w:r w:rsidRPr="0087384A">
        <w:rPr>
          <w:rFonts w:ascii="Garamond" w:hAnsi="Garamond"/>
          <w:sz w:val="24"/>
          <w:szCs w:val="24"/>
        </w:rPr>
        <w:fldChar w:fldCharType="begin" w:fldLock="1"/>
      </w:r>
      <w:r w:rsidRPr="0087384A">
        <w:rPr>
          <w:rFonts w:ascii="Garamond" w:hAnsi="Garamond"/>
          <w:sz w:val="24"/>
          <w:szCs w:val="24"/>
        </w:rPr>
        <w:instrText>ADDIN CSL_CITATION {"citationItems":[{"id":"ITEM-1","itemData":{"ISBN":"9781412988902","abstract":"The Second Edition of Curriculum Theory: Conflicting Visions and Enduring Concerns by Michael Stephen Schiro presents a clear, unbiased, and rigorous description of the major curriculum philosophies that have influenced educators and schooling over the last century. The author analyzes four educational visions—Scholar Academic, Social Efficiency, Learner Centered, and Social Reconstruction—to enable readers to reflect on their own educational beliefs and more productively interact with educators who might hold different beliefs.","author":[{"dropping-particle":"","family":"Schiro","given":"Michael Stephen","non-dropping-particle":"","parse-names":false,"suffix":""}],"id":"ITEM-1","issued":{"date-parts":[["2013"]]},"page":"320","title":"Curriculum Theory: Conflicting Visions and Enduring Concerns, 2nd Edition","type":"article-journal"},"uris":["http://www.mendeley.com/documents/?uuid=157f52f1-b81c-48fa-8cd5-89fa0894665b"]}],"mendeley":{"formattedCitation":"(Schiro, 2013)","plainTextFormattedCitation":"(Schiro, 2013)","previouslyFormattedCitation":"(Schiro, 2013)"},"properties":{"noteIndex":0},"schema":"https://github.com/citation-style-language/schema/raw/master/csl-citation.json"}</w:instrText>
      </w:r>
      <w:r w:rsidRPr="0087384A">
        <w:rPr>
          <w:rFonts w:ascii="Garamond" w:hAnsi="Garamond"/>
          <w:sz w:val="24"/>
          <w:szCs w:val="24"/>
        </w:rPr>
        <w:fldChar w:fldCharType="separate"/>
      </w:r>
      <w:r w:rsidRPr="0087384A">
        <w:rPr>
          <w:rFonts w:ascii="Garamond" w:hAnsi="Garamond"/>
          <w:noProof/>
          <w:sz w:val="24"/>
          <w:szCs w:val="24"/>
        </w:rPr>
        <w:t>(Schiro, 2013)</w:t>
      </w:r>
      <w:r w:rsidRPr="0087384A">
        <w:rPr>
          <w:rFonts w:ascii="Garamond" w:hAnsi="Garamond"/>
          <w:sz w:val="24"/>
          <w:szCs w:val="24"/>
        </w:rPr>
        <w:fldChar w:fldCharType="end"/>
      </w:r>
      <w:r w:rsidRPr="0087384A">
        <w:rPr>
          <w:rFonts w:ascii="Garamond" w:hAnsi="Garamond"/>
          <w:sz w:val="24"/>
          <w:szCs w:val="24"/>
        </w:rPr>
        <w:t>.</w:t>
      </w:r>
    </w:p>
    <w:p w14:paraId="0C06D83B" w14:textId="77777777" w:rsidR="00AF4385" w:rsidRPr="0087384A" w:rsidRDefault="00AF4385" w:rsidP="00AF4385">
      <w:pPr>
        <w:tabs>
          <w:tab w:val="num" w:pos="720"/>
        </w:tabs>
        <w:spacing w:before="240" w:after="40" w:line="240" w:lineRule="auto"/>
        <w:ind w:firstLine="567"/>
        <w:jc w:val="both"/>
        <w:rPr>
          <w:rFonts w:ascii="Garamond" w:hAnsi="Garamond"/>
          <w:sz w:val="24"/>
          <w:szCs w:val="24"/>
        </w:rPr>
      </w:pPr>
      <w:r w:rsidRPr="0087384A">
        <w:rPr>
          <w:rFonts w:ascii="Garamond" w:hAnsi="Garamond"/>
          <w:sz w:val="24"/>
          <w:szCs w:val="24"/>
        </w:rPr>
        <w:t xml:space="preserve">This research offers theoretical and methodological novelty in the development of </w:t>
      </w:r>
      <w:proofErr w:type="spellStart"/>
      <w:r w:rsidRPr="0087384A">
        <w:rPr>
          <w:rFonts w:ascii="Garamond" w:hAnsi="Garamond"/>
          <w:sz w:val="24"/>
          <w:szCs w:val="24"/>
        </w:rPr>
        <w:t>pesantren</w:t>
      </w:r>
      <w:proofErr w:type="spellEnd"/>
      <w:r w:rsidRPr="0087384A">
        <w:rPr>
          <w:rFonts w:ascii="Garamond" w:hAnsi="Garamond"/>
          <w:sz w:val="24"/>
          <w:szCs w:val="24"/>
        </w:rPr>
        <w:t xml:space="preserve"> typologies, by focusing on the learning curriculum as the main basis of classification, presenting cross-affiliation studies, including groups that are relatively rarely discussed in the academic literature, and also juxtaposing the dimensions of ideology, institutional structure, and pedagogical practice in one integrated analysis. With this approach, it is hoped that a typology of </w:t>
      </w:r>
      <w:proofErr w:type="spellStart"/>
      <w:r w:rsidRPr="0087384A">
        <w:rPr>
          <w:rFonts w:ascii="Garamond" w:hAnsi="Garamond"/>
          <w:sz w:val="24"/>
          <w:szCs w:val="24"/>
        </w:rPr>
        <w:t>pesantren</w:t>
      </w:r>
      <w:proofErr w:type="spellEnd"/>
      <w:r w:rsidRPr="0087384A">
        <w:rPr>
          <w:rFonts w:ascii="Garamond" w:hAnsi="Garamond"/>
          <w:sz w:val="24"/>
          <w:szCs w:val="24"/>
        </w:rPr>
        <w:t xml:space="preserve"> can be built that is more relevant to the contemporary context of Islamic education in Indonesia.</w:t>
      </w:r>
    </w:p>
    <w:p w14:paraId="7DA209E0" w14:textId="77777777" w:rsidR="00AF4385" w:rsidRPr="0087384A" w:rsidRDefault="00AF4385" w:rsidP="00AF4385">
      <w:pPr>
        <w:spacing w:before="240" w:after="40" w:line="240" w:lineRule="auto"/>
        <w:ind w:firstLine="567"/>
        <w:jc w:val="both"/>
        <w:rPr>
          <w:rFonts w:ascii="Garamond" w:hAnsi="Garamond"/>
          <w:sz w:val="24"/>
          <w:szCs w:val="24"/>
        </w:rPr>
      </w:pPr>
      <w:r w:rsidRPr="0087384A">
        <w:rPr>
          <w:rFonts w:ascii="Garamond" w:hAnsi="Garamond"/>
          <w:sz w:val="24"/>
          <w:szCs w:val="24"/>
        </w:rPr>
        <w:t xml:space="preserve">Some previous studies have indeed reviewed the curriculum of Islamic boarding schools, such as the </w:t>
      </w:r>
      <w:proofErr w:type="spellStart"/>
      <w:r w:rsidRPr="0087384A">
        <w:rPr>
          <w:rFonts w:ascii="Garamond" w:hAnsi="Garamond"/>
          <w:sz w:val="24"/>
          <w:szCs w:val="24"/>
        </w:rPr>
        <w:t>Steenbrink</w:t>
      </w:r>
      <w:proofErr w:type="spellEnd"/>
      <w:r w:rsidRPr="0087384A">
        <w:rPr>
          <w:rFonts w:ascii="Garamond" w:hAnsi="Garamond"/>
          <w:sz w:val="24"/>
          <w:szCs w:val="24"/>
        </w:rPr>
        <w:t xml:space="preserve"> study </w:t>
      </w:r>
      <w:r w:rsidRPr="0087384A">
        <w:rPr>
          <w:rFonts w:ascii="Garamond" w:hAnsi="Garamond"/>
          <w:sz w:val="24"/>
          <w:szCs w:val="24"/>
        </w:rPr>
        <w:fldChar w:fldCharType="begin" w:fldLock="1"/>
      </w:r>
      <w:r w:rsidRPr="0087384A">
        <w:rPr>
          <w:rFonts w:ascii="Garamond" w:hAnsi="Garamond"/>
          <w:sz w:val="24"/>
          <w:szCs w:val="24"/>
        </w:rPr>
        <w:instrText>ADDIN CSL_CITATION {"citationItems":[{"id":"ITEM-1","itemData":{"author":[{"dropping-particle":"","family":"Karel Steenbrink","given":"","non-dropping-particle":"","parse-names":false,"suffix":""}],"id":"ITEM-1","issued":{"date-parts":[["1986"]]},"publisher":"LP3ES","publisher-place":"Jakarta","title":"Pesantren Madrasah Sekolah: Pendidikan Islam dalam Kurun Modern (terj.)","type":"book"},"uris":["http://www.mendeley.com/documents/?uuid=afb70a4a-16eb-43b0-ba9f-3e3126b40e5a"]}],"mendeley":{"formattedCitation":"(Karel Steenbrink, 1986)","manualFormatting":"(1986)","plainTextFormattedCitation":"(Karel Steenbrink, 1986)","previouslyFormattedCitation":"(Karel Steenbrink, 1986)"},"properties":{"noteIndex":0},"schema":"https://github.com/citation-style-language/schema/raw/master/csl-citation.json"}</w:instrText>
      </w:r>
      <w:r w:rsidRPr="0087384A">
        <w:rPr>
          <w:rFonts w:ascii="Garamond" w:hAnsi="Garamond"/>
          <w:sz w:val="24"/>
          <w:szCs w:val="24"/>
        </w:rPr>
        <w:fldChar w:fldCharType="separate"/>
      </w:r>
      <w:r w:rsidRPr="0087384A">
        <w:rPr>
          <w:rFonts w:ascii="Garamond" w:hAnsi="Garamond"/>
          <w:noProof/>
          <w:sz w:val="24"/>
          <w:szCs w:val="24"/>
        </w:rPr>
        <w:t>(1986)</w:t>
      </w:r>
      <w:r w:rsidRPr="0087384A">
        <w:rPr>
          <w:rFonts w:ascii="Garamond" w:hAnsi="Garamond"/>
          <w:sz w:val="24"/>
          <w:szCs w:val="24"/>
        </w:rPr>
        <w:fldChar w:fldCharType="end"/>
      </w:r>
      <w:r w:rsidRPr="0087384A">
        <w:rPr>
          <w:rFonts w:ascii="Garamond" w:hAnsi="Garamond"/>
          <w:sz w:val="24"/>
          <w:szCs w:val="24"/>
        </w:rPr>
        <w:t xml:space="preserve"> about modern Islamic education, or </w:t>
      </w:r>
      <w:proofErr w:type="spellStart"/>
      <w:r w:rsidRPr="0087384A">
        <w:rPr>
          <w:rFonts w:ascii="Garamond" w:hAnsi="Garamond"/>
          <w:sz w:val="24"/>
          <w:szCs w:val="24"/>
        </w:rPr>
        <w:t>Zamakhsari</w:t>
      </w:r>
      <w:proofErr w:type="spellEnd"/>
      <w:r w:rsidRPr="0087384A">
        <w:rPr>
          <w:rFonts w:ascii="Garamond" w:hAnsi="Garamond"/>
          <w:sz w:val="24"/>
          <w:szCs w:val="24"/>
        </w:rPr>
        <w:t xml:space="preserve"> </w:t>
      </w:r>
      <w:proofErr w:type="spellStart"/>
      <w:r w:rsidRPr="0087384A">
        <w:rPr>
          <w:rFonts w:ascii="Garamond" w:hAnsi="Garamond"/>
          <w:sz w:val="24"/>
          <w:szCs w:val="24"/>
        </w:rPr>
        <w:t>Dhofier</w:t>
      </w:r>
      <w:proofErr w:type="spellEnd"/>
      <w:r w:rsidRPr="0087384A">
        <w:rPr>
          <w:rFonts w:ascii="Garamond" w:hAnsi="Garamond"/>
          <w:sz w:val="24"/>
          <w:szCs w:val="24"/>
        </w:rPr>
        <w:t xml:space="preserve"> </w:t>
      </w:r>
      <w:r w:rsidRPr="0087384A">
        <w:rPr>
          <w:rFonts w:ascii="Garamond" w:hAnsi="Garamond"/>
          <w:sz w:val="24"/>
          <w:szCs w:val="24"/>
        </w:rPr>
        <w:fldChar w:fldCharType="begin" w:fldLock="1"/>
      </w:r>
      <w:r w:rsidRPr="0087384A">
        <w:rPr>
          <w:rFonts w:ascii="Garamond" w:hAnsi="Garamond"/>
          <w:sz w:val="24"/>
          <w:szCs w:val="24"/>
        </w:rPr>
        <w:instrText>ADDIN CSL_CITATION {"citationItems":[{"id":"ITEM-1","itemData":{"author":[{"dropping-particle":"","family":"Dhofier","given":"Zamakhsyari","non-dropping-particle":"","parse-names":false,"suffix":""}],"id":"ITEM-1","issued":{"date-parts":[["1982"]]},"publisher":"LP3ES","publisher-place":"Jakarta","title":"Tradisi Pesantren: Studi Pandangan Hidup Kiyai dan Visinya Mengenai Masa Depan Indonesia","type":"book"},"uris":["http://www.mendeley.com/documents/?uuid=e0844cfb-7ac6-4cdb-9f96-52a626348bda"]}],"mendeley":{"formattedCitation":"(Dhofier, 1982)","manualFormatting":"(1982)","plainTextFormattedCitation":"(Dhofier, 1982)","previouslyFormattedCitation":"(Dhofier, 1982)"},"properties":{"noteIndex":0},"schema":"https://github.com/citation-style-language/schema/raw/master/csl-citation.json"}</w:instrText>
      </w:r>
      <w:r w:rsidRPr="0087384A">
        <w:rPr>
          <w:rFonts w:ascii="Garamond" w:hAnsi="Garamond"/>
          <w:sz w:val="24"/>
          <w:szCs w:val="24"/>
        </w:rPr>
        <w:fldChar w:fldCharType="separate"/>
      </w:r>
      <w:r w:rsidRPr="0087384A">
        <w:rPr>
          <w:rFonts w:ascii="Garamond" w:hAnsi="Garamond"/>
          <w:noProof/>
          <w:sz w:val="24"/>
          <w:szCs w:val="24"/>
        </w:rPr>
        <w:t>(1982)</w:t>
      </w:r>
      <w:r w:rsidRPr="0087384A">
        <w:rPr>
          <w:rFonts w:ascii="Garamond" w:hAnsi="Garamond"/>
          <w:sz w:val="24"/>
          <w:szCs w:val="24"/>
        </w:rPr>
        <w:fldChar w:fldCharType="end"/>
      </w:r>
      <w:r w:rsidRPr="0087384A">
        <w:rPr>
          <w:rFonts w:ascii="Garamond" w:hAnsi="Garamond"/>
          <w:sz w:val="24"/>
          <w:szCs w:val="24"/>
        </w:rPr>
        <w:t xml:space="preserve"> about the tradition of the NU</w:t>
      </w:r>
      <w:r>
        <w:rPr>
          <w:rFonts w:ascii="Garamond" w:hAnsi="Garamond"/>
          <w:sz w:val="24"/>
          <w:szCs w:val="24"/>
        </w:rPr>
        <w:t xml:space="preserve"> </w:t>
      </w:r>
      <w:proofErr w:type="spellStart"/>
      <w:r>
        <w:rPr>
          <w:rFonts w:ascii="Garamond" w:hAnsi="Garamond"/>
          <w:sz w:val="24"/>
          <w:szCs w:val="24"/>
        </w:rPr>
        <w:t>pesantren</w:t>
      </w:r>
      <w:proofErr w:type="spellEnd"/>
      <w:r w:rsidRPr="0087384A">
        <w:rPr>
          <w:rFonts w:ascii="Garamond" w:hAnsi="Garamond"/>
          <w:sz w:val="24"/>
          <w:szCs w:val="24"/>
        </w:rPr>
        <w:t xml:space="preserve">. Azra </w:t>
      </w:r>
      <w:r w:rsidRPr="0087384A">
        <w:rPr>
          <w:rFonts w:ascii="Garamond" w:hAnsi="Garamond"/>
          <w:sz w:val="24"/>
          <w:szCs w:val="24"/>
        </w:rPr>
        <w:fldChar w:fldCharType="begin" w:fldLock="1"/>
      </w:r>
      <w:r w:rsidRPr="0087384A">
        <w:rPr>
          <w:rFonts w:ascii="Garamond" w:hAnsi="Garamond"/>
          <w:sz w:val="24"/>
          <w:szCs w:val="24"/>
        </w:rPr>
        <w:instrText>ADDIN CSL_CITATION {"citationItems":[{"id":"ITEM-1","itemData":{"author":[{"dropping-particle":"","family":"Azra","given":"Azyumardi","non-dropping-particle":"","parse-names":false,"suffix":""}],"id":"ITEM-1","issued":{"date-parts":[["2002"]]},"publisher":"Logos","publisher-place":"Jakarta","title":"Pendidikan Islam, Tradsi dan Modernisasi Menuju Milenium Baru","type":"book"},"uris":["http://www.mendeley.com/documents/?uuid=9637d1d6-b8d3-4319-b61b-e0af173909a7"]}],"mendeley":{"formattedCitation":"(Azra, 2002)","manualFormatting":"(2002)","plainTextFormattedCitation":"(Azra, 2002)","previouslyFormattedCitation":"(Azra, 2002)"},"properties":{"noteIndex":0},"schema":"https://github.com/citation-style-language/schema/raw/master/csl-citation.json"}</w:instrText>
      </w:r>
      <w:r w:rsidRPr="0087384A">
        <w:rPr>
          <w:rFonts w:ascii="Garamond" w:hAnsi="Garamond"/>
          <w:sz w:val="24"/>
          <w:szCs w:val="24"/>
        </w:rPr>
        <w:fldChar w:fldCharType="separate"/>
      </w:r>
      <w:r w:rsidRPr="0087384A">
        <w:rPr>
          <w:rFonts w:ascii="Garamond" w:hAnsi="Garamond"/>
          <w:noProof/>
          <w:sz w:val="24"/>
          <w:szCs w:val="24"/>
        </w:rPr>
        <w:t>(2002)</w:t>
      </w:r>
      <w:r w:rsidRPr="0087384A">
        <w:rPr>
          <w:rFonts w:ascii="Garamond" w:hAnsi="Garamond"/>
          <w:sz w:val="24"/>
          <w:szCs w:val="24"/>
        </w:rPr>
        <w:fldChar w:fldCharType="end"/>
      </w:r>
      <w:r w:rsidRPr="0087384A">
        <w:rPr>
          <w:rFonts w:ascii="Garamond" w:hAnsi="Garamond"/>
          <w:sz w:val="24"/>
          <w:szCs w:val="24"/>
        </w:rPr>
        <w:t xml:space="preserve"> also reviewed Islamic education reform in Indonesia. However, these studies have not explicitly dissected the relationship between institutional affiliation and the learning curriculum comparatively. </w:t>
      </w:r>
    </w:p>
    <w:p w14:paraId="4C61CA4A" w14:textId="77777777" w:rsidR="00AF4385" w:rsidRPr="0087384A" w:rsidRDefault="00AF4385" w:rsidP="00AF4385">
      <w:pPr>
        <w:spacing w:before="240" w:after="40" w:line="240" w:lineRule="auto"/>
        <w:ind w:firstLine="567"/>
        <w:jc w:val="both"/>
        <w:rPr>
          <w:rFonts w:ascii="Garamond" w:hAnsi="Garamond"/>
          <w:sz w:val="24"/>
          <w:szCs w:val="24"/>
        </w:rPr>
      </w:pPr>
      <w:r w:rsidRPr="0087384A">
        <w:rPr>
          <w:rFonts w:ascii="Garamond" w:hAnsi="Garamond"/>
          <w:sz w:val="24"/>
          <w:szCs w:val="24"/>
        </w:rPr>
        <w:t xml:space="preserve">This study is expected to contribute as a conceptual framework, namely offering a new approach in understanding the </w:t>
      </w:r>
      <w:proofErr w:type="spellStart"/>
      <w:r w:rsidRPr="0087384A">
        <w:rPr>
          <w:rFonts w:ascii="Garamond" w:hAnsi="Garamond"/>
          <w:sz w:val="24"/>
          <w:szCs w:val="24"/>
        </w:rPr>
        <w:t>pesantren</w:t>
      </w:r>
      <w:proofErr w:type="spellEnd"/>
      <w:r w:rsidRPr="0087384A">
        <w:rPr>
          <w:rFonts w:ascii="Garamond" w:hAnsi="Garamond"/>
          <w:sz w:val="24"/>
          <w:szCs w:val="24"/>
        </w:rPr>
        <w:t xml:space="preserve"> curriculum based on ideological and institutional affiliations. In addition, this study is also empirical because it provides relevant field data to map learning practices in various </w:t>
      </w:r>
      <w:proofErr w:type="spellStart"/>
      <w:r w:rsidRPr="0087384A">
        <w:rPr>
          <w:rFonts w:ascii="Garamond" w:hAnsi="Garamond"/>
          <w:sz w:val="24"/>
          <w:szCs w:val="24"/>
        </w:rPr>
        <w:t>pesantrens</w:t>
      </w:r>
      <w:proofErr w:type="spellEnd"/>
      <w:r w:rsidRPr="0087384A">
        <w:rPr>
          <w:rFonts w:ascii="Garamond" w:hAnsi="Garamond"/>
          <w:sz w:val="24"/>
          <w:szCs w:val="24"/>
        </w:rPr>
        <w:t xml:space="preserve">. Thus, this research not only expands academic understanding of </w:t>
      </w:r>
      <w:proofErr w:type="spellStart"/>
      <w:r w:rsidRPr="0087384A">
        <w:rPr>
          <w:rFonts w:ascii="Garamond" w:hAnsi="Garamond"/>
          <w:sz w:val="24"/>
          <w:szCs w:val="24"/>
        </w:rPr>
        <w:t>pesantrens</w:t>
      </w:r>
      <w:proofErr w:type="spellEnd"/>
      <w:r w:rsidRPr="0087384A">
        <w:rPr>
          <w:rFonts w:ascii="Garamond" w:hAnsi="Garamond"/>
          <w:sz w:val="24"/>
          <w:szCs w:val="24"/>
        </w:rPr>
        <w:t>, but also contributes to strengthening a plural, dynamic, and quality-oriented national Islamic education system.</w:t>
      </w:r>
    </w:p>
    <w:p w14:paraId="5E9A52B8" w14:textId="77777777" w:rsidR="00AF4385" w:rsidRDefault="00AF4385" w:rsidP="00AF4385">
      <w:pPr>
        <w:spacing w:before="240" w:after="40" w:line="240" w:lineRule="auto"/>
        <w:ind w:firstLine="567"/>
        <w:jc w:val="both"/>
        <w:rPr>
          <w:rFonts w:ascii="Garamond" w:hAnsi="Garamond"/>
          <w:sz w:val="24"/>
          <w:szCs w:val="24"/>
        </w:rPr>
      </w:pPr>
      <w:r w:rsidRPr="0087384A">
        <w:rPr>
          <w:rFonts w:ascii="Garamond" w:hAnsi="Garamond"/>
          <w:sz w:val="24"/>
          <w:szCs w:val="24"/>
        </w:rPr>
        <w:t xml:space="preserve">From the above presentation, this study will answer the question </w:t>
      </w:r>
      <w:r w:rsidRPr="00962615">
        <w:rPr>
          <w:rFonts w:ascii="Garamond" w:hAnsi="Garamond"/>
          <w:i/>
          <w:iCs/>
          <w:sz w:val="24"/>
          <w:szCs w:val="24"/>
        </w:rPr>
        <w:t>How can the</w:t>
      </w:r>
      <w:r w:rsidRPr="0087384A">
        <w:rPr>
          <w:rFonts w:ascii="Garamond" w:hAnsi="Garamond"/>
          <w:sz w:val="24"/>
          <w:szCs w:val="24"/>
        </w:rPr>
        <w:t xml:space="preserve"> </w:t>
      </w:r>
      <w:r w:rsidRPr="0087384A">
        <w:rPr>
          <w:rFonts w:ascii="Garamond" w:hAnsi="Garamond"/>
          <w:i/>
          <w:iCs/>
          <w:sz w:val="24"/>
          <w:szCs w:val="24"/>
        </w:rPr>
        <w:t xml:space="preserve">typology of </w:t>
      </w:r>
      <w:r w:rsidRPr="00962615">
        <w:rPr>
          <w:rFonts w:ascii="Garamond" w:hAnsi="Garamond"/>
          <w:i/>
          <w:iCs/>
          <w:sz w:val="24"/>
          <w:szCs w:val="24"/>
        </w:rPr>
        <w:t xml:space="preserve">the </w:t>
      </w:r>
      <w:proofErr w:type="spellStart"/>
      <w:r w:rsidRPr="00962615">
        <w:rPr>
          <w:rFonts w:ascii="Garamond" w:hAnsi="Garamond"/>
          <w:i/>
          <w:iCs/>
          <w:sz w:val="24"/>
          <w:szCs w:val="24"/>
        </w:rPr>
        <w:t>pesantren</w:t>
      </w:r>
      <w:proofErr w:type="spellEnd"/>
      <w:r w:rsidRPr="0087384A">
        <w:rPr>
          <w:rFonts w:ascii="Garamond" w:hAnsi="Garamond"/>
          <w:i/>
          <w:iCs/>
          <w:sz w:val="24"/>
          <w:szCs w:val="24"/>
        </w:rPr>
        <w:t xml:space="preserve"> learning curriculum be constructed based on the affiliation of religious organizations (NU, Muhammadiyah, Persis, Shia, and LDII) through the study of literature and documents?</w:t>
      </w:r>
      <w:r w:rsidRPr="0087384A">
        <w:rPr>
          <w:rFonts w:ascii="Garamond" w:hAnsi="Garamond"/>
          <w:sz w:val="24"/>
          <w:szCs w:val="24"/>
        </w:rPr>
        <w:t xml:space="preserve"> From these questions it will be developed into several discussions, namely: </w:t>
      </w:r>
      <w:r w:rsidRPr="0087384A">
        <w:rPr>
          <w:rFonts w:ascii="Garamond" w:hAnsi="Garamond"/>
          <w:i/>
          <w:iCs/>
          <w:sz w:val="24"/>
          <w:szCs w:val="24"/>
        </w:rPr>
        <w:t xml:space="preserve">First, </w:t>
      </w:r>
      <w:r w:rsidRPr="0087384A">
        <w:rPr>
          <w:rFonts w:ascii="Garamond" w:hAnsi="Garamond"/>
          <w:sz w:val="24"/>
          <w:szCs w:val="24"/>
        </w:rPr>
        <w:t xml:space="preserve"> What are the general and specific characteristics of the learning curriculum of each affiliated </w:t>
      </w:r>
      <w:proofErr w:type="spellStart"/>
      <w:r w:rsidRPr="0087384A">
        <w:rPr>
          <w:rFonts w:ascii="Garamond" w:hAnsi="Garamond"/>
          <w:sz w:val="24"/>
          <w:szCs w:val="24"/>
        </w:rPr>
        <w:t>pesantren</w:t>
      </w:r>
      <w:proofErr w:type="spellEnd"/>
      <w:r w:rsidRPr="0087384A">
        <w:rPr>
          <w:rFonts w:ascii="Garamond" w:hAnsi="Garamond"/>
          <w:sz w:val="24"/>
          <w:szCs w:val="24"/>
        </w:rPr>
        <w:t xml:space="preserve"> as reflected in official documents, scientific literature, and previous studies?, </w:t>
      </w:r>
      <w:r w:rsidRPr="0087384A">
        <w:rPr>
          <w:rFonts w:ascii="Garamond" w:hAnsi="Garamond"/>
          <w:i/>
          <w:iCs/>
          <w:sz w:val="24"/>
          <w:szCs w:val="24"/>
        </w:rPr>
        <w:t>Second,</w:t>
      </w:r>
      <w:r w:rsidRPr="0087384A">
        <w:rPr>
          <w:rFonts w:ascii="Garamond" w:hAnsi="Garamond"/>
          <w:sz w:val="24"/>
          <w:szCs w:val="24"/>
        </w:rPr>
        <w:t xml:space="preserve"> How do ideological and organizational affiliations affect the structure, content, and orientation of the learning curriculum in academic discourse and institutional documentation?, and </w:t>
      </w:r>
      <w:r w:rsidRPr="0087384A">
        <w:rPr>
          <w:rFonts w:ascii="Garamond" w:hAnsi="Garamond"/>
          <w:i/>
          <w:iCs/>
          <w:sz w:val="24"/>
          <w:szCs w:val="24"/>
        </w:rPr>
        <w:t xml:space="preserve">Third </w:t>
      </w:r>
      <w:r w:rsidRPr="0087384A">
        <w:rPr>
          <w:rFonts w:ascii="Garamond" w:hAnsi="Garamond"/>
          <w:sz w:val="24"/>
          <w:szCs w:val="24"/>
        </w:rPr>
        <w:t xml:space="preserve">What are the main similarities and differences between the five affiliates of </w:t>
      </w:r>
      <w:proofErr w:type="spellStart"/>
      <w:r w:rsidRPr="0087384A">
        <w:rPr>
          <w:rFonts w:ascii="Garamond" w:hAnsi="Garamond"/>
          <w:sz w:val="24"/>
          <w:szCs w:val="24"/>
        </w:rPr>
        <w:t>pesantren</w:t>
      </w:r>
      <w:proofErr w:type="spellEnd"/>
      <w:r w:rsidRPr="0087384A">
        <w:rPr>
          <w:rFonts w:ascii="Garamond" w:hAnsi="Garamond"/>
          <w:sz w:val="24"/>
          <w:szCs w:val="24"/>
        </w:rPr>
        <w:t xml:space="preserve"> in terms of curriculum and learning approaches according to library sources?</w:t>
      </w:r>
    </w:p>
    <w:p w14:paraId="314B7360" w14:textId="77777777" w:rsidR="005E297E" w:rsidRDefault="005E297E" w:rsidP="00AF4385">
      <w:pPr>
        <w:pBdr>
          <w:top w:val="nil"/>
          <w:left w:val="nil"/>
          <w:bottom w:val="nil"/>
          <w:right w:val="nil"/>
          <w:between w:val="nil"/>
        </w:pBdr>
        <w:spacing w:before="96" w:after="0" w:line="330" w:lineRule="auto"/>
        <w:jc w:val="both"/>
        <w:rPr>
          <w:rFonts w:ascii="Garamond" w:eastAsia="Garamond" w:hAnsi="Garamond" w:cs="Garamond"/>
          <w:sz w:val="30"/>
          <w:szCs w:val="30"/>
        </w:rPr>
      </w:pPr>
    </w:p>
    <w:p w14:paraId="36960969" w14:textId="2EF9CBEA" w:rsidR="005E297E" w:rsidRDefault="00000000">
      <w:pPr>
        <w:pBdr>
          <w:top w:val="nil"/>
          <w:left w:val="nil"/>
          <w:bottom w:val="nil"/>
          <w:right w:val="nil"/>
          <w:between w:val="nil"/>
        </w:pBdr>
        <w:spacing w:before="85" w:after="0" w:line="240" w:lineRule="auto"/>
        <w:rPr>
          <w:rFonts w:ascii="Arial" w:eastAsia="Arial" w:hAnsi="Arial" w:cs="Arial"/>
          <w:b/>
          <w:sz w:val="32"/>
          <w:szCs w:val="32"/>
        </w:rPr>
      </w:pPr>
      <w:r>
        <w:rPr>
          <w:rFonts w:ascii="Arial" w:eastAsia="Arial" w:hAnsi="Arial" w:cs="Arial"/>
          <w:b/>
          <w:sz w:val="32"/>
          <w:szCs w:val="32"/>
        </w:rPr>
        <w:lastRenderedPageBreak/>
        <w:t xml:space="preserve">Methodology </w:t>
      </w:r>
    </w:p>
    <w:p w14:paraId="57E0F791" w14:textId="77777777" w:rsidR="00AF4385" w:rsidRPr="0087384A" w:rsidRDefault="00AF4385" w:rsidP="00AF4385">
      <w:pPr>
        <w:spacing w:before="240" w:after="40" w:line="240" w:lineRule="auto"/>
        <w:ind w:firstLine="567"/>
        <w:jc w:val="both"/>
        <w:rPr>
          <w:rFonts w:ascii="Garamond" w:hAnsi="Garamond"/>
          <w:sz w:val="24"/>
          <w:szCs w:val="24"/>
        </w:rPr>
      </w:pPr>
      <w:r w:rsidRPr="0087384A">
        <w:rPr>
          <w:rFonts w:ascii="Garamond" w:hAnsi="Garamond"/>
          <w:sz w:val="24"/>
          <w:szCs w:val="24"/>
        </w:rPr>
        <w:t xml:space="preserve">This research uses a qualitative approach with the type of library research, which aims to explore, describe, and </w:t>
      </w:r>
      <w:proofErr w:type="spellStart"/>
      <w:r w:rsidRPr="0087384A">
        <w:rPr>
          <w:rFonts w:ascii="Garamond" w:hAnsi="Garamond"/>
          <w:sz w:val="24"/>
          <w:szCs w:val="24"/>
        </w:rPr>
        <w:t>analyze</w:t>
      </w:r>
      <w:proofErr w:type="spellEnd"/>
      <w:r w:rsidRPr="0087384A">
        <w:rPr>
          <w:rFonts w:ascii="Garamond" w:hAnsi="Garamond"/>
          <w:sz w:val="24"/>
          <w:szCs w:val="24"/>
        </w:rPr>
        <w:t xml:space="preserve"> the construction of the </w:t>
      </w:r>
      <w:proofErr w:type="spellStart"/>
      <w:r w:rsidRPr="0087384A">
        <w:rPr>
          <w:rFonts w:ascii="Garamond" w:hAnsi="Garamond"/>
          <w:sz w:val="24"/>
          <w:szCs w:val="24"/>
        </w:rPr>
        <w:t>pesantren</w:t>
      </w:r>
      <w:proofErr w:type="spellEnd"/>
      <w:r w:rsidRPr="0087384A">
        <w:rPr>
          <w:rFonts w:ascii="Garamond" w:hAnsi="Garamond"/>
          <w:sz w:val="24"/>
          <w:szCs w:val="24"/>
        </w:rPr>
        <w:t xml:space="preserve"> learning curriculum based on the affiliation of religious organizations, such as </w:t>
      </w:r>
      <w:proofErr w:type="spellStart"/>
      <w:r w:rsidRPr="0087384A">
        <w:rPr>
          <w:rFonts w:ascii="Garamond" w:hAnsi="Garamond"/>
          <w:sz w:val="24"/>
          <w:szCs w:val="24"/>
        </w:rPr>
        <w:t>Nahdlatul</w:t>
      </w:r>
      <w:proofErr w:type="spellEnd"/>
      <w:r w:rsidRPr="0087384A">
        <w:rPr>
          <w:rFonts w:ascii="Garamond" w:hAnsi="Garamond"/>
          <w:sz w:val="24"/>
          <w:szCs w:val="24"/>
        </w:rPr>
        <w:t xml:space="preserve"> Ulama (NU), Muhammadiyah, Persis, Shia, and the Indonesian Islamic Da'wah Institute (LDII). This approach was chosen because the main focus of the research does not lie in the collection of field data, but in the interpretation of written documents that represent the values, ideology, and educational direction of each </w:t>
      </w:r>
      <w:proofErr w:type="spellStart"/>
      <w:r w:rsidRPr="0087384A">
        <w:rPr>
          <w:rFonts w:ascii="Garamond" w:hAnsi="Garamond"/>
          <w:sz w:val="24"/>
          <w:szCs w:val="24"/>
        </w:rPr>
        <w:t>pesantren</w:t>
      </w:r>
      <w:proofErr w:type="spellEnd"/>
      <w:r w:rsidRPr="0087384A">
        <w:rPr>
          <w:rFonts w:ascii="Garamond" w:hAnsi="Garamond"/>
          <w:sz w:val="24"/>
          <w:szCs w:val="24"/>
        </w:rPr>
        <w:t xml:space="preserve">. Literature studies allow researchers to understand the meaning contained in the curriculum structure as a product of socio-religious dynamics, through a critical study of literature, educational policies, curriculum texts, and previous research results </w:t>
      </w:r>
      <w:r w:rsidRPr="0087384A">
        <w:rPr>
          <w:rFonts w:ascii="Garamond" w:hAnsi="Garamond"/>
          <w:sz w:val="24"/>
          <w:szCs w:val="24"/>
        </w:rPr>
        <w:fldChar w:fldCharType="begin" w:fldLock="1"/>
      </w:r>
      <w:r w:rsidRPr="0087384A">
        <w:rPr>
          <w:rFonts w:ascii="Garamond" w:hAnsi="Garamond"/>
          <w:sz w:val="24"/>
          <w:szCs w:val="24"/>
        </w:rPr>
        <w:instrText>ADDIN CSL_CITATION {"citationItems":[{"id":"ITEM-1","itemData":{"ISBN":"9781400830411","author":[{"dropping-particle":"","family":"George","given":"M W","non-dropping-particle":"","parse-names":false,"suffix":""}],"id":"ITEM-1","issued":{"date-parts":[["2008"]]},"publisher":"Princeton University Press","title":"The Elements of Library Research: What Every Student Needs to Know","type":"book"},"uris":["http://www.mendeley.com/documents/?uuid=7cdb553f-4f0d-4944-ab78-b08d5ca92090"]}],"mendeley":{"formattedCitation":"(George, 2008)","plainTextFormattedCitation":"(George, 2008)","previouslyFormattedCitation":"(George, 2008)"},"properties":{"noteIndex":0},"schema":"https://github.com/citation-style-language/schema/raw/master/csl-citation.json"}</w:instrText>
      </w:r>
      <w:r w:rsidRPr="0087384A">
        <w:rPr>
          <w:rFonts w:ascii="Garamond" w:hAnsi="Garamond"/>
          <w:sz w:val="24"/>
          <w:szCs w:val="24"/>
        </w:rPr>
        <w:fldChar w:fldCharType="separate"/>
      </w:r>
      <w:r w:rsidRPr="0087384A">
        <w:rPr>
          <w:rFonts w:ascii="Garamond" w:hAnsi="Garamond"/>
          <w:noProof/>
          <w:sz w:val="24"/>
          <w:szCs w:val="24"/>
        </w:rPr>
        <w:t>(George, 2008)</w:t>
      </w:r>
      <w:r w:rsidRPr="0087384A">
        <w:rPr>
          <w:rFonts w:ascii="Garamond" w:hAnsi="Garamond"/>
          <w:sz w:val="24"/>
          <w:szCs w:val="24"/>
        </w:rPr>
        <w:fldChar w:fldCharType="end"/>
      </w:r>
      <w:r w:rsidRPr="0087384A">
        <w:rPr>
          <w:rFonts w:ascii="Garamond" w:hAnsi="Garamond"/>
          <w:sz w:val="24"/>
          <w:szCs w:val="24"/>
        </w:rPr>
        <w:t>.</w:t>
      </w:r>
    </w:p>
    <w:p w14:paraId="6C865AFA" w14:textId="77777777" w:rsidR="00AF4385" w:rsidRPr="0087384A" w:rsidRDefault="00AF4385" w:rsidP="00AF4385">
      <w:pPr>
        <w:spacing w:before="240" w:after="40" w:line="240" w:lineRule="auto"/>
        <w:ind w:firstLine="567"/>
        <w:jc w:val="both"/>
        <w:rPr>
          <w:rFonts w:ascii="Garamond" w:hAnsi="Garamond"/>
          <w:sz w:val="24"/>
          <w:szCs w:val="24"/>
        </w:rPr>
      </w:pPr>
      <w:r w:rsidRPr="0087384A">
        <w:rPr>
          <w:rFonts w:ascii="Garamond" w:hAnsi="Garamond"/>
          <w:sz w:val="24"/>
          <w:szCs w:val="24"/>
        </w:rPr>
        <w:t xml:space="preserve">Data collection is carried out through the search and selection of academic literature, </w:t>
      </w:r>
      <w:proofErr w:type="spellStart"/>
      <w:r w:rsidRPr="0087384A">
        <w:rPr>
          <w:rFonts w:ascii="Garamond" w:hAnsi="Garamond"/>
          <w:sz w:val="24"/>
          <w:szCs w:val="24"/>
        </w:rPr>
        <w:t>pesantren</w:t>
      </w:r>
      <w:proofErr w:type="spellEnd"/>
      <w:r w:rsidRPr="0087384A">
        <w:rPr>
          <w:rFonts w:ascii="Garamond" w:hAnsi="Garamond"/>
          <w:sz w:val="24"/>
          <w:szCs w:val="24"/>
        </w:rPr>
        <w:t xml:space="preserve"> curriculum documents, and official sources of religious organizations. These sources were then </w:t>
      </w:r>
      <w:proofErr w:type="spellStart"/>
      <w:r w:rsidRPr="0087384A">
        <w:rPr>
          <w:rFonts w:ascii="Garamond" w:hAnsi="Garamond"/>
          <w:sz w:val="24"/>
          <w:szCs w:val="24"/>
        </w:rPr>
        <w:t>analyzed</w:t>
      </w:r>
      <w:proofErr w:type="spellEnd"/>
      <w:r w:rsidRPr="0087384A">
        <w:rPr>
          <w:rFonts w:ascii="Garamond" w:hAnsi="Garamond"/>
          <w:sz w:val="24"/>
          <w:szCs w:val="24"/>
        </w:rPr>
        <w:t xml:space="preserve"> using the qualitative analysis method as developed by Creswell </w:t>
      </w:r>
      <w:r w:rsidRPr="0087384A">
        <w:rPr>
          <w:rFonts w:ascii="Garamond" w:hAnsi="Garamond"/>
          <w:sz w:val="24"/>
          <w:szCs w:val="24"/>
        </w:rPr>
        <w:fldChar w:fldCharType="begin" w:fldLock="1"/>
      </w:r>
      <w:r w:rsidRPr="0087384A">
        <w:rPr>
          <w:rFonts w:ascii="Garamond" w:hAnsi="Garamond"/>
          <w:sz w:val="24"/>
          <w:szCs w:val="24"/>
        </w:rPr>
        <w:instrText>ADDIN CSL_CITATION {"citationItems":[{"id":"ITEM-1","itemData":{"author":[{"dropping-particle":"","family":"Creswell","given":"J.W.","non-dropping-particle":"","parse-names":false,"suffix":""}],"id":"ITEM-1","issued":{"date-parts":[["2007"]]},"publisher":"SAGE Publications Inc.","publisher-place":"Thousand Oaks","title":"Qualitative Inquiry and Research Design Choosing among Five Approaches","type":"article"},"uris":["http://www.mendeley.com/documents/?uuid=78726c4d-e5b4-4e5f-b64b-185e2dc01c99"]}],"mendeley":{"formattedCitation":"(Creswell, 2007)","manualFormatting":"(2007)","plainTextFormattedCitation":"(Creswell, 2007)","previouslyFormattedCitation":"(Creswell, 2007)"},"properties":{"noteIndex":0},"schema":"https://github.com/citation-style-language/schema/raw/master/csl-citation.json"}</w:instrText>
      </w:r>
      <w:r w:rsidRPr="0087384A">
        <w:rPr>
          <w:rFonts w:ascii="Garamond" w:hAnsi="Garamond"/>
          <w:sz w:val="24"/>
          <w:szCs w:val="24"/>
        </w:rPr>
        <w:fldChar w:fldCharType="separate"/>
      </w:r>
      <w:r w:rsidRPr="0087384A">
        <w:rPr>
          <w:rFonts w:ascii="Garamond" w:hAnsi="Garamond"/>
          <w:noProof/>
          <w:sz w:val="24"/>
          <w:szCs w:val="24"/>
        </w:rPr>
        <w:t>(2007)</w:t>
      </w:r>
      <w:r w:rsidRPr="0087384A">
        <w:rPr>
          <w:rFonts w:ascii="Garamond" w:hAnsi="Garamond"/>
          <w:sz w:val="24"/>
          <w:szCs w:val="24"/>
        </w:rPr>
        <w:fldChar w:fldCharType="end"/>
      </w:r>
      <w:r w:rsidRPr="0087384A">
        <w:rPr>
          <w:rFonts w:ascii="Garamond" w:hAnsi="Garamond"/>
          <w:sz w:val="24"/>
          <w:szCs w:val="24"/>
        </w:rPr>
        <w:t xml:space="preserve">, which includes the process of organizing data, thorough reading, thematic coding, pattern identification, and interpretation of meaning. The codes that emerge from the document are classified into themes such as educational objectives, curriculum content, learning methods, and the influence of affiliation ideology on curriculum design. Through this stage, the researcher builds a typological narrative that is not only descriptive, but also interpretive, in order to capture the complexity of </w:t>
      </w:r>
      <w:proofErr w:type="spellStart"/>
      <w:r w:rsidRPr="0087384A">
        <w:rPr>
          <w:rFonts w:ascii="Garamond" w:hAnsi="Garamond"/>
          <w:sz w:val="24"/>
          <w:szCs w:val="24"/>
        </w:rPr>
        <w:t>pesantren</w:t>
      </w:r>
      <w:proofErr w:type="spellEnd"/>
      <w:r w:rsidRPr="0087384A">
        <w:rPr>
          <w:rFonts w:ascii="Garamond" w:hAnsi="Garamond"/>
          <w:sz w:val="24"/>
          <w:szCs w:val="24"/>
        </w:rPr>
        <w:t xml:space="preserve"> curriculum thinking in the framework of institutional affiliation.</w:t>
      </w:r>
    </w:p>
    <w:p w14:paraId="795D18D6" w14:textId="77777777" w:rsidR="00AF4385" w:rsidRPr="0087384A" w:rsidRDefault="00AF4385" w:rsidP="00AF4385">
      <w:pPr>
        <w:spacing w:before="240" w:after="40" w:line="240" w:lineRule="auto"/>
        <w:ind w:firstLine="567"/>
        <w:jc w:val="both"/>
        <w:rPr>
          <w:rFonts w:ascii="Garamond" w:hAnsi="Garamond"/>
          <w:sz w:val="24"/>
          <w:szCs w:val="24"/>
        </w:rPr>
      </w:pPr>
      <w:r w:rsidRPr="0087384A">
        <w:rPr>
          <w:rFonts w:ascii="Garamond" w:hAnsi="Garamond"/>
          <w:sz w:val="24"/>
          <w:szCs w:val="24"/>
        </w:rPr>
        <w:t xml:space="preserve">The validity of the data is maintained by using source triangulation techniques and critical tracing of the credibility of the literature, paying attention to the context, publisher, and ideological position of the source. To avoid interpretive bias, the researcher tries to maintain a reflective position on the partiality of the analysis, while presenting rich and contextual descriptions so that readers can capture the depth of the reality of the education being studied. This validity strategy is in line with qualitative research guidelines that emphasize integrity, transparency, and depth of analysis as key pillars in producing meaningful findings </w:t>
      </w:r>
      <w:r w:rsidRPr="0087384A">
        <w:rPr>
          <w:rFonts w:ascii="Garamond" w:hAnsi="Garamond"/>
          <w:sz w:val="24"/>
          <w:szCs w:val="24"/>
        </w:rPr>
        <w:fldChar w:fldCharType="begin" w:fldLock="1"/>
      </w:r>
      <w:r w:rsidRPr="0087384A">
        <w:rPr>
          <w:rFonts w:ascii="Garamond" w:hAnsi="Garamond"/>
          <w:sz w:val="24"/>
          <w:szCs w:val="24"/>
        </w:rPr>
        <w:instrText>ADDIN CSL_CITATION {"citationItems":[{"id":"ITEM-1","itemData":{"DOI":"10.3316/QRJ0902027","ISSN":"1443-9883","abstract":"This article examines the function of documents as a data source in qualitative research and discusses document analysis procedure in the context of actual research experiences. Targeted to research novices, the article takes a nuts</w:instrText>
      </w:r>
      <w:r w:rsidRPr="0087384A">
        <w:rPr>
          <w:rFonts w:ascii="Cambria Math" w:hAnsi="Cambria Math" w:cs="Cambria Math"/>
          <w:sz w:val="24"/>
          <w:szCs w:val="24"/>
        </w:rPr>
        <w:instrText>‐</w:instrText>
      </w:r>
      <w:r w:rsidRPr="0087384A">
        <w:rPr>
          <w:rFonts w:ascii="Garamond" w:hAnsi="Garamond"/>
          <w:sz w:val="24"/>
          <w:szCs w:val="24"/>
        </w:rPr>
        <w:instrText>and</w:instrText>
      </w:r>
      <w:r w:rsidRPr="0087384A">
        <w:rPr>
          <w:rFonts w:ascii="Cambria Math" w:hAnsi="Cambria Math" w:cs="Cambria Math"/>
          <w:sz w:val="24"/>
          <w:szCs w:val="24"/>
        </w:rPr>
        <w:instrText>‐</w:instrText>
      </w:r>
      <w:r w:rsidRPr="0087384A">
        <w:rPr>
          <w:rFonts w:ascii="Garamond" w:hAnsi="Garamond"/>
          <w:sz w:val="24"/>
          <w:szCs w:val="24"/>
        </w:rPr>
        <w:instrText>bolts approach to document analysis. It describes the nature and forms of documents, outlines the advantages and limitations of document analysis, and offers specific examples of the use of documents in the research process. The application of document analysis to a grounded theory study is illustrated.","author":[{"dropping-particle":"","family":"Bowen","given":"Glenn A","non-dropping-particle":"","parse-names":false,"suffix":""}],"container-title":"Qualitative Research Journal","id":"ITEM-1","issue":"2","issued":{"date-parts":[["2009","1","1"]]},"page":"27-40","publisher":"Emerald Group Publishing Limited","title":"Document Analysis as a Qualitative Research Method","type":"article-journal","volume":"9"},"uris":["http://www.mendeley.com/documents/?uuid=defa7f1a-b72f-4efe-ad98-d25972b6ebb9"]}],"mendeley":{"formattedCitation":"(Bowen, 2009)","plainTextFormattedCitation":"(Bowen, 2009)","previouslyFormattedCitation":"(Bowen, 2009)"},"properties":{"noteIndex":0},"schema":"https://github.com/citation-style-language/schema/raw/master/csl-citation.json"}</w:instrText>
      </w:r>
      <w:r w:rsidRPr="0087384A">
        <w:rPr>
          <w:rFonts w:ascii="Garamond" w:hAnsi="Garamond"/>
          <w:sz w:val="24"/>
          <w:szCs w:val="24"/>
        </w:rPr>
        <w:fldChar w:fldCharType="separate"/>
      </w:r>
      <w:r w:rsidRPr="0087384A">
        <w:rPr>
          <w:rFonts w:ascii="Garamond" w:hAnsi="Garamond"/>
          <w:noProof/>
          <w:sz w:val="24"/>
          <w:szCs w:val="24"/>
        </w:rPr>
        <w:t>(Bowen, 2009)</w:t>
      </w:r>
      <w:r w:rsidRPr="0087384A">
        <w:rPr>
          <w:rFonts w:ascii="Garamond" w:hAnsi="Garamond"/>
          <w:sz w:val="24"/>
          <w:szCs w:val="24"/>
        </w:rPr>
        <w:fldChar w:fldCharType="end"/>
      </w:r>
      <w:r w:rsidRPr="0087384A">
        <w:rPr>
          <w:rFonts w:ascii="Garamond" w:hAnsi="Garamond"/>
          <w:sz w:val="24"/>
          <w:szCs w:val="24"/>
        </w:rPr>
        <w:t>.</w:t>
      </w:r>
    </w:p>
    <w:p w14:paraId="34F3CB53" w14:textId="40109996" w:rsidR="005E297E" w:rsidRDefault="005E297E">
      <w:pPr>
        <w:pBdr>
          <w:top w:val="nil"/>
          <w:left w:val="nil"/>
          <w:bottom w:val="nil"/>
          <w:right w:val="nil"/>
          <w:between w:val="nil"/>
        </w:pBdr>
        <w:spacing w:before="85" w:after="0" w:line="240" w:lineRule="auto"/>
        <w:rPr>
          <w:rFonts w:ascii="Arial" w:eastAsia="Arial" w:hAnsi="Arial" w:cs="Arial"/>
          <w:b/>
          <w:sz w:val="32"/>
          <w:szCs w:val="32"/>
        </w:rPr>
      </w:pPr>
    </w:p>
    <w:p w14:paraId="5BAF3437" w14:textId="2EF762AE" w:rsidR="005E297E" w:rsidRDefault="00000000">
      <w:pPr>
        <w:pBdr>
          <w:top w:val="nil"/>
          <w:left w:val="nil"/>
          <w:bottom w:val="nil"/>
          <w:right w:val="nil"/>
          <w:between w:val="nil"/>
        </w:pBdr>
        <w:spacing w:before="85" w:after="0" w:line="240" w:lineRule="auto"/>
        <w:rPr>
          <w:rFonts w:ascii="Arial" w:eastAsia="Arial" w:hAnsi="Arial" w:cs="Arial"/>
          <w:b/>
          <w:sz w:val="32"/>
          <w:szCs w:val="32"/>
        </w:rPr>
      </w:pPr>
      <w:r>
        <w:rPr>
          <w:rFonts w:ascii="Arial" w:eastAsia="Arial" w:hAnsi="Arial" w:cs="Arial"/>
          <w:b/>
          <w:sz w:val="32"/>
          <w:szCs w:val="32"/>
        </w:rPr>
        <w:t xml:space="preserve">Results and Discussion </w:t>
      </w:r>
    </w:p>
    <w:p w14:paraId="44EFB407" w14:textId="77777777" w:rsidR="00AF4385" w:rsidRPr="0087384A" w:rsidRDefault="00AF4385" w:rsidP="00AF4385">
      <w:pPr>
        <w:spacing w:before="240" w:after="40" w:line="240" w:lineRule="auto"/>
        <w:jc w:val="both"/>
        <w:rPr>
          <w:rFonts w:ascii="Garamond" w:hAnsi="Garamond"/>
          <w:b/>
          <w:bCs/>
          <w:sz w:val="24"/>
          <w:szCs w:val="24"/>
        </w:rPr>
      </w:pPr>
      <w:r w:rsidRPr="0087384A">
        <w:rPr>
          <w:rFonts w:ascii="Garamond" w:hAnsi="Garamond"/>
          <w:b/>
          <w:bCs/>
          <w:sz w:val="24"/>
          <w:szCs w:val="24"/>
        </w:rPr>
        <w:t>Result</w:t>
      </w:r>
    </w:p>
    <w:p w14:paraId="3ADA5300" w14:textId="77777777" w:rsidR="00AF4385" w:rsidRPr="0087384A" w:rsidRDefault="00AF4385" w:rsidP="00AF4385">
      <w:pPr>
        <w:spacing w:before="240" w:after="40" w:line="240" w:lineRule="auto"/>
        <w:ind w:firstLine="709"/>
        <w:jc w:val="both"/>
        <w:rPr>
          <w:rFonts w:ascii="Garamond" w:hAnsi="Garamond" w:cs="Times New Roman"/>
          <w:sz w:val="24"/>
          <w:szCs w:val="24"/>
        </w:rPr>
      </w:pPr>
      <w:r w:rsidRPr="0087384A">
        <w:rPr>
          <w:rFonts w:ascii="Garamond" w:hAnsi="Garamond" w:cs="Times New Roman"/>
          <w:sz w:val="24"/>
          <w:szCs w:val="24"/>
        </w:rPr>
        <w:t xml:space="preserve">From the analysis of the documents carried out, there are several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curriculums that will be presented. The selection of the document is considered to represent a certain affiliation/organization that is the basis for the establishment and implementation of learning of a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w:t>
      </w:r>
    </w:p>
    <w:p w14:paraId="64AEF466" w14:textId="77777777" w:rsidR="00AF4385" w:rsidRPr="00925614" w:rsidRDefault="00AF4385" w:rsidP="00AF4385">
      <w:pPr>
        <w:spacing w:before="240" w:after="40" w:line="240" w:lineRule="auto"/>
        <w:jc w:val="both"/>
        <w:rPr>
          <w:rFonts w:ascii="Garamond" w:hAnsi="Garamond" w:cs="Times New Roman"/>
          <w:b/>
          <w:bCs/>
          <w:sz w:val="24"/>
          <w:szCs w:val="24"/>
        </w:rPr>
      </w:pPr>
      <w:proofErr w:type="spellStart"/>
      <w:r w:rsidRPr="00925614">
        <w:rPr>
          <w:rFonts w:ascii="Garamond" w:hAnsi="Garamond" w:cs="Times New Roman"/>
          <w:b/>
          <w:bCs/>
          <w:sz w:val="24"/>
          <w:szCs w:val="24"/>
        </w:rPr>
        <w:t>Nahdlatul</w:t>
      </w:r>
      <w:proofErr w:type="spellEnd"/>
      <w:r w:rsidRPr="00925614">
        <w:rPr>
          <w:rFonts w:ascii="Garamond" w:hAnsi="Garamond" w:cs="Times New Roman"/>
          <w:b/>
          <w:bCs/>
          <w:sz w:val="24"/>
          <w:szCs w:val="24"/>
        </w:rPr>
        <w:t xml:space="preserve"> Ulama Affiliate</w:t>
      </w:r>
      <w:r>
        <w:rPr>
          <w:rFonts w:ascii="Garamond" w:hAnsi="Garamond" w:cs="Times New Roman"/>
          <w:b/>
          <w:bCs/>
          <w:sz w:val="24"/>
          <w:szCs w:val="24"/>
        </w:rPr>
        <w:t>s</w:t>
      </w:r>
      <w:r w:rsidRPr="00925614">
        <w:rPr>
          <w:rFonts w:ascii="Garamond" w:hAnsi="Garamond" w:cs="Times New Roman"/>
          <w:b/>
          <w:bCs/>
          <w:sz w:val="24"/>
          <w:szCs w:val="24"/>
        </w:rPr>
        <w:t xml:space="preserve"> </w:t>
      </w:r>
    </w:p>
    <w:p w14:paraId="26E2DF3F" w14:textId="77777777" w:rsidR="00AF4385" w:rsidRPr="0087384A" w:rsidRDefault="00AF4385" w:rsidP="00AF4385">
      <w:pPr>
        <w:pStyle w:val="ListParagraph"/>
        <w:spacing w:before="240" w:after="40" w:line="240" w:lineRule="auto"/>
        <w:ind w:left="0" w:firstLine="709"/>
        <w:jc w:val="both"/>
        <w:rPr>
          <w:rFonts w:ascii="Garamond" w:hAnsi="Garamond" w:cs="Times New Roman"/>
          <w:sz w:val="24"/>
          <w:szCs w:val="24"/>
        </w:rPr>
      </w:pPr>
      <w:r w:rsidRPr="0087384A">
        <w:rPr>
          <w:rFonts w:ascii="Garamond" w:hAnsi="Garamond" w:cs="Times New Roman"/>
          <w:sz w:val="24"/>
          <w:szCs w:val="24"/>
        </w:rPr>
        <w:t xml:space="preserve">What is meant by </w:t>
      </w:r>
      <w:proofErr w:type="spellStart"/>
      <w:r w:rsidRPr="0087384A">
        <w:rPr>
          <w:rFonts w:ascii="Garamond" w:hAnsi="Garamond" w:cs="Times New Roman"/>
          <w:sz w:val="24"/>
          <w:szCs w:val="24"/>
        </w:rPr>
        <w:t>Nahdlatul</w:t>
      </w:r>
      <w:proofErr w:type="spellEnd"/>
      <w:r w:rsidRPr="0087384A">
        <w:rPr>
          <w:rFonts w:ascii="Garamond" w:hAnsi="Garamond" w:cs="Times New Roman"/>
          <w:sz w:val="24"/>
          <w:szCs w:val="24"/>
        </w:rPr>
        <w:t xml:space="preserve"> Ulama affiliated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is traditional </w:t>
      </w:r>
      <w:proofErr w:type="spellStart"/>
      <w:r>
        <w:rPr>
          <w:rFonts w:ascii="Garamond" w:hAnsi="Garamond" w:cs="Times New Roman"/>
          <w:sz w:val="24"/>
          <w:szCs w:val="24"/>
        </w:rPr>
        <w:t>pesantren</w:t>
      </w:r>
      <w:proofErr w:type="spellEnd"/>
      <w:r w:rsidRPr="0087384A">
        <w:rPr>
          <w:rFonts w:ascii="Garamond" w:hAnsi="Garamond" w:cs="Times New Roman"/>
          <w:sz w:val="24"/>
          <w:szCs w:val="24"/>
        </w:rPr>
        <w:t xml:space="preserve"> that carry out their studies on sciences based on the teachings of </w:t>
      </w:r>
      <w:proofErr w:type="spellStart"/>
      <w:r w:rsidRPr="0087384A">
        <w:rPr>
          <w:rFonts w:ascii="Garamond" w:hAnsi="Garamond" w:cs="Times New Roman"/>
          <w:sz w:val="24"/>
          <w:szCs w:val="24"/>
        </w:rPr>
        <w:t>Ash'ariyah</w:t>
      </w:r>
      <w:proofErr w:type="spellEnd"/>
      <w:r w:rsidRPr="0087384A">
        <w:rPr>
          <w:rFonts w:ascii="Garamond" w:hAnsi="Garamond" w:cs="Times New Roman"/>
          <w:sz w:val="24"/>
          <w:szCs w:val="24"/>
        </w:rPr>
        <w:t xml:space="preserve"> and Sufism. </w:t>
      </w:r>
      <w:r w:rsidRPr="0087384A">
        <w:rPr>
          <w:rFonts w:ascii="Garamond" w:hAnsi="Garamond" w:cs="Times New Roman"/>
          <w:sz w:val="24"/>
          <w:szCs w:val="24"/>
        </w:rPr>
        <w:lastRenderedPageBreak/>
        <w:t xml:space="preserve">Traditional </w:t>
      </w:r>
      <w:proofErr w:type="spellStart"/>
      <w:r>
        <w:rPr>
          <w:rFonts w:ascii="Garamond" w:hAnsi="Garamond" w:cs="Times New Roman"/>
          <w:sz w:val="24"/>
          <w:szCs w:val="24"/>
        </w:rPr>
        <w:t>pesantren</w:t>
      </w:r>
      <w:r w:rsidRPr="0087384A">
        <w:rPr>
          <w:rFonts w:ascii="Garamond" w:hAnsi="Garamond" w:cs="Times New Roman"/>
          <w:sz w:val="24"/>
          <w:szCs w:val="24"/>
        </w:rPr>
        <w:t>s</w:t>
      </w:r>
      <w:proofErr w:type="spellEnd"/>
      <w:r w:rsidRPr="0087384A">
        <w:rPr>
          <w:rFonts w:ascii="Garamond" w:hAnsi="Garamond" w:cs="Times New Roman"/>
          <w:sz w:val="24"/>
          <w:szCs w:val="24"/>
        </w:rPr>
        <w:t xml:space="preserve"> are the forerunners of all </w:t>
      </w:r>
      <w:proofErr w:type="spellStart"/>
      <w:r>
        <w:rPr>
          <w:rFonts w:ascii="Garamond" w:hAnsi="Garamond" w:cs="Times New Roman"/>
          <w:sz w:val="24"/>
          <w:szCs w:val="24"/>
        </w:rPr>
        <w:t>pesantren</w:t>
      </w:r>
      <w:r w:rsidRPr="0087384A">
        <w:rPr>
          <w:rFonts w:ascii="Garamond" w:hAnsi="Garamond" w:cs="Times New Roman"/>
          <w:sz w:val="24"/>
          <w:szCs w:val="24"/>
        </w:rPr>
        <w:t>s</w:t>
      </w:r>
      <w:proofErr w:type="spellEnd"/>
      <w:r w:rsidRPr="0087384A">
        <w:rPr>
          <w:rFonts w:ascii="Garamond" w:hAnsi="Garamond" w:cs="Times New Roman"/>
          <w:sz w:val="24"/>
          <w:szCs w:val="24"/>
        </w:rPr>
        <w:t xml:space="preserve"> in Indonesia. The pattern of traditional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education is very unique and has become a character that cannot be left from every traditional educational character, this character is usually found in </w:t>
      </w:r>
      <w:proofErr w:type="spellStart"/>
      <w:r>
        <w:rPr>
          <w:rFonts w:ascii="Garamond" w:hAnsi="Garamond" w:cs="Times New Roman"/>
          <w:sz w:val="24"/>
          <w:szCs w:val="24"/>
        </w:rPr>
        <w:t>pesantren</w:t>
      </w:r>
      <w:r w:rsidRPr="0087384A">
        <w:rPr>
          <w:rFonts w:ascii="Garamond" w:hAnsi="Garamond" w:cs="Times New Roman"/>
          <w:sz w:val="24"/>
          <w:szCs w:val="24"/>
        </w:rPr>
        <w:t>s</w:t>
      </w:r>
      <w:proofErr w:type="spellEnd"/>
      <w:r w:rsidRPr="0087384A">
        <w:rPr>
          <w:rFonts w:ascii="Garamond" w:hAnsi="Garamond" w:cs="Times New Roman"/>
          <w:sz w:val="24"/>
          <w:szCs w:val="24"/>
        </w:rPr>
        <w:t xml:space="preserve"> in Java, (especially in Central Java and East Java). The peculiarity of the character of this traditional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is a characteristic that becomes a tradition and a content of ideas in the development of diversity and the development of institutional traditions in the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world</w:t>
      </w:r>
    </w:p>
    <w:p w14:paraId="689B46D5" w14:textId="77777777" w:rsidR="00AF4385" w:rsidRPr="0087384A" w:rsidRDefault="00AF4385" w:rsidP="00AF4385">
      <w:pPr>
        <w:pStyle w:val="ListParagraph"/>
        <w:spacing w:before="240" w:after="40" w:line="240" w:lineRule="auto"/>
        <w:ind w:left="0" w:firstLine="709"/>
        <w:jc w:val="both"/>
        <w:rPr>
          <w:rFonts w:ascii="Garamond" w:hAnsi="Garamond" w:cs="Times New Roman"/>
          <w:sz w:val="24"/>
          <w:szCs w:val="24"/>
        </w:rPr>
      </w:pPr>
      <w:r w:rsidRPr="0087384A">
        <w:rPr>
          <w:rFonts w:ascii="Garamond" w:hAnsi="Garamond" w:cs="Times New Roman"/>
          <w:sz w:val="24"/>
          <w:szCs w:val="24"/>
        </w:rPr>
        <w:t xml:space="preserve">These traditional </w:t>
      </w:r>
      <w:proofErr w:type="spellStart"/>
      <w:r>
        <w:rPr>
          <w:rFonts w:ascii="Garamond" w:hAnsi="Garamond" w:cs="Times New Roman"/>
          <w:sz w:val="24"/>
          <w:szCs w:val="24"/>
        </w:rPr>
        <w:t>pesantren</w:t>
      </w:r>
      <w:r w:rsidRPr="0087384A">
        <w:rPr>
          <w:rFonts w:ascii="Garamond" w:hAnsi="Garamond" w:cs="Times New Roman"/>
          <w:sz w:val="24"/>
          <w:szCs w:val="24"/>
        </w:rPr>
        <w:t>s</w:t>
      </w:r>
      <w:proofErr w:type="spellEnd"/>
      <w:r w:rsidRPr="0087384A">
        <w:rPr>
          <w:rFonts w:ascii="Garamond" w:hAnsi="Garamond" w:cs="Times New Roman"/>
          <w:sz w:val="24"/>
          <w:szCs w:val="24"/>
        </w:rPr>
        <w:t xml:space="preserve"> are also the forerunners of the establishment of NU, where the founders of NU are the caregivers of these traditional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Therefore, in this discussion, it must be emphasized that in fact these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already existed before the establishment of NU itself. Imam </w:t>
      </w:r>
      <w:proofErr w:type="spellStart"/>
      <w:r w:rsidRPr="0087384A">
        <w:rPr>
          <w:rFonts w:ascii="Garamond" w:hAnsi="Garamond" w:cs="Times New Roman"/>
          <w:sz w:val="24"/>
          <w:szCs w:val="24"/>
        </w:rPr>
        <w:t>Bawani</w:t>
      </w:r>
      <w:proofErr w:type="spellEnd"/>
      <w:r w:rsidRPr="0087384A">
        <w:rPr>
          <w:rFonts w:ascii="Garamond" w:hAnsi="Garamond" w:cs="Times New Roman"/>
          <w:sz w:val="24"/>
          <w:szCs w:val="24"/>
        </w:rPr>
        <w:t xml:space="preserve"> stated that traditional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will be identical to </w:t>
      </w:r>
      <w:proofErr w:type="spellStart"/>
      <w:r w:rsidRPr="0087384A">
        <w:rPr>
          <w:rFonts w:ascii="Garamond" w:hAnsi="Garamond" w:cs="Times New Roman"/>
          <w:sz w:val="24"/>
          <w:szCs w:val="24"/>
        </w:rPr>
        <w:t>Nahdlatul</w:t>
      </w:r>
      <w:proofErr w:type="spellEnd"/>
      <w:r w:rsidRPr="0087384A">
        <w:rPr>
          <w:rFonts w:ascii="Garamond" w:hAnsi="Garamond" w:cs="Times New Roman"/>
          <w:sz w:val="24"/>
          <w:szCs w:val="24"/>
        </w:rPr>
        <w:t xml:space="preserve"> Ulama (NU)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author":[{"dropping-particle":"","family":"Bawani","given":"Imam","non-dropping-particle":"","parse-names":false,"suffix":""}],"id":"ITEM-1","issued":{"date-parts":[["1993"]]},"publisher":"Al-Ikhlas","publisher-place":"Surabaya","title":"Tradisionalisme dalam Pendidikan Islam; Studi Atas Daya Tahan Pesantren Tradisional","type":"book"},"uris":["http://www.mendeley.com/documents/?uuid=63a8864a-c28e-419c-9b83-a6bb7857a09a"]}],"mendeley":{"formattedCitation":"(Bawani, 1993)","plainTextFormattedCitation":"(Bawani, 1993)","previouslyFormattedCitation":"(Bawani, 1993)"},"properties":{"noteIndex":0},"schema":"https://github.com/citation-style-language/schema/raw/master/csl-citation.json"}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noProof/>
          <w:sz w:val="24"/>
          <w:szCs w:val="24"/>
        </w:rPr>
        <w:t>(Bawani, 1993)</w:t>
      </w:r>
      <w:r w:rsidRPr="0087384A">
        <w:rPr>
          <w:rStyle w:val="FootnoteReference"/>
          <w:rFonts w:ascii="Garamond" w:hAnsi="Garamond"/>
          <w:sz w:val="24"/>
          <w:szCs w:val="24"/>
        </w:rPr>
        <w:fldChar w:fldCharType="end"/>
      </w:r>
      <w:r w:rsidRPr="0087384A">
        <w:rPr>
          <w:rFonts w:ascii="Garamond" w:hAnsi="Garamond" w:cs="Times New Roman"/>
          <w:sz w:val="24"/>
          <w:szCs w:val="24"/>
        </w:rPr>
        <w:t xml:space="preserve">. So it can be said that this "NU"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has existed for a long time before NU was born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ISBN":"9786232651999","abstract":"…","author":[{"dropping-particle":"","family":"Anshori","given":"Isa","non-dropping-particle":"","parse-names":false,"suffix":""}],"id":"ITEM-1","issued":{"date-parts":[["2020"]]},"number-of-pages":"257","title":"Dinamika Pesantren","type":"book"},"uris":["http://www.mendeley.com/documents/?uuid=63da3033-c4c9-4454-941b-685cc10fa0a3"]}],"mendeley":{"formattedCitation":"(Anshori, 2020)","plainTextFormattedCitation":"(Anshori, 2020)","previouslyFormattedCitation":"(Anshori, 2020)"},"properties":{"noteIndex":0},"schema":"https://github.com/citation-style-language/schema/raw/master/csl-citation.json"}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noProof/>
          <w:sz w:val="24"/>
          <w:szCs w:val="24"/>
        </w:rPr>
        <w:t>(Anshori, 2020)</w:t>
      </w:r>
      <w:r w:rsidRPr="0087384A">
        <w:rPr>
          <w:rStyle w:val="FootnoteReference"/>
          <w:rFonts w:ascii="Garamond" w:hAnsi="Garamond"/>
          <w:sz w:val="24"/>
          <w:szCs w:val="24"/>
        </w:rPr>
        <w:fldChar w:fldCharType="end"/>
      </w:r>
      <w:r w:rsidRPr="0087384A">
        <w:rPr>
          <w:rFonts w:ascii="Garamond" w:hAnsi="Garamond" w:cs="Times New Roman"/>
          <w:sz w:val="24"/>
          <w:szCs w:val="24"/>
        </w:rPr>
        <w:t xml:space="preserve">. Such as the </w:t>
      </w:r>
      <w:proofErr w:type="spellStart"/>
      <w:r w:rsidRPr="0087384A">
        <w:rPr>
          <w:rFonts w:ascii="Garamond" w:hAnsi="Garamond" w:cs="Times New Roman"/>
          <w:sz w:val="24"/>
          <w:szCs w:val="24"/>
        </w:rPr>
        <w:t>Tebuireng</w:t>
      </w:r>
      <w:proofErr w:type="spellEnd"/>
      <w:r w:rsidRPr="0087384A">
        <w:rPr>
          <w:rFonts w:ascii="Garamond" w:hAnsi="Garamond" w:cs="Times New Roman"/>
          <w:sz w:val="24"/>
          <w:szCs w:val="24"/>
        </w:rPr>
        <w:t xml:space="preserve"> </w:t>
      </w:r>
      <w:proofErr w:type="spellStart"/>
      <w:r>
        <w:rPr>
          <w:rFonts w:ascii="Garamond" w:hAnsi="Garamond" w:cs="Times New Roman"/>
          <w:sz w:val="24"/>
          <w:szCs w:val="24"/>
        </w:rPr>
        <w:t>pesantren</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which was established in 1899, the </w:t>
      </w:r>
      <w:proofErr w:type="spellStart"/>
      <w:r w:rsidRPr="0087384A">
        <w:rPr>
          <w:rFonts w:ascii="Garamond" w:hAnsi="Garamond" w:cs="Times New Roman"/>
          <w:sz w:val="24"/>
          <w:szCs w:val="24"/>
        </w:rPr>
        <w:t>Tambakberas</w:t>
      </w:r>
      <w:proofErr w:type="spellEnd"/>
      <w:r w:rsidRPr="0087384A">
        <w:rPr>
          <w:rFonts w:ascii="Garamond" w:hAnsi="Garamond" w:cs="Times New Roman"/>
          <w:sz w:val="24"/>
          <w:szCs w:val="24"/>
        </w:rPr>
        <w:t xml:space="preserve"> </w:t>
      </w:r>
      <w:proofErr w:type="spellStart"/>
      <w:r>
        <w:rPr>
          <w:rFonts w:ascii="Garamond" w:hAnsi="Garamond" w:cs="Times New Roman"/>
          <w:sz w:val="24"/>
          <w:szCs w:val="24"/>
        </w:rPr>
        <w:t>pesantren</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which was established in 1838, the </w:t>
      </w:r>
      <w:proofErr w:type="spellStart"/>
      <w:r w:rsidRPr="0087384A">
        <w:rPr>
          <w:rFonts w:ascii="Garamond" w:hAnsi="Garamond" w:cs="Times New Roman"/>
          <w:sz w:val="24"/>
          <w:szCs w:val="24"/>
        </w:rPr>
        <w:t>Lirboyo</w:t>
      </w:r>
      <w:proofErr w:type="spellEnd"/>
      <w:r w:rsidRPr="0087384A">
        <w:rPr>
          <w:rFonts w:ascii="Garamond" w:hAnsi="Garamond" w:cs="Times New Roman"/>
          <w:sz w:val="24"/>
          <w:szCs w:val="24"/>
        </w:rPr>
        <w:t xml:space="preserve"> </w:t>
      </w:r>
      <w:proofErr w:type="spellStart"/>
      <w:r>
        <w:rPr>
          <w:rFonts w:ascii="Garamond" w:hAnsi="Garamond" w:cs="Times New Roman"/>
          <w:sz w:val="24"/>
          <w:szCs w:val="24"/>
        </w:rPr>
        <w:t>pesantren</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which was established in 1910, the </w:t>
      </w:r>
      <w:proofErr w:type="spellStart"/>
      <w:r w:rsidRPr="0087384A">
        <w:rPr>
          <w:rFonts w:ascii="Garamond" w:hAnsi="Garamond" w:cs="Times New Roman"/>
          <w:sz w:val="24"/>
          <w:szCs w:val="24"/>
        </w:rPr>
        <w:t>Langitan</w:t>
      </w:r>
      <w:proofErr w:type="spellEnd"/>
      <w:r w:rsidRPr="0087384A">
        <w:rPr>
          <w:rFonts w:ascii="Garamond" w:hAnsi="Garamond" w:cs="Times New Roman"/>
          <w:sz w:val="24"/>
          <w:szCs w:val="24"/>
        </w:rPr>
        <w:t xml:space="preserve"> </w:t>
      </w:r>
      <w:proofErr w:type="spellStart"/>
      <w:r>
        <w:rPr>
          <w:rFonts w:ascii="Garamond" w:hAnsi="Garamond" w:cs="Times New Roman"/>
          <w:sz w:val="24"/>
          <w:szCs w:val="24"/>
        </w:rPr>
        <w:t>pesantren</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which was established in 1852, all of these </w:t>
      </w:r>
      <w:proofErr w:type="spellStart"/>
      <w:r>
        <w:rPr>
          <w:rFonts w:ascii="Garamond" w:hAnsi="Garamond" w:cs="Times New Roman"/>
          <w:sz w:val="24"/>
          <w:szCs w:val="24"/>
        </w:rPr>
        <w:t>pesantren</w:t>
      </w:r>
      <w:r w:rsidRPr="0087384A">
        <w:rPr>
          <w:rFonts w:ascii="Garamond" w:hAnsi="Garamond" w:cs="Times New Roman"/>
          <w:sz w:val="24"/>
          <w:szCs w:val="24"/>
        </w:rPr>
        <w:t>s</w:t>
      </w:r>
      <w:proofErr w:type="spellEnd"/>
      <w:r w:rsidRPr="0087384A">
        <w:rPr>
          <w:rFonts w:ascii="Garamond" w:hAnsi="Garamond" w:cs="Times New Roman"/>
          <w:sz w:val="24"/>
          <w:szCs w:val="24"/>
        </w:rPr>
        <w:t xml:space="preserve"> were established before NU was born. However, because of the existence of scientific paths and also </w:t>
      </w:r>
      <w:proofErr w:type="spellStart"/>
      <w:r w:rsidRPr="0087384A">
        <w:rPr>
          <w:rFonts w:ascii="Garamond" w:hAnsi="Garamond" w:cs="Times New Roman"/>
          <w:sz w:val="24"/>
          <w:szCs w:val="24"/>
        </w:rPr>
        <w:t>sanad</w:t>
      </w:r>
      <w:proofErr w:type="spellEnd"/>
      <w:r w:rsidRPr="0087384A">
        <w:rPr>
          <w:rFonts w:ascii="Garamond" w:hAnsi="Garamond" w:cs="Times New Roman"/>
          <w:sz w:val="24"/>
          <w:szCs w:val="24"/>
        </w:rPr>
        <w:t xml:space="preserve"> that are often networked, these </w:t>
      </w:r>
      <w:proofErr w:type="spellStart"/>
      <w:r>
        <w:rPr>
          <w:rFonts w:ascii="Garamond" w:hAnsi="Garamond" w:cs="Times New Roman"/>
          <w:sz w:val="24"/>
          <w:szCs w:val="24"/>
        </w:rPr>
        <w:t>pesantrens</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have the same ideology, which later is often referred to as NU </w:t>
      </w:r>
      <w:proofErr w:type="spellStart"/>
      <w:r>
        <w:rPr>
          <w:rFonts w:ascii="Garamond" w:hAnsi="Garamond" w:cs="Times New Roman"/>
          <w:sz w:val="24"/>
          <w:szCs w:val="24"/>
        </w:rPr>
        <w:t>pesantren</w:t>
      </w:r>
      <w:r w:rsidRPr="0087384A">
        <w:rPr>
          <w:rFonts w:ascii="Garamond" w:hAnsi="Garamond" w:cs="Times New Roman"/>
          <w:sz w:val="24"/>
          <w:szCs w:val="24"/>
        </w:rPr>
        <w:t>s</w:t>
      </w:r>
      <w:proofErr w:type="spellEnd"/>
      <w:r w:rsidRPr="0087384A">
        <w:rPr>
          <w:rFonts w:ascii="Garamond" w:hAnsi="Garamond" w:cs="Times New Roman"/>
          <w:sz w:val="24"/>
          <w:szCs w:val="24"/>
        </w:rPr>
        <w:t>.</w:t>
      </w:r>
    </w:p>
    <w:p w14:paraId="27F93624" w14:textId="77777777" w:rsidR="00AF4385" w:rsidRPr="0087384A" w:rsidRDefault="00AF4385" w:rsidP="00AF4385">
      <w:pPr>
        <w:pStyle w:val="ListParagraph"/>
        <w:spacing w:before="240" w:after="40" w:line="240" w:lineRule="auto"/>
        <w:ind w:left="0" w:firstLine="709"/>
        <w:jc w:val="both"/>
        <w:rPr>
          <w:rFonts w:ascii="Garamond" w:hAnsi="Garamond" w:cs="Times New Roman"/>
          <w:sz w:val="24"/>
          <w:szCs w:val="24"/>
        </w:rPr>
      </w:pPr>
      <w:r w:rsidRPr="0087384A">
        <w:rPr>
          <w:rFonts w:ascii="Garamond" w:hAnsi="Garamond" w:cs="Times New Roman"/>
          <w:sz w:val="24"/>
          <w:szCs w:val="24"/>
        </w:rPr>
        <w:t xml:space="preserve">It can be said that the majority of </w:t>
      </w:r>
      <w:proofErr w:type="spellStart"/>
      <w:r>
        <w:rPr>
          <w:rFonts w:ascii="Garamond" w:hAnsi="Garamond" w:cs="Times New Roman"/>
          <w:sz w:val="24"/>
          <w:szCs w:val="24"/>
        </w:rPr>
        <w:t>pesantrens</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are affiliated (but not directly owned or managed) with NU. NU claims to be affiliated with approximately 25,000 </w:t>
      </w:r>
      <w:proofErr w:type="spellStart"/>
      <w:r>
        <w:rPr>
          <w:rFonts w:ascii="Garamond" w:hAnsi="Garamond" w:cs="Times New Roman"/>
          <w:sz w:val="24"/>
          <w:szCs w:val="24"/>
        </w:rPr>
        <w:t>pesantren</w:t>
      </w:r>
      <w:r w:rsidRPr="0087384A">
        <w:rPr>
          <w:rFonts w:ascii="Garamond" w:hAnsi="Garamond" w:cs="Times New Roman"/>
          <w:sz w:val="24"/>
          <w:szCs w:val="24"/>
        </w:rPr>
        <w:t>s</w:t>
      </w:r>
      <w:proofErr w:type="spellEnd"/>
      <w:r w:rsidRPr="0087384A">
        <w:rPr>
          <w:rFonts w:ascii="Garamond" w:hAnsi="Garamond" w:cs="Times New Roman"/>
          <w:sz w:val="24"/>
          <w:szCs w:val="24"/>
        </w:rPr>
        <w:t xml:space="preserve">. This figure is equivalent to about 86% of all existing </w:t>
      </w:r>
      <w:proofErr w:type="spellStart"/>
      <w:r>
        <w:rPr>
          <w:rFonts w:ascii="Garamond" w:hAnsi="Garamond" w:cs="Times New Roman"/>
          <w:sz w:val="24"/>
          <w:szCs w:val="24"/>
        </w:rPr>
        <w:t>pesantren</w:t>
      </w:r>
      <w:r w:rsidRPr="0087384A">
        <w:rPr>
          <w:rFonts w:ascii="Garamond" w:hAnsi="Garamond" w:cs="Times New Roman"/>
          <w:sz w:val="24"/>
          <w:szCs w:val="24"/>
        </w:rPr>
        <w:t>s</w:t>
      </w:r>
      <w:proofErr w:type="spellEnd"/>
      <w:r w:rsidRPr="0087384A">
        <w:rPr>
          <w:rFonts w:ascii="Garamond" w:hAnsi="Garamond" w:cs="Times New Roman"/>
          <w:sz w:val="24"/>
          <w:szCs w:val="24"/>
        </w:rPr>
        <w:t xml:space="preserve">, and is in accordance with the perception of the public who mostly think that </w:t>
      </w:r>
      <w:proofErr w:type="spellStart"/>
      <w:r>
        <w:rPr>
          <w:rFonts w:ascii="Garamond" w:hAnsi="Garamond" w:cs="Times New Roman"/>
          <w:sz w:val="24"/>
          <w:szCs w:val="24"/>
        </w:rPr>
        <w:t>pesantrens</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are affiliated with NU. NU considers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to be more than just a </w:t>
      </w:r>
      <w:proofErr w:type="spellStart"/>
      <w:r w:rsidRPr="0087384A">
        <w:rPr>
          <w:rFonts w:ascii="Garamond" w:hAnsi="Garamond" w:cs="Times New Roman"/>
          <w:sz w:val="24"/>
          <w:szCs w:val="24"/>
        </w:rPr>
        <w:t>center</w:t>
      </w:r>
      <w:proofErr w:type="spellEnd"/>
      <w:r w:rsidRPr="0087384A">
        <w:rPr>
          <w:rFonts w:ascii="Garamond" w:hAnsi="Garamond" w:cs="Times New Roman"/>
          <w:sz w:val="24"/>
          <w:szCs w:val="24"/>
        </w:rPr>
        <w:t xml:space="preserve"> for traditional learning, but also a </w:t>
      </w:r>
      <w:proofErr w:type="spellStart"/>
      <w:r w:rsidRPr="0087384A">
        <w:rPr>
          <w:rFonts w:ascii="Garamond" w:hAnsi="Garamond" w:cs="Times New Roman"/>
          <w:sz w:val="24"/>
          <w:szCs w:val="24"/>
        </w:rPr>
        <w:t>center</w:t>
      </w:r>
      <w:proofErr w:type="spellEnd"/>
      <w:r w:rsidRPr="0087384A">
        <w:rPr>
          <w:rFonts w:ascii="Garamond" w:hAnsi="Garamond" w:cs="Times New Roman"/>
          <w:sz w:val="24"/>
          <w:szCs w:val="24"/>
        </w:rPr>
        <w:t xml:space="preserve"> for community development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{"citationItems":[{"id":"ITEM-1","itemData":{"abstract":"… Beda dengan sekolah negeri di bawah kewenangan Kemendikbud yang menerima dana dari Kemendikbud dan pemerintah daerah. Bantuan keuangan utama pesantren datang melalui transfer langsung dari Bantuan Operasional Sekolah (BOS) pemerintah pusat …","author":[{"dropping-particle":"","family":"Azzahra","given":"Nadia Fairuzza","non-dropping-particle":"","parse-names":false,"suffix":""}],"container-title":"Centerfor Indonesian Policy Studies","id":"ITEM-1","issue":"9","issued":{"date-parts":[["2020"]]},"page":"30","title":"Dampak Undang-Undang Pesantren Terhadap Sistem Pendidikan Indonesia – Sebuah Proyeksi","type":"article-journal"},"uris":["http://www.mendeley.com/documents/?uuid=31b338ab-e930-49de-a2f5-4846f5353499"]}],"mendeley":{"formattedCitation":"(Azzahra, 2020)","plainTextFormattedCitation":"(Azzahra, 2020)","previouslyFormattedCitation":"(Azzahra, 2020)"},"properties":{"noteIndex":0},"schema":"https://github.com/citation-style-language/schema/raw/master/csl-citation.json"}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bCs/>
          <w:noProof/>
          <w:sz w:val="24"/>
          <w:szCs w:val="24"/>
          <w:lang w:val="en-US"/>
        </w:rPr>
        <w:t>(Azzahra, 2020)</w:t>
      </w:r>
      <w:r w:rsidRPr="0087384A">
        <w:rPr>
          <w:rStyle w:val="FootnoteReference"/>
          <w:rFonts w:ascii="Garamond" w:hAnsi="Garamond"/>
          <w:sz w:val="24"/>
          <w:szCs w:val="24"/>
        </w:rPr>
        <w:fldChar w:fldCharType="end"/>
      </w:r>
      <w:r w:rsidRPr="0087384A">
        <w:rPr>
          <w:rFonts w:ascii="Garamond" w:hAnsi="Garamond" w:cs="Times New Roman"/>
          <w:sz w:val="24"/>
          <w:szCs w:val="24"/>
        </w:rPr>
        <w:t xml:space="preserve">. </w:t>
      </w:r>
    </w:p>
    <w:p w14:paraId="1E9ED7F9" w14:textId="77777777" w:rsidR="00AF4385" w:rsidRPr="0087384A" w:rsidRDefault="00AF4385" w:rsidP="00AF4385">
      <w:pPr>
        <w:pStyle w:val="ListParagraph"/>
        <w:spacing w:before="240" w:after="40" w:line="240" w:lineRule="auto"/>
        <w:ind w:left="0" w:firstLine="709"/>
        <w:jc w:val="both"/>
        <w:rPr>
          <w:rFonts w:ascii="Garamond" w:hAnsi="Garamond" w:cs="Times New Roman"/>
          <w:sz w:val="24"/>
          <w:szCs w:val="24"/>
        </w:rPr>
      </w:pPr>
      <w:r w:rsidRPr="0087384A">
        <w:rPr>
          <w:rFonts w:ascii="Garamond" w:hAnsi="Garamond" w:cs="Times New Roman"/>
          <w:sz w:val="24"/>
          <w:szCs w:val="24"/>
        </w:rPr>
        <w:t xml:space="preserve">The curriculum of these </w:t>
      </w:r>
      <w:proofErr w:type="spellStart"/>
      <w:r>
        <w:rPr>
          <w:rFonts w:ascii="Garamond" w:hAnsi="Garamond" w:cs="Times New Roman"/>
          <w:sz w:val="24"/>
          <w:szCs w:val="24"/>
        </w:rPr>
        <w:t>pesantren</w:t>
      </w:r>
      <w:r w:rsidRPr="0087384A">
        <w:rPr>
          <w:rFonts w:ascii="Garamond" w:hAnsi="Garamond" w:cs="Times New Roman"/>
          <w:sz w:val="24"/>
          <w:szCs w:val="24"/>
        </w:rPr>
        <w:t>s</w:t>
      </w:r>
      <w:proofErr w:type="spellEnd"/>
      <w:r w:rsidRPr="0087384A">
        <w:rPr>
          <w:rFonts w:ascii="Garamond" w:hAnsi="Garamond" w:cs="Times New Roman"/>
          <w:sz w:val="24"/>
          <w:szCs w:val="24"/>
        </w:rPr>
        <w:t xml:space="preserve"> makes classical Islamic books (</w:t>
      </w:r>
      <w:r>
        <w:rPr>
          <w:rFonts w:ascii="Garamond" w:hAnsi="Garamond" w:cs="Times New Roman"/>
          <w:i/>
          <w:iCs/>
          <w:sz w:val="24"/>
          <w:szCs w:val="24"/>
        </w:rPr>
        <w:t xml:space="preserve">kitab </w:t>
      </w:r>
      <w:proofErr w:type="spellStart"/>
      <w:r>
        <w:rPr>
          <w:rFonts w:ascii="Garamond" w:hAnsi="Garamond" w:cs="Times New Roman"/>
          <w:i/>
          <w:iCs/>
          <w:sz w:val="24"/>
          <w:szCs w:val="24"/>
        </w:rPr>
        <w:t>kuning</w:t>
      </w:r>
      <w:proofErr w:type="spellEnd"/>
      <w:r w:rsidRPr="0087384A">
        <w:rPr>
          <w:rFonts w:ascii="Garamond" w:hAnsi="Garamond" w:cs="Times New Roman"/>
          <w:sz w:val="24"/>
          <w:szCs w:val="24"/>
        </w:rPr>
        <w:t xml:space="preserve">) used as a subject of study, as well as a means of levelling students' ability to learn. For example, in </w:t>
      </w:r>
      <w:proofErr w:type="spellStart"/>
      <w:r w:rsidRPr="0087384A">
        <w:rPr>
          <w:rFonts w:ascii="Garamond" w:hAnsi="Garamond" w:cs="Times New Roman"/>
          <w:sz w:val="24"/>
          <w:szCs w:val="24"/>
        </w:rPr>
        <w:t>fiqh</w:t>
      </w:r>
      <w:proofErr w:type="spellEnd"/>
      <w:r w:rsidRPr="0087384A">
        <w:rPr>
          <w:rFonts w:ascii="Garamond" w:hAnsi="Garamond" w:cs="Times New Roman"/>
          <w:sz w:val="24"/>
          <w:szCs w:val="24"/>
        </w:rPr>
        <w:t xml:space="preserve">, the curriculum starts from the books </w:t>
      </w:r>
      <w:proofErr w:type="spellStart"/>
      <w:r w:rsidRPr="0087384A">
        <w:rPr>
          <w:rFonts w:ascii="Garamond" w:hAnsi="Garamond" w:cs="Times New Roman"/>
          <w:i/>
          <w:iCs/>
          <w:sz w:val="24"/>
          <w:szCs w:val="24"/>
        </w:rPr>
        <w:t>Mabadi</w:t>
      </w:r>
      <w:proofErr w:type="spellEnd"/>
      <w:r w:rsidRPr="0087384A">
        <w:rPr>
          <w:rFonts w:ascii="Garamond" w:hAnsi="Garamond" w:cs="Times New Roman"/>
          <w:i/>
          <w:iCs/>
          <w:sz w:val="24"/>
          <w:szCs w:val="24"/>
        </w:rPr>
        <w:t>' al-</w:t>
      </w:r>
      <w:proofErr w:type="spellStart"/>
      <w:r w:rsidRPr="0087384A">
        <w:rPr>
          <w:rFonts w:ascii="Garamond" w:hAnsi="Garamond" w:cs="Times New Roman"/>
          <w:i/>
          <w:iCs/>
          <w:sz w:val="24"/>
          <w:szCs w:val="24"/>
        </w:rPr>
        <w:t>Fiqhiyah</w:t>
      </w:r>
      <w:proofErr w:type="spellEnd"/>
      <w:r w:rsidRPr="0087384A">
        <w:rPr>
          <w:rFonts w:ascii="Garamond" w:hAnsi="Garamond" w:cs="Times New Roman"/>
          <w:i/>
          <w:iCs/>
          <w:sz w:val="24"/>
          <w:szCs w:val="24"/>
        </w:rPr>
        <w:t xml:space="preserve">, </w:t>
      </w:r>
      <w:proofErr w:type="spellStart"/>
      <w:r w:rsidRPr="0087384A">
        <w:rPr>
          <w:rFonts w:ascii="Garamond" w:hAnsi="Garamond" w:cs="Times New Roman"/>
          <w:i/>
          <w:iCs/>
          <w:sz w:val="24"/>
          <w:szCs w:val="24"/>
        </w:rPr>
        <w:t>Tqrib</w:t>
      </w:r>
      <w:proofErr w:type="spellEnd"/>
      <w:r w:rsidRPr="0087384A">
        <w:rPr>
          <w:rFonts w:ascii="Garamond" w:hAnsi="Garamond" w:cs="Times New Roman"/>
          <w:i/>
          <w:iCs/>
          <w:sz w:val="24"/>
          <w:szCs w:val="24"/>
        </w:rPr>
        <w:t xml:space="preserve">, Fath al-Qarib, Fath al-Muin, </w:t>
      </w:r>
      <w:r w:rsidRPr="0087384A">
        <w:rPr>
          <w:rFonts w:ascii="Garamond" w:hAnsi="Garamond" w:cs="Times New Roman"/>
          <w:sz w:val="24"/>
          <w:szCs w:val="24"/>
        </w:rPr>
        <w:t xml:space="preserve">and so on. These books are made in tiered classes for </w:t>
      </w:r>
      <w:proofErr w:type="spellStart"/>
      <w:r>
        <w:rPr>
          <w:rFonts w:ascii="Garamond" w:hAnsi="Garamond" w:cs="Times New Roman"/>
          <w:sz w:val="24"/>
          <w:szCs w:val="24"/>
        </w:rPr>
        <w:t>pesantren</w:t>
      </w:r>
      <w:r w:rsidRPr="0087384A">
        <w:rPr>
          <w:rFonts w:ascii="Garamond" w:hAnsi="Garamond" w:cs="Times New Roman"/>
          <w:sz w:val="24"/>
          <w:szCs w:val="24"/>
        </w:rPr>
        <w:t>s</w:t>
      </w:r>
      <w:proofErr w:type="spellEnd"/>
      <w:r w:rsidRPr="0087384A">
        <w:rPr>
          <w:rFonts w:ascii="Garamond" w:hAnsi="Garamond" w:cs="Times New Roman"/>
          <w:sz w:val="24"/>
          <w:szCs w:val="24"/>
        </w:rPr>
        <w:t xml:space="preserve"> with a class model or presented in the form of </w:t>
      </w:r>
      <w:proofErr w:type="spellStart"/>
      <w:r w:rsidRPr="0087384A">
        <w:rPr>
          <w:rFonts w:ascii="Garamond" w:hAnsi="Garamond" w:cs="Times New Roman"/>
          <w:i/>
          <w:iCs/>
          <w:sz w:val="24"/>
          <w:szCs w:val="24"/>
        </w:rPr>
        <w:t>bandongan</w:t>
      </w:r>
      <w:proofErr w:type="spellEnd"/>
      <w:r w:rsidRPr="0087384A">
        <w:rPr>
          <w:rFonts w:ascii="Garamond" w:hAnsi="Garamond" w:cs="Times New Roman"/>
          <w:i/>
          <w:iCs/>
          <w:sz w:val="24"/>
          <w:szCs w:val="24"/>
        </w:rPr>
        <w:t xml:space="preserve">. </w:t>
      </w:r>
    </w:p>
    <w:p w14:paraId="4ED03D94" w14:textId="77777777" w:rsidR="00AF4385" w:rsidRDefault="00AF4385" w:rsidP="00AF4385">
      <w:pPr>
        <w:pStyle w:val="ListParagraph"/>
        <w:spacing w:before="240" w:after="40" w:line="240" w:lineRule="auto"/>
        <w:ind w:left="0" w:firstLine="709"/>
        <w:jc w:val="both"/>
        <w:rPr>
          <w:rFonts w:ascii="Garamond" w:hAnsi="Garamond" w:cs="Times New Roman"/>
          <w:sz w:val="24"/>
          <w:szCs w:val="24"/>
        </w:rPr>
      </w:pPr>
      <w:r w:rsidRPr="0087384A">
        <w:rPr>
          <w:rFonts w:ascii="Garamond" w:hAnsi="Garamond" w:cs="Times New Roman"/>
          <w:sz w:val="24"/>
          <w:szCs w:val="24"/>
        </w:rPr>
        <w:t xml:space="preserve">The </w:t>
      </w:r>
      <w:r>
        <w:rPr>
          <w:rFonts w:ascii="Garamond" w:hAnsi="Garamond" w:cs="Times New Roman"/>
          <w:i/>
          <w:iCs/>
          <w:sz w:val="24"/>
          <w:szCs w:val="24"/>
        </w:rPr>
        <w:t xml:space="preserve">kitab </w:t>
      </w:r>
      <w:proofErr w:type="spellStart"/>
      <w:r>
        <w:rPr>
          <w:rFonts w:ascii="Garamond" w:hAnsi="Garamond" w:cs="Times New Roman"/>
          <w:i/>
          <w:iCs/>
          <w:sz w:val="24"/>
          <w:szCs w:val="24"/>
        </w:rPr>
        <w:t>kuning</w:t>
      </w:r>
      <w:proofErr w:type="spellEnd"/>
      <w:r w:rsidRPr="0087384A">
        <w:rPr>
          <w:rFonts w:ascii="Garamond" w:hAnsi="Garamond" w:cs="Times New Roman"/>
          <w:sz w:val="24"/>
          <w:szCs w:val="24"/>
        </w:rPr>
        <w:t xml:space="preserve"> that is the subject of study in </w:t>
      </w:r>
      <w:proofErr w:type="spellStart"/>
      <w:r>
        <w:rPr>
          <w:rFonts w:ascii="Garamond" w:hAnsi="Garamond" w:cs="Times New Roman"/>
          <w:sz w:val="24"/>
          <w:szCs w:val="24"/>
        </w:rPr>
        <w:t>pesantren</w:t>
      </w:r>
      <w:r w:rsidRPr="0087384A">
        <w:rPr>
          <w:rFonts w:ascii="Garamond" w:hAnsi="Garamond" w:cs="Times New Roman"/>
          <w:sz w:val="24"/>
          <w:szCs w:val="24"/>
        </w:rPr>
        <w:t>s</w:t>
      </w:r>
      <w:proofErr w:type="spellEnd"/>
      <w:r w:rsidRPr="0087384A">
        <w:rPr>
          <w:rFonts w:ascii="Garamond" w:hAnsi="Garamond" w:cs="Times New Roman"/>
          <w:sz w:val="24"/>
          <w:szCs w:val="24"/>
        </w:rPr>
        <w:t xml:space="preserve"> is inseparable from Islamic sciences, such as monotheism, jurisprudence, Sufism, tafsir, hadith, and </w:t>
      </w:r>
      <w:r w:rsidRPr="0087384A">
        <w:rPr>
          <w:rFonts w:ascii="Garamond" w:hAnsi="Garamond" w:cs="Times New Roman"/>
          <w:i/>
          <w:iCs/>
          <w:sz w:val="24"/>
          <w:szCs w:val="24"/>
        </w:rPr>
        <w:t xml:space="preserve">date </w:t>
      </w:r>
      <w:r w:rsidRPr="0087384A">
        <w:rPr>
          <w:rFonts w:ascii="Garamond" w:hAnsi="Garamond" w:cs="Times New Roman"/>
          <w:sz w:val="24"/>
          <w:szCs w:val="24"/>
        </w:rPr>
        <w:t xml:space="preserve">(history), in ten of the sciences of tools such as </w:t>
      </w:r>
      <w:proofErr w:type="spellStart"/>
      <w:r w:rsidRPr="0087384A">
        <w:rPr>
          <w:rFonts w:ascii="Garamond" w:hAnsi="Garamond" w:cs="Times New Roman"/>
          <w:sz w:val="24"/>
          <w:szCs w:val="24"/>
        </w:rPr>
        <w:t>nahwu</w:t>
      </w:r>
      <w:proofErr w:type="spellEnd"/>
      <w:r w:rsidRPr="0087384A">
        <w:rPr>
          <w:rFonts w:ascii="Garamond" w:hAnsi="Garamond" w:cs="Times New Roman"/>
          <w:sz w:val="24"/>
          <w:szCs w:val="24"/>
        </w:rPr>
        <w:t xml:space="preserve">, Sharaf, </w:t>
      </w:r>
      <w:proofErr w:type="spellStart"/>
      <w:r w:rsidRPr="0087384A">
        <w:rPr>
          <w:rFonts w:ascii="Garamond" w:hAnsi="Garamond" w:cs="Times New Roman"/>
          <w:sz w:val="24"/>
          <w:szCs w:val="24"/>
        </w:rPr>
        <w:t>balaghah</w:t>
      </w:r>
      <w:proofErr w:type="spellEnd"/>
      <w:r w:rsidRPr="0087384A">
        <w:rPr>
          <w:rFonts w:ascii="Garamond" w:hAnsi="Garamond" w:cs="Times New Roman"/>
          <w:sz w:val="24"/>
          <w:szCs w:val="24"/>
        </w:rPr>
        <w:t xml:space="preserve">, and others. These books consist of three patterns, basic </w:t>
      </w:r>
      <w:r w:rsidRPr="0087384A">
        <w:rPr>
          <w:rFonts w:ascii="Garamond" w:hAnsi="Garamond" w:cs="Times New Roman"/>
          <w:i/>
          <w:iCs/>
          <w:sz w:val="24"/>
          <w:szCs w:val="24"/>
        </w:rPr>
        <w:t>(</w:t>
      </w:r>
      <w:proofErr w:type="spellStart"/>
      <w:r w:rsidRPr="0087384A">
        <w:rPr>
          <w:rFonts w:ascii="Garamond" w:hAnsi="Garamond" w:cs="Times New Roman"/>
          <w:i/>
          <w:iCs/>
          <w:sz w:val="24"/>
          <w:szCs w:val="24"/>
        </w:rPr>
        <w:t>matn</w:t>
      </w:r>
      <w:proofErr w:type="spellEnd"/>
      <w:r w:rsidRPr="0087384A">
        <w:rPr>
          <w:rFonts w:ascii="Garamond" w:hAnsi="Garamond" w:cs="Times New Roman"/>
          <w:i/>
          <w:iCs/>
          <w:sz w:val="24"/>
          <w:szCs w:val="24"/>
        </w:rPr>
        <w:t xml:space="preserve">), </w:t>
      </w:r>
      <w:r w:rsidRPr="0087384A">
        <w:rPr>
          <w:rFonts w:ascii="Garamond" w:hAnsi="Garamond" w:cs="Times New Roman"/>
          <w:sz w:val="24"/>
          <w:szCs w:val="24"/>
        </w:rPr>
        <w:t xml:space="preserve">intermediate </w:t>
      </w:r>
      <w:r w:rsidRPr="0087384A">
        <w:rPr>
          <w:rFonts w:ascii="Garamond" w:hAnsi="Garamond" w:cs="Times New Roman"/>
          <w:i/>
          <w:iCs/>
          <w:sz w:val="24"/>
          <w:szCs w:val="24"/>
        </w:rPr>
        <w:t>(</w:t>
      </w:r>
      <w:proofErr w:type="spellStart"/>
      <w:r w:rsidRPr="0087384A">
        <w:rPr>
          <w:rFonts w:ascii="Garamond" w:hAnsi="Garamond" w:cs="Times New Roman"/>
          <w:i/>
          <w:iCs/>
          <w:sz w:val="24"/>
          <w:szCs w:val="24"/>
        </w:rPr>
        <w:t>syarah</w:t>
      </w:r>
      <w:proofErr w:type="spellEnd"/>
      <w:r w:rsidRPr="0087384A">
        <w:rPr>
          <w:rFonts w:ascii="Garamond" w:hAnsi="Garamond" w:cs="Times New Roman"/>
          <w:i/>
          <w:iCs/>
          <w:sz w:val="24"/>
          <w:szCs w:val="24"/>
        </w:rPr>
        <w:t>),</w:t>
      </w:r>
      <w:r w:rsidRPr="0087384A">
        <w:rPr>
          <w:rFonts w:ascii="Garamond" w:hAnsi="Garamond" w:cs="Times New Roman"/>
          <w:sz w:val="24"/>
          <w:szCs w:val="24"/>
        </w:rPr>
        <w:t xml:space="preserve"> and big book </w:t>
      </w:r>
      <w:r w:rsidRPr="0087384A">
        <w:rPr>
          <w:rFonts w:ascii="Garamond" w:hAnsi="Garamond" w:cs="Times New Roman"/>
          <w:i/>
          <w:iCs/>
          <w:sz w:val="24"/>
          <w:szCs w:val="24"/>
        </w:rPr>
        <w:t>(</w:t>
      </w:r>
      <w:proofErr w:type="spellStart"/>
      <w:r w:rsidRPr="0087384A">
        <w:rPr>
          <w:rFonts w:ascii="Garamond" w:hAnsi="Garamond" w:cs="Times New Roman"/>
          <w:i/>
          <w:iCs/>
          <w:sz w:val="24"/>
          <w:szCs w:val="24"/>
        </w:rPr>
        <w:t>hasyiyah</w:t>
      </w:r>
      <w:proofErr w:type="spellEnd"/>
      <w:r w:rsidRPr="0087384A">
        <w:rPr>
          <w:rFonts w:ascii="Garamond" w:hAnsi="Garamond" w:cs="Times New Roman"/>
          <w:i/>
          <w:iCs/>
          <w:sz w:val="24"/>
          <w:szCs w:val="24"/>
        </w:rPr>
        <w:t xml:space="preserve">) </w:t>
      </w:r>
      <w:r w:rsidRPr="0087384A">
        <w:rPr>
          <w:rStyle w:val="FootnoteReference"/>
          <w:rFonts w:ascii="Garamond" w:hAnsi="Garamond"/>
          <w:i/>
          <w:iCs/>
          <w:sz w:val="24"/>
          <w:szCs w:val="24"/>
        </w:rPr>
        <w:fldChar w:fldCharType="begin" w:fldLock="1"/>
      </w:r>
      <w:r w:rsidRPr="0087384A">
        <w:rPr>
          <w:rFonts w:ascii="Garamond" w:hAnsi="Garamond"/>
          <w:iCs/>
          <w:sz w:val="24"/>
          <w:szCs w:val="24"/>
        </w:rPr>
        <w:instrText>ADDIN CSL_CITATION {"citationItems":[{"id":"ITEM-1","itemData":{"ISSN":"2775-4855","abstract":"Muhammadiyah and NU are mainstream Islamic social organizations in Indonesia that were established before Indonesia's independence. These two organizations drive the renewal of Islamic thought, da'wah, social, health and education. KH. Ahmad Dahlan is a founder of Muhammadiyah. In the field of education, Muhammadiyah is modernizing Islamic education in Indonesia. By perfecting the Islamic education curriculum by incorporating Islamic religious education into public schools and secular knowledge into religious schools. The rise of Islam in Indonesia was also colored by the thoughts of KH. Hasyim Asy'ari, the founder of NU, which was different from KH. Ahmad Dahlan. The rise of KH.Hasyim Asy'ari's thinking is to want to maintain traditionalism, but also want changes for the better in Indonesian Islamic education. The objectives of this study are 1) to examine the thoughts of KH. Ahmad Dahlan in the field of","author":[{"dropping-particle":"","family":"Fitri","given":"Riskal","non-dropping-particle":"","parse-names":false,"suffix":""},{"dropping-particle":"","family":"Ondeng","given":"Syarifuddin","non-dropping-particle":"","parse-names":false,"suffix":""}],"container-title":"Al Urwatul Wutsqa: Kajian Pendidikan Islam","id":"ITEM-1","issue":"1","issued":{"date-parts":[["2022"]]},"page":"42-54","title":"Pesantren Di Indonesia: Lembaga Pembentukan Karakter","type":"article-journal","volume":"2"},"uris":["http://www.mendeley.com/documents/?uuid=7992a1d7-4af5-40f3-95d7-09770e16fcc8"]}],"mendeley":{"formattedCitation":"(Fitri &amp; Ondeng, 2022)","plainTextFormattedCitation":"(Fitri &amp; Ondeng, 2022)","previouslyFormattedCitation":"(Fitri &amp; Ondeng, 2022)"},"properties":{"noteIndex":0},"schema":"https://github.com/citation-style-language/schema/raw/master/csl-citation.json"}</w:instrText>
      </w:r>
      <w:r w:rsidRPr="0087384A">
        <w:rPr>
          <w:rStyle w:val="FootnoteReference"/>
          <w:rFonts w:ascii="Garamond" w:hAnsi="Garamond"/>
          <w:i/>
          <w:iCs/>
          <w:sz w:val="24"/>
          <w:szCs w:val="24"/>
        </w:rPr>
        <w:fldChar w:fldCharType="separate"/>
      </w:r>
      <w:r w:rsidRPr="0087384A">
        <w:rPr>
          <w:rFonts w:ascii="Garamond" w:hAnsi="Garamond"/>
          <w:bCs/>
          <w:iCs/>
          <w:noProof/>
          <w:sz w:val="24"/>
          <w:szCs w:val="24"/>
          <w:lang w:val="en-US"/>
        </w:rPr>
        <w:t>(Fitri &amp; Ondeng, 2022)</w:t>
      </w:r>
      <w:r w:rsidRPr="0087384A">
        <w:rPr>
          <w:rStyle w:val="FootnoteReference"/>
          <w:rFonts w:ascii="Garamond" w:hAnsi="Garamond"/>
          <w:i/>
          <w:iCs/>
          <w:sz w:val="24"/>
          <w:szCs w:val="24"/>
        </w:rPr>
        <w:fldChar w:fldCharType="end"/>
      </w:r>
      <w:r w:rsidRPr="0087384A">
        <w:rPr>
          <w:rFonts w:ascii="Garamond" w:hAnsi="Garamond" w:cs="Times New Roman"/>
          <w:i/>
          <w:iCs/>
          <w:sz w:val="24"/>
          <w:szCs w:val="24"/>
        </w:rPr>
        <w:t>.</w:t>
      </w:r>
      <w:r w:rsidRPr="0087384A">
        <w:rPr>
          <w:rFonts w:ascii="Garamond" w:hAnsi="Garamond" w:cs="Times New Roman"/>
          <w:sz w:val="24"/>
          <w:szCs w:val="24"/>
        </w:rPr>
        <w:t xml:space="preserve"> However, the curriculum of the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does not have rigid and rigid standards. The implementation of learning is adjusted to the existing circumstances of the </w:t>
      </w:r>
      <w:proofErr w:type="spellStart"/>
      <w:r>
        <w:rPr>
          <w:rFonts w:ascii="Garamond" w:hAnsi="Garamond" w:cs="Times New Roman"/>
          <w:sz w:val="24"/>
          <w:szCs w:val="24"/>
        </w:rPr>
        <w:t>pesantren</w:t>
      </w:r>
      <w:proofErr w:type="spellEnd"/>
      <w:r w:rsidRPr="0087384A">
        <w:rPr>
          <w:rFonts w:ascii="Garamond" w:hAnsi="Garamond" w:cs="Times New Roman"/>
          <w:sz w:val="24"/>
          <w:szCs w:val="24"/>
        </w:rPr>
        <w:t xml:space="preserve">. </w:t>
      </w:r>
      <w:r w:rsidRPr="0089710D">
        <w:rPr>
          <w:rFonts w:ascii="Garamond" w:hAnsi="Garamond" w:cs="Times New Roman"/>
          <w:sz w:val="24"/>
          <w:szCs w:val="24"/>
        </w:rPr>
        <w:t>The following is an example of a curriculum at the NU Islamic boarding school:</w:t>
      </w:r>
    </w:p>
    <w:p w14:paraId="25D7339B" w14:textId="77777777" w:rsidR="00AF4385" w:rsidRPr="0089710D" w:rsidRDefault="00AF4385" w:rsidP="00AF4385">
      <w:pPr>
        <w:pStyle w:val="ListParagraph"/>
        <w:spacing w:before="240" w:after="40" w:line="240" w:lineRule="auto"/>
        <w:ind w:left="0" w:firstLine="709"/>
        <w:jc w:val="both"/>
        <w:rPr>
          <w:rFonts w:ascii="Garamond" w:hAnsi="Garamond" w:cs="Times New Roman"/>
          <w:sz w:val="24"/>
          <w:szCs w:val="24"/>
        </w:rPr>
      </w:pPr>
    </w:p>
    <w:p w14:paraId="4BE376CF" w14:textId="77777777" w:rsidR="00AF4385" w:rsidRDefault="00AF4385" w:rsidP="00AF4385">
      <w:pPr>
        <w:pStyle w:val="ListParagraph"/>
        <w:spacing w:before="240" w:after="40" w:line="240" w:lineRule="auto"/>
        <w:ind w:left="0"/>
        <w:jc w:val="center"/>
        <w:rPr>
          <w:rFonts w:ascii="Garamond" w:hAnsi="Garamond" w:cs="Times New Roman"/>
          <w:sz w:val="24"/>
          <w:szCs w:val="24"/>
        </w:rPr>
      </w:pPr>
      <w:r w:rsidRPr="0087384A">
        <w:rPr>
          <w:rFonts w:ascii="Garamond" w:hAnsi="Garamond" w:cs="Times New Roman"/>
          <w:sz w:val="24"/>
          <w:szCs w:val="24"/>
        </w:rPr>
        <w:t xml:space="preserve">Table 1. NU </w:t>
      </w:r>
      <w:proofErr w:type="spellStart"/>
      <w:r>
        <w:rPr>
          <w:rFonts w:ascii="Garamond" w:hAnsi="Garamond" w:cs="Times New Roman"/>
          <w:sz w:val="24"/>
          <w:szCs w:val="24"/>
        </w:rPr>
        <w:t>Pesantren</w:t>
      </w:r>
      <w:proofErr w:type="spellEnd"/>
      <w:r>
        <w:rPr>
          <w:rFonts w:ascii="Garamond" w:hAnsi="Garamond" w:cs="Times New Roman"/>
          <w:sz w:val="24"/>
          <w:szCs w:val="24"/>
        </w:rPr>
        <w:t xml:space="preserve"> </w:t>
      </w:r>
      <w:r w:rsidRPr="0087384A">
        <w:rPr>
          <w:rFonts w:ascii="Garamond" w:hAnsi="Garamond" w:cs="Times New Roman"/>
          <w:sz w:val="24"/>
          <w:szCs w:val="24"/>
        </w:rPr>
        <w:t>Curriculum</w:t>
      </w:r>
    </w:p>
    <w:p w14:paraId="7051B132" w14:textId="77777777" w:rsidR="00AF4385" w:rsidRPr="0087384A" w:rsidRDefault="00AF4385" w:rsidP="00AF4385">
      <w:pPr>
        <w:pStyle w:val="ListParagraph"/>
        <w:spacing w:before="240" w:after="40" w:line="240" w:lineRule="auto"/>
        <w:ind w:left="0"/>
        <w:jc w:val="center"/>
        <w:rPr>
          <w:rFonts w:ascii="Garamond" w:hAnsi="Garamond" w:cs="Times New Roman"/>
          <w:sz w:val="24"/>
          <w:szCs w:val="24"/>
        </w:rPr>
      </w:pPr>
    </w:p>
    <w:tbl>
      <w:tblPr>
        <w:tblStyle w:val="TableGrid"/>
        <w:tblW w:w="9024" w:type="dxa"/>
        <w:tblLook w:val="04A0" w:firstRow="1" w:lastRow="0" w:firstColumn="1" w:lastColumn="0" w:noHBand="0" w:noVBand="1"/>
      </w:tblPr>
      <w:tblGrid>
        <w:gridCol w:w="1803"/>
        <w:gridCol w:w="1803"/>
        <w:gridCol w:w="1803"/>
        <w:gridCol w:w="1803"/>
        <w:gridCol w:w="1804"/>
        <w:gridCol w:w="8"/>
      </w:tblGrid>
      <w:tr w:rsidR="00AF4385" w:rsidRPr="0087384A" w14:paraId="219A3CC3" w14:textId="77777777" w:rsidTr="00214B0A">
        <w:tc>
          <w:tcPr>
            <w:tcW w:w="1803" w:type="dxa"/>
            <w:vMerge w:val="restart"/>
            <w:vAlign w:val="center"/>
          </w:tcPr>
          <w:p w14:paraId="0907CEBE" w14:textId="77777777" w:rsidR="00AF4385" w:rsidRPr="0087384A" w:rsidRDefault="00AF4385" w:rsidP="00214B0A">
            <w:pPr>
              <w:pStyle w:val="ListParagraph"/>
              <w:spacing w:before="240" w:after="40" w:line="240" w:lineRule="auto"/>
              <w:ind w:left="0"/>
              <w:jc w:val="center"/>
              <w:rPr>
                <w:rFonts w:ascii="Garamond" w:hAnsi="Garamond" w:cs="Times New Roman"/>
                <w:b/>
                <w:bCs/>
                <w:sz w:val="24"/>
                <w:szCs w:val="24"/>
              </w:rPr>
            </w:pPr>
            <w:r w:rsidRPr="0087384A">
              <w:rPr>
                <w:rFonts w:ascii="Garamond" w:hAnsi="Garamond" w:cs="Times New Roman"/>
                <w:b/>
                <w:bCs/>
                <w:sz w:val="24"/>
                <w:szCs w:val="24"/>
              </w:rPr>
              <w:t>Study Materials</w:t>
            </w:r>
          </w:p>
        </w:tc>
        <w:tc>
          <w:tcPr>
            <w:tcW w:w="7221" w:type="dxa"/>
            <w:gridSpan w:val="5"/>
            <w:vAlign w:val="center"/>
          </w:tcPr>
          <w:p w14:paraId="0B930101" w14:textId="77777777" w:rsidR="00AF4385" w:rsidRPr="0087384A" w:rsidRDefault="00AF4385" w:rsidP="00214B0A">
            <w:pPr>
              <w:pStyle w:val="ListParagraph"/>
              <w:spacing w:before="240" w:after="40" w:line="240" w:lineRule="auto"/>
              <w:ind w:left="0"/>
              <w:jc w:val="center"/>
              <w:rPr>
                <w:rFonts w:ascii="Garamond" w:hAnsi="Garamond" w:cs="Times New Roman"/>
                <w:b/>
                <w:bCs/>
                <w:sz w:val="24"/>
                <w:szCs w:val="24"/>
              </w:rPr>
            </w:pPr>
            <w:proofErr w:type="spellStart"/>
            <w:r w:rsidRPr="0087384A">
              <w:rPr>
                <w:rFonts w:ascii="Garamond" w:hAnsi="Garamond" w:cs="Times New Roman"/>
                <w:b/>
                <w:bCs/>
                <w:sz w:val="24"/>
                <w:szCs w:val="24"/>
              </w:rPr>
              <w:t>Pesantren</w:t>
            </w:r>
            <w:proofErr w:type="spellEnd"/>
          </w:p>
        </w:tc>
      </w:tr>
      <w:tr w:rsidR="00AF4385" w:rsidRPr="0087384A" w14:paraId="0D8B5F72" w14:textId="77777777" w:rsidTr="00214B0A">
        <w:trPr>
          <w:gridAfter w:val="1"/>
          <w:wAfter w:w="8" w:type="dxa"/>
        </w:trPr>
        <w:tc>
          <w:tcPr>
            <w:tcW w:w="1803" w:type="dxa"/>
            <w:vMerge/>
            <w:vAlign w:val="center"/>
          </w:tcPr>
          <w:p w14:paraId="3519BD90" w14:textId="77777777" w:rsidR="00AF4385" w:rsidRPr="0087384A" w:rsidRDefault="00AF4385" w:rsidP="00214B0A">
            <w:pPr>
              <w:pStyle w:val="ListParagraph"/>
              <w:spacing w:before="240" w:after="40" w:line="240" w:lineRule="auto"/>
              <w:ind w:left="0"/>
              <w:jc w:val="center"/>
              <w:rPr>
                <w:rFonts w:ascii="Garamond" w:hAnsi="Garamond" w:cs="Times New Roman"/>
                <w:b/>
                <w:bCs/>
                <w:sz w:val="24"/>
                <w:szCs w:val="24"/>
              </w:rPr>
            </w:pPr>
          </w:p>
        </w:tc>
        <w:tc>
          <w:tcPr>
            <w:tcW w:w="1803" w:type="dxa"/>
            <w:vAlign w:val="center"/>
          </w:tcPr>
          <w:p w14:paraId="378A040C" w14:textId="77777777" w:rsidR="00AF4385" w:rsidRPr="0087384A" w:rsidRDefault="00AF4385" w:rsidP="00214B0A">
            <w:pPr>
              <w:pStyle w:val="ListParagraph"/>
              <w:spacing w:before="240" w:after="40" w:line="240" w:lineRule="auto"/>
              <w:ind w:left="0"/>
              <w:jc w:val="center"/>
              <w:rPr>
                <w:rFonts w:ascii="Garamond" w:hAnsi="Garamond" w:cs="Times New Roman"/>
                <w:b/>
                <w:bCs/>
                <w:sz w:val="24"/>
                <w:szCs w:val="24"/>
              </w:rPr>
            </w:pPr>
            <w:proofErr w:type="spellStart"/>
            <w:r w:rsidRPr="0087384A">
              <w:rPr>
                <w:rFonts w:ascii="Garamond" w:hAnsi="Garamond" w:cs="Times New Roman"/>
                <w:b/>
                <w:bCs/>
                <w:sz w:val="24"/>
                <w:szCs w:val="24"/>
              </w:rPr>
              <w:t>Langitan</w:t>
            </w:r>
            <w:proofErr w:type="spellEnd"/>
          </w:p>
        </w:tc>
        <w:tc>
          <w:tcPr>
            <w:tcW w:w="1803" w:type="dxa"/>
            <w:vAlign w:val="center"/>
          </w:tcPr>
          <w:p w14:paraId="44CA05D1" w14:textId="77777777" w:rsidR="00AF4385" w:rsidRPr="0087384A" w:rsidRDefault="00AF4385" w:rsidP="00214B0A">
            <w:pPr>
              <w:pStyle w:val="ListParagraph"/>
              <w:spacing w:before="240" w:after="40" w:line="240" w:lineRule="auto"/>
              <w:ind w:left="0"/>
              <w:jc w:val="center"/>
              <w:rPr>
                <w:rFonts w:ascii="Garamond" w:hAnsi="Garamond" w:cs="Times New Roman"/>
                <w:b/>
                <w:bCs/>
                <w:sz w:val="24"/>
                <w:szCs w:val="24"/>
              </w:rPr>
            </w:pPr>
            <w:proofErr w:type="spellStart"/>
            <w:r w:rsidRPr="0087384A">
              <w:rPr>
                <w:rFonts w:ascii="Garamond" w:hAnsi="Garamond" w:cs="Times New Roman"/>
                <w:b/>
                <w:bCs/>
                <w:sz w:val="24"/>
                <w:szCs w:val="24"/>
              </w:rPr>
              <w:t>Lirboyo</w:t>
            </w:r>
            <w:proofErr w:type="spellEnd"/>
          </w:p>
        </w:tc>
        <w:tc>
          <w:tcPr>
            <w:tcW w:w="1803" w:type="dxa"/>
            <w:vAlign w:val="center"/>
          </w:tcPr>
          <w:p w14:paraId="154E0B61" w14:textId="77777777" w:rsidR="00AF4385" w:rsidRPr="0087384A" w:rsidRDefault="00AF4385" w:rsidP="00214B0A">
            <w:pPr>
              <w:pStyle w:val="ListParagraph"/>
              <w:spacing w:before="240" w:after="40" w:line="240" w:lineRule="auto"/>
              <w:ind w:left="0"/>
              <w:jc w:val="center"/>
              <w:rPr>
                <w:rFonts w:ascii="Garamond" w:hAnsi="Garamond" w:cs="Times New Roman"/>
                <w:b/>
                <w:bCs/>
                <w:sz w:val="24"/>
                <w:szCs w:val="24"/>
              </w:rPr>
            </w:pPr>
            <w:r w:rsidRPr="0087384A">
              <w:rPr>
                <w:rFonts w:ascii="Garamond" w:hAnsi="Garamond" w:cs="Times New Roman"/>
                <w:b/>
                <w:bCs/>
                <w:sz w:val="24"/>
                <w:szCs w:val="24"/>
              </w:rPr>
              <w:t xml:space="preserve">Al-Falah </w:t>
            </w:r>
            <w:proofErr w:type="spellStart"/>
            <w:r w:rsidRPr="0087384A">
              <w:rPr>
                <w:rFonts w:ascii="Garamond" w:hAnsi="Garamond" w:cs="Times New Roman"/>
                <w:b/>
                <w:bCs/>
                <w:sz w:val="24"/>
                <w:szCs w:val="24"/>
              </w:rPr>
              <w:t>Ploso</w:t>
            </w:r>
            <w:proofErr w:type="spellEnd"/>
          </w:p>
        </w:tc>
        <w:tc>
          <w:tcPr>
            <w:tcW w:w="1804" w:type="dxa"/>
            <w:vAlign w:val="center"/>
          </w:tcPr>
          <w:p w14:paraId="6E1743A7" w14:textId="77777777" w:rsidR="00AF4385" w:rsidRPr="0087384A" w:rsidRDefault="00AF4385" w:rsidP="00214B0A">
            <w:pPr>
              <w:pStyle w:val="ListParagraph"/>
              <w:spacing w:before="240" w:after="40" w:line="240" w:lineRule="auto"/>
              <w:ind w:left="0"/>
              <w:jc w:val="center"/>
              <w:rPr>
                <w:rFonts w:ascii="Garamond" w:hAnsi="Garamond" w:cs="Times New Roman"/>
                <w:b/>
                <w:bCs/>
                <w:sz w:val="24"/>
                <w:szCs w:val="24"/>
              </w:rPr>
            </w:pPr>
            <w:proofErr w:type="spellStart"/>
            <w:r w:rsidRPr="0087384A">
              <w:rPr>
                <w:rFonts w:ascii="Garamond" w:hAnsi="Garamond" w:cs="Times New Roman"/>
                <w:b/>
                <w:bCs/>
                <w:sz w:val="24"/>
                <w:szCs w:val="24"/>
              </w:rPr>
              <w:t>Sidogiri</w:t>
            </w:r>
            <w:proofErr w:type="spellEnd"/>
          </w:p>
        </w:tc>
      </w:tr>
      <w:tr w:rsidR="00AF4385" w:rsidRPr="0087384A" w14:paraId="4C432644" w14:textId="77777777" w:rsidTr="00214B0A">
        <w:trPr>
          <w:gridAfter w:val="1"/>
          <w:wAfter w:w="8" w:type="dxa"/>
        </w:trPr>
        <w:tc>
          <w:tcPr>
            <w:tcW w:w="1803" w:type="dxa"/>
            <w:vAlign w:val="center"/>
          </w:tcPr>
          <w:p w14:paraId="36D962F8"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r w:rsidRPr="0087384A">
              <w:rPr>
                <w:rFonts w:ascii="Garamond" w:hAnsi="Garamond" w:cs="Times New Roman"/>
                <w:sz w:val="24"/>
                <w:szCs w:val="24"/>
              </w:rPr>
              <w:t>Tauhid</w:t>
            </w:r>
          </w:p>
        </w:tc>
        <w:tc>
          <w:tcPr>
            <w:tcW w:w="1803" w:type="dxa"/>
            <w:vAlign w:val="center"/>
          </w:tcPr>
          <w:p w14:paraId="4CB693AB"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roofErr w:type="spellStart"/>
            <w:r w:rsidRPr="0087384A">
              <w:rPr>
                <w:rFonts w:ascii="Garamond" w:hAnsi="Garamond" w:cs="Times New Roman"/>
                <w:i/>
                <w:iCs/>
                <w:sz w:val="24"/>
                <w:szCs w:val="24"/>
              </w:rPr>
              <w:t>Kifayah</w:t>
            </w:r>
            <w:proofErr w:type="spellEnd"/>
            <w:r w:rsidRPr="0087384A">
              <w:rPr>
                <w:rFonts w:ascii="Garamond" w:hAnsi="Garamond" w:cs="Times New Roman"/>
                <w:i/>
                <w:iCs/>
                <w:sz w:val="24"/>
                <w:szCs w:val="24"/>
              </w:rPr>
              <w:t xml:space="preserve"> al-Awam</w:t>
            </w:r>
          </w:p>
        </w:tc>
        <w:tc>
          <w:tcPr>
            <w:tcW w:w="1803" w:type="dxa"/>
            <w:vAlign w:val="center"/>
          </w:tcPr>
          <w:p w14:paraId="134BDD37"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roofErr w:type="spellStart"/>
            <w:r w:rsidRPr="0087384A">
              <w:rPr>
                <w:rFonts w:ascii="Garamond" w:hAnsi="Garamond"/>
                <w:i/>
                <w:iCs/>
                <w:sz w:val="24"/>
                <w:szCs w:val="24"/>
              </w:rPr>
              <w:t>Kifayatul</w:t>
            </w:r>
            <w:proofErr w:type="spellEnd"/>
            <w:r w:rsidRPr="0087384A">
              <w:rPr>
                <w:rFonts w:ascii="Garamond" w:hAnsi="Garamond"/>
                <w:i/>
                <w:iCs/>
                <w:sz w:val="24"/>
                <w:szCs w:val="24"/>
              </w:rPr>
              <w:t xml:space="preserve"> ‘Awam</w:t>
            </w:r>
          </w:p>
        </w:tc>
        <w:tc>
          <w:tcPr>
            <w:tcW w:w="1803" w:type="dxa"/>
            <w:vAlign w:val="center"/>
          </w:tcPr>
          <w:p w14:paraId="60725581"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roofErr w:type="spellStart"/>
            <w:r w:rsidRPr="0087384A">
              <w:rPr>
                <w:rFonts w:ascii="Garamond" w:hAnsi="Garamond"/>
                <w:i/>
                <w:iCs/>
                <w:sz w:val="24"/>
                <w:szCs w:val="24"/>
              </w:rPr>
              <w:t>Jauharotut</w:t>
            </w:r>
            <w:proofErr w:type="spellEnd"/>
            <w:r w:rsidRPr="0087384A">
              <w:rPr>
                <w:rFonts w:ascii="Garamond" w:hAnsi="Garamond"/>
                <w:i/>
                <w:iCs/>
                <w:sz w:val="24"/>
                <w:szCs w:val="24"/>
              </w:rPr>
              <w:t xml:space="preserve"> tauhid</w:t>
            </w:r>
          </w:p>
        </w:tc>
        <w:tc>
          <w:tcPr>
            <w:tcW w:w="1804" w:type="dxa"/>
            <w:vAlign w:val="center"/>
          </w:tcPr>
          <w:p w14:paraId="1D471D7E"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p>
        </w:tc>
      </w:tr>
      <w:tr w:rsidR="00AF4385" w:rsidRPr="0087384A" w14:paraId="7E7890CB" w14:textId="77777777" w:rsidTr="00214B0A">
        <w:trPr>
          <w:gridAfter w:val="1"/>
          <w:wAfter w:w="8" w:type="dxa"/>
        </w:trPr>
        <w:tc>
          <w:tcPr>
            <w:tcW w:w="1803" w:type="dxa"/>
            <w:vAlign w:val="center"/>
          </w:tcPr>
          <w:p w14:paraId="471FE115"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proofErr w:type="spellStart"/>
            <w:r w:rsidRPr="0087384A">
              <w:rPr>
                <w:rFonts w:ascii="Garamond" w:hAnsi="Garamond" w:cs="Times New Roman"/>
                <w:sz w:val="24"/>
                <w:szCs w:val="24"/>
              </w:rPr>
              <w:t>Fiqih</w:t>
            </w:r>
            <w:proofErr w:type="spellEnd"/>
          </w:p>
        </w:tc>
        <w:tc>
          <w:tcPr>
            <w:tcW w:w="1803" w:type="dxa"/>
            <w:vAlign w:val="center"/>
          </w:tcPr>
          <w:p w14:paraId="2D0ACF6D"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r w:rsidRPr="0087384A">
              <w:rPr>
                <w:rFonts w:ascii="Garamond" w:hAnsi="Garamond" w:cs="Times New Roman"/>
                <w:i/>
                <w:iCs/>
                <w:sz w:val="24"/>
                <w:szCs w:val="24"/>
              </w:rPr>
              <w:t>Fath al-</w:t>
            </w:r>
            <w:proofErr w:type="spellStart"/>
            <w:r w:rsidRPr="0087384A">
              <w:rPr>
                <w:rFonts w:ascii="Garamond" w:hAnsi="Garamond" w:cs="Times New Roman"/>
                <w:i/>
                <w:iCs/>
                <w:sz w:val="24"/>
                <w:szCs w:val="24"/>
              </w:rPr>
              <w:t>Mu’in</w:t>
            </w:r>
            <w:proofErr w:type="spellEnd"/>
            <w:r w:rsidRPr="0087384A">
              <w:rPr>
                <w:rFonts w:ascii="Garamond" w:hAnsi="Garamond" w:cs="Times New Roman"/>
                <w:i/>
                <w:iCs/>
                <w:sz w:val="24"/>
                <w:szCs w:val="24"/>
              </w:rPr>
              <w:t xml:space="preserve"> 1-2</w:t>
            </w:r>
          </w:p>
        </w:tc>
        <w:tc>
          <w:tcPr>
            <w:tcW w:w="1803" w:type="dxa"/>
            <w:vAlign w:val="center"/>
          </w:tcPr>
          <w:p w14:paraId="12C4588D"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r w:rsidRPr="0087384A">
              <w:rPr>
                <w:rFonts w:ascii="Garamond" w:hAnsi="Garamond" w:cs="Times New Roman"/>
                <w:i/>
                <w:iCs/>
                <w:sz w:val="24"/>
                <w:szCs w:val="24"/>
              </w:rPr>
              <w:t>Fath al-</w:t>
            </w:r>
            <w:proofErr w:type="spellStart"/>
            <w:r w:rsidRPr="0087384A">
              <w:rPr>
                <w:rFonts w:ascii="Garamond" w:hAnsi="Garamond" w:cs="Times New Roman"/>
                <w:i/>
                <w:iCs/>
                <w:sz w:val="24"/>
                <w:szCs w:val="24"/>
              </w:rPr>
              <w:t>Mu’in</w:t>
            </w:r>
            <w:proofErr w:type="spellEnd"/>
            <w:r w:rsidRPr="0087384A">
              <w:rPr>
                <w:rFonts w:ascii="Garamond" w:hAnsi="Garamond" w:cs="Times New Roman"/>
                <w:i/>
                <w:iCs/>
                <w:sz w:val="24"/>
                <w:szCs w:val="24"/>
              </w:rPr>
              <w:t xml:space="preserve"> 1-2</w:t>
            </w:r>
          </w:p>
        </w:tc>
        <w:tc>
          <w:tcPr>
            <w:tcW w:w="1803" w:type="dxa"/>
            <w:vAlign w:val="center"/>
          </w:tcPr>
          <w:p w14:paraId="1185C56F"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r w:rsidRPr="0087384A">
              <w:rPr>
                <w:rFonts w:ascii="Garamond" w:hAnsi="Garamond" w:cs="Times New Roman"/>
                <w:i/>
                <w:iCs/>
                <w:sz w:val="24"/>
                <w:szCs w:val="24"/>
              </w:rPr>
              <w:t>Fath al-Qarib</w:t>
            </w:r>
          </w:p>
        </w:tc>
        <w:tc>
          <w:tcPr>
            <w:tcW w:w="1804" w:type="dxa"/>
            <w:vAlign w:val="center"/>
          </w:tcPr>
          <w:p w14:paraId="53F3ED3E" w14:textId="77777777" w:rsidR="00AF4385" w:rsidRPr="0087384A" w:rsidRDefault="00AF4385" w:rsidP="00214B0A">
            <w:pPr>
              <w:pStyle w:val="ListParagraph"/>
              <w:spacing w:before="240" w:after="40" w:line="240" w:lineRule="auto"/>
              <w:ind w:left="0"/>
              <w:rPr>
                <w:rFonts w:ascii="Garamond" w:hAnsi="Garamond"/>
                <w:sz w:val="24"/>
                <w:szCs w:val="24"/>
              </w:rPr>
            </w:pPr>
            <w:r w:rsidRPr="0087384A">
              <w:rPr>
                <w:rFonts w:ascii="Garamond" w:hAnsi="Garamond"/>
                <w:sz w:val="24"/>
                <w:szCs w:val="24"/>
              </w:rPr>
              <w:t xml:space="preserve">Fiqh Shafi'i with the material </w:t>
            </w:r>
            <w:r w:rsidRPr="0087384A">
              <w:rPr>
                <w:rFonts w:ascii="Garamond" w:hAnsi="Garamond"/>
                <w:i/>
                <w:iCs/>
                <w:sz w:val="24"/>
                <w:szCs w:val="24"/>
              </w:rPr>
              <w:t xml:space="preserve">of </w:t>
            </w:r>
            <w:proofErr w:type="spellStart"/>
            <w:r w:rsidRPr="0087384A">
              <w:rPr>
                <w:rFonts w:ascii="Garamond" w:hAnsi="Garamond"/>
                <w:i/>
                <w:iCs/>
                <w:sz w:val="24"/>
                <w:szCs w:val="24"/>
              </w:rPr>
              <w:t>Fathul</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Mu'în</w:t>
            </w:r>
            <w:proofErr w:type="spellEnd"/>
            <w:r w:rsidRPr="0087384A">
              <w:rPr>
                <w:rFonts w:ascii="Garamond" w:hAnsi="Garamond"/>
                <w:i/>
                <w:iCs/>
                <w:sz w:val="24"/>
                <w:szCs w:val="24"/>
              </w:rPr>
              <w:t xml:space="preserve"> </w:t>
            </w:r>
            <w:r w:rsidRPr="0087384A">
              <w:rPr>
                <w:rFonts w:ascii="Garamond" w:hAnsi="Garamond"/>
                <w:sz w:val="24"/>
                <w:szCs w:val="24"/>
              </w:rPr>
              <w:t xml:space="preserve">and </w:t>
            </w:r>
            <w:proofErr w:type="spellStart"/>
            <w:r w:rsidRPr="0087384A">
              <w:rPr>
                <w:rFonts w:ascii="Garamond" w:hAnsi="Garamond"/>
                <w:i/>
                <w:iCs/>
                <w:sz w:val="24"/>
                <w:szCs w:val="24"/>
              </w:rPr>
              <w:t>Tanwîrul-Qulûb</w:t>
            </w:r>
            <w:proofErr w:type="spellEnd"/>
            <w:r w:rsidRPr="0087384A">
              <w:rPr>
                <w:rFonts w:ascii="Garamond" w:hAnsi="Garamond"/>
                <w:sz w:val="24"/>
                <w:szCs w:val="24"/>
              </w:rPr>
              <w:t xml:space="preserve">, </w:t>
            </w:r>
          </w:p>
          <w:p w14:paraId="4FE14D06" w14:textId="77777777" w:rsidR="00AF4385" w:rsidRPr="0087384A" w:rsidRDefault="00AF4385" w:rsidP="00214B0A">
            <w:pPr>
              <w:pStyle w:val="ListParagraph"/>
              <w:spacing w:before="240" w:after="40" w:line="240" w:lineRule="auto"/>
              <w:ind w:left="0"/>
              <w:rPr>
                <w:rFonts w:ascii="Garamond" w:hAnsi="Garamond"/>
                <w:sz w:val="24"/>
                <w:szCs w:val="24"/>
              </w:rPr>
            </w:pPr>
            <w:r w:rsidRPr="0087384A">
              <w:rPr>
                <w:rFonts w:ascii="Garamond" w:hAnsi="Garamond"/>
                <w:sz w:val="24"/>
                <w:szCs w:val="24"/>
              </w:rPr>
              <w:lastRenderedPageBreak/>
              <w:t xml:space="preserve">Hanafi Fiqh with the material </w:t>
            </w:r>
            <w:r w:rsidRPr="0087384A">
              <w:rPr>
                <w:rFonts w:ascii="Garamond" w:hAnsi="Garamond"/>
                <w:i/>
                <w:iCs/>
                <w:sz w:val="24"/>
                <w:szCs w:val="24"/>
              </w:rPr>
              <w:t xml:space="preserve">of </w:t>
            </w:r>
            <w:proofErr w:type="spellStart"/>
            <w:r w:rsidRPr="0087384A">
              <w:rPr>
                <w:rFonts w:ascii="Garamond" w:hAnsi="Garamond"/>
                <w:i/>
                <w:iCs/>
                <w:sz w:val="24"/>
                <w:szCs w:val="24"/>
              </w:rPr>
              <w:t>Matnu</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Kanzid-Daqâ'iq</w:t>
            </w:r>
            <w:proofErr w:type="spellEnd"/>
            <w:r w:rsidRPr="0087384A">
              <w:rPr>
                <w:rFonts w:ascii="Garamond" w:hAnsi="Garamond"/>
                <w:sz w:val="24"/>
                <w:szCs w:val="24"/>
              </w:rPr>
              <w:t xml:space="preserve">, </w:t>
            </w:r>
          </w:p>
          <w:p w14:paraId="1154AF6E" w14:textId="77777777" w:rsidR="00AF4385" w:rsidRPr="0087384A" w:rsidRDefault="00AF4385" w:rsidP="00214B0A">
            <w:pPr>
              <w:pStyle w:val="ListParagraph"/>
              <w:spacing w:before="240" w:after="40" w:line="240" w:lineRule="auto"/>
              <w:ind w:left="0"/>
              <w:rPr>
                <w:rFonts w:ascii="Garamond" w:hAnsi="Garamond"/>
                <w:sz w:val="24"/>
                <w:szCs w:val="24"/>
              </w:rPr>
            </w:pPr>
            <w:r w:rsidRPr="0087384A">
              <w:rPr>
                <w:rFonts w:ascii="Garamond" w:hAnsi="Garamond"/>
                <w:sz w:val="24"/>
                <w:szCs w:val="24"/>
              </w:rPr>
              <w:t xml:space="preserve">Maliki's </w:t>
            </w:r>
            <w:proofErr w:type="spellStart"/>
            <w:r w:rsidRPr="0087384A">
              <w:rPr>
                <w:rFonts w:ascii="Garamond" w:hAnsi="Garamond"/>
                <w:sz w:val="24"/>
                <w:szCs w:val="24"/>
              </w:rPr>
              <w:t>fiqh</w:t>
            </w:r>
            <w:proofErr w:type="spellEnd"/>
            <w:r w:rsidRPr="0087384A">
              <w:rPr>
                <w:rFonts w:ascii="Garamond" w:hAnsi="Garamond"/>
                <w:sz w:val="24"/>
                <w:szCs w:val="24"/>
              </w:rPr>
              <w:t xml:space="preserve"> with the material </w:t>
            </w:r>
            <w:r w:rsidRPr="0087384A">
              <w:rPr>
                <w:rFonts w:ascii="Garamond" w:hAnsi="Garamond"/>
                <w:i/>
                <w:iCs/>
                <w:sz w:val="24"/>
                <w:szCs w:val="24"/>
              </w:rPr>
              <w:t>of Al-</w:t>
            </w:r>
            <w:proofErr w:type="spellStart"/>
            <w:r w:rsidRPr="0087384A">
              <w:rPr>
                <w:rFonts w:ascii="Garamond" w:hAnsi="Garamond"/>
                <w:i/>
                <w:iCs/>
                <w:sz w:val="24"/>
                <w:szCs w:val="24"/>
              </w:rPr>
              <w:t>Irsyâd</w:t>
            </w:r>
            <w:proofErr w:type="spellEnd"/>
            <w:r w:rsidRPr="0087384A">
              <w:rPr>
                <w:rFonts w:ascii="Garamond" w:hAnsi="Garamond"/>
                <w:sz w:val="24"/>
                <w:szCs w:val="24"/>
              </w:rPr>
              <w:t xml:space="preserve">, </w:t>
            </w:r>
          </w:p>
          <w:p w14:paraId="78DAD70A"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r w:rsidRPr="0087384A">
              <w:rPr>
                <w:rFonts w:ascii="Garamond" w:hAnsi="Garamond"/>
                <w:sz w:val="24"/>
                <w:szCs w:val="24"/>
              </w:rPr>
              <w:t xml:space="preserve">Hanbali Fiqh with </w:t>
            </w:r>
            <w:r w:rsidRPr="0087384A">
              <w:rPr>
                <w:rFonts w:ascii="Garamond" w:hAnsi="Garamond"/>
                <w:i/>
                <w:iCs/>
                <w:sz w:val="24"/>
                <w:szCs w:val="24"/>
              </w:rPr>
              <w:t>Al-'</w:t>
            </w:r>
            <w:proofErr w:type="spellStart"/>
            <w:r w:rsidRPr="0087384A">
              <w:rPr>
                <w:rFonts w:ascii="Garamond" w:hAnsi="Garamond"/>
                <w:i/>
                <w:iCs/>
                <w:sz w:val="24"/>
                <w:szCs w:val="24"/>
              </w:rPr>
              <w:t>Umdah</w:t>
            </w:r>
            <w:proofErr w:type="spellEnd"/>
            <w:r w:rsidRPr="0087384A">
              <w:rPr>
                <w:rFonts w:ascii="Garamond" w:hAnsi="Garamond"/>
                <w:i/>
                <w:iCs/>
                <w:sz w:val="24"/>
                <w:szCs w:val="24"/>
              </w:rPr>
              <w:t xml:space="preserve"> material</w:t>
            </w:r>
          </w:p>
        </w:tc>
      </w:tr>
      <w:tr w:rsidR="00AF4385" w:rsidRPr="0087384A" w14:paraId="620CDCEC" w14:textId="77777777" w:rsidTr="00214B0A">
        <w:trPr>
          <w:gridAfter w:val="1"/>
          <w:wAfter w:w="8" w:type="dxa"/>
        </w:trPr>
        <w:tc>
          <w:tcPr>
            <w:tcW w:w="1803" w:type="dxa"/>
            <w:vAlign w:val="center"/>
          </w:tcPr>
          <w:p w14:paraId="7257A6D1"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proofErr w:type="spellStart"/>
            <w:r w:rsidRPr="0087384A">
              <w:rPr>
                <w:rFonts w:ascii="Garamond" w:hAnsi="Garamond" w:cs="Times New Roman"/>
                <w:sz w:val="24"/>
                <w:szCs w:val="24"/>
              </w:rPr>
              <w:lastRenderedPageBreak/>
              <w:t>Ushul</w:t>
            </w:r>
            <w:proofErr w:type="spellEnd"/>
            <w:r w:rsidRPr="0087384A">
              <w:rPr>
                <w:rFonts w:ascii="Garamond" w:hAnsi="Garamond" w:cs="Times New Roman"/>
                <w:sz w:val="24"/>
                <w:szCs w:val="24"/>
              </w:rPr>
              <w:t xml:space="preserve"> Fiqh</w:t>
            </w:r>
          </w:p>
        </w:tc>
        <w:tc>
          <w:tcPr>
            <w:tcW w:w="1803" w:type="dxa"/>
            <w:vAlign w:val="center"/>
          </w:tcPr>
          <w:p w14:paraId="27A78F7F"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roofErr w:type="spellStart"/>
            <w:r w:rsidRPr="0087384A">
              <w:rPr>
                <w:rFonts w:ascii="Garamond" w:hAnsi="Garamond" w:cs="Times New Roman"/>
                <w:i/>
                <w:iCs/>
                <w:sz w:val="24"/>
                <w:szCs w:val="24"/>
              </w:rPr>
              <w:t>Syarh</w:t>
            </w:r>
            <w:proofErr w:type="spellEnd"/>
            <w:r w:rsidRPr="0087384A">
              <w:rPr>
                <w:rFonts w:ascii="Garamond" w:hAnsi="Garamond" w:cs="Times New Roman"/>
                <w:i/>
                <w:iCs/>
                <w:sz w:val="24"/>
                <w:szCs w:val="24"/>
              </w:rPr>
              <w:t xml:space="preserve"> </w:t>
            </w:r>
            <w:proofErr w:type="spellStart"/>
            <w:r w:rsidRPr="0087384A">
              <w:rPr>
                <w:rFonts w:ascii="Garamond" w:hAnsi="Garamond" w:cs="Times New Roman"/>
                <w:i/>
                <w:iCs/>
                <w:sz w:val="24"/>
                <w:szCs w:val="24"/>
              </w:rPr>
              <w:t>Nadm</w:t>
            </w:r>
            <w:proofErr w:type="spellEnd"/>
            <w:r w:rsidRPr="0087384A">
              <w:rPr>
                <w:rFonts w:ascii="Garamond" w:hAnsi="Garamond" w:cs="Times New Roman"/>
                <w:i/>
                <w:iCs/>
                <w:sz w:val="24"/>
                <w:szCs w:val="24"/>
              </w:rPr>
              <w:t xml:space="preserve"> </w:t>
            </w:r>
            <w:proofErr w:type="spellStart"/>
            <w:r w:rsidRPr="0087384A">
              <w:rPr>
                <w:rFonts w:ascii="Garamond" w:hAnsi="Garamond" w:cs="Times New Roman"/>
                <w:i/>
                <w:iCs/>
                <w:sz w:val="24"/>
                <w:szCs w:val="24"/>
              </w:rPr>
              <w:t>Waraqat</w:t>
            </w:r>
            <w:proofErr w:type="spellEnd"/>
          </w:p>
        </w:tc>
        <w:tc>
          <w:tcPr>
            <w:tcW w:w="1803" w:type="dxa"/>
            <w:vAlign w:val="center"/>
          </w:tcPr>
          <w:p w14:paraId="6238C072"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r w:rsidRPr="0087384A">
              <w:rPr>
                <w:rFonts w:ascii="Garamond" w:hAnsi="Garamond"/>
                <w:i/>
                <w:iCs/>
                <w:sz w:val="24"/>
                <w:szCs w:val="24"/>
              </w:rPr>
              <w:t>Al-</w:t>
            </w:r>
            <w:proofErr w:type="spellStart"/>
            <w:r w:rsidRPr="0087384A">
              <w:rPr>
                <w:rFonts w:ascii="Garamond" w:hAnsi="Garamond"/>
                <w:i/>
                <w:iCs/>
                <w:sz w:val="24"/>
                <w:szCs w:val="24"/>
              </w:rPr>
              <w:t>Waroqot</w:t>
            </w:r>
            <w:proofErr w:type="spellEnd"/>
          </w:p>
        </w:tc>
        <w:tc>
          <w:tcPr>
            <w:tcW w:w="1803" w:type="dxa"/>
            <w:vAlign w:val="center"/>
          </w:tcPr>
          <w:p w14:paraId="363BAFEE"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roofErr w:type="spellStart"/>
            <w:r w:rsidRPr="0087384A">
              <w:rPr>
                <w:rFonts w:ascii="Garamond" w:hAnsi="Garamond" w:cs="Times New Roman"/>
                <w:i/>
                <w:iCs/>
                <w:sz w:val="24"/>
                <w:szCs w:val="24"/>
              </w:rPr>
              <w:t>Syarh</w:t>
            </w:r>
            <w:proofErr w:type="spellEnd"/>
            <w:r w:rsidRPr="0087384A">
              <w:rPr>
                <w:rFonts w:ascii="Garamond" w:hAnsi="Garamond" w:cs="Times New Roman"/>
                <w:i/>
                <w:iCs/>
                <w:sz w:val="24"/>
                <w:szCs w:val="24"/>
              </w:rPr>
              <w:t xml:space="preserve"> </w:t>
            </w:r>
            <w:proofErr w:type="spellStart"/>
            <w:r w:rsidRPr="0087384A">
              <w:rPr>
                <w:rFonts w:ascii="Garamond" w:hAnsi="Garamond" w:cs="Times New Roman"/>
                <w:i/>
                <w:iCs/>
                <w:sz w:val="24"/>
                <w:szCs w:val="24"/>
              </w:rPr>
              <w:t>Nadm</w:t>
            </w:r>
            <w:proofErr w:type="spellEnd"/>
            <w:r w:rsidRPr="0087384A">
              <w:rPr>
                <w:rFonts w:ascii="Garamond" w:hAnsi="Garamond" w:cs="Times New Roman"/>
                <w:i/>
                <w:iCs/>
                <w:sz w:val="24"/>
                <w:szCs w:val="24"/>
              </w:rPr>
              <w:t xml:space="preserve"> </w:t>
            </w:r>
            <w:proofErr w:type="spellStart"/>
            <w:r w:rsidRPr="0087384A">
              <w:rPr>
                <w:rFonts w:ascii="Garamond" w:hAnsi="Garamond" w:cs="Times New Roman"/>
                <w:i/>
                <w:iCs/>
                <w:sz w:val="24"/>
                <w:szCs w:val="24"/>
              </w:rPr>
              <w:t>Waraqat</w:t>
            </w:r>
            <w:proofErr w:type="spellEnd"/>
          </w:p>
        </w:tc>
        <w:tc>
          <w:tcPr>
            <w:tcW w:w="1804" w:type="dxa"/>
            <w:vAlign w:val="center"/>
          </w:tcPr>
          <w:p w14:paraId="2AD9011F"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proofErr w:type="spellStart"/>
            <w:r w:rsidRPr="0087384A">
              <w:rPr>
                <w:rFonts w:ascii="Garamond" w:hAnsi="Garamond"/>
                <w:i/>
                <w:iCs/>
                <w:sz w:val="24"/>
                <w:szCs w:val="24"/>
              </w:rPr>
              <w:t>Ghâyatul-Wushûl</w:t>
            </w:r>
            <w:proofErr w:type="spellEnd"/>
          </w:p>
        </w:tc>
      </w:tr>
      <w:tr w:rsidR="00AF4385" w:rsidRPr="0087384A" w14:paraId="0D4FE87D" w14:textId="77777777" w:rsidTr="00214B0A">
        <w:trPr>
          <w:gridAfter w:val="1"/>
          <w:wAfter w:w="8" w:type="dxa"/>
        </w:trPr>
        <w:tc>
          <w:tcPr>
            <w:tcW w:w="1803" w:type="dxa"/>
            <w:vAlign w:val="center"/>
          </w:tcPr>
          <w:p w14:paraId="228441B2"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proofErr w:type="spellStart"/>
            <w:r w:rsidRPr="0087384A">
              <w:rPr>
                <w:rFonts w:ascii="Garamond" w:hAnsi="Garamond" w:cs="Times New Roman"/>
                <w:sz w:val="24"/>
                <w:szCs w:val="24"/>
              </w:rPr>
              <w:t>Akhlak</w:t>
            </w:r>
            <w:proofErr w:type="spellEnd"/>
            <w:r w:rsidRPr="0087384A">
              <w:rPr>
                <w:rFonts w:ascii="Garamond" w:hAnsi="Garamond" w:cs="Times New Roman"/>
                <w:sz w:val="24"/>
                <w:szCs w:val="24"/>
              </w:rPr>
              <w:t xml:space="preserve"> </w:t>
            </w:r>
            <w:proofErr w:type="spellStart"/>
            <w:r w:rsidRPr="0087384A">
              <w:rPr>
                <w:rFonts w:ascii="Garamond" w:hAnsi="Garamond" w:cs="Times New Roman"/>
                <w:sz w:val="24"/>
                <w:szCs w:val="24"/>
              </w:rPr>
              <w:t>Tasawuf</w:t>
            </w:r>
            <w:proofErr w:type="spellEnd"/>
          </w:p>
        </w:tc>
        <w:tc>
          <w:tcPr>
            <w:tcW w:w="1803" w:type="dxa"/>
            <w:vAlign w:val="center"/>
          </w:tcPr>
          <w:p w14:paraId="46D91C16"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roofErr w:type="spellStart"/>
            <w:r w:rsidRPr="0087384A">
              <w:rPr>
                <w:rFonts w:ascii="Garamond" w:hAnsi="Garamond" w:cs="Times New Roman"/>
                <w:i/>
                <w:iCs/>
                <w:sz w:val="24"/>
                <w:szCs w:val="24"/>
              </w:rPr>
              <w:t>Syarh</w:t>
            </w:r>
            <w:proofErr w:type="spellEnd"/>
            <w:r w:rsidRPr="0087384A">
              <w:rPr>
                <w:rFonts w:ascii="Garamond" w:hAnsi="Garamond" w:cs="Times New Roman"/>
                <w:i/>
                <w:iCs/>
                <w:sz w:val="24"/>
                <w:szCs w:val="24"/>
              </w:rPr>
              <w:t xml:space="preserve"> Al-</w:t>
            </w:r>
            <w:proofErr w:type="spellStart"/>
            <w:r w:rsidRPr="0087384A">
              <w:rPr>
                <w:rFonts w:ascii="Garamond" w:hAnsi="Garamond" w:cs="Times New Roman"/>
                <w:i/>
                <w:iCs/>
                <w:sz w:val="24"/>
                <w:szCs w:val="24"/>
              </w:rPr>
              <w:t>Hikam</w:t>
            </w:r>
            <w:proofErr w:type="spellEnd"/>
          </w:p>
        </w:tc>
        <w:tc>
          <w:tcPr>
            <w:tcW w:w="1803" w:type="dxa"/>
            <w:vAlign w:val="center"/>
          </w:tcPr>
          <w:p w14:paraId="12174A57"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roofErr w:type="spellStart"/>
            <w:r w:rsidRPr="0087384A">
              <w:rPr>
                <w:rFonts w:ascii="Garamond" w:hAnsi="Garamond"/>
                <w:i/>
                <w:iCs/>
                <w:sz w:val="24"/>
                <w:szCs w:val="24"/>
              </w:rPr>
              <w:t>Ta’limul</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Muta’allim</w:t>
            </w:r>
            <w:proofErr w:type="spellEnd"/>
          </w:p>
        </w:tc>
        <w:tc>
          <w:tcPr>
            <w:tcW w:w="1803" w:type="dxa"/>
            <w:vAlign w:val="center"/>
          </w:tcPr>
          <w:p w14:paraId="228BB6FC"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
        </w:tc>
        <w:tc>
          <w:tcPr>
            <w:tcW w:w="1804" w:type="dxa"/>
            <w:vAlign w:val="center"/>
          </w:tcPr>
          <w:p w14:paraId="64F7B10B"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proofErr w:type="spellStart"/>
            <w:r w:rsidRPr="0087384A">
              <w:rPr>
                <w:rFonts w:ascii="Garamond" w:hAnsi="Garamond"/>
                <w:i/>
                <w:iCs/>
                <w:sz w:val="24"/>
                <w:szCs w:val="24"/>
              </w:rPr>
              <w:t>Syar</w:t>
            </w:r>
            <w:r w:rsidRPr="0087384A">
              <w:rPr>
                <w:rFonts w:ascii="Garamond" w:hAnsi="Garamond"/>
                <w:i/>
                <w:iCs/>
                <w:sz w:val="24"/>
                <w:szCs w:val="24"/>
                <w:u w:val="single"/>
              </w:rPr>
              <w:t>h</w:t>
            </w:r>
            <w:r w:rsidRPr="0087384A">
              <w:rPr>
                <w:rFonts w:ascii="Garamond" w:hAnsi="Garamond"/>
                <w:i/>
                <w:iCs/>
                <w:sz w:val="24"/>
                <w:szCs w:val="24"/>
              </w:rPr>
              <w:t>ul-</w:t>
            </w:r>
            <w:r w:rsidRPr="0087384A">
              <w:rPr>
                <w:rFonts w:ascii="Garamond" w:hAnsi="Garamond"/>
                <w:i/>
                <w:iCs/>
                <w:sz w:val="24"/>
                <w:szCs w:val="24"/>
                <w:u w:val="single"/>
              </w:rPr>
              <w:t>H</w:t>
            </w:r>
            <w:r w:rsidRPr="0087384A">
              <w:rPr>
                <w:rFonts w:ascii="Garamond" w:hAnsi="Garamond"/>
                <w:i/>
                <w:iCs/>
                <w:sz w:val="24"/>
                <w:szCs w:val="24"/>
              </w:rPr>
              <w:t>ikam</w:t>
            </w:r>
            <w:proofErr w:type="spellEnd"/>
          </w:p>
        </w:tc>
      </w:tr>
      <w:tr w:rsidR="00AF4385" w:rsidRPr="0087384A" w14:paraId="2B22E224" w14:textId="77777777" w:rsidTr="00214B0A">
        <w:trPr>
          <w:gridAfter w:val="1"/>
          <w:wAfter w:w="8" w:type="dxa"/>
        </w:trPr>
        <w:tc>
          <w:tcPr>
            <w:tcW w:w="1803" w:type="dxa"/>
            <w:vAlign w:val="center"/>
          </w:tcPr>
          <w:p w14:paraId="4D96AFB1"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r w:rsidRPr="0087384A">
              <w:rPr>
                <w:rFonts w:ascii="Garamond" w:hAnsi="Garamond" w:cs="Times New Roman"/>
                <w:sz w:val="24"/>
                <w:szCs w:val="24"/>
              </w:rPr>
              <w:t xml:space="preserve">Tafsir </w:t>
            </w:r>
          </w:p>
        </w:tc>
        <w:tc>
          <w:tcPr>
            <w:tcW w:w="1803" w:type="dxa"/>
            <w:vAlign w:val="center"/>
          </w:tcPr>
          <w:p w14:paraId="28DF008E"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roofErr w:type="spellStart"/>
            <w:r w:rsidRPr="0087384A">
              <w:rPr>
                <w:rFonts w:ascii="Garamond" w:hAnsi="Garamond" w:cs="Times New Roman"/>
                <w:i/>
                <w:iCs/>
                <w:sz w:val="24"/>
                <w:szCs w:val="24"/>
              </w:rPr>
              <w:t>Rawa’I</w:t>
            </w:r>
            <w:proofErr w:type="spellEnd"/>
            <w:r w:rsidRPr="0087384A">
              <w:rPr>
                <w:rFonts w:ascii="Garamond" w:hAnsi="Garamond" w:cs="Times New Roman"/>
                <w:i/>
                <w:iCs/>
                <w:sz w:val="24"/>
                <w:szCs w:val="24"/>
              </w:rPr>
              <w:t xml:space="preserve"> al-Bayan</w:t>
            </w:r>
          </w:p>
        </w:tc>
        <w:tc>
          <w:tcPr>
            <w:tcW w:w="1803" w:type="dxa"/>
            <w:vAlign w:val="center"/>
          </w:tcPr>
          <w:p w14:paraId="0E25069B"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roofErr w:type="spellStart"/>
            <w:r w:rsidRPr="0087384A">
              <w:rPr>
                <w:rFonts w:ascii="Garamond" w:hAnsi="Garamond"/>
                <w:i/>
                <w:iCs/>
                <w:sz w:val="24"/>
                <w:szCs w:val="24"/>
              </w:rPr>
              <w:t>Tafsirul</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Jalalain</w:t>
            </w:r>
            <w:proofErr w:type="spellEnd"/>
          </w:p>
        </w:tc>
        <w:tc>
          <w:tcPr>
            <w:tcW w:w="1803" w:type="dxa"/>
            <w:vAlign w:val="center"/>
          </w:tcPr>
          <w:p w14:paraId="3D7B1292"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
        </w:tc>
        <w:tc>
          <w:tcPr>
            <w:tcW w:w="1804" w:type="dxa"/>
            <w:vAlign w:val="center"/>
          </w:tcPr>
          <w:p w14:paraId="35842F99"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proofErr w:type="spellStart"/>
            <w:r w:rsidRPr="0087384A">
              <w:rPr>
                <w:rFonts w:ascii="Garamond" w:hAnsi="Garamond"/>
                <w:i/>
                <w:iCs/>
                <w:sz w:val="24"/>
                <w:szCs w:val="24"/>
              </w:rPr>
              <w:t>Muqtathafâtut-Tafsîr</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Tafsîr</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Âyâtit-Tarbiyah</w:t>
            </w:r>
            <w:proofErr w:type="spellEnd"/>
            <w:r w:rsidRPr="0087384A">
              <w:rPr>
                <w:rFonts w:ascii="Garamond" w:hAnsi="Garamond"/>
                <w:sz w:val="24"/>
                <w:szCs w:val="24"/>
              </w:rPr>
              <w:t>, </w:t>
            </w:r>
            <w:proofErr w:type="spellStart"/>
            <w:r w:rsidRPr="0087384A">
              <w:rPr>
                <w:rFonts w:ascii="Garamond" w:hAnsi="Garamond"/>
                <w:i/>
                <w:iCs/>
                <w:sz w:val="24"/>
                <w:szCs w:val="24"/>
              </w:rPr>
              <w:t>Tafsîr</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Âyâtil-Mu’âmalah</w:t>
            </w:r>
            <w:proofErr w:type="spellEnd"/>
            <w:r w:rsidRPr="0087384A">
              <w:rPr>
                <w:rFonts w:ascii="Garamond" w:hAnsi="Garamond"/>
                <w:sz w:val="24"/>
                <w:szCs w:val="24"/>
              </w:rPr>
              <w:t>, dan </w:t>
            </w:r>
            <w:proofErr w:type="spellStart"/>
            <w:r w:rsidRPr="0087384A">
              <w:rPr>
                <w:rFonts w:ascii="Garamond" w:hAnsi="Garamond"/>
                <w:i/>
                <w:iCs/>
                <w:sz w:val="24"/>
                <w:szCs w:val="24"/>
              </w:rPr>
              <w:t>Tafsîr</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Âyâtid</w:t>
            </w:r>
            <w:proofErr w:type="spellEnd"/>
            <w:r w:rsidRPr="0087384A">
              <w:rPr>
                <w:rFonts w:ascii="Garamond" w:hAnsi="Garamond"/>
                <w:i/>
                <w:iCs/>
                <w:sz w:val="24"/>
                <w:szCs w:val="24"/>
              </w:rPr>
              <w:t>-Da’wah</w:t>
            </w:r>
          </w:p>
        </w:tc>
      </w:tr>
      <w:tr w:rsidR="00AF4385" w:rsidRPr="0087384A" w14:paraId="43276CB4" w14:textId="77777777" w:rsidTr="00214B0A">
        <w:trPr>
          <w:gridAfter w:val="1"/>
          <w:wAfter w:w="8" w:type="dxa"/>
        </w:trPr>
        <w:tc>
          <w:tcPr>
            <w:tcW w:w="1803" w:type="dxa"/>
            <w:vAlign w:val="center"/>
          </w:tcPr>
          <w:p w14:paraId="744A4595"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proofErr w:type="spellStart"/>
            <w:r>
              <w:rPr>
                <w:rFonts w:ascii="Garamond" w:hAnsi="Garamond" w:cs="Times New Roman"/>
                <w:sz w:val="24"/>
                <w:szCs w:val="24"/>
              </w:rPr>
              <w:t>Ulum</w:t>
            </w:r>
            <w:proofErr w:type="spellEnd"/>
            <w:r>
              <w:rPr>
                <w:rFonts w:ascii="Garamond" w:hAnsi="Garamond" w:cs="Times New Roman"/>
                <w:sz w:val="24"/>
                <w:szCs w:val="24"/>
              </w:rPr>
              <w:t xml:space="preserve"> al-</w:t>
            </w:r>
            <w:r w:rsidRPr="0087384A">
              <w:rPr>
                <w:rFonts w:ascii="Garamond" w:hAnsi="Garamond" w:cs="Times New Roman"/>
                <w:sz w:val="24"/>
                <w:szCs w:val="24"/>
              </w:rPr>
              <w:t>Tafsir</w:t>
            </w:r>
          </w:p>
        </w:tc>
        <w:tc>
          <w:tcPr>
            <w:tcW w:w="1803" w:type="dxa"/>
            <w:vAlign w:val="center"/>
          </w:tcPr>
          <w:p w14:paraId="605C6268"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r w:rsidRPr="0087384A">
              <w:rPr>
                <w:rFonts w:ascii="Garamond" w:hAnsi="Garamond" w:cs="Times New Roman"/>
                <w:i/>
                <w:iCs/>
                <w:sz w:val="24"/>
                <w:szCs w:val="24"/>
              </w:rPr>
              <w:t>Fayd al-</w:t>
            </w:r>
            <w:proofErr w:type="spellStart"/>
            <w:r w:rsidRPr="0087384A">
              <w:rPr>
                <w:rFonts w:ascii="Garamond" w:hAnsi="Garamond" w:cs="Times New Roman"/>
                <w:i/>
                <w:iCs/>
                <w:sz w:val="24"/>
                <w:szCs w:val="24"/>
              </w:rPr>
              <w:t>Khobir</w:t>
            </w:r>
            <w:proofErr w:type="spellEnd"/>
          </w:p>
        </w:tc>
        <w:tc>
          <w:tcPr>
            <w:tcW w:w="1803" w:type="dxa"/>
            <w:vAlign w:val="center"/>
          </w:tcPr>
          <w:p w14:paraId="53382498" w14:textId="77777777" w:rsidR="00AF4385" w:rsidRPr="0087384A" w:rsidRDefault="00AF4385" w:rsidP="00214B0A">
            <w:pPr>
              <w:pStyle w:val="ListParagraph"/>
              <w:tabs>
                <w:tab w:val="left" w:pos="270"/>
              </w:tabs>
              <w:spacing w:before="240" w:after="40" w:line="240" w:lineRule="auto"/>
              <w:ind w:left="0"/>
              <w:rPr>
                <w:rFonts w:ascii="Garamond" w:hAnsi="Garamond"/>
                <w:i/>
                <w:iCs/>
                <w:sz w:val="24"/>
                <w:szCs w:val="24"/>
              </w:rPr>
            </w:pPr>
            <w:proofErr w:type="spellStart"/>
            <w:r w:rsidRPr="0087384A">
              <w:rPr>
                <w:rFonts w:ascii="Garamond" w:hAnsi="Garamond"/>
                <w:i/>
                <w:iCs/>
                <w:sz w:val="24"/>
                <w:szCs w:val="24"/>
              </w:rPr>
              <w:t>Itmam</w:t>
            </w:r>
            <w:proofErr w:type="spellEnd"/>
            <w:r w:rsidRPr="0087384A">
              <w:rPr>
                <w:rFonts w:ascii="Garamond" w:hAnsi="Garamond"/>
                <w:i/>
                <w:iCs/>
                <w:sz w:val="24"/>
                <w:szCs w:val="24"/>
              </w:rPr>
              <w:t xml:space="preserve"> ad-</w:t>
            </w:r>
            <w:proofErr w:type="spellStart"/>
            <w:r w:rsidRPr="0087384A">
              <w:rPr>
                <w:rFonts w:ascii="Garamond" w:hAnsi="Garamond"/>
                <w:i/>
                <w:iCs/>
                <w:sz w:val="24"/>
                <w:szCs w:val="24"/>
              </w:rPr>
              <w:t>Dirayah</w:t>
            </w:r>
            <w:proofErr w:type="spellEnd"/>
          </w:p>
        </w:tc>
        <w:tc>
          <w:tcPr>
            <w:tcW w:w="1803" w:type="dxa"/>
            <w:vAlign w:val="center"/>
          </w:tcPr>
          <w:p w14:paraId="2BE0BBE1"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
        </w:tc>
        <w:tc>
          <w:tcPr>
            <w:tcW w:w="1804" w:type="dxa"/>
            <w:vAlign w:val="center"/>
          </w:tcPr>
          <w:p w14:paraId="6794665A"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proofErr w:type="spellStart"/>
            <w:r w:rsidRPr="0087384A">
              <w:rPr>
                <w:rFonts w:ascii="Garamond" w:hAnsi="Garamond"/>
                <w:i/>
                <w:iCs/>
                <w:sz w:val="24"/>
                <w:szCs w:val="24"/>
              </w:rPr>
              <w:t>Zubdatul-Itqân</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fî</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Ulûmil-Qur’ân</w:t>
            </w:r>
            <w:proofErr w:type="spellEnd"/>
          </w:p>
        </w:tc>
      </w:tr>
      <w:tr w:rsidR="00AF4385" w:rsidRPr="0087384A" w14:paraId="0B5DFA77" w14:textId="77777777" w:rsidTr="00214B0A">
        <w:trPr>
          <w:gridAfter w:val="1"/>
          <w:wAfter w:w="8" w:type="dxa"/>
        </w:trPr>
        <w:tc>
          <w:tcPr>
            <w:tcW w:w="1803" w:type="dxa"/>
            <w:vAlign w:val="center"/>
          </w:tcPr>
          <w:p w14:paraId="5A81FF58"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r w:rsidRPr="0087384A">
              <w:rPr>
                <w:rFonts w:ascii="Garamond" w:hAnsi="Garamond" w:cs="Times New Roman"/>
                <w:sz w:val="24"/>
                <w:szCs w:val="24"/>
              </w:rPr>
              <w:t xml:space="preserve">Hadis </w:t>
            </w:r>
          </w:p>
        </w:tc>
        <w:tc>
          <w:tcPr>
            <w:tcW w:w="1803" w:type="dxa"/>
            <w:vAlign w:val="center"/>
          </w:tcPr>
          <w:p w14:paraId="482DB786"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roofErr w:type="spellStart"/>
            <w:r w:rsidRPr="0087384A">
              <w:rPr>
                <w:rFonts w:ascii="Garamond" w:hAnsi="Garamond" w:cs="Times New Roman"/>
                <w:i/>
                <w:iCs/>
                <w:sz w:val="24"/>
                <w:szCs w:val="24"/>
              </w:rPr>
              <w:t>Hujjah</w:t>
            </w:r>
            <w:proofErr w:type="spellEnd"/>
            <w:r w:rsidRPr="0087384A">
              <w:rPr>
                <w:rFonts w:ascii="Garamond" w:hAnsi="Garamond" w:cs="Times New Roman"/>
                <w:i/>
                <w:iCs/>
                <w:sz w:val="24"/>
                <w:szCs w:val="24"/>
              </w:rPr>
              <w:t xml:space="preserve"> Ahl al-Sunnah</w:t>
            </w:r>
          </w:p>
        </w:tc>
        <w:tc>
          <w:tcPr>
            <w:tcW w:w="1803" w:type="dxa"/>
            <w:vAlign w:val="center"/>
          </w:tcPr>
          <w:p w14:paraId="1CE66061"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roofErr w:type="spellStart"/>
            <w:r w:rsidRPr="0087384A">
              <w:rPr>
                <w:rFonts w:ascii="Garamond" w:hAnsi="Garamond"/>
                <w:i/>
                <w:iCs/>
                <w:sz w:val="24"/>
                <w:szCs w:val="24"/>
              </w:rPr>
              <w:t>Riyadlus</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Solihin</w:t>
            </w:r>
            <w:proofErr w:type="spellEnd"/>
          </w:p>
        </w:tc>
        <w:tc>
          <w:tcPr>
            <w:tcW w:w="1803" w:type="dxa"/>
            <w:vAlign w:val="center"/>
          </w:tcPr>
          <w:p w14:paraId="4D0C34C4"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
        </w:tc>
        <w:tc>
          <w:tcPr>
            <w:tcW w:w="1804" w:type="dxa"/>
            <w:vAlign w:val="center"/>
          </w:tcPr>
          <w:p w14:paraId="685120A3"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proofErr w:type="spellStart"/>
            <w:r w:rsidRPr="0087384A">
              <w:rPr>
                <w:rFonts w:ascii="Garamond" w:hAnsi="Garamond"/>
                <w:i/>
                <w:iCs/>
                <w:sz w:val="24"/>
                <w:szCs w:val="24"/>
              </w:rPr>
              <w:t>Riyâdhush-shâlihîn</w:t>
            </w:r>
            <w:proofErr w:type="spellEnd"/>
          </w:p>
        </w:tc>
      </w:tr>
      <w:tr w:rsidR="00AF4385" w:rsidRPr="0087384A" w14:paraId="78CD66A3" w14:textId="77777777" w:rsidTr="00214B0A">
        <w:trPr>
          <w:gridAfter w:val="1"/>
          <w:wAfter w:w="8" w:type="dxa"/>
        </w:trPr>
        <w:tc>
          <w:tcPr>
            <w:tcW w:w="1803" w:type="dxa"/>
            <w:vAlign w:val="center"/>
          </w:tcPr>
          <w:p w14:paraId="2F5E5444"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proofErr w:type="spellStart"/>
            <w:r>
              <w:rPr>
                <w:rFonts w:ascii="Garamond" w:hAnsi="Garamond" w:cs="Times New Roman"/>
                <w:sz w:val="24"/>
                <w:szCs w:val="24"/>
              </w:rPr>
              <w:t>Ulum</w:t>
            </w:r>
            <w:proofErr w:type="spellEnd"/>
            <w:r>
              <w:rPr>
                <w:rFonts w:ascii="Garamond" w:hAnsi="Garamond" w:cs="Times New Roman"/>
                <w:sz w:val="24"/>
                <w:szCs w:val="24"/>
              </w:rPr>
              <w:t xml:space="preserve"> al-</w:t>
            </w:r>
            <w:proofErr w:type="spellStart"/>
            <w:r w:rsidRPr="0087384A">
              <w:rPr>
                <w:rFonts w:ascii="Garamond" w:hAnsi="Garamond" w:cs="Times New Roman"/>
                <w:sz w:val="24"/>
                <w:szCs w:val="24"/>
              </w:rPr>
              <w:t>Hadist</w:t>
            </w:r>
            <w:proofErr w:type="spellEnd"/>
          </w:p>
        </w:tc>
        <w:tc>
          <w:tcPr>
            <w:tcW w:w="1803" w:type="dxa"/>
            <w:vAlign w:val="center"/>
          </w:tcPr>
          <w:p w14:paraId="50D36E8C"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roofErr w:type="spellStart"/>
            <w:r w:rsidRPr="0087384A">
              <w:rPr>
                <w:rFonts w:ascii="Garamond" w:hAnsi="Garamond" w:cs="Times New Roman"/>
                <w:i/>
                <w:iCs/>
                <w:sz w:val="24"/>
                <w:szCs w:val="24"/>
              </w:rPr>
              <w:t>Mushtalah</w:t>
            </w:r>
            <w:proofErr w:type="spellEnd"/>
            <w:r w:rsidRPr="0087384A">
              <w:rPr>
                <w:rFonts w:ascii="Garamond" w:hAnsi="Garamond" w:cs="Times New Roman"/>
                <w:i/>
                <w:iCs/>
                <w:sz w:val="24"/>
                <w:szCs w:val="24"/>
              </w:rPr>
              <w:t xml:space="preserve"> al-</w:t>
            </w:r>
            <w:proofErr w:type="spellStart"/>
            <w:r w:rsidRPr="0087384A">
              <w:rPr>
                <w:rFonts w:ascii="Garamond" w:hAnsi="Garamond" w:cs="Times New Roman"/>
                <w:i/>
                <w:iCs/>
                <w:sz w:val="24"/>
                <w:szCs w:val="24"/>
              </w:rPr>
              <w:t>Hadits</w:t>
            </w:r>
            <w:proofErr w:type="spellEnd"/>
          </w:p>
        </w:tc>
        <w:tc>
          <w:tcPr>
            <w:tcW w:w="1803" w:type="dxa"/>
            <w:vAlign w:val="center"/>
          </w:tcPr>
          <w:p w14:paraId="5A44D364" w14:textId="77777777" w:rsidR="00AF4385" w:rsidRPr="0087384A" w:rsidRDefault="00AF4385" w:rsidP="00214B0A">
            <w:pPr>
              <w:pStyle w:val="ListParagraph"/>
              <w:spacing w:before="240" w:after="40" w:line="240" w:lineRule="auto"/>
              <w:ind w:left="0"/>
              <w:rPr>
                <w:rFonts w:ascii="Garamond" w:hAnsi="Garamond"/>
                <w:i/>
                <w:iCs/>
                <w:sz w:val="24"/>
                <w:szCs w:val="24"/>
              </w:rPr>
            </w:pPr>
            <w:r w:rsidRPr="0087384A">
              <w:rPr>
                <w:rFonts w:ascii="Garamond" w:hAnsi="Garamond"/>
                <w:i/>
                <w:iCs/>
                <w:sz w:val="24"/>
                <w:szCs w:val="24"/>
              </w:rPr>
              <w:t>Al-</w:t>
            </w:r>
            <w:proofErr w:type="spellStart"/>
            <w:r w:rsidRPr="0087384A">
              <w:rPr>
                <w:rFonts w:ascii="Garamond" w:hAnsi="Garamond"/>
                <w:i/>
                <w:iCs/>
                <w:sz w:val="24"/>
                <w:szCs w:val="24"/>
              </w:rPr>
              <w:t>Qowaidul</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Asasiyah</w:t>
            </w:r>
            <w:proofErr w:type="spellEnd"/>
            <w:r w:rsidRPr="0087384A">
              <w:rPr>
                <w:rFonts w:ascii="Garamond" w:hAnsi="Garamond"/>
                <w:i/>
                <w:iCs/>
                <w:sz w:val="24"/>
                <w:szCs w:val="24"/>
              </w:rPr>
              <w:t xml:space="preserve"> Fi Ilmi </w:t>
            </w:r>
            <w:proofErr w:type="spellStart"/>
            <w:r w:rsidRPr="0087384A">
              <w:rPr>
                <w:rFonts w:ascii="Garamond" w:hAnsi="Garamond"/>
                <w:i/>
                <w:iCs/>
                <w:sz w:val="24"/>
                <w:szCs w:val="24"/>
              </w:rPr>
              <w:t>Hadist</w:t>
            </w:r>
            <w:proofErr w:type="spellEnd"/>
          </w:p>
        </w:tc>
        <w:tc>
          <w:tcPr>
            <w:tcW w:w="1803" w:type="dxa"/>
            <w:vAlign w:val="center"/>
          </w:tcPr>
          <w:p w14:paraId="1D6E77B3" w14:textId="77777777" w:rsidR="00AF4385" w:rsidRPr="0087384A" w:rsidRDefault="00AF4385" w:rsidP="00214B0A">
            <w:pPr>
              <w:spacing w:before="240" w:after="40"/>
              <w:rPr>
                <w:rFonts w:ascii="Garamond" w:hAnsi="Garamond"/>
                <w:i/>
                <w:iCs/>
                <w:sz w:val="24"/>
                <w:szCs w:val="24"/>
              </w:rPr>
            </w:pPr>
            <w:proofErr w:type="spellStart"/>
            <w:r w:rsidRPr="0087384A">
              <w:rPr>
                <w:rFonts w:ascii="Garamond" w:hAnsi="Garamond"/>
                <w:i/>
                <w:iCs/>
                <w:sz w:val="24"/>
                <w:szCs w:val="24"/>
              </w:rPr>
              <w:t>Mustholah</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Hadist</w:t>
            </w:r>
            <w:proofErr w:type="spellEnd"/>
          </w:p>
          <w:p w14:paraId="31F2D5BC"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
        </w:tc>
        <w:tc>
          <w:tcPr>
            <w:tcW w:w="1804" w:type="dxa"/>
            <w:vAlign w:val="center"/>
          </w:tcPr>
          <w:p w14:paraId="4BFE609E"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r w:rsidRPr="0087384A">
              <w:rPr>
                <w:rFonts w:ascii="Garamond" w:hAnsi="Garamond"/>
                <w:i/>
                <w:iCs/>
                <w:sz w:val="24"/>
                <w:szCs w:val="24"/>
              </w:rPr>
              <w:t>Al-</w:t>
            </w:r>
            <w:proofErr w:type="spellStart"/>
            <w:r w:rsidRPr="0087384A">
              <w:rPr>
                <w:rFonts w:ascii="Garamond" w:hAnsi="Garamond"/>
                <w:i/>
                <w:iCs/>
                <w:sz w:val="24"/>
                <w:szCs w:val="24"/>
              </w:rPr>
              <w:t>Manhalul</w:t>
            </w:r>
            <w:proofErr w:type="spellEnd"/>
            <w:r w:rsidRPr="0087384A">
              <w:rPr>
                <w:rFonts w:ascii="Garamond" w:hAnsi="Garamond"/>
                <w:i/>
                <w:iCs/>
                <w:sz w:val="24"/>
                <w:szCs w:val="24"/>
              </w:rPr>
              <w:t>-</w:t>
            </w:r>
            <w:proofErr w:type="spellStart"/>
            <w:r w:rsidRPr="0087384A">
              <w:rPr>
                <w:rFonts w:ascii="Garamond" w:hAnsi="Garamond"/>
                <w:i/>
                <w:iCs/>
                <w:sz w:val="24"/>
                <w:szCs w:val="24"/>
              </w:rPr>
              <w:t>Lathîf</w:t>
            </w:r>
            <w:proofErr w:type="spellEnd"/>
          </w:p>
        </w:tc>
      </w:tr>
      <w:tr w:rsidR="00AF4385" w:rsidRPr="0087384A" w14:paraId="7931BE9E" w14:textId="77777777" w:rsidTr="00214B0A">
        <w:trPr>
          <w:gridAfter w:val="1"/>
          <w:wAfter w:w="8" w:type="dxa"/>
        </w:trPr>
        <w:tc>
          <w:tcPr>
            <w:tcW w:w="1803" w:type="dxa"/>
            <w:vAlign w:val="center"/>
          </w:tcPr>
          <w:p w14:paraId="7AE761DD"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r w:rsidRPr="0087384A">
              <w:rPr>
                <w:rFonts w:ascii="Garamond" w:hAnsi="Garamond" w:cs="Times New Roman"/>
                <w:sz w:val="24"/>
                <w:szCs w:val="24"/>
              </w:rPr>
              <w:t>Tarikh</w:t>
            </w:r>
          </w:p>
        </w:tc>
        <w:tc>
          <w:tcPr>
            <w:tcW w:w="1803" w:type="dxa"/>
            <w:vAlign w:val="center"/>
          </w:tcPr>
          <w:p w14:paraId="19A255CC"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r w:rsidRPr="0087384A">
              <w:rPr>
                <w:rFonts w:ascii="Garamond" w:hAnsi="Garamond" w:cs="Times New Roman"/>
                <w:i/>
                <w:iCs/>
                <w:sz w:val="24"/>
                <w:szCs w:val="24"/>
              </w:rPr>
              <w:t xml:space="preserve">Tarikh </w:t>
            </w:r>
            <w:proofErr w:type="spellStart"/>
            <w:r w:rsidRPr="0087384A">
              <w:rPr>
                <w:rFonts w:ascii="Garamond" w:hAnsi="Garamond" w:cs="Times New Roman"/>
                <w:i/>
                <w:iCs/>
                <w:sz w:val="24"/>
                <w:szCs w:val="24"/>
              </w:rPr>
              <w:t>Tasyri</w:t>
            </w:r>
            <w:proofErr w:type="spellEnd"/>
            <w:r w:rsidRPr="0087384A">
              <w:rPr>
                <w:rFonts w:ascii="Garamond" w:hAnsi="Garamond" w:cs="Times New Roman"/>
                <w:i/>
                <w:iCs/>
                <w:sz w:val="24"/>
                <w:szCs w:val="24"/>
              </w:rPr>
              <w:t>’</w:t>
            </w:r>
          </w:p>
        </w:tc>
        <w:tc>
          <w:tcPr>
            <w:tcW w:w="1803" w:type="dxa"/>
            <w:vAlign w:val="center"/>
          </w:tcPr>
          <w:p w14:paraId="03C225FD"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roofErr w:type="spellStart"/>
            <w:r w:rsidRPr="0087384A">
              <w:rPr>
                <w:rFonts w:ascii="Garamond" w:hAnsi="Garamond"/>
                <w:i/>
                <w:iCs/>
                <w:sz w:val="24"/>
                <w:szCs w:val="24"/>
              </w:rPr>
              <w:t>Manaqib</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A’immatil</w:t>
            </w:r>
            <w:proofErr w:type="spellEnd"/>
            <w:r w:rsidRPr="0087384A">
              <w:rPr>
                <w:rFonts w:ascii="Garamond" w:hAnsi="Garamond"/>
                <w:i/>
                <w:iCs/>
                <w:sz w:val="24"/>
                <w:szCs w:val="24"/>
              </w:rPr>
              <w:t xml:space="preserve"> </w:t>
            </w:r>
            <w:proofErr w:type="spellStart"/>
            <w:r w:rsidRPr="0087384A">
              <w:rPr>
                <w:rFonts w:ascii="Garamond" w:hAnsi="Garamond"/>
                <w:i/>
                <w:iCs/>
                <w:sz w:val="24"/>
                <w:szCs w:val="24"/>
              </w:rPr>
              <w:t>Arba’ah</w:t>
            </w:r>
            <w:proofErr w:type="spellEnd"/>
          </w:p>
        </w:tc>
        <w:tc>
          <w:tcPr>
            <w:tcW w:w="1803" w:type="dxa"/>
            <w:vAlign w:val="center"/>
          </w:tcPr>
          <w:p w14:paraId="4A381B33" w14:textId="77777777" w:rsidR="00AF4385" w:rsidRPr="0087384A" w:rsidRDefault="00AF4385" w:rsidP="00214B0A">
            <w:pPr>
              <w:pStyle w:val="ListParagraph"/>
              <w:spacing w:before="240" w:after="40" w:line="240" w:lineRule="auto"/>
              <w:ind w:left="0"/>
              <w:rPr>
                <w:rFonts w:ascii="Garamond" w:hAnsi="Garamond" w:cs="Times New Roman"/>
                <w:i/>
                <w:iCs/>
                <w:sz w:val="24"/>
                <w:szCs w:val="24"/>
              </w:rPr>
            </w:pPr>
          </w:p>
        </w:tc>
        <w:tc>
          <w:tcPr>
            <w:tcW w:w="1804" w:type="dxa"/>
            <w:vAlign w:val="center"/>
          </w:tcPr>
          <w:p w14:paraId="65784785" w14:textId="77777777" w:rsidR="00AF4385" w:rsidRPr="0087384A" w:rsidRDefault="00AF4385" w:rsidP="00214B0A">
            <w:pPr>
              <w:pStyle w:val="ListParagraph"/>
              <w:spacing w:before="240" w:after="40" w:line="240" w:lineRule="auto"/>
              <w:ind w:left="0"/>
              <w:rPr>
                <w:rFonts w:ascii="Garamond" w:hAnsi="Garamond"/>
                <w:i/>
                <w:iCs/>
                <w:sz w:val="24"/>
                <w:szCs w:val="24"/>
              </w:rPr>
            </w:pPr>
            <w:proofErr w:type="spellStart"/>
            <w:r w:rsidRPr="0087384A">
              <w:rPr>
                <w:rFonts w:ascii="Garamond" w:hAnsi="Garamond"/>
                <w:i/>
                <w:iCs/>
                <w:sz w:val="24"/>
                <w:szCs w:val="24"/>
              </w:rPr>
              <w:t>Syarî’atullâh</w:t>
            </w:r>
            <w:proofErr w:type="spellEnd"/>
            <w:r w:rsidRPr="0087384A">
              <w:rPr>
                <w:rFonts w:ascii="Garamond" w:hAnsi="Garamond"/>
                <w:i/>
                <w:iCs/>
                <w:sz w:val="24"/>
                <w:szCs w:val="24"/>
              </w:rPr>
              <w:t xml:space="preserve"> al-</w:t>
            </w:r>
            <w:proofErr w:type="spellStart"/>
            <w:r w:rsidRPr="0087384A">
              <w:rPr>
                <w:rFonts w:ascii="Garamond" w:hAnsi="Garamond"/>
                <w:i/>
                <w:iCs/>
                <w:sz w:val="24"/>
                <w:szCs w:val="24"/>
              </w:rPr>
              <w:t>Khâlidah</w:t>
            </w:r>
            <w:proofErr w:type="spellEnd"/>
          </w:p>
          <w:p w14:paraId="525CAAE8" w14:textId="77777777" w:rsidR="00AF4385" w:rsidRPr="0087384A" w:rsidRDefault="00AF4385" w:rsidP="00214B0A">
            <w:pPr>
              <w:pStyle w:val="ListParagraph"/>
              <w:spacing w:before="240" w:after="40" w:line="240" w:lineRule="auto"/>
              <w:ind w:left="0"/>
              <w:rPr>
                <w:rFonts w:ascii="Garamond" w:hAnsi="Garamond"/>
                <w:i/>
                <w:iCs/>
                <w:sz w:val="24"/>
                <w:szCs w:val="24"/>
              </w:rPr>
            </w:pPr>
            <w:r w:rsidRPr="0087384A">
              <w:rPr>
                <w:rFonts w:ascii="Garamond" w:hAnsi="Garamond"/>
                <w:i/>
                <w:iCs/>
                <w:sz w:val="24"/>
                <w:szCs w:val="24"/>
              </w:rPr>
              <w:t>At-</w:t>
            </w:r>
            <w:proofErr w:type="spellStart"/>
            <w:r w:rsidRPr="0087384A">
              <w:rPr>
                <w:rFonts w:ascii="Garamond" w:hAnsi="Garamond"/>
                <w:i/>
                <w:iCs/>
                <w:sz w:val="24"/>
                <w:szCs w:val="24"/>
              </w:rPr>
              <w:t>Tajrîdush</w:t>
            </w:r>
            <w:proofErr w:type="spellEnd"/>
            <w:r w:rsidRPr="0087384A">
              <w:rPr>
                <w:rFonts w:ascii="Garamond" w:hAnsi="Garamond"/>
                <w:i/>
                <w:iCs/>
                <w:sz w:val="24"/>
                <w:szCs w:val="24"/>
              </w:rPr>
              <w:t>-</w:t>
            </w:r>
            <w:proofErr w:type="spellStart"/>
            <w:r w:rsidRPr="0087384A">
              <w:rPr>
                <w:rFonts w:ascii="Garamond" w:hAnsi="Garamond"/>
                <w:i/>
                <w:iCs/>
                <w:sz w:val="24"/>
                <w:szCs w:val="24"/>
              </w:rPr>
              <w:t>Sharîh</w:t>
            </w:r>
            <w:proofErr w:type="spellEnd"/>
          </w:p>
          <w:p w14:paraId="48156E35" w14:textId="77777777" w:rsidR="00AF4385" w:rsidRPr="0087384A" w:rsidRDefault="00AF4385" w:rsidP="00214B0A">
            <w:pPr>
              <w:pStyle w:val="ListParagraph"/>
              <w:spacing w:before="240" w:after="40" w:line="240" w:lineRule="auto"/>
              <w:ind w:left="0"/>
              <w:rPr>
                <w:rFonts w:ascii="Garamond" w:hAnsi="Garamond" w:cs="Times New Roman"/>
                <w:sz w:val="24"/>
                <w:szCs w:val="24"/>
              </w:rPr>
            </w:pPr>
            <w:proofErr w:type="spellStart"/>
            <w:r w:rsidRPr="0087384A">
              <w:rPr>
                <w:rFonts w:ascii="Garamond" w:hAnsi="Garamond"/>
                <w:i/>
                <w:iCs/>
                <w:sz w:val="24"/>
                <w:szCs w:val="24"/>
              </w:rPr>
              <w:t>Wafâ’ud-Dîn</w:t>
            </w:r>
            <w:proofErr w:type="spellEnd"/>
          </w:p>
        </w:tc>
      </w:tr>
    </w:tbl>
    <w:p w14:paraId="046AABAA" w14:textId="77777777" w:rsidR="00AF4385" w:rsidRPr="0087384A" w:rsidRDefault="00AF4385" w:rsidP="00AF4385">
      <w:pPr>
        <w:pStyle w:val="ListParagraph"/>
        <w:spacing w:before="240" w:after="40" w:line="240" w:lineRule="auto"/>
        <w:ind w:left="0"/>
        <w:jc w:val="center"/>
        <w:rPr>
          <w:rFonts w:ascii="Garamond" w:hAnsi="Garamond" w:cs="Times New Roman"/>
          <w:sz w:val="24"/>
          <w:szCs w:val="24"/>
        </w:rPr>
      </w:pPr>
      <w:r w:rsidRPr="0087384A">
        <w:rPr>
          <w:rFonts w:ascii="Garamond" w:hAnsi="Garamond" w:cs="Times New Roman"/>
          <w:sz w:val="24"/>
          <w:szCs w:val="24"/>
        </w:rPr>
        <w:t xml:space="preserve">Source: </w:t>
      </w:r>
      <w:r w:rsidRPr="0087384A">
        <w:rPr>
          <w:rStyle w:val="FootnoteReference"/>
          <w:rFonts w:ascii="Garamond" w:hAnsi="Garamond"/>
          <w:sz w:val="24"/>
          <w:szCs w:val="24"/>
        </w:rPr>
        <w:fldChar w:fldCharType="begin" w:fldLock="1"/>
      </w:r>
      <w:r>
        <w:rPr>
          <w:rFonts w:ascii="Garamond" w:hAnsi="Garamond"/>
          <w:sz w:val="24"/>
          <w:szCs w:val="24"/>
        </w:rPr>
        <w:instrText>ADDIN CSL_CITATION {"citationItems":[{"id":"ITEM-1","itemData":{"author":[{"dropping-particle":"","family":"Sahri","given":"Iksan K.","non-dropping-particle":"","parse-names":false,"suffix":""}],"id":"ITEM-1","issued":{"date-parts":[["2021"]]},"publisher":"Cantrik Pustaka","publisher-place":"Yogyakarta","title":"Pesantren, Kiyai, dan Kitab Kuning: Respons Pesantren Tradisional terhadap Agenda Pembaruan Pendidikan Islam di Indonesia","type":"book"},"uris":["http://www.mendeley.com/documents/?uuid=9c3a491f-953e-4c6e-8516-a827105301b7"]}],"mendeley":{"formattedCitation":"(Sahri, 2021b)","plainTextFormattedCitation":"(Sahri, 2021b)","previouslyFormattedCitation":"(Sahri, 2021b)"},"properties":{"noteIndex":0},"schema":"https://github.com/citation-style-language/schema/raw/master/csl-citation.json"}</w:instrText>
      </w:r>
      <w:r w:rsidRPr="0087384A">
        <w:rPr>
          <w:rStyle w:val="FootnoteReference"/>
          <w:rFonts w:ascii="Garamond" w:hAnsi="Garamond"/>
          <w:sz w:val="24"/>
          <w:szCs w:val="24"/>
        </w:rPr>
        <w:fldChar w:fldCharType="separate"/>
      </w:r>
      <w:r w:rsidRPr="002243E1">
        <w:rPr>
          <w:rFonts w:ascii="Garamond" w:hAnsi="Garamond"/>
          <w:noProof/>
          <w:sz w:val="24"/>
          <w:szCs w:val="24"/>
        </w:rPr>
        <w:t>(Sahri, 2021b)</w:t>
      </w:r>
      <w:r w:rsidRPr="0087384A">
        <w:rPr>
          <w:rStyle w:val="FootnoteReference"/>
          <w:rFonts w:ascii="Garamond" w:hAnsi="Garamond"/>
          <w:sz w:val="24"/>
          <w:szCs w:val="24"/>
        </w:rPr>
        <w:fldChar w:fldCharType="end"/>
      </w:r>
      <w:r w:rsidRPr="0087384A">
        <w:rPr>
          <w:rFonts w:ascii="Garamond" w:hAnsi="Garamond" w:cs="Times New Roman"/>
          <w:sz w:val="24"/>
          <w:szCs w:val="24"/>
        </w:rPr>
        <w:t xml:space="preserve">, </w:t>
      </w:r>
      <w:hyperlink r:id="rId10" w:history="1">
        <w:r w:rsidRPr="0087384A">
          <w:rPr>
            <w:rStyle w:val="Hyperlink"/>
            <w:rFonts w:ascii="Garamond" w:hAnsi="Garamond"/>
            <w:sz w:val="24"/>
            <w:szCs w:val="24"/>
          </w:rPr>
          <w:t>https://sidogiri.net/staging/madrasah/</w:t>
        </w:r>
      </w:hyperlink>
      <w:r w:rsidRPr="0087384A">
        <w:rPr>
          <w:rFonts w:ascii="Garamond" w:hAnsi="Garamond" w:cs="Times New Roman"/>
          <w:sz w:val="24"/>
          <w:szCs w:val="24"/>
        </w:rPr>
        <w:t xml:space="preserve">, </w:t>
      </w:r>
      <w:hyperlink r:id="rId11" w:history="1">
        <w:r w:rsidRPr="0087384A">
          <w:rPr>
            <w:rStyle w:val="Hyperlink"/>
            <w:rFonts w:ascii="Garamond" w:hAnsi="Garamond"/>
            <w:sz w:val="24"/>
            <w:szCs w:val="24"/>
          </w:rPr>
          <w:t>https://alfalahploso.net/pendidikan/misriu/</w:t>
        </w:r>
      </w:hyperlink>
      <w:r w:rsidRPr="0087384A">
        <w:rPr>
          <w:rFonts w:ascii="Garamond" w:hAnsi="Garamond" w:cs="Times New Roman"/>
          <w:sz w:val="24"/>
          <w:szCs w:val="24"/>
        </w:rPr>
        <w:t xml:space="preserve">, </w:t>
      </w:r>
      <w:hyperlink r:id="rId12" w:history="1">
        <w:r w:rsidRPr="0087384A">
          <w:rPr>
            <w:rStyle w:val="Hyperlink"/>
            <w:rFonts w:ascii="Garamond" w:hAnsi="Garamond"/>
            <w:sz w:val="24"/>
            <w:szCs w:val="24"/>
          </w:rPr>
          <w:t>https://lirboyo.net/pelajaran-aliyah/</w:t>
        </w:r>
      </w:hyperlink>
    </w:p>
    <w:p w14:paraId="0B483A67" w14:textId="77777777" w:rsidR="00AF4385" w:rsidRPr="0087384A" w:rsidRDefault="00AF4385" w:rsidP="00AF4385">
      <w:pPr>
        <w:pStyle w:val="ListParagraph"/>
        <w:spacing w:before="240" w:after="40" w:line="240" w:lineRule="auto"/>
        <w:ind w:left="0" w:firstLine="709"/>
        <w:jc w:val="both"/>
        <w:rPr>
          <w:rFonts w:ascii="Garamond" w:hAnsi="Garamond" w:cs="Times New Roman"/>
          <w:sz w:val="24"/>
          <w:szCs w:val="24"/>
        </w:rPr>
      </w:pPr>
    </w:p>
    <w:p w14:paraId="6CF54A3F" w14:textId="77777777" w:rsidR="00AF4385" w:rsidRPr="0087384A" w:rsidRDefault="00AF4385" w:rsidP="00AF4385">
      <w:pPr>
        <w:pStyle w:val="ListParagraph"/>
        <w:spacing w:before="240" w:after="40" w:line="240" w:lineRule="auto"/>
        <w:ind w:left="0" w:firstLine="709"/>
        <w:jc w:val="both"/>
        <w:rPr>
          <w:rFonts w:ascii="Garamond" w:hAnsi="Garamond" w:cs="Times New Roman"/>
          <w:sz w:val="24"/>
          <w:szCs w:val="24"/>
        </w:rPr>
      </w:pPr>
      <w:r w:rsidRPr="0087384A">
        <w:rPr>
          <w:rFonts w:ascii="Garamond" w:hAnsi="Garamond" w:cs="Times New Roman"/>
          <w:sz w:val="24"/>
          <w:szCs w:val="24"/>
        </w:rPr>
        <w:t xml:space="preserve">For the record, the curriculum listed in the table is taken from the </w:t>
      </w:r>
      <w:proofErr w:type="spellStart"/>
      <w:r w:rsidRPr="0087384A">
        <w:rPr>
          <w:rFonts w:ascii="Garamond" w:hAnsi="Garamond" w:cs="Times New Roman"/>
          <w:sz w:val="24"/>
          <w:szCs w:val="24"/>
        </w:rPr>
        <w:t>aliyah</w:t>
      </w:r>
      <w:proofErr w:type="spellEnd"/>
      <w:r w:rsidRPr="0087384A">
        <w:rPr>
          <w:rFonts w:ascii="Garamond" w:hAnsi="Garamond" w:cs="Times New Roman"/>
          <w:sz w:val="24"/>
          <w:szCs w:val="24"/>
        </w:rPr>
        <w:t xml:space="preserve"> level curriculum at each </w:t>
      </w:r>
      <w:proofErr w:type="spellStart"/>
      <w:r>
        <w:rPr>
          <w:rFonts w:ascii="Garamond" w:hAnsi="Garamond" w:cs="Times New Roman"/>
          <w:sz w:val="24"/>
          <w:szCs w:val="24"/>
        </w:rPr>
        <w:t>pesantren</w:t>
      </w:r>
      <w:proofErr w:type="spellEnd"/>
      <w:r w:rsidRPr="0087384A">
        <w:rPr>
          <w:rFonts w:ascii="Garamond" w:hAnsi="Garamond" w:cs="Times New Roman"/>
          <w:sz w:val="24"/>
          <w:szCs w:val="24"/>
        </w:rPr>
        <w:t xml:space="preserve">, with some books taken from the </w:t>
      </w:r>
      <w:proofErr w:type="spellStart"/>
      <w:r w:rsidRPr="0087384A">
        <w:rPr>
          <w:rFonts w:ascii="Garamond" w:hAnsi="Garamond" w:cs="Times New Roman"/>
          <w:sz w:val="24"/>
          <w:szCs w:val="24"/>
        </w:rPr>
        <w:t>tsanawiyah</w:t>
      </w:r>
      <w:proofErr w:type="spellEnd"/>
      <w:r w:rsidRPr="0087384A">
        <w:rPr>
          <w:rFonts w:ascii="Garamond" w:hAnsi="Garamond" w:cs="Times New Roman"/>
          <w:sz w:val="24"/>
          <w:szCs w:val="24"/>
        </w:rPr>
        <w:t xml:space="preserve"> level if there is no </w:t>
      </w:r>
      <w:proofErr w:type="spellStart"/>
      <w:r w:rsidRPr="0087384A">
        <w:rPr>
          <w:rFonts w:ascii="Garamond" w:hAnsi="Garamond" w:cs="Times New Roman"/>
          <w:sz w:val="24"/>
          <w:szCs w:val="24"/>
        </w:rPr>
        <w:t>aliyah</w:t>
      </w:r>
      <w:proofErr w:type="spellEnd"/>
      <w:r w:rsidRPr="0087384A">
        <w:rPr>
          <w:rFonts w:ascii="Garamond" w:hAnsi="Garamond" w:cs="Times New Roman"/>
          <w:sz w:val="24"/>
          <w:szCs w:val="24"/>
        </w:rPr>
        <w:t xml:space="preserve">. </w:t>
      </w:r>
    </w:p>
    <w:p w14:paraId="192E4202" w14:textId="77777777" w:rsidR="00AF4385" w:rsidRPr="0087384A" w:rsidRDefault="00AF4385" w:rsidP="00AF4385">
      <w:pPr>
        <w:pStyle w:val="ListParagraph"/>
        <w:spacing w:before="240" w:after="40" w:line="240" w:lineRule="auto"/>
        <w:ind w:left="0" w:firstLine="709"/>
        <w:jc w:val="both"/>
        <w:rPr>
          <w:rFonts w:ascii="Garamond" w:hAnsi="Garamond" w:cs="Times New Roman"/>
          <w:sz w:val="24"/>
          <w:szCs w:val="24"/>
        </w:rPr>
      </w:pPr>
      <w:r w:rsidRPr="0087384A">
        <w:rPr>
          <w:rFonts w:ascii="Garamond" w:hAnsi="Garamond" w:cs="Times New Roman"/>
          <w:sz w:val="24"/>
          <w:szCs w:val="24"/>
        </w:rPr>
        <w:t xml:space="preserve">From the table above, it can be seen that there is a similarity in the selection of books which in itself shows the similarity of the basics/ideology of the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of the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w:t>
      </w:r>
      <w:r>
        <w:rPr>
          <w:rFonts w:ascii="Garamond" w:hAnsi="Garamond" w:cs="Times New Roman"/>
          <w:sz w:val="24"/>
          <w:szCs w:val="24"/>
        </w:rPr>
        <w:t>i</w:t>
      </w:r>
      <w:r w:rsidRPr="0087384A">
        <w:rPr>
          <w:rFonts w:ascii="Garamond" w:hAnsi="Garamond" w:cs="Times New Roman"/>
          <w:sz w:val="24"/>
          <w:szCs w:val="24"/>
        </w:rPr>
        <w:t xml:space="preserve">n the subject of </w:t>
      </w:r>
      <w:proofErr w:type="spellStart"/>
      <w:r w:rsidRPr="0087384A">
        <w:rPr>
          <w:rFonts w:ascii="Garamond" w:hAnsi="Garamond" w:cs="Times New Roman"/>
          <w:sz w:val="24"/>
          <w:szCs w:val="24"/>
        </w:rPr>
        <w:t>fiqh</w:t>
      </w:r>
      <w:proofErr w:type="spellEnd"/>
      <w:r w:rsidRPr="0087384A">
        <w:rPr>
          <w:rFonts w:ascii="Garamond" w:hAnsi="Garamond" w:cs="Times New Roman"/>
          <w:sz w:val="24"/>
          <w:szCs w:val="24"/>
        </w:rPr>
        <w:t xml:space="preserve">, for example, the four Islamic boarding schools chose the book </w:t>
      </w:r>
      <w:r w:rsidRPr="0087384A">
        <w:rPr>
          <w:rFonts w:ascii="Garamond" w:hAnsi="Garamond" w:cs="Times New Roman"/>
          <w:i/>
          <w:iCs/>
          <w:sz w:val="24"/>
          <w:szCs w:val="24"/>
        </w:rPr>
        <w:t>of Fath al-</w:t>
      </w:r>
      <w:proofErr w:type="spellStart"/>
      <w:r w:rsidRPr="0087384A">
        <w:rPr>
          <w:rFonts w:ascii="Garamond" w:hAnsi="Garamond" w:cs="Times New Roman"/>
          <w:i/>
          <w:iCs/>
          <w:sz w:val="24"/>
          <w:szCs w:val="24"/>
        </w:rPr>
        <w:t>Mu'in</w:t>
      </w:r>
      <w:proofErr w:type="spellEnd"/>
      <w:r w:rsidRPr="0087384A">
        <w:rPr>
          <w:rFonts w:ascii="Garamond" w:hAnsi="Garamond" w:cs="Times New Roman"/>
          <w:i/>
          <w:iCs/>
          <w:sz w:val="24"/>
          <w:szCs w:val="24"/>
        </w:rPr>
        <w:t xml:space="preserve"> </w:t>
      </w:r>
      <w:r w:rsidRPr="0087384A">
        <w:rPr>
          <w:rFonts w:ascii="Garamond" w:hAnsi="Garamond" w:cs="Times New Roman"/>
          <w:sz w:val="24"/>
          <w:szCs w:val="24"/>
        </w:rPr>
        <w:t xml:space="preserve">as their curriculum. The Book </w:t>
      </w:r>
      <w:r w:rsidRPr="0087384A">
        <w:rPr>
          <w:rFonts w:ascii="Garamond" w:hAnsi="Garamond" w:cs="Times New Roman"/>
          <w:i/>
          <w:iCs/>
          <w:sz w:val="24"/>
          <w:szCs w:val="24"/>
        </w:rPr>
        <w:t>of Fath al-</w:t>
      </w:r>
      <w:proofErr w:type="spellStart"/>
      <w:r w:rsidRPr="0087384A">
        <w:rPr>
          <w:rFonts w:ascii="Garamond" w:hAnsi="Garamond" w:cs="Times New Roman"/>
          <w:i/>
          <w:iCs/>
          <w:sz w:val="24"/>
          <w:szCs w:val="24"/>
        </w:rPr>
        <w:t>Mu'in</w:t>
      </w:r>
      <w:proofErr w:type="spellEnd"/>
      <w:r w:rsidRPr="0087384A">
        <w:rPr>
          <w:rFonts w:ascii="Garamond" w:hAnsi="Garamond" w:cs="Times New Roman"/>
          <w:sz w:val="24"/>
          <w:szCs w:val="24"/>
        </w:rPr>
        <w:t xml:space="preserve"> is a book of </w:t>
      </w:r>
      <w:proofErr w:type="spellStart"/>
      <w:r w:rsidRPr="0087384A">
        <w:rPr>
          <w:rFonts w:ascii="Garamond" w:hAnsi="Garamond" w:cs="Times New Roman"/>
          <w:sz w:val="24"/>
          <w:szCs w:val="24"/>
        </w:rPr>
        <w:t>fiqh</w:t>
      </w:r>
      <w:proofErr w:type="spellEnd"/>
      <w:r w:rsidRPr="0087384A">
        <w:rPr>
          <w:rFonts w:ascii="Garamond" w:hAnsi="Garamond" w:cs="Times New Roman"/>
          <w:sz w:val="24"/>
          <w:szCs w:val="24"/>
        </w:rPr>
        <w:t xml:space="preserve"> of the Shafi'i school by Zain ad-Din 'Abd al-'Aziz al-</w:t>
      </w:r>
      <w:proofErr w:type="spellStart"/>
      <w:r w:rsidRPr="0087384A">
        <w:rPr>
          <w:rFonts w:ascii="Garamond" w:hAnsi="Garamond" w:cs="Times New Roman"/>
          <w:sz w:val="24"/>
          <w:szCs w:val="24"/>
        </w:rPr>
        <w:t>Malibari</w:t>
      </w:r>
      <w:proofErr w:type="spellEnd"/>
      <w:r w:rsidRPr="0087384A">
        <w:rPr>
          <w:rFonts w:ascii="Garamond" w:hAnsi="Garamond" w:cs="Times New Roman"/>
          <w:sz w:val="24"/>
          <w:szCs w:val="24"/>
        </w:rPr>
        <w:t xml:space="preserve">, one of the scholars from </w:t>
      </w:r>
      <w:proofErr w:type="spellStart"/>
      <w:r w:rsidRPr="0087384A">
        <w:rPr>
          <w:rFonts w:ascii="Garamond" w:hAnsi="Garamond" w:cs="Times New Roman"/>
          <w:sz w:val="24"/>
          <w:szCs w:val="24"/>
        </w:rPr>
        <w:t>Malibar</w:t>
      </w:r>
      <w:proofErr w:type="spellEnd"/>
      <w:r w:rsidRPr="0087384A">
        <w:rPr>
          <w:rFonts w:ascii="Garamond" w:hAnsi="Garamond" w:cs="Times New Roman"/>
          <w:sz w:val="24"/>
          <w:szCs w:val="24"/>
        </w:rPr>
        <w:t xml:space="preserve">, India. The </w:t>
      </w:r>
      <w:r>
        <w:rPr>
          <w:rFonts w:ascii="Garamond" w:hAnsi="Garamond" w:cs="Times New Roman"/>
          <w:sz w:val="24"/>
          <w:szCs w:val="24"/>
        </w:rPr>
        <w:t>b</w:t>
      </w:r>
      <w:r w:rsidRPr="0087384A">
        <w:rPr>
          <w:rFonts w:ascii="Garamond" w:hAnsi="Garamond" w:cs="Times New Roman"/>
          <w:sz w:val="24"/>
          <w:szCs w:val="24"/>
        </w:rPr>
        <w:t xml:space="preserve">ook </w:t>
      </w:r>
      <w:r w:rsidRPr="0087384A">
        <w:rPr>
          <w:rFonts w:ascii="Garamond" w:hAnsi="Garamond" w:cs="Times New Roman"/>
          <w:i/>
          <w:iCs/>
          <w:sz w:val="24"/>
          <w:szCs w:val="24"/>
        </w:rPr>
        <w:lastRenderedPageBreak/>
        <w:t>of Fath al-</w:t>
      </w:r>
      <w:proofErr w:type="spellStart"/>
      <w:r w:rsidRPr="0087384A">
        <w:rPr>
          <w:rFonts w:ascii="Garamond" w:hAnsi="Garamond" w:cs="Times New Roman"/>
          <w:i/>
          <w:iCs/>
          <w:sz w:val="24"/>
          <w:szCs w:val="24"/>
        </w:rPr>
        <w:t>Mu'in</w:t>
      </w:r>
      <w:proofErr w:type="spellEnd"/>
      <w:r w:rsidRPr="0087384A">
        <w:rPr>
          <w:rFonts w:ascii="Garamond" w:hAnsi="Garamond" w:cs="Times New Roman"/>
          <w:sz w:val="24"/>
          <w:szCs w:val="24"/>
        </w:rPr>
        <w:t xml:space="preserve"> is one of the books that is often used as a reference by followers of the Shafi'i school containing the science of jurisprudence from the chapter of prayer to chapter </w:t>
      </w:r>
      <w:r w:rsidRPr="0087384A">
        <w:rPr>
          <w:rFonts w:ascii="Garamond" w:hAnsi="Garamond" w:cs="Times New Roman"/>
          <w:i/>
          <w:iCs/>
          <w:sz w:val="24"/>
          <w:szCs w:val="24"/>
        </w:rPr>
        <w:t>'</w:t>
      </w:r>
      <w:proofErr w:type="spellStart"/>
      <w:r w:rsidRPr="0087384A">
        <w:rPr>
          <w:rFonts w:ascii="Garamond" w:hAnsi="Garamond" w:cs="Times New Roman"/>
          <w:i/>
          <w:iCs/>
          <w:sz w:val="24"/>
          <w:szCs w:val="24"/>
        </w:rPr>
        <w:t>i'taq</w:t>
      </w:r>
      <w:proofErr w:type="spellEnd"/>
      <w:r w:rsidRPr="0087384A">
        <w:rPr>
          <w:rFonts w:ascii="Garamond" w:hAnsi="Garamond" w:cs="Times New Roman"/>
          <w:sz w:val="24"/>
          <w:szCs w:val="24"/>
        </w:rPr>
        <w:t xml:space="preserve"> (freeing slaves). Thus, it can be concluded that these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in </w:t>
      </w:r>
      <w:proofErr w:type="spellStart"/>
      <w:r w:rsidRPr="0087384A">
        <w:rPr>
          <w:rFonts w:ascii="Garamond" w:hAnsi="Garamond" w:cs="Times New Roman"/>
          <w:sz w:val="24"/>
          <w:szCs w:val="24"/>
        </w:rPr>
        <w:t>fiqh</w:t>
      </w:r>
      <w:proofErr w:type="spellEnd"/>
      <w:r w:rsidRPr="0087384A">
        <w:rPr>
          <w:rFonts w:ascii="Garamond" w:hAnsi="Garamond" w:cs="Times New Roman"/>
          <w:sz w:val="24"/>
          <w:szCs w:val="24"/>
        </w:rPr>
        <w:t xml:space="preserve"> adhere to the Shafi'i school because the main teaching material is the book </w:t>
      </w:r>
      <w:r w:rsidRPr="0087384A">
        <w:rPr>
          <w:rFonts w:ascii="Garamond" w:hAnsi="Garamond" w:cs="Times New Roman"/>
          <w:i/>
          <w:iCs/>
          <w:sz w:val="24"/>
          <w:szCs w:val="24"/>
        </w:rPr>
        <w:t>of Fath al-</w:t>
      </w:r>
      <w:proofErr w:type="spellStart"/>
      <w:r w:rsidRPr="0087384A">
        <w:rPr>
          <w:rFonts w:ascii="Garamond" w:hAnsi="Garamond" w:cs="Times New Roman"/>
          <w:i/>
          <w:iCs/>
          <w:sz w:val="24"/>
          <w:szCs w:val="24"/>
        </w:rPr>
        <w:t>Mu'in</w:t>
      </w:r>
      <w:proofErr w:type="spellEnd"/>
      <w:r w:rsidRPr="0087384A">
        <w:rPr>
          <w:rFonts w:ascii="Garamond" w:hAnsi="Garamond" w:cs="Times New Roman"/>
          <w:i/>
          <w:iCs/>
          <w:sz w:val="24"/>
          <w:szCs w:val="24"/>
        </w:rPr>
        <w:t>.</w:t>
      </w:r>
      <w:r w:rsidRPr="0087384A">
        <w:rPr>
          <w:rFonts w:ascii="Garamond" w:hAnsi="Garamond" w:cs="Times New Roman"/>
          <w:sz w:val="24"/>
          <w:szCs w:val="24"/>
        </w:rPr>
        <w:t xml:space="preserve"> There is something interesting in the </w:t>
      </w:r>
      <w:proofErr w:type="spellStart"/>
      <w:r w:rsidRPr="0087384A">
        <w:rPr>
          <w:rFonts w:ascii="Garamond" w:hAnsi="Garamond" w:cs="Times New Roman"/>
          <w:sz w:val="24"/>
          <w:szCs w:val="24"/>
        </w:rPr>
        <w:t>Sidogiri</w:t>
      </w:r>
      <w:proofErr w:type="spellEnd"/>
      <w:r w:rsidRPr="0087384A">
        <w:rPr>
          <w:rFonts w:ascii="Garamond" w:hAnsi="Garamond" w:cs="Times New Roman"/>
          <w:sz w:val="24"/>
          <w:szCs w:val="24"/>
        </w:rPr>
        <w:t xml:space="preserve"> </w:t>
      </w:r>
      <w:proofErr w:type="spellStart"/>
      <w:r>
        <w:rPr>
          <w:rFonts w:ascii="Garamond" w:hAnsi="Garamond" w:cs="Times New Roman"/>
          <w:sz w:val="24"/>
          <w:szCs w:val="24"/>
        </w:rPr>
        <w:t>pesantren</w:t>
      </w:r>
      <w:proofErr w:type="spellEnd"/>
      <w:r w:rsidRPr="0087384A">
        <w:rPr>
          <w:rFonts w:ascii="Garamond" w:hAnsi="Garamond" w:cs="Times New Roman"/>
          <w:sz w:val="24"/>
          <w:szCs w:val="24"/>
        </w:rPr>
        <w:t xml:space="preserve"> in </w:t>
      </w:r>
      <w:proofErr w:type="spellStart"/>
      <w:r w:rsidRPr="0087384A">
        <w:rPr>
          <w:rFonts w:ascii="Garamond" w:hAnsi="Garamond" w:cs="Times New Roman"/>
          <w:sz w:val="24"/>
          <w:szCs w:val="24"/>
        </w:rPr>
        <w:t>fiqh</w:t>
      </w:r>
      <w:proofErr w:type="spellEnd"/>
      <w:r w:rsidRPr="0087384A">
        <w:rPr>
          <w:rFonts w:ascii="Garamond" w:hAnsi="Garamond" w:cs="Times New Roman"/>
          <w:sz w:val="24"/>
          <w:szCs w:val="24"/>
        </w:rPr>
        <w:t xml:space="preserve"> teaching materials that present teaching materials from four schools. With this wider teaching material, it is hoped that students can be broader in mastering </w:t>
      </w:r>
      <w:proofErr w:type="spellStart"/>
      <w:r w:rsidRPr="0087384A">
        <w:rPr>
          <w:rFonts w:ascii="Garamond" w:hAnsi="Garamond" w:cs="Times New Roman"/>
          <w:sz w:val="24"/>
          <w:szCs w:val="24"/>
        </w:rPr>
        <w:t>fiqh</w:t>
      </w:r>
      <w:proofErr w:type="spellEnd"/>
      <w:r w:rsidRPr="0087384A">
        <w:rPr>
          <w:rFonts w:ascii="Garamond" w:hAnsi="Garamond" w:cs="Times New Roman"/>
          <w:sz w:val="24"/>
          <w:szCs w:val="24"/>
        </w:rPr>
        <w:t xml:space="preserve"> science in a variety of ways. </w:t>
      </w:r>
    </w:p>
    <w:p w14:paraId="1EA70897" w14:textId="77777777" w:rsidR="00AF4385" w:rsidRPr="0087384A" w:rsidRDefault="00AF4385" w:rsidP="00AF4385">
      <w:pPr>
        <w:pStyle w:val="ListParagraph"/>
        <w:spacing w:before="240" w:after="40" w:line="240" w:lineRule="auto"/>
        <w:ind w:left="0" w:firstLine="709"/>
        <w:jc w:val="both"/>
        <w:rPr>
          <w:rFonts w:ascii="Garamond" w:hAnsi="Garamond" w:cs="Times New Roman"/>
          <w:sz w:val="24"/>
          <w:szCs w:val="24"/>
        </w:rPr>
      </w:pPr>
      <w:r w:rsidRPr="0087384A">
        <w:rPr>
          <w:rFonts w:ascii="Garamond" w:hAnsi="Garamond" w:cs="Times New Roman"/>
          <w:sz w:val="24"/>
          <w:szCs w:val="24"/>
        </w:rPr>
        <w:t xml:space="preserve">Meanwhile, for tawhid teaching materials, the book used is </w:t>
      </w:r>
      <w:r w:rsidRPr="00783507">
        <w:rPr>
          <w:rFonts w:ascii="Garamond" w:hAnsi="Garamond" w:cs="Times New Roman"/>
          <w:sz w:val="24"/>
          <w:szCs w:val="24"/>
        </w:rPr>
        <w:t>book of</w:t>
      </w:r>
      <w:r w:rsidRPr="00783507">
        <w:rPr>
          <w:rFonts w:ascii="Garamond" w:hAnsi="Garamond" w:cs="Times New Roman"/>
          <w:i/>
          <w:iCs/>
          <w:sz w:val="24"/>
          <w:szCs w:val="24"/>
        </w:rPr>
        <w:t xml:space="preserve"> </w:t>
      </w:r>
      <w:proofErr w:type="spellStart"/>
      <w:r w:rsidRPr="00783507">
        <w:rPr>
          <w:rFonts w:ascii="Garamond" w:hAnsi="Garamond" w:cs="Times New Roman"/>
          <w:i/>
          <w:iCs/>
          <w:sz w:val="24"/>
          <w:szCs w:val="24"/>
        </w:rPr>
        <w:t>Kifayatul</w:t>
      </w:r>
      <w:proofErr w:type="spellEnd"/>
      <w:r w:rsidRPr="00783507">
        <w:rPr>
          <w:rFonts w:ascii="Garamond" w:hAnsi="Garamond" w:cs="Times New Roman"/>
          <w:i/>
          <w:iCs/>
          <w:sz w:val="24"/>
          <w:szCs w:val="24"/>
        </w:rPr>
        <w:t xml:space="preserve"> Awam</w:t>
      </w:r>
      <w:r w:rsidRPr="0087384A">
        <w:rPr>
          <w:rFonts w:ascii="Garamond" w:hAnsi="Garamond" w:cs="Times New Roman"/>
          <w:sz w:val="24"/>
          <w:szCs w:val="24"/>
        </w:rPr>
        <w:t xml:space="preserve"> which is one of the advanced tawhid knowledge materials. Therefore, this book is generally used as a follow-up lesson for </w:t>
      </w:r>
      <w:proofErr w:type="spellStart"/>
      <w:r>
        <w:rPr>
          <w:rFonts w:ascii="Garamond" w:hAnsi="Garamond" w:cs="Times New Roman"/>
          <w:sz w:val="24"/>
          <w:szCs w:val="24"/>
        </w:rPr>
        <w:t>pesantren</w:t>
      </w:r>
      <w:proofErr w:type="spellEnd"/>
      <w:r w:rsidRPr="0087384A">
        <w:rPr>
          <w:rFonts w:ascii="Garamond" w:hAnsi="Garamond" w:cs="Times New Roman"/>
          <w:sz w:val="24"/>
          <w:szCs w:val="24"/>
        </w:rPr>
        <w:t xml:space="preserve"> students after successfully understanding the basic books of monotheism correctly. The author of this book is Shaykh Muhammad bin Shafi'i al-</w:t>
      </w:r>
      <w:proofErr w:type="spellStart"/>
      <w:r w:rsidRPr="0087384A">
        <w:rPr>
          <w:rFonts w:ascii="Garamond" w:hAnsi="Garamond" w:cs="Times New Roman"/>
          <w:sz w:val="24"/>
          <w:szCs w:val="24"/>
        </w:rPr>
        <w:t>Fudholi</w:t>
      </w:r>
      <w:proofErr w:type="spellEnd"/>
      <w:r w:rsidRPr="0087384A">
        <w:rPr>
          <w:rFonts w:ascii="Garamond" w:hAnsi="Garamond" w:cs="Times New Roman"/>
          <w:sz w:val="24"/>
          <w:szCs w:val="24"/>
        </w:rPr>
        <w:t xml:space="preserve"> is a follower of tauhid </w:t>
      </w:r>
      <w:proofErr w:type="spellStart"/>
      <w:r w:rsidRPr="00650B36">
        <w:rPr>
          <w:rFonts w:ascii="Garamond" w:hAnsi="Garamond" w:cs="Times New Roman"/>
          <w:i/>
          <w:iCs/>
          <w:sz w:val="24"/>
          <w:szCs w:val="24"/>
        </w:rPr>
        <w:t>ahlus</w:t>
      </w:r>
      <w:proofErr w:type="spellEnd"/>
      <w:r w:rsidRPr="00650B36">
        <w:rPr>
          <w:rFonts w:ascii="Garamond" w:hAnsi="Garamond" w:cs="Times New Roman"/>
          <w:i/>
          <w:iCs/>
          <w:sz w:val="24"/>
          <w:szCs w:val="24"/>
        </w:rPr>
        <w:t xml:space="preserve"> sunnah </w:t>
      </w:r>
      <w:proofErr w:type="spellStart"/>
      <w:r w:rsidRPr="00650B36">
        <w:rPr>
          <w:rFonts w:ascii="Garamond" w:hAnsi="Garamond" w:cs="Times New Roman"/>
          <w:i/>
          <w:iCs/>
          <w:sz w:val="24"/>
          <w:szCs w:val="24"/>
        </w:rPr>
        <w:t>wal-jama'ah</w:t>
      </w:r>
      <w:proofErr w:type="spellEnd"/>
      <w:r w:rsidRPr="0087384A">
        <w:rPr>
          <w:rFonts w:ascii="Garamond" w:hAnsi="Garamond" w:cs="Times New Roman"/>
          <w:sz w:val="24"/>
          <w:szCs w:val="24"/>
        </w:rPr>
        <w:t xml:space="preserve">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{"citationItems":[{"id":"ITEM-1","itemData":{"DOI":"10.57251/ici.v3i2.1113","abstract":"The book \"Kifayatul Awam\" by Al-Fudholi is one of the important works of Islamic literature in the context of religious and legal thought. This book has become a primary reference material in Islamic law in various societies. This article aims to analyze twenty characteristics of Al-Fudholi's thought found in the book \"Kifayatul Awam.\" This research employs a text analysis method to identify and explain the characteristics of Al-Fudholi's thought in his book. The results of the analysis indicate that these twenty characteristics of thought encompass various aspects of Islamic law, ethics, and beliefs. Some of these characteristics include concepts related to justice, worship, transactions, and social responsibility. This study provides a deeper understanding of Al-Fudholi's thought in the context of Islamic religion and law. It can also serve as an important reference for those studying and examining classical Islamic literary works, contributing to a better understanding of Islamic teachings in general.","author":[{"dropping-particle":"","family":"Akbar","given":"Sabila","non-dropping-particle":"","parse-names":false,"suffix":""},{"dropping-particle":"","family":"Nafis","given":"Addurun","non-dropping-particle":"","parse-names":false,"suffix":""},{"dropping-particle":"","family":"Sukiman","given":"Sukiman","non-dropping-particle":"","parse-names":false,"suffix":""},{"dropping-particle":"","family":"Suryani","given":"Ira","non-dropping-particle":"","parse-names":false,"suffix":""}],"container-title":"Islam &amp; Contemporary Issues","id":"ITEM-1","issue":"2","issued":{"date-parts":[["2023"]]},"page":"52-59","title":"Pemikiran Al-Fudholi dalam Kitab Kifayatul Awam Mengenai Sifat Allah","type":"article-journal","volume":"3"},"uris":["http://www.mendeley.com/documents/?uuid=7d5a4037-99c2-42c4-a56f-e8ea11a8759c"]}],"mendeley":{"formattedCitation":"(Akbar, Nafis, Sukiman, &amp; Suryani, 2023)","plainTextFormattedCitation":"(Akbar, Nafis, Sukiman, &amp; Suryani, 2023)","previouslyFormattedCitation":"(Akbar, Nafis, Sukiman, &amp; Suryani, 2023)"},"properties":{"noteIndex":0},"schema":"https://github.com/citation-style-language/schema/raw/master/csl-citation.json"}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bCs/>
          <w:noProof/>
          <w:sz w:val="24"/>
          <w:szCs w:val="24"/>
          <w:lang w:val="en-US"/>
        </w:rPr>
        <w:t>(Akbar, Nafis, Sukiman, &amp; Suryani, 2023)</w:t>
      </w:r>
      <w:r w:rsidRPr="0087384A">
        <w:rPr>
          <w:rStyle w:val="FootnoteReference"/>
          <w:rFonts w:ascii="Garamond" w:hAnsi="Garamond"/>
          <w:sz w:val="24"/>
          <w:szCs w:val="24"/>
        </w:rPr>
        <w:fldChar w:fldCharType="end"/>
      </w:r>
      <w:r w:rsidRPr="0087384A">
        <w:rPr>
          <w:rFonts w:ascii="Garamond" w:hAnsi="Garamond" w:cs="Times New Roman"/>
          <w:sz w:val="24"/>
          <w:szCs w:val="24"/>
        </w:rPr>
        <w:t xml:space="preserve">. </w:t>
      </w:r>
    </w:p>
    <w:p w14:paraId="090155BC" w14:textId="77777777" w:rsidR="00AF4385" w:rsidRPr="0087384A" w:rsidRDefault="00AF4385" w:rsidP="00AF4385">
      <w:pPr>
        <w:pStyle w:val="ListParagraph"/>
        <w:spacing w:before="240" w:after="40" w:line="240" w:lineRule="auto"/>
        <w:ind w:left="0" w:firstLine="709"/>
        <w:jc w:val="both"/>
        <w:rPr>
          <w:rFonts w:ascii="Garamond" w:hAnsi="Garamond" w:cs="Times New Roman"/>
          <w:sz w:val="24"/>
          <w:szCs w:val="24"/>
        </w:rPr>
      </w:pPr>
      <w:r w:rsidRPr="0087384A">
        <w:rPr>
          <w:rFonts w:ascii="Garamond" w:hAnsi="Garamond" w:cs="Times New Roman"/>
          <w:sz w:val="24"/>
          <w:szCs w:val="24"/>
        </w:rPr>
        <w:t xml:space="preserve">Another characteristic is the study of Sufism morals. From the table above, it can be seen that the book used in NU </w:t>
      </w:r>
      <w:proofErr w:type="spellStart"/>
      <w:r>
        <w:rPr>
          <w:rFonts w:ascii="Garamond" w:hAnsi="Garamond" w:cs="Times New Roman"/>
          <w:sz w:val="24"/>
          <w:szCs w:val="24"/>
        </w:rPr>
        <w:t>pesantrens</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is </w:t>
      </w:r>
      <w:proofErr w:type="spellStart"/>
      <w:r w:rsidRPr="0087384A">
        <w:rPr>
          <w:rFonts w:ascii="Garamond" w:hAnsi="Garamond" w:cs="Times New Roman"/>
          <w:i/>
          <w:iCs/>
          <w:sz w:val="24"/>
          <w:szCs w:val="24"/>
        </w:rPr>
        <w:t>Syarh</w:t>
      </w:r>
      <w:proofErr w:type="spellEnd"/>
      <w:r w:rsidRPr="0087384A">
        <w:rPr>
          <w:rFonts w:ascii="Garamond" w:hAnsi="Garamond" w:cs="Times New Roman"/>
          <w:i/>
          <w:iCs/>
          <w:sz w:val="24"/>
          <w:szCs w:val="24"/>
        </w:rPr>
        <w:t xml:space="preserve"> al-</w:t>
      </w:r>
      <w:proofErr w:type="spellStart"/>
      <w:r w:rsidRPr="0087384A">
        <w:rPr>
          <w:rFonts w:ascii="Garamond" w:hAnsi="Garamond" w:cs="Times New Roman"/>
          <w:i/>
          <w:iCs/>
          <w:sz w:val="24"/>
          <w:szCs w:val="24"/>
        </w:rPr>
        <w:t>Hikam</w:t>
      </w:r>
      <w:proofErr w:type="spellEnd"/>
      <w:r w:rsidRPr="0087384A">
        <w:rPr>
          <w:rFonts w:ascii="Garamond" w:hAnsi="Garamond" w:cs="Times New Roman"/>
          <w:i/>
          <w:iCs/>
          <w:sz w:val="24"/>
          <w:szCs w:val="24"/>
        </w:rPr>
        <w:t xml:space="preserve"> </w:t>
      </w:r>
      <w:r w:rsidRPr="0087384A">
        <w:rPr>
          <w:rFonts w:ascii="Garamond" w:hAnsi="Garamond" w:cs="Times New Roman"/>
          <w:sz w:val="24"/>
          <w:szCs w:val="24"/>
        </w:rPr>
        <w:t>by Sheikh Ahmad Ibn '</w:t>
      </w:r>
      <w:proofErr w:type="spellStart"/>
      <w:r w:rsidRPr="0087384A">
        <w:rPr>
          <w:rFonts w:ascii="Garamond" w:hAnsi="Garamond" w:cs="Times New Roman"/>
          <w:sz w:val="24"/>
          <w:szCs w:val="24"/>
        </w:rPr>
        <w:t>Athoillah</w:t>
      </w:r>
      <w:proofErr w:type="spellEnd"/>
      <w:r w:rsidRPr="0087384A">
        <w:rPr>
          <w:rFonts w:ascii="Garamond" w:hAnsi="Garamond" w:cs="Times New Roman"/>
          <w:sz w:val="24"/>
          <w:szCs w:val="24"/>
        </w:rPr>
        <w:t xml:space="preserve"> al-</w:t>
      </w:r>
      <w:proofErr w:type="spellStart"/>
      <w:r w:rsidRPr="0087384A">
        <w:rPr>
          <w:rFonts w:ascii="Garamond" w:hAnsi="Garamond" w:cs="Times New Roman"/>
          <w:sz w:val="24"/>
          <w:szCs w:val="24"/>
        </w:rPr>
        <w:t>Sakandari</w:t>
      </w:r>
      <w:proofErr w:type="spellEnd"/>
      <w:r w:rsidRPr="0087384A">
        <w:rPr>
          <w:rFonts w:ascii="Garamond" w:hAnsi="Garamond" w:cs="Times New Roman"/>
          <w:sz w:val="24"/>
          <w:szCs w:val="24"/>
        </w:rPr>
        <w:t>. Ibn '</w:t>
      </w:r>
      <w:proofErr w:type="spellStart"/>
      <w:r w:rsidRPr="0087384A">
        <w:rPr>
          <w:rFonts w:ascii="Garamond" w:hAnsi="Garamond" w:cs="Times New Roman"/>
          <w:sz w:val="24"/>
          <w:szCs w:val="24"/>
        </w:rPr>
        <w:t>Athoillah</w:t>
      </w:r>
      <w:proofErr w:type="spellEnd"/>
      <w:r w:rsidRPr="0087384A">
        <w:rPr>
          <w:rFonts w:ascii="Garamond" w:hAnsi="Garamond" w:cs="Times New Roman"/>
          <w:sz w:val="24"/>
          <w:szCs w:val="24"/>
        </w:rPr>
        <w:t xml:space="preserve"> was a disciple of Abu al-Abbas Ahmad ibn Ali al-</w:t>
      </w:r>
      <w:proofErr w:type="spellStart"/>
      <w:r w:rsidRPr="0087384A">
        <w:rPr>
          <w:rFonts w:ascii="Garamond" w:hAnsi="Garamond" w:cs="Times New Roman"/>
          <w:sz w:val="24"/>
          <w:szCs w:val="24"/>
        </w:rPr>
        <w:t>Anshari</w:t>
      </w:r>
      <w:proofErr w:type="spellEnd"/>
      <w:r w:rsidRPr="0087384A">
        <w:rPr>
          <w:rFonts w:ascii="Garamond" w:hAnsi="Garamond" w:cs="Times New Roman"/>
          <w:sz w:val="24"/>
          <w:szCs w:val="24"/>
        </w:rPr>
        <w:t xml:space="preserve"> al-Mursi who was a direct disciple of Abi al-Hasan al-</w:t>
      </w:r>
      <w:proofErr w:type="spellStart"/>
      <w:r w:rsidRPr="0087384A">
        <w:rPr>
          <w:rFonts w:ascii="Garamond" w:hAnsi="Garamond" w:cs="Times New Roman"/>
          <w:sz w:val="24"/>
          <w:szCs w:val="24"/>
        </w:rPr>
        <w:t>Syadzili</w:t>
      </w:r>
      <w:proofErr w:type="spellEnd"/>
      <w:r w:rsidRPr="0087384A">
        <w:rPr>
          <w:rFonts w:ascii="Garamond" w:hAnsi="Garamond" w:cs="Times New Roman"/>
          <w:sz w:val="24"/>
          <w:szCs w:val="24"/>
        </w:rPr>
        <w:t xml:space="preserve">, the founder of the </w:t>
      </w:r>
      <w:proofErr w:type="spellStart"/>
      <w:r w:rsidRPr="0087384A">
        <w:rPr>
          <w:rFonts w:ascii="Garamond" w:hAnsi="Garamond" w:cs="Times New Roman"/>
          <w:sz w:val="24"/>
          <w:szCs w:val="24"/>
        </w:rPr>
        <w:t>Syadziliyah</w:t>
      </w:r>
      <w:proofErr w:type="spellEnd"/>
      <w:r w:rsidRPr="0087384A">
        <w:rPr>
          <w:rFonts w:ascii="Garamond" w:hAnsi="Garamond" w:cs="Times New Roman"/>
          <w:sz w:val="24"/>
          <w:szCs w:val="24"/>
        </w:rPr>
        <w:t xml:space="preserve"> order. This book is a book of morality combined with Sufism as well as philosophical Sufism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{"citationItems":[{"id":"ITEM-1","itemData":{"author":[{"dropping-particle":"","family":"Darat","given":"KH. Sholeh","non-dropping-particle":"","parse-names":false,"suffix":""}],"id":"ITEM-1","issued":{"date-parts":[["2022"]]},"publisher":"Penerbit Shahifa","publisher-place":"Depok","title":"Syarah al-Hikam (terj.) Kitab al-Hikam","type":"book"},"uris":["http://www.mendeley.com/documents/?uuid=4d080d0f-03b8-4d3f-982e-90c7161bfb1d"]}],"mendeley":{"formattedCitation":"(Darat, 2022)","plainTextFormattedCitation":"(Darat, 2022)","previouslyFormattedCitation":"(Darat, 2022)"},"properties":{"noteIndex":0},"schema":"https://github.com/citation-style-language/schema/raw/master/csl-citation.json"}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noProof/>
          <w:sz w:val="24"/>
          <w:szCs w:val="24"/>
        </w:rPr>
        <w:t>(Darat, 2022)</w:t>
      </w:r>
      <w:r w:rsidRPr="0087384A">
        <w:rPr>
          <w:rStyle w:val="FootnoteReference"/>
          <w:rFonts w:ascii="Garamond" w:hAnsi="Garamond"/>
          <w:sz w:val="24"/>
          <w:szCs w:val="24"/>
        </w:rPr>
        <w:fldChar w:fldCharType="end"/>
      </w:r>
      <w:r w:rsidRPr="0087384A">
        <w:rPr>
          <w:rFonts w:ascii="Garamond" w:hAnsi="Garamond" w:cs="Times New Roman"/>
          <w:sz w:val="24"/>
          <w:szCs w:val="24"/>
        </w:rPr>
        <w:t xml:space="preserve">. This book is also the choice of several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in the routine </w:t>
      </w:r>
      <w:proofErr w:type="spellStart"/>
      <w:r w:rsidRPr="0087384A">
        <w:rPr>
          <w:rFonts w:ascii="Garamond" w:hAnsi="Garamond" w:cs="Times New Roman"/>
          <w:i/>
          <w:iCs/>
          <w:sz w:val="24"/>
          <w:szCs w:val="24"/>
        </w:rPr>
        <w:t>wetonan</w:t>
      </w:r>
      <w:proofErr w:type="spellEnd"/>
      <w:r w:rsidRPr="0087384A">
        <w:rPr>
          <w:rFonts w:ascii="Garamond" w:hAnsi="Garamond" w:cs="Times New Roman"/>
          <w:i/>
          <w:iCs/>
          <w:sz w:val="24"/>
          <w:szCs w:val="24"/>
        </w:rPr>
        <w:t xml:space="preserve"> </w:t>
      </w:r>
      <w:proofErr w:type="spellStart"/>
      <w:r w:rsidRPr="0087384A">
        <w:rPr>
          <w:rFonts w:ascii="Garamond" w:hAnsi="Garamond" w:cs="Times New Roman"/>
          <w:i/>
          <w:iCs/>
          <w:sz w:val="24"/>
          <w:szCs w:val="24"/>
        </w:rPr>
        <w:t>pesantren</w:t>
      </w:r>
      <w:proofErr w:type="spellEnd"/>
      <w:r w:rsidRPr="0087384A">
        <w:rPr>
          <w:rFonts w:ascii="Garamond" w:hAnsi="Garamond" w:cs="Times New Roman"/>
          <w:i/>
          <w:iCs/>
          <w:sz w:val="24"/>
          <w:szCs w:val="24"/>
        </w:rPr>
        <w:t xml:space="preserve"> program </w:t>
      </w:r>
      <w:r w:rsidRPr="0087384A">
        <w:rPr>
          <w:rFonts w:ascii="Garamond" w:hAnsi="Garamond" w:cs="Times New Roman"/>
          <w:sz w:val="24"/>
          <w:szCs w:val="24"/>
        </w:rPr>
        <w:t xml:space="preserve">which is usually read by caregivers for students and the general public such as </w:t>
      </w:r>
      <w:proofErr w:type="spellStart"/>
      <w:r w:rsidRPr="0087384A">
        <w:rPr>
          <w:rFonts w:ascii="Garamond" w:hAnsi="Garamond" w:cs="Times New Roman"/>
          <w:sz w:val="24"/>
          <w:szCs w:val="24"/>
        </w:rPr>
        <w:t>Bahrul</w:t>
      </w:r>
      <w:proofErr w:type="spellEnd"/>
      <w:r w:rsidRPr="0087384A">
        <w:rPr>
          <w:rFonts w:ascii="Garamond" w:hAnsi="Garamond" w:cs="Times New Roman"/>
          <w:sz w:val="24"/>
          <w:szCs w:val="24"/>
        </w:rPr>
        <w:t xml:space="preserve"> </w:t>
      </w:r>
      <w:proofErr w:type="spellStart"/>
      <w:r w:rsidRPr="0087384A">
        <w:rPr>
          <w:rFonts w:ascii="Garamond" w:hAnsi="Garamond" w:cs="Times New Roman"/>
          <w:sz w:val="24"/>
          <w:szCs w:val="24"/>
        </w:rPr>
        <w:t>Ulum</w:t>
      </w:r>
      <w:proofErr w:type="spellEnd"/>
      <w:r w:rsidRPr="0087384A">
        <w:rPr>
          <w:rFonts w:ascii="Garamond" w:hAnsi="Garamond" w:cs="Times New Roman"/>
          <w:sz w:val="24"/>
          <w:szCs w:val="24"/>
        </w:rPr>
        <w:t xml:space="preserve"> and </w:t>
      </w:r>
      <w:proofErr w:type="spellStart"/>
      <w:r w:rsidRPr="0087384A">
        <w:rPr>
          <w:rFonts w:ascii="Garamond" w:hAnsi="Garamond" w:cs="Times New Roman"/>
          <w:sz w:val="24"/>
          <w:szCs w:val="24"/>
        </w:rPr>
        <w:t>Tebuireng</w:t>
      </w:r>
      <w:proofErr w:type="spellEnd"/>
      <w:r w:rsidRPr="0087384A">
        <w:rPr>
          <w:rFonts w:ascii="Garamond" w:hAnsi="Garamond" w:cs="Times New Roman"/>
          <w:sz w:val="24"/>
          <w:szCs w:val="24"/>
        </w:rPr>
        <w:t xml:space="preserve"> </w:t>
      </w:r>
      <w:proofErr w:type="spellStart"/>
      <w:r w:rsidRPr="0087384A">
        <w:rPr>
          <w:rFonts w:ascii="Garamond" w:hAnsi="Garamond" w:cs="Times New Roman"/>
          <w:sz w:val="24"/>
          <w:szCs w:val="24"/>
        </w:rPr>
        <w:t>Jombang</w:t>
      </w:r>
      <w:proofErr w:type="spellEnd"/>
      <w:r w:rsidRPr="0087384A">
        <w:rPr>
          <w:rFonts w:ascii="Garamond" w:hAnsi="Garamond" w:cs="Times New Roman"/>
          <w:sz w:val="24"/>
          <w:szCs w:val="24"/>
        </w:rPr>
        <w:t xml:space="preserve">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w:t>
      </w:r>
    </w:p>
    <w:p w14:paraId="1342CEB6" w14:textId="77777777" w:rsidR="00AF4385" w:rsidRPr="00925614" w:rsidRDefault="00AF4385" w:rsidP="00AF4385">
      <w:pPr>
        <w:spacing w:before="240" w:after="40" w:line="240" w:lineRule="auto"/>
        <w:jc w:val="both"/>
        <w:rPr>
          <w:rFonts w:ascii="Garamond" w:hAnsi="Garamond" w:cs="Times New Roman"/>
          <w:b/>
          <w:bCs/>
          <w:sz w:val="24"/>
          <w:szCs w:val="24"/>
        </w:rPr>
      </w:pPr>
      <w:r w:rsidRPr="00925614">
        <w:rPr>
          <w:rFonts w:ascii="Garamond" w:hAnsi="Garamond" w:cs="Times New Roman"/>
          <w:b/>
          <w:bCs/>
          <w:sz w:val="24"/>
          <w:szCs w:val="24"/>
        </w:rPr>
        <w:t>Muhammadiyah Affiliate</w:t>
      </w:r>
      <w:r>
        <w:rPr>
          <w:rFonts w:ascii="Garamond" w:hAnsi="Garamond" w:cs="Times New Roman"/>
          <w:b/>
          <w:bCs/>
          <w:sz w:val="24"/>
          <w:szCs w:val="24"/>
        </w:rPr>
        <w:t>s</w:t>
      </w:r>
      <w:r w:rsidRPr="00925614">
        <w:rPr>
          <w:rFonts w:ascii="Garamond" w:hAnsi="Garamond" w:cs="Times New Roman"/>
          <w:b/>
          <w:bCs/>
          <w:sz w:val="24"/>
          <w:szCs w:val="24"/>
        </w:rPr>
        <w:t xml:space="preserve"> </w:t>
      </w:r>
    </w:p>
    <w:p w14:paraId="0500E58D" w14:textId="77777777" w:rsidR="00AF4385" w:rsidRPr="0087384A" w:rsidRDefault="00AF4385" w:rsidP="00AF4385">
      <w:pPr>
        <w:spacing w:before="240" w:after="40" w:line="240" w:lineRule="auto"/>
        <w:ind w:firstLine="709"/>
        <w:jc w:val="both"/>
        <w:rPr>
          <w:rFonts w:ascii="Garamond" w:hAnsi="Garamond" w:cs="Times New Roman"/>
          <w:sz w:val="24"/>
          <w:szCs w:val="24"/>
        </w:rPr>
      </w:pP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affiliated with Muhammadiyah are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that were indeed established by Muhammadiyah. Some Muhammadiyah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are indeed owned by individuals or the caregivers/founders, but the number is small. In contrast to NU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affiliated with Muhammadiyah do not have a curriculum with a system of mastery of the </w:t>
      </w:r>
      <w:r>
        <w:rPr>
          <w:rFonts w:ascii="Garamond" w:hAnsi="Garamond" w:cs="Times New Roman"/>
          <w:i/>
          <w:iCs/>
          <w:sz w:val="24"/>
          <w:szCs w:val="24"/>
        </w:rPr>
        <w:t xml:space="preserve">kitab </w:t>
      </w:r>
      <w:proofErr w:type="spellStart"/>
      <w:r>
        <w:rPr>
          <w:rFonts w:ascii="Garamond" w:hAnsi="Garamond" w:cs="Times New Roman"/>
          <w:i/>
          <w:iCs/>
          <w:sz w:val="24"/>
          <w:szCs w:val="24"/>
        </w:rPr>
        <w:t>kuning</w:t>
      </w:r>
      <w:proofErr w:type="spellEnd"/>
      <w:r w:rsidRPr="0087384A">
        <w:rPr>
          <w:rFonts w:ascii="Garamond" w:hAnsi="Garamond" w:cs="Times New Roman"/>
          <w:sz w:val="24"/>
          <w:szCs w:val="24"/>
        </w:rPr>
        <w:t xml:space="preserve"> in stages. Muhammadiyah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have since its inception taught the national curriculum outside of their informal religious teachings. </w:t>
      </w:r>
    </w:p>
    <w:p w14:paraId="0E730600" w14:textId="77777777" w:rsidR="00AF4385" w:rsidRPr="0087384A" w:rsidRDefault="00AF4385" w:rsidP="00AF4385">
      <w:pPr>
        <w:spacing w:before="240" w:after="40" w:line="240" w:lineRule="auto"/>
        <w:ind w:firstLine="709"/>
        <w:jc w:val="both"/>
        <w:rPr>
          <w:rFonts w:ascii="Garamond" w:hAnsi="Garamond" w:cs="Times New Roman"/>
          <w:sz w:val="24"/>
          <w:szCs w:val="24"/>
        </w:rPr>
      </w:pPr>
      <w:r w:rsidRPr="0087384A">
        <w:rPr>
          <w:rFonts w:ascii="Garamond" w:hAnsi="Garamond" w:cs="Times New Roman"/>
          <w:sz w:val="24"/>
          <w:szCs w:val="24"/>
        </w:rPr>
        <w:t xml:space="preserve">The management model of the Muhammadiyah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is </w:t>
      </w:r>
      <w:r w:rsidRPr="0087384A">
        <w:rPr>
          <w:rFonts w:ascii="Garamond" w:hAnsi="Garamond" w:cs="Times New Roman"/>
          <w:i/>
          <w:iCs/>
          <w:sz w:val="24"/>
          <w:szCs w:val="24"/>
        </w:rPr>
        <w:t>top-down</w:t>
      </w:r>
      <w:r w:rsidRPr="0087384A">
        <w:rPr>
          <w:rFonts w:ascii="Garamond" w:hAnsi="Garamond" w:cs="Times New Roman"/>
          <w:sz w:val="24"/>
          <w:szCs w:val="24"/>
        </w:rPr>
        <w:t xml:space="preserve">, namely the managerial supervision of the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be it the curriculum, the recruitment of teachers and administrators, and direct funding is carried out by the central management. Meanwhile, the implementation of its operations is supervised by the branch management. The caregiver or the leader of the Muhammadiyah </w:t>
      </w:r>
      <w:proofErr w:type="spellStart"/>
      <w:r>
        <w:rPr>
          <w:rFonts w:ascii="Garamond" w:hAnsi="Garamond" w:cs="Times New Roman"/>
          <w:sz w:val="24"/>
          <w:szCs w:val="24"/>
        </w:rPr>
        <w:t>pesantren</w:t>
      </w:r>
      <w:proofErr w:type="spellEnd"/>
      <w:r w:rsidRPr="0087384A">
        <w:rPr>
          <w:rFonts w:ascii="Garamond" w:hAnsi="Garamond" w:cs="Times New Roman"/>
          <w:sz w:val="24"/>
          <w:szCs w:val="24"/>
        </w:rPr>
        <w:t xml:space="preserve"> does not have the power to do things outside the supervision of the Muhammadiyah management. The leaders of the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are also elected every four years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{"citationItems":[{"id":"ITEM-1","itemData":{"abstract":"… Beda dengan sekolah negeri di bawah kewenangan Kemendikbud yang menerima dana dari Kemendikbud dan pemerintah daerah. Bantuan keuangan utama pesantren datang melalui transfer langsung dari Bantuan Operasional Sekolah (BOS) pemerintah pusat …","author":[{"dropping-particle":"","family":"Azzahra","given":"Nadia Fairuzza","non-dropping-particle":"","parse-names":false,"suffix":""}],"container-title":"Centerfor Indonesian Policy Studies","id":"ITEM-1","issue":"9","issued":{"date-parts":[["2020"]]},"page":"30","title":"Dampak Undang-Undang Pesantren Terhadap Sistem Pendidikan Indonesia – Sebuah Proyeksi","type":"article-journal"},"uris":["http://www.mendeley.com/documents/?uuid=31b338ab-e930-49de-a2f5-4846f5353499"]}],"mendeley":{"formattedCitation":"(Azzahra, 2020)","plainTextFormattedCitation":"(Azzahra, 2020)","previouslyFormattedCitation":"(Azzahra, 2020)"},"properties":{"noteIndex":0},"schema":"https://github.com/citation-style-language/schema/raw/master/csl-citation.json"}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noProof/>
          <w:sz w:val="24"/>
          <w:szCs w:val="24"/>
        </w:rPr>
        <w:t>(Azzahra, 2020)</w:t>
      </w:r>
      <w:r w:rsidRPr="0087384A">
        <w:rPr>
          <w:rStyle w:val="FootnoteReference"/>
          <w:rFonts w:ascii="Garamond" w:hAnsi="Garamond"/>
          <w:sz w:val="24"/>
          <w:szCs w:val="24"/>
        </w:rPr>
        <w:fldChar w:fldCharType="end"/>
      </w:r>
      <w:r w:rsidRPr="0087384A">
        <w:rPr>
          <w:rFonts w:ascii="Garamond" w:hAnsi="Garamond" w:cs="Times New Roman"/>
          <w:sz w:val="24"/>
          <w:szCs w:val="24"/>
        </w:rPr>
        <w:t>.</w:t>
      </w:r>
    </w:p>
    <w:p w14:paraId="6DB9F52E" w14:textId="77777777" w:rsidR="00AF4385" w:rsidRPr="0087384A" w:rsidRDefault="00AF4385" w:rsidP="00AF4385">
      <w:pPr>
        <w:spacing w:before="240" w:after="40" w:line="240" w:lineRule="auto"/>
        <w:ind w:firstLine="709"/>
        <w:jc w:val="both"/>
        <w:rPr>
          <w:rFonts w:ascii="Garamond" w:hAnsi="Garamond" w:cs="Times New Roman"/>
          <w:sz w:val="24"/>
          <w:szCs w:val="24"/>
        </w:rPr>
      </w:pPr>
      <w:r w:rsidRPr="0087384A">
        <w:rPr>
          <w:rFonts w:ascii="Garamond" w:hAnsi="Garamond" w:cs="Times New Roman"/>
          <w:sz w:val="24"/>
          <w:szCs w:val="24"/>
        </w:rPr>
        <w:t xml:space="preserve">It was also mentioned that the Muhammadiyah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spread across several regions of Indonesia was initially a study, educational institution, and also a recitation group which was later developed with the innovation of the establishment of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ISBN":"9786232651999","abstract":"…","author":[{"dropping-particle":"","family":"Anshori","given":"Isa","non-dropping-particle":"","parse-names":false,"suffix":""}],"id":"ITEM-1","issued":{"date-parts":[["2020"]]},"number-of-pages":"257","title":"Dinamika Pesantren","type":"book"},"uris":["http://www.mendeley.com/documents/?uuid=63da3033-c4c9-4454-941b-685cc10fa0a3"]}],"mendeley":{"formattedCitation":"(Anshori, 2020)","plainTextFormattedCitation":"(Anshori, 2020)","previouslyFormattedCitation":"(Anshori, 2020)"},"properties":{"noteIndex":0},"schema":"https://github.com/citation-style-language/schema/raw/master/csl-citation.json"}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noProof/>
          <w:sz w:val="24"/>
          <w:szCs w:val="24"/>
        </w:rPr>
        <w:t>(Anshori, 2020)</w:t>
      </w:r>
      <w:r w:rsidRPr="0087384A">
        <w:rPr>
          <w:rStyle w:val="FootnoteReference"/>
          <w:rFonts w:ascii="Garamond" w:hAnsi="Garamond"/>
          <w:sz w:val="24"/>
          <w:szCs w:val="24"/>
        </w:rPr>
        <w:fldChar w:fldCharType="end"/>
      </w:r>
      <w:r w:rsidRPr="0087384A">
        <w:rPr>
          <w:rFonts w:ascii="Garamond" w:hAnsi="Garamond" w:cs="Times New Roman"/>
          <w:sz w:val="24"/>
          <w:szCs w:val="24"/>
        </w:rPr>
        <w:t xml:space="preserve">. The establishment of this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is an innovative business in order to meet the needs of the community. </w:t>
      </w:r>
    </w:p>
    <w:p w14:paraId="11FFD4FC" w14:textId="77777777" w:rsidR="00AF4385" w:rsidRPr="0087384A" w:rsidRDefault="00AF4385" w:rsidP="00AF4385">
      <w:pPr>
        <w:spacing w:before="240" w:after="40" w:line="240" w:lineRule="auto"/>
        <w:ind w:firstLine="709"/>
        <w:jc w:val="both"/>
        <w:rPr>
          <w:rFonts w:ascii="Garamond" w:hAnsi="Garamond" w:cs="Times New Roman"/>
          <w:sz w:val="24"/>
          <w:szCs w:val="24"/>
        </w:rPr>
      </w:pPr>
      <w:r w:rsidRPr="0087384A">
        <w:rPr>
          <w:rFonts w:ascii="Garamond" w:hAnsi="Garamond" w:cs="Times New Roman"/>
          <w:sz w:val="24"/>
          <w:szCs w:val="24"/>
        </w:rPr>
        <w:t xml:space="preserve">The curriculum of the Muhammadiyah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uses the madrasah curriculum by adding the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curriculum which contains al-Islam and Muhammadiyah materials, Arabic and English</w:t>
      </w:r>
      <w:r>
        <w:rPr>
          <w:rFonts w:ascii="Garamond" w:hAnsi="Garamond" w:cs="Times New Roman"/>
          <w:sz w:val="24"/>
          <w:szCs w:val="24"/>
        </w:rPr>
        <w:t xml:space="preserve">, </w:t>
      </w:r>
      <w:r w:rsidRPr="0087384A">
        <w:rPr>
          <w:rFonts w:ascii="Garamond" w:hAnsi="Garamond" w:cs="Times New Roman"/>
          <w:sz w:val="24"/>
          <w:szCs w:val="24"/>
        </w:rPr>
        <w:t xml:space="preserve">regeneration, and others. The educational curriculum is taught in stages </w:t>
      </w:r>
      <w:r w:rsidRPr="0087384A">
        <w:rPr>
          <w:rFonts w:ascii="Garamond" w:hAnsi="Garamond" w:cs="Times New Roman"/>
          <w:sz w:val="24"/>
          <w:szCs w:val="24"/>
        </w:rPr>
        <w:lastRenderedPageBreak/>
        <w:t xml:space="preserve">in semesters and in stages according to the level of education of each one, including: </w:t>
      </w:r>
      <w:proofErr w:type="spellStart"/>
      <w:r w:rsidRPr="0087384A">
        <w:rPr>
          <w:rFonts w:ascii="Garamond" w:hAnsi="Garamond" w:cs="Times New Roman"/>
          <w:sz w:val="24"/>
          <w:szCs w:val="24"/>
        </w:rPr>
        <w:t>tsanawiyah</w:t>
      </w:r>
      <w:proofErr w:type="spellEnd"/>
      <w:r w:rsidRPr="0087384A">
        <w:rPr>
          <w:rFonts w:ascii="Garamond" w:hAnsi="Garamond" w:cs="Times New Roman"/>
          <w:sz w:val="24"/>
          <w:szCs w:val="24"/>
        </w:rPr>
        <w:t xml:space="preserve"> level and </w:t>
      </w:r>
      <w:proofErr w:type="spellStart"/>
      <w:r w:rsidRPr="0087384A">
        <w:rPr>
          <w:rFonts w:ascii="Garamond" w:hAnsi="Garamond" w:cs="Times New Roman"/>
          <w:sz w:val="24"/>
          <w:szCs w:val="24"/>
        </w:rPr>
        <w:t>aliyah</w:t>
      </w:r>
      <w:proofErr w:type="spellEnd"/>
      <w:r w:rsidRPr="0087384A">
        <w:rPr>
          <w:rFonts w:ascii="Garamond" w:hAnsi="Garamond" w:cs="Times New Roman"/>
          <w:sz w:val="24"/>
          <w:szCs w:val="24"/>
        </w:rPr>
        <w:t xml:space="preserve"> level. The distribution is adjusted to the class division system, namely: from grade VII to grade IX for the </w:t>
      </w:r>
      <w:proofErr w:type="spellStart"/>
      <w:r w:rsidRPr="0087384A">
        <w:rPr>
          <w:rFonts w:ascii="Garamond" w:hAnsi="Garamond" w:cs="Times New Roman"/>
          <w:sz w:val="24"/>
          <w:szCs w:val="24"/>
        </w:rPr>
        <w:t>tsnawiyah</w:t>
      </w:r>
      <w:proofErr w:type="spellEnd"/>
      <w:r w:rsidRPr="0087384A">
        <w:rPr>
          <w:rFonts w:ascii="Garamond" w:hAnsi="Garamond" w:cs="Times New Roman"/>
          <w:sz w:val="24"/>
          <w:szCs w:val="24"/>
        </w:rPr>
        <w:t xml:space="preserve"> level and from grade X to grade XII for the </w:t>
      </w:r>
      <w:proofErr w:type="spellStart"/>
      <w:r w:rsidRPr="0087384A">
        <w:rPr>
          <w:rFonts w:ascii="Garamond" w:hAnsi="Garamond" w:cs="Times New Roman"/>
          <w:sz w:val="24"/>
          <w:szCs w:val="24"/>
        </w:rPr>
        <w:t>aliyah</w:t>
      </w:r>
      <w:proofErr w:type="spellEnd"/>
      <w:r w:rsidRPr="0087384A">
        <w:rPr>
          <w:rFonts w:ascii="Garamond" w:hAnsi="Garamond" w:cs="Times New Roman"/>
          <w:sz w:val="24"/>
          <w:szCs w:val="24"/>
        </w:rPr>
        <w:t xml:space="preserve"> level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{"citationItems":[{"id":"ITEM-1","itemData":{"DOI":"10.31604/muaddib.v1i1.797","ISSN":"2528-2492","abstract":"PontrenMu has three patterns of Islamic education system, namely: the madrasa system, the Islamic Boarding School system, and expertise (takhaşşsuş) system. The madrasa system is a model of modernization of Islamic traditional educational system and Islamic Boarding School system seems as a model of “postmodernized” high school (sekolah) educational system. Meanwhile, expertise (takhaşşsuş) system can be called as a neo-postmodernized Islamic Boarding School system in which the graduate Islamic educational system integrating with traditional Islamic education in a spesific pattern (pesantren luhur/ma`had `aly). All of that Islamic educational systems are oriented to realize the vision and mission of Muhammadiyah in order to produce the cadres of ulema-intellectual or intellectual-ulema formally and simultaneously. Besides of being the alternative strategies for improvement of Islamic educational system of Muhammadiyah in both levels of high and graduate school, the three patterns of Islamic education system are also being solutions for fulfillment of demands and needs of Moslem communities in contemporary era","author":[{"dropping-particle":"","family":"Tampubolon","given":"Ichwansyah","non-dropping-particle":"","parse-names":false,"suffix":""}],"container-title":"Al-Muaddib : Jurnal Ilmu-Ilmu Sosial &amp; Keislaman","id":"ITEM-1","issue":"1","issued":{"date-parts":[["2019"]]},"page":"116","title":"Trilogi Sistem Pendidikan Pesantren Muhammadiyah: Suatu Pengantar","type":"article-journal","volume":"4"},"uris":["http://www.mendeley.com/documents/?uuid=4d0a9163-4eaa-464a-9e46-628419f316f7"]}],"mendeley":{"formattedCitation":"(Tampubolon, 2019)","plainTextFormattedCitation":"(Tampubolon, 2019)","previouslyFormattedCitation":"(Tampubolon, 2019)"},"properties":{"noteIndex":0},"schema":"https://github.com/citation-style-language/schema/raw/master/csl-citation.json"}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bCs/>
          <w:noProof/>
          <w:sz w:val="24"/>
          <w:szCs w:val="24"/>
          <w:lang w:val="en-US"/>
        </w:rPr>
        <w:t>(Tampubolon, 2019)</w:t>
      </w:r>
      <w:r w:rsidRPr="0087384A">
        <w:rPr>
          <w:rStyle w:val="FootnoteReference"/>
          <w:rFonts w:ascii="Garamond" w:hAnsi="Garamond"/>
          <w:sz w:val="24"/>
          <w:szCs w:val="24"/>
        </w:rPr>
        <w:fldChar w:fldCharType="end"/>
      </w:r>
      <w:r w:rsidRPr="0087384A">
        <w:rPr>
          <w:rFonts w:ascii="Garamond" w:hAnsi="Garamond" w:cs="Times New Roman"/>
          <w:sz w:val="24"/>
          <w:szCs w:val="24"/>
        </w:rPr>
        <w:t xml:space="preserve">. </w:t>
      </w:r>
    </w:p>
    <w:p w14:paraId="1E9A70FC" w14:textId="77777777" w:rsidR="00AF4385" w:rsidRPr="0087384A" w:rsidRDefault="00AF4385" w:rsidP="00AF4385">
      <w:pPr>
        <w:spacing w:before="240" w:after="40" w:line="240" w:lineRule="auto"/>
        <w:ind w:firstLine="709"/>
        <w:jc w:val="both"/>
        <w:rPr>
          <w:rFonts w:ascii="Garamond" w:hAnsi="Garamond" w:cs="Times New Roman"/>
          <w:sz w:val="24"/>
          <w:szCs w:val="24"/>
        </w:rPr>
      </w:pPr>
      <w:r w:rsidRPr="0087384A">
        <w:rPr>
          <w:rFonts w:ascii="Garamond" w:hAnsi="Garamond" w:cs="Times New Roman"/>
          <w:sz w:val="24"/>
          <w:szCs w:val="24"/>
        </w:rPr>
        <w:t xml:space="preserve">The use of the </w:t>
      </w:r>
      <w:r>
        <w:rPr>
          <w:rFonts w:ascii="Garamond" w:hAnsi="Garamond" w:cs="Times New Roman"/>
          <w:i/>
          <w:iCs/>
          <w:sz w:val="24"/>
          <w:szCs w:val="24"/>
        </w:rPr>
        <w:t xml:space="preserve">kitab </w:t>
      </w:r>
      <w:proofErr w:type="spellStart"/>
      <w:r>
        <w:rPr>
          <w:rFonts w:ascii="Garamond" w:hAnsi="Garamond" w:cs="Times New Roman"/>
          <w:i/>
          <w:iCs/>
          <w:sz w:val="24"/>
          <w:szCs w:val="24"/>
        </w:rPr>
        <w:t>kuning</w:t>
      </w:r>
      <w:proofErr w:type="spellEnd"/>
      <w:r w:rsidRPr="0087384A">
        <w:rPr>
          <w:rFonts w:ascii="Garamond" w:hAnsi="Garamond" w:cs="Times New Roman"/>
          <w:sz w:val="24"/>
          <w:szCs w:val="24"/>
        </w:rPr>
        <w:t xml:space="preserve"> is relatively rarely used in Muhammadiyah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In some Muhammadiyah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on the island of Java, recitation with the </w:t>
      </w:r>
      <w:r>
        <w:rPr>
          <w:rFonts w:ascii="Garamond" w:hAnsi="Garamond" w:cs="Times New Roman"/>
          <w:i/>
          <w:iCs/>
          <w:sz w:val="24"/>
          <w:szCs w:val="24"/>
        </w:rPr>
        <w:t xml:space="preserve">kitab </w:t>
      </w:r>
      <w:proofErr w:type="spellStart"/>
      <w:r>
        <w:rPr>
          <w:rFonts w:ascii="Garamond" w:hAnsi="Garamond" w:cs="Times New Roman"/>
          <w:i/>
          <w:iCs/>
          <w:sz w:val="24"/>
          <w:szCs w:val="24"/>
        </w:rPr>
        <w:t>kuning</w:t>
      </w:r>
      <w:proofErr w:type="spellEnd"/>
      <w:r w:rsidRPr="0087384A">
        <w:rPr>
          <w:rFonts w:ascii="Garamond" w:hAnsi="Garamond" w:cs="Times New Roman"/>
          <w:sz w:val="24"/>
          <w:szCs w:val="24"/>
        </w:rPr>
        <w:t xml:space="preserve"> is used, but it is not officially determined by Muhammadiyah. Therefore, there is no recitation of the </w:t>
      </w:r>
      <w:r>
        <w:rPr>
          <w:rFonts w:ascii="Garamond" w:hAnsi="Garamond" w:cs="Times New Roman"/>
          <w:i/>
          <w:iCs/>
          <w:sz w:val="24"/>
          <w:szCs w:val="24"/>
        </w:rPr>
        <w:t xml:space="preserve">kitab </w:t>
      </w:r>
      <w:proofErr w:type="spellStart"/>
      <w:r>
        <w:rPr>
          <w:rFonts w:ascii="Garamond" w:hAnsi="Garamond" w:cs="Times New Roman"/>
          <w:i/>
          <w:iCs/>
          <w:sz w:val="24"/>
          <w:szCs w:val="24"/>
        </w:rPr>
        <w:t>kuning</w:t>
      </w:r>
      <w:proofErr w:type="spellEnd"/>
      <w:r w:rsidRPr="0087384A">
        <w:rPr>
          <w:rFonts w:ascii="Garamond" w:hAnsi="Garamond" w:cs="Times New Roman"/>
          <w:sz w:val="24"/>
          <w:szCs w:val="24"/>
        </w:rPr>
        <w:t xml:space="preserve"> in stages in the Muhammadiyah </w:t>
      </w:r>
      <w:proofErr w:type="spellStart"/>
      <w:r>
        <w:rPr>
          <w:rFonts w:ascii="Garamond" w:hAnsi="Garamond" w:cs="Times New Roman"/>
          <w:sz w:val="24"/>
          <w:szCs w:val="24"/>
        </w:rPr>
        <w:t>pesantren</w:t>
      </w:r>
      <w:proofErr w:type="spellEnd"/>
      <w:r w:rsidRPr="0087384A">
        <w:rPr>
          <w:rFonts w:ascii="Garamond" w:hAnsi="Garamond" w:cs="Times New Roman"/>
          <w:sz w:val="24"/>
          <w:szCs w:val="24"/>
        </w:rPr>
        <w:t>.</w:t>
      </w:r>
    </w:p>
    <w:p w14:paraId="25ED382F" w14:textId="77777777" w:rsidR="00AF4385" w:rsidRPr="0087384A" w:rsidRDefault="00AF4385" w:rsidP="00AF4385">
      <w:pPr>
        <w:spacing w:before="240" w:after="40" w:line="240" w:lineRule="auto"/>
        <w:ind w:firstLine="709"/>
        <w:jc w:val="both"/>
        <w:rPr>
          <w:rFonts w:ascii="Garamond" w:hAnsi="Garamond" w:cs="Times New Roman"/>
          <w:sz w:val="24"/>
          <w:szCs w:val="24"/>
        </w:rPr>
      </w:pPr>
      <w:r w:rsidRPr="0087384A">
        <w:rPr>
          <w:rFonts w:ascii="Garamond" w:hAnsi="Garamond" w:cs="Times New Roman"/>
          <w:sz w:val="24"/>
          <w:szCs w:val="24"/>
        </w:rPr>
        <w:t xml:space="preserve">Among the </w:t>
      </w:r>
      <w:r>
        <w:rPr>
          <w:rFonts w:ascii="Garamond" w:hAnsi="Garamond" w:cs="Times New Roman"/>
          <w:i/>
          <w:iCs/>
          <w:sz w:val="24"/>
          <w:szCs w:val="24"/>
        </w:rPr>
        <w:t xml:space="preserve">kitab </w:t>
      </w:r>
      <w:proofErr w:type="spellStart"/>
      <w:r>
        <w:rPr>
          <w:rFonts w:ascii="Garamond" w:hAnsi="Garamond" w:cs="Times New Roman"/>
          <w:i/>
          <w:iCs/>
          <w:sz w:val="24"/>
          <w:szCs w:val="24"/>
        </w:rPr>
        <w:t>kuning</w:t>
      </w:r>
      <w:proofErr w:type="spellEnd"/>
      <w:r w:rsidRPr="0087384A">
        <w:rPr>
          <w:rFonts w:ascii="Garamond" w:hAnsi="Garamond" w:cs="Times New Roman"/>
          <w:sz w:val="24"/>
          <w:szCs w:val="24"/>
        </w:rPr>
        <w:t xml:space="preserve"> used by the Muhammadiyah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is the book used as a reference by the Muhammadiyah </w:t>
      </w:r>
      <w:proofErr w:type="spellStart"/>
      <w:r w:rsidRPr="0087384A">
        <w:rPr>
          <w:rFonts w:ascii="Garamond" w:hAnsi="Garamond" w:cs="Times New Roman"/>
          <w:sz w:val="24"/>
          <w:szCs w:val="24"/>
        </w:rPr>
        <w:t>Tarjih</w:t>
      </w:r>
      <w:proofErr w:type="spellEnd"/>
      <w:r w:rsidRPr="0087384A">
        <w:rPr>
          <w:rFonts w:ascii="Garamond" w:hAnsi="Garamond" w:cs="Times New Roman"/>
          <w:sz w:val="24"/>
          <w:szCs w:val="24"/>
        </w:rPr>
        <w:t xml:space="preserve"> Council. Among these books are the study of tafsir using </w:t>
      </w:r>
      <w:r w:rsidRPr="0087384A">
        <w:rPr>
          <w:rFonts w:ascii="Garamond" w:hAnsi="Garamond" w:cs="Times New Roman"/>
          <w:i/>
          <w:iCs/>
          <w:sz w:val="24"/>
          <w:szCs w:val="24"/>
        </w:rPr>
        <w:t>Tafsir Ibn Katsir, Tafsir al-Manar, Tafsir al-</w:t>
      </w:r>
      <w:proofErr w:type="spellStart"/>
      <w:r w:rsidRPr="0087384A">
        <w:rPr>
          <w:rFonts w:ascii="Garamond" w:hAnsi="Garamond" w:cs="Times New Roman"/>
          <w:i/>
          <w:iCs/>
          <w:sz w:val="24"/>
          <w:szCs w:val="24"/>
        </w:rPr>
        <w:t>Maraghi</w:t>
      </w:r>
      <w:proofErr w:type="spellEnd"/>
      <w:r w:rsidRPr="0087384A">
        <w:rPr>
          <w:rFonts w:ascii="Garamond" w:hAnsi="Garamond" w:cs="Times New Roman"/>
          <w:i/>
          <w:iCs/>
          <w:sz w:val="24"/>
          <w:szCs w:val="24"/>
        </w:rPr>
        <w:t xml:space="preserve">, </w:t>
      </w:r>
      <w:r w:rsidRPr="0087384A">
        <w:rPr>
          <w:rFonts w:ascii="Garamond" w:hAnsi="Garamond" w:cs="Times New Roman"/>
          <w:sz w:val="24"/>
          <w:szCs w:val="24"/>
        </w:rPr>
        <w:t xml:space="preserve">hadith using the </w:t>
      </w:r>
      <w:r w:rsidRPr="0087384A">
        <w:rPr>
          <w:rFonts w:ascii="Garamond" w:hAnsi="Garamond" w:cs="Times New Roman"/>
          <w:i/>
          <w:iCs/>
          <w:sz w:val="24"/>
          <w:szCs w:val="24"/>
        </w:rPr>
        <w:t xml:space="preserve">book </w:t>
      </w:r>
      <w:proofErr w:type="spellStart"/>
      <w:r w:rsidRPr="0087384A">
        <w:rPr>
          <w:rFonts w:ascii="Garamond" w:hAnsi="Garamond" w:cs="Times New Roman"/>
          <w:i/>
          <w:iCs/>
          <w:sz w:val="24"/>
          <w:szCs w:val="24"/>
        </w:rPr>
        <w:t>Bulugh</w:t>
      </w:r>
      <w:proofErr w:type="spellEnd"/>
      <w:r w:rsidRPr="0087384A">
        <w:rPr>
          <w:rFonts w:ascii="Garamond" w:hAnsi="Garamond" w:cs="Times New Roman"/>
          <w:i/>
          <w:iCs/>
          <w:sz w:val="24"/>
          <w:szCs w:val="24"/>
        </w:rPr>
        <w:t xml:space="preserve"> al-Maram, Riyadh al-</w:t>
      </w:r>
      <w:proofErr w:type="spellStart"/>
      <w:r w:rsidRPr="0087384A">
        <w:rPr>
          <w:rFonts w:ascii="Garamond" w:hAnsi="Garamond" w:cs="Times New Roman"/>
          <w:i/>
          <w:iCs/>
          <w:sz w:val="24"/>
          <w:szCs w:val="24"/>
        </w:rPr>
        <w:t>Shalihin</w:t>
      </w:r>
      <w:proofErr w:type="spellEnd"/>
      <w:r w:rsidRPr="0087384A">
        <w:rPr>
          <w:rFonts w:ascii="Garamond" w:hAnsi="Garamond" w:cs="Times New Roman"/>
          <w:i/>
          <w:iCs/>
          <w:sz w:val="24"/>
          <w:szCs w:val="24"/>
        </w:rPr>
        <w:t xml:space="preserve">, </w:t>
      </w:r>
      <w:proofErr w:type="spellStart"/>
      <w:r w:rsidRPr="0087384A">
        <w:rPr>
          <w:rFonts w:ascii="Garamond" w:hAnsi="Garamond" w:cs="Times New Roman"/>
          <w:i/>
          <w:iCs/>
          <w:sz w:val="24"/>
          <w:szCs w:val="24"/>
        </w:rPr>
        <w:t>Kutub</w:t>
      </w:r>
      <w:proofErr w:type="spellEnd"/>
      <w:r w:rsidRPr="0087384A">
        <w:rPr>
          <w:rFonts w:ascii="Garamond" w:hAnsi="Garamond" w:cs="Times New Roman"/>
          <w:i/>
          <w:iCs/>
          <w:sz w:val="24"/>
          <w:szCs w:val="24"/>
        </w:rPr>
        <w:t xml:space="preserve"> al-</w:t>
      </w:r>
      <w:proofErr w:type="spellStart"/>
      <w:r w:rsidRPr="0087384A">
        <w:rPr>
          <w:rFonts w:ascii="Garamond" w:hAnsi="Garamond" w:cs="Times New Roman"/>
          <w:i/>
          <w:iCs/>
          <w:sz w:val="24"/>
          <w:szCs w:val="24"/>
        </w:rPr>
        <w:t>Sittah</w:t>
      </w:r>
      <w:proofErr w:type="spellEnd"/>
      <w:r w:rsidRPr="0087384A">
        <w:rPr>
          <w:rFonts w:ascii="Garamond" w:hAnsi="Garamond" w:cs="Times New Roman"/>
          <w:i/>
          <w:iCs/>
          <w:sz w:val="24"/>
          <w:szCs w:val="24"/>
        </w:rPr>
        <w:t xml:space="preserve">, </w:t>
      </w:r>
      <w:r w:rsidRPr="0087384A">
        <w:rPr>
          <w:rFonts w:ascii="Garamond" w:hAnsi="Garamond" w:cs="Times New Roman"/>
          <w:sz w:val="24"/>
          <w:szCs w:val="24"/>
        </w:rPr>
        <w:t>and</w:t>
      </w:r>
      <w:r w:rsidRPr="0087384A">
        <w:rPr>
          <w:rFonts w:ascii="Garamond" w:hAnsi="Garamond" w:cs="Times New Roman"/>
          <w:i/>
          <w:iCs/>
          <w:sz w:val="24"/>
          <w:szCs w:val="24"/>
        </w:rPr>
        <w:t xml:space="preserve"> </w:t>
      </w:r>
      <w:proofErr w:type="spellStart"/>
      <w:r w:rsidRPr="0087384A">
        <w:rPr>
          <w:rFonts w:ascii="Garamond" w:hAnsi="Garamond" w:cs="Times New Roman"/>
          <w:i/>
          <w:iCs/>
          <w:sz w:val="24"/>
          <w:szCs w:val="24"/>
        </w:rPr>
        <w:t>Arba'in</w:t>
      </w:r>
      <w:proofErr w:type="spellEnd"/>
      <w:r w:rsidRPr="0087384A">
        <w:rPr>
          <w:rFonts w:ascii="Garamond" w:hAnsi="Garamond" w:cs="Times New Roman"/>
          <w:i/>
          <w:iCs/>
          <w:sz w:val="24"/>
          <w:szCs w:val="24"/>
        </w:rPr>
        <w:t xml:space="preserve"> Nawawi. </w:t>
      </w:r>
      <w:r w:rsidRPr="0087384A">
        <w:rPr>
          <w:rFonts w:ascii="Garamond" w:hAnsi="Garamond" w:cs="Times New Roman"/>
          <w:sz w:val="24"/>
          <w:szCs w:val="24"/>
        </w:rPr>
        <w:t xml:space="preserve">In the discussion of </w:t>
      </w:r>
      <w:proofErr w:type="spellStart"/>
      <w:r w:rsidRPr="0087384A">
        <w:rPr>
          <w:rFonts w:ascii="Garamond" w:hAnsi="Garamond" w:cs="Times New Roman"/>
          <w:sz w:val="24"/>
          <w:szCs w:val="24"/>
        </w:rPr>
        <w:t>fiqh</w:t>
      </w:r>
      <w:proofErr w:type="spellEnd"/>
      <w:r w:rsidRPr="0087384A">
        <w:rPr>
          <w:rFonts w:ascii="Garamond" w:hAnsi="Garamond" w:cs="Times New Roman"/>
          <w:sz w:val="24"/>
          <w:szCs w:val="24"/>
        </w:rPr>
        <w:t xml:space="preserve">, Muhammadiyah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use Ibn Hanbal's </w:t>
      </w:r>
      <w:proofErr w:type="spellStart"/>
      <w:r w:rsidRPr="0087384A">
        <w:rPr>
          <w:rFonts w:ascii="Garamond" w:hAnsi="Garamond" w:cs="Times New Roman"/>
          <w:sz w:val="24"/>
          <w:szCs w:val="24"/>
        </w:rPr>
        <w:t>fiqh</w:t>
      </w:r>
      <w:proofErr w:type="spellEnd"/>
      <w:r w:rsidRPr="0087384A">
        <w:rPr>
          <w:rFonts w:ascii="Garamond" w:hAnsi="Garamond" w:cs="Times New Roman"/>
          <w:sz w:val="24"/>
          <w:szCs w:val="24"/>
        </w:rPr>
        <w:t xml:space="preserve"> as a reference, such as the books by Ibn Qayyim al-</w:t>
      </w:r>
      <w:proofErr w:type="spellStart"/>
      <w:r w:rsidRPr="0087384A">
        <w:rPr>
          <w:rFonts w:ascii="Garamond" w:hAnsi="Garamond" w:cs="Times New Roman"/>
          <w:sz w:val="24"/>
          <w:szCs w:val="24"/>
        </w:rPr>
        <w:t>Jauziyah</w:t>
      </w:r>
      <w:proofErr w:type="spellEnd"/>
      <w:r w:rsidRPr="0087384A">
        <w:rPr>
          <w:rFonts w:ascii="Garamond" w:hAnsi="Garamond" w:cs="Times New Roman"/>
          <w:sz w:val="24"/>
          <w:szCs w:val="24"/>
        </w:rPr>
        <w:t xml:space="preserve">, </w:t>
      </w:r>
      <w:proofErr w:type="spellStart"/>
      <w:r w:rsidRPr="0087384A">
        <w:rPr>
          <w:rFonts w:ascii="Garamond" w:hAnsi="Garamond" w:cs="Times New Roman"/>
          <w:i/>
          <w:iCs/>
          <w:sz w:val="24"/>
          <w:szCs w:val="24"/>
        </w:rPr>
        <w:t>Subul</w:t>
      </w:r>
      <w:proofErr w:type="spellEnd"/>
      <w:r w:rsidRPr="0087384A">
        <w:rPr>
          <w:rFonts w:ascii="Garamond" w:hAnsi="Garamond" w:cs="Times New Roman"/>
          <w:i/>
          <w:iCs/>
          <w:sz w:val="24"/>
          <w:szCs w:val="24"/>
        </w:rPr>
        <w:t xml:space="preserve"> al-Salam, </w:t>
      </w:r>
      <w:r w:rsidRPr="0087384A">
        <w:rPr>
          <w:rFonts w:ascii="Garamond" w:hAnsi="Garamond" w:cs="Times New Roman"/>
          <w:sz w:val="24"/>
          <w:szCs w:val="24"/>
        </w:rPr>
        <w:t xml:space="preserve">and </w:t>
      </w:r>
      <w:r w:rsidRPr="0087384A">
        <w:rPr>
          <w:rFonts w:ascii="Garamond" w:hAnsi="Garamond" w:cs="Times New Roman"/>
          <w:i/>
          <w:iCs/>
          <w:sz w:val="24"/>
          <w:szCs w:val="24"/>
        </w:rPr>
        <w:t>al-</w:t>
      </w:r>
      <w:proofErr w:type="spellStart"/>
      <w:r w:rsidRPr="0087384A">
        <w:rPr>
          <w:rFonts w:ascii="Garamond" w:hAnsi="Garamond" w:cs="Times New Roman"/>
          <w:i/>
          <w:iCs/>
          <w:sz w:val="24"/>
          <w:szCs w:val="24"/>
        </w:rPr>
        <w:t>Muntaqa</w:t>
      </w:r>
      <w:proofErr w:type="spellEnd"/>
      <w:r w:rsidRPr="0087384A">
        <w:rPr>
          <w:rFonts w:ascii="Garamond" w:hAnsi="Garamond" w:cs="Times New Roman"/>
          <w:sz w:val="24"/>
          <w:szCs w:val="24"/>
        </w:rPr>
        <w:t xml:space="preserve"> by Ibn Taymiyyah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{"citationItems":[{"id":"ITEM-1","itemData":{"DOI":"10.31604/muaddib.v1i1.797","ISSN":"2528-2492","abstract":"PontrenMu has three patterns of Islamic education system, namely: the madrasa system, the Islamic Boarding School system, and expertise (takhaşşsuş) system. The madrasa system is a model of modernization of Islamic traditional educational system and Islamic Boarding School system seems as a model of “postmodernized” high school (sekolah) educational system. Meanwhile, expertise (takhaşşsuş) system can be called as a neo-postmodernized Islamic Boarding School system in which the graduate Islamic educational system integrating with traditional Islamic education in a spesific pattern (pesantren luhur/ma`had `aly). All of that Islamic educational systems are oriented to realize the vision and mission of Muhammadiyah in order to produce the cadres of ulema-intellectual or intellectual-ulema formally and simultaneously. Besides of being the alternative strategies for improvement of Islamic educational system of Muhammadiyah in both levels of high and graduate school, the three patterns of Islamic education system are also being solutions for fulfillment of demands and needs of Moslem communities in contemporary era","author":[{"dropping-particle":"","family":"Tampubolon","given":"Ichwansyah","non-dropping-particle":"","parse-names":false,"suffix":""}],"container-title":"Al-Muaddib : Jurnal Ilmu-Ilmu Sosial &amp; Keislaman","id":"ITEM-1","issue":"1","issued":{"date-parts":[["2019"]]},"page":"116","title":"Trilogi Sistem Pendidikan Pesantren Muhammadiyah: Suatu Pengantar","type":"article-journal","volume":"4"},"uris":["http://www.mendeley.com/documents/?uuid=4d0a9163-4eaa-464a-9e46-628419f316f7"]}],"mendeley":{"formattedCitation":"(Tampubolon, 2019)","plainTextFormattedCitation":"(Tampubolon, 2019)","previouslyFormattedCitation":"(Tampubolon, 2019)"},"properties":{"noteIndex":0},"schema":"https://github.com/citation-style-language/schema/raw/master/csl-citation.json"}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noProof/>
          <w:sz w:val="24"/>
          <w:szCs w:val="24"/>
        </w:rPr>
        <w:t>(Tampubolon, 2019)</w:t>
      </w:r>
      <w:r w:rsidRPr="0087384A">
        <w:rPr>
          <w:rStyle w:val="FootnoteReference"/>
          <w:rFonts w:ascii="Garamond" w:hAnsi="Garamond"/>
          <w:sz w:val="24"/>
          <w:szCs w:val="24"/>
        </w:rPr>
        <w:fldChar w:fldCharType="end"/>
      </w:r>
      <w:r w:rsidRPr="0087384A">
        <w:rPr>
          <w:rFonts w:ascii="Garamond" w:hAnsi="Garamond" w:cs="Times New Roman"/>
          <w:sz w:val="24"/>
          <w:szCs w:val="24"/>
        </w:rPr>
        <w:t xml:space="preserve">, tauhid </w:t>
      </w:r>
      <w:proofErr w:type="spellStart"/>
      <w:r w:rsidRPr="0087384A">
        <w:rPr>
          <w:rFonts w:ascii="Garamond" w:hAnsi="Garamond" w:cs="Times New Roman"/>
          <w:sz w:val="24"/>
          <w:szCs w:val="24"/>
        </w:rPr>
        <w:t>menggunakan</w:t>
      </w:r>
      <w:proofErr w:type="spellEnd"/>
      <w:r w:rsidRPr="0087384A">
        <w:rPr>
          <w:rFonts w:ascii="Garamond" w:hAnsi="Garamond" w:cs="Times New Roman"/>
          <w:sz w:val="24"/>
          <w:szCs w:val="24"/>
        </w:rPr>
        <w:t xml:space="preserve"> kitab </w:t>
      </w:r>
      <w:r w:rsidRPr="0087384A">
        <w:rPr>
          <w:rFonts w:ascii="Garamond" w:hAnsi="Garamond" w:cs="Times New Roman"/>
          <w:i/>
          <w:iCs/>
          <w:sz w:val="24"/>
          <w:szCs w:val="24"/>
        </w:rPr>
        <w:t xml:space="preserve">al-Tauhid </w:t>
      </w:r>
      <w:proofErr w:type="spellStart"/>
      <w:r w:rsidRPr="0087384A">
        <w:rPr>
          <w:rFonts w:ascii="Garamond" w:hAnsi="Garamond" w:cs="Times New Roman"/>
          <w:sz w:val="24"/>
          <w:szCs w:val="24"/>
        </w:rPr>
        <w:t>karya</w:t>
      </w:r>
      <w:proofErr w:type="spellEnd"/>
      <w:r w:rsidRPr="0087384A">
        <w:rPr>
          <w:rFonts w:ascii="Garamond" w:hAnsi="Garamond" w:cs="Times New Roman"/>
          <w:sz w:val="24"/>
          <w:szCs w:val="24"/>
        </w:rPr>
        <w:t xml:space="preserve"> Muhammad ibn Abd Wahhab</w:t>
      </w:r>
      <w:r w:rsidRPr="0087384A">
        <w:rPr>
          <w:rFonts w:ascii="Garamond" w:hAnsi="Garamond" w:cs="Times New Roman"/>
          <w:i/>
          <w:iCs/>
          <w:sz w:val="24"/>
          <w:szCs w:val="24"/>
        </w:rPr>
        <w:t xml:space="preserve"> </w:t>
      </w:r>
      <w:r w:rsidRPr="0087384A">
        <w:rPr>
          <w:rFonts w:ascii="Garamond" w:hAnsi="Garamond" w:cs="Times New Roman"/>
          <w:sz w:val="24"/>
          <w:szCs w:val="24"/>
        </w:rPr>
        <w:t xml:space="preserve">dan </w:t>
      </w:r>
      <w:proofErr w:type="spellStart"/>
      <w:r w:rsidRPr="0087384A">
        <w:rPr>
          <w:rFonts w:ascii="Garamond" w:hAnsi="Garamond" w:cs="Times New Roman"/>
          <w:i/>
          <w:iCs/>
          <w:sz w:val="24"/>
          <w:szCs w:val="24"/>
        </w:rPr>
        <w:t>Syahrh</w:t>
      </w:r>
      <w:proofErr w:type="spellEnd"/>
      <w:r w:rsidRPr="0087384A">
        <w:rPr>
          <w:rFonts w:ascii="Garamond" w:hAnsi="Garamond" w:cs="Times New Roman"/>
          <w:i/>
          <w:iCs/>
          <w:sz w:val="24"/>
          <w:szCs w:val="24"/>
        </w:rPr>
        <w:t xml:space="preserve"> al-Aqidah al-</w:t>
      </w:r>
      <w:proofErr w:type="spellStart"/>
      <w:r w:rsidRPr="0087384A">
        <w:rPr>
          <w:rFonts w:ascii="Garamond" w:hAnsi="Garamond" w:cs="Times New Roman"/>
          <w:i/>
          <w:iCs/>
          <w:sz w:val="24"/>
          <w:szCs w:val="24"/>
        </w:rPr>
        <w:t>Thahawiyah</w:t>
      </w:r>
      <w:proofErr w:type="spellEnd"/>
      <w:r w:rsidRPr="0087384A">
        <w:rPr>
          <w:rFonts w:ascii="Garamond" w:hAnsi="Garamond" w:cs="Times New Roman"/>
          <w:sz w:val="24"/>
          <w:szCs w:val="24"/>
        </w:rPr>
        <w:t xml:space="preserve">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{"citationItems":[{"id":"ITEM-1","itemData":{"abstract":"Kurikulum adalah salah satu elemen penting dan mendasar dalam dunia pendidikan, termasuk pendidikan islam. Disamping elemen-elemen lain seperti Tujuan pendidikan, pendidik, anak didik, metode, lingkungan dan evaluasi. Hal ini juga menjadi perhatian besar bagi lembaga-lembaga pendidikan Islam di Indonesia, baik instansi pendidikan tradisonal maupun modern, termasuk pondok pesantren Muhammadiyah Paciran Lamongan yang menjadi obyek penulisan penulis. Seiring dengan perkembangan jaman, kurikulum pendidikan Islam dituntut untuk dapat selalu melakukan penyesuaian-penyesuaian sehingga dapat merangsang munculnya inovasi-inovasi baru dalam pengembangannya. Bila tidak demikian, maka kurikulum akan dianggap sebagai elemen pendidikan yang statis, tidak dinamis dan tidak dapat memenuhi tuntutan jaman. Hal ini akan membawa konsekwensi pada bibit kualitas lembaga pendidikan Islam tersebut, juga akan sangat berpengaruh pada out put (alumninya) yang keluar sangat diharapkan peran sertanya dalam kehidupan masyarakat dan bangsa bila kelak sudah selesai studinya. Karena itu masalah pokok yang diangkat dalam penelitian ini adalah bagaimana pengembangan kurikulum pendidikan Islam yang dilakukan di Pondok Modern Muhammadiyah Paciran Lamongan saat ini. Terkait dengan ini penulis berusaha melakukan penelitian dengan mengumpulkan data-data yang cukup, kemudian dikumpulkan dan diolah untuk selanjutnya dianalisa secara cepat dan seksama. Akhirnya dari hasil penelitian tersebut dapat diambil berupa kesimpulan sebagai berikut : Pertama Kurikulum yang dikembangkan dibentuk atas dua desain yaitu kurikulum lokal (keagamaan/kepesantrenan) dan kurikulum Nasional (Departemen Pendidikan Nasional dan Departemen Agama RI) sehingga dalam prakteknya diatur sedemikian rupa untuk menghindari benturan-benturan atau saling tindih antara kurikulum lokal dengan kurikulum nasional, keduanya diatur dengan melihat kebutuhan yang disesuaikan dengan kondisi masing-masing . Kurikulum lokal (pesantren) hanya dilakukan di kompleks pesantren dengan jadwal diluar kurikulum nasional. Sedang kurikulum nasional (Diknas dan Depag) dilaksanakan di unit-unit sekolah yang ada di lingkungan pesantren. Kedua dinamika perkembangan kurikulum di pesantren modern Muhammadiyah Paciran Lamongan mengalami proses yang panjang dari kurikulum tradisional sampai kurikulum yang modrn dan maju. Hal ini dapat dibuktikan dengan didirikannya unit pendidikan dari TK sampai Perguruan Tinggi. Hal inilah yang akan membawa konsekwensi pen…","author":[{"dropping-particle":"","family":"Abdul Muid","given":"Hidayat","non-dropping-particle":"","parse-names":false,"suffix":""}],"container-title":"Jurnal Ilmu Pengetahuan dan pendidikan","id":"ITEM-1","issue":"8","issued":{"date-parts":[["2021"]]},"title":"Pengembangan Kurikulum Pendidikan Islam di Pondok Modern Muhammadiyah Paciran Lamongan","type":"article-journal","volume":"8"},"uris":["http://www.mendeley.com/documents/?uuid=7f3ec1d5-af6f-436e-a7fb-6da55ebc7c59"]}],"mendeley":{"formattedCitation":"(Abdul Muid, 2021)","plainTextFormattedCitation":"(Abdul Muid, 2021)","previouslyFormattedCitation":"(Abdul Muid, 2021)"},"properties":{"noteIndex":0},"schema":"https://github.com/citation-style-language/schema/raw/master/csl-citation.json"}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bCs/>
          <w:noProof/>
          <w:sz w:val="24"/>
          <w:szCs w:val="24"/>
          <w:lang w:val="en-US"/>
        </w:rPr>
        <w:t>(Abdul Muid, 2021)</w:t>
      </w:r>
      <w:r w:rsidRPr="0087384A">
        <w:rPr>
          <w:rStyle w:val="FootnoteReference"/>
          <w:rFonts w:ascii="Garamond" w:hAnsi="Garamond"/>
          <w:sz w:val="24"/>
          <w:szCs w:val="24"/>
        </w:rPr>
        <w:fldChar w:fldCharType="end"/>
      </w:r>
      <w:r w:rsidRPr="0087384A">
        <w:rPr>
          <w:rFonts w:ascii="Garamond" w:hAnsi="Garamond" w:cs="Times New Roman"/>
          <w:sz w:val="24"/>
          <w:szCs w:val="24"/>
        </w:rPr>
        <w:t>.</w:t>
      </w:r>
    </w:p>
    <w:p w14:paraId="1891253D" w14:textId="77777777" w:rsidR="00AF4385" w:rsidRPr="0087384A" w:rsidRDefault="00AF4385" w:rsidP="00AF4385">
      <w:pPr>
        <w:spacing w:before="240" w:after="40" w:line="240" w:lineRule="auto"/>
        <w:ind w:firstLine="709"/>
        <w:jc w:val="both"/>
        <w:rPr>
          <w:rFonts w:ascii="Garamond" w:hAnsi="Garamond" w:cs="Times New Roman"/>
          <w:sz w:val="24"/>
          <w:szCs w:val="24"/>
        </w:rPr>
      </w:pPr>
      <w:r w:rsidRPr="0087384A">
        <w:rPr>
          <w:rFonts w:ascii="Garamond" w:hAnsi="Garamond" w:cs="Times New Roman"/>
          <w:sz w:val="24"/>
          <w:szCs w:val="24"/>
        </w:rPr>
        <w:t xml:space="preserve">From this data, it can be </w:t>
      </w:r>
      <w:proofErr w:type="spellStart"/>
      <w:r w:rsidRPr="0087384A">
        <w:rPr>
          <w:rFonts w:ascii="Garamond" w:hAnsi="Garamond" w:cs="Times New Roman"/>
          <w:sz w:val="24"/>
          <w:szCs w:val="24"/>
        </w:rPr>
        <w:t>analyzed</w:t>
      </w:r>
      <w:proofErr w:type="spellEnd"/>
      <w:r w:rsidRPr="0087384A">
        <w:rPr>
          <w:rFonts w:ascii="Garamond" w:hAnsi="Garamond" w:cs="Times New Roman"/>
          <w:sz w:val="24"/>
          <w:szCs w:val="24"/>
        </w:rPr>
        <w:t xml:space="preserve"> that the curriculum of Muhammadiyah </w:t>
      </w:r>
      <w:proofErr w:type="spellStart"/>
      <w:r>
        <w:rPr>
          <w:rFonts w:ascii="Garamond" w:hAnsi="Garamond" w:cs="Times New Roman"/>
          <w:sz w:val="24"/>
          <w:szCs w:val="24"/>
        </w:rPr>
        <w:t>pesantrens</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does not emphasize learning on a particular book. The themes in the study at the Muhammadiyah </w:t>
      </w:r>
      <w:proofErr w:type="spellStart"/>
      <w:r>
        <w:rPr>
          <w:rFonts w:ascii="Garamond" w:hAnsi="Garamond" w:cs="Times New Roman"/>
          <w:sz w:val="24"/>
          <w:szCs w:val="24"/>
        </w:rPr>
        <w:t>pesantren</w:t>
      </w:r>
      <w:proofErr w:type="spellEnd"/>
      <w:r>
        <w:rPr>
          <w:rFonts w:ascii="Garamond" w:hAnsi="Garamond" w:cs="Times New Roman"/>
          <w:sz w:val="24"/>
          <w:szCs w:val="24"/>
        </w:rPr>
        <w:t xml:space="preserve"> </w:t>
      </w:r>
      <w:r w:rsidRPr="0087384A">
        <w:rPr>
          <w:rFonts w:ascii="Garamond" w:hAnsi="Garamond" w:cs="Times New Roman"/>
          <w:sz w:val="24"/>
          <w:szCs w:val="24"/>
        </w:rPr>
        <w:t>have been determined. If you really have to use references from the references of the yellow book, then the teacher/</w:t>
      </w:r>
      <w:proofErr w:type="spellStart"/>
      <w:r w:rsidRPr="0087384A">
        <w:rPr>
          <w:rFonts w:ascii="Garamond" w:hAnsi="Garamond" w:cs="Times New Roman"/>
          <w:sz w:val="24"/>
          <w:szCs w:val="24"/>
        </w:rPr>
        <w:t>ustadz</w:t>
      </w:r>
      <w:proofErr w:type="spellEnd"/>
      <w:r w:rsidRPr="0087384A">
        <w:rPr>
          <w:rFonts w:ascii="Garamond" w:hAnsi="Garamond" w:cs="Times New Roman"/>
          <w:sz w:val="24"/>
          <w:szCs w:val="24"/>
        </w:rPr>
        <w:t xml:space="preserve"> can use it and it is not officially decided by </w:t>
      </w:r>
      <w:proofErr w:type="spellStart"/>
      <w:r w:rsidRPr="0087384A">
        <w:rPr>
          <w:rFonts w:ascii="Garamond" w:hAnsi="Garamond" w:cs="Times New Roman"/>
          <w:sz w:val="24"/>
          <w:szCs w:val="24"/>
        </w:rPr>
        <w:t>Muahmmadiyah</w:t>
      </w:r>
      <w:proofErr w:type="spellEnd"/>
      <w:r w:rsidRPr="0087384A">
        <w:rPr>
          <w:rFonts w:ascii="Garamond" w:hAnsi="Garamond" w:cs="Times New Roman"/>
          <w:sz w:val="24"/>
          <w:szCs w:val="24"/>
        </w:rPr>
        <w:t xml:space="preserve">. </w:t>
      </w:r>
    </w:p>
    <w:p w14:paraId="134E578D" w14:textId="77777777" w:rsidR="00AF4385" w:rsidRPr="00925614" w:rsidRDefault="00AF4385" w:rsidP="00AF4385">
      <w:pPr>
        <w:spacing w:before="240" w:after="40" w:line="240" w:lineRule="auto"/>
        <w:rPr>
          <w:rFonts w:ascii="Garamond" w:hAnsi="Garamond" w:cs="Times New Roman"/>
          <w:b/>
          <w:bCs/>
          <w:sz w:val="24"/>
          <w:szCs w:val="24"/>
        </w:rPr>
      </w:pPr>
      <w:r w:rsidRPr="00925614">
        <w:rPr>
          <w:rFonts w:ascii="Garamond" w:hAnsi="Garamond" w:cs="Times New Roman"/>
          <w:b/>
          <w:bCs/>
          <w:sz w:val="24"/>
          <w:szCs w:val="24"/>
        </w:rPr>
        <w:t>Shia-affiliate</w:t>
      </w:r>
      <w:r>
        <w:rPr>
          <w:rFonts w:ascii="Garamond" w:hAnsi="Garamond" w:cs="Times New Roman"/>
          <w:b/>
          <w:bCs/>
          <w:sz w:val="24"/>
          <w:szCs w:val="24"/>
        </w:rPr>
        <w:t>s</w:t>
      </w:r>
    </w:p>
    <w:p w14:paraId="3F816D27" w14:textId="77777777" w:rsidR="00AF4385" w:rsidRPr="0087384A" w:rsidRDefault="00AF4385" w:rsidP="00AF4385">
      <w:pPr>
        <w:pStyle w:val="ListParagraph"/>
        <w:spacing w:before="240" w:after="40" w:line="240" w:lineRule="auto"/>
        <w:ind w:left="0" w:firstLine="851"/>
        <w:jc w:val="both"/>
        <w:rPr>
          <w:rFonts w:ascii="Garamond" w:hAnsi="Garamond" w:cs="Times New Roman"/>
          <w:sz w:val="24"/>
          <w:szCs w:val="24"/>
        </w:rPr>
      </w:pPr>
      <w:r w:rsidRPr="0087384A">
        <w:rPr>
          <w:rFonts w:ascii="Garamond" w:hAnsi="Garamond" w:cs="Times New Roman"/>
          <w:sz w:val="24"/>
          <w:szCs w:val="24"/>
        </w:rPr>
        <w:t xml:space="preserve">There are not many Shia-affiliated </w:t>
      </w:r>
      <w:proofErr w:type="spellStart"/>
      <w:r>
        <w:rPr>
          <w:rFonts w:ascii="Garamond" w:hAnsi="Garamond" w:cs="Times New Roman"/>
          <w:sz w:val="24"/>
          <w:szCs w:val="24"/>
        </w:rPr>
        <w:t>pesantrens</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that openly refer to themselves as Shia </w:t>
      </w:r>
      <w:proofErr w:type="spellStart"/>
      <w:r>
        <w:rPr>
          <w:rFonts w:ascii="Garamond" w:hAnsi="Garamond" w:cs="Times New Roman"/>
          <w:sz w:val="24"/>
          <w:szCs w:val="24"/>
        </w:rPr>
        <w:t>pesantren</w:t>
      </w:r>
      <w:proofErr w:type="spellEnd"/>
      <w:r w:rsidRPr="0087384A">
        <w:rPr>
          <w:rFonts w:ascii="Garamond" w:hAnsi="Garamond" w:cs="Times New Roman"/>
          <w:sz w:val="24"/>
          <w:szCs w:val="24"/>
        </w:rPr>
        <w:t xml:space="preserve"> because </w:t>
      </w:r>
      <w:r w:rsidRPr="0087384A">
        <w:rPr>
          <w:rFonts w:ascii="Garamond" w:hAnsi="Garamond" w:cs="Times New Roman"/>
          <w:i/>
          <w:iCs/>
          <w:sz w:val="24"/>
          <w:szCs w:val="24"/>
        </w:rPr>
        <w:t xml:space="preserve"> </w:t>
      </w:r>
      <w:r w:rsidRPr="00D170BE">
        <w:rPr>
          <w:rFonts w:ascii="Garamond" w:hAnsi="Garamond" w:cs="Times New Roman"/>
          <w:sz w:val="24"/>
          <w:szCs w:val="24"/>
        </w:rPr>
        <w:t>their concept of</w:t>
      </w:r>
      <w:r w:rsidRPr="0087384A">
        <w:rPr>
          <w:rFonts w:ascii="Garamond" w:hAnsi="Garamond" w:cs="Times New Roman"/>
          <w:i/>
          <w:iCs/>
          <w:sz w:val="24"/>
          <w:szCs w:val="24"/>
        </w:rPr>
        <w:t xml:space="preserve"> taqiyah </w:t>
      </w:r>
      <w:r w:rsidRPr="0087384A">
        <w:rPr>
          <w:rStyle w:val="FootnoteReference"/>
          <w:rFonts w:ascii="Garamond" w:hAnsi="Garamond"/>
          <w:i/>
          <w:iCs/>
          <w:sz w:val="24"/>
          <w:szCs w:val="24"/>
        </w:rPr>
        <w:fldChar w:fldCharType="begin" w:fldLock="1"/>
      </w:r>
      <w:r w:rsidRPr="0087384A">
        <w:rPr>
          <w:rFonts w:ascii="Garamond" w:hAnsi="Garamond"/>
          <w:iCs/>
          <w:sz w:val="24"/>
          <w:szCs w:val="24"/>
        </w:rPr>
        <w:instrText>ADDIN CSL_CITATION {"citationItems":[{"id":"ITEM-1","itemData":{"DOI":"10.14421/rejusta.2020.1601-06","ISSN":"1412-2634","abstract":"Tulisan ini bertujuan untuk membahas tentang tradisi Syiah di Pekalongan. Selama ini, tradisi Syiah di Indonesia jarang diketahui oleh publik. Hal ini bisa dikarenakan adanya anggapan bahwa Syiah adalah ajaran yang sesat. Anggapan seperti ini yang mendasari lahirnya pesantren Syiah di Pekalongan. Pondok Pesantren Al Hadi adalah salah satu lembaga pendidikan Syiah di Indonesia. Di dalam Pondok pesantren ini, orang-orang tidak hanya diajarkan tentang pemikiran Syiah saja, melainkan juga melakukan ritual-ritual keagmaan Syiah yang jarang diketahui oleh publik. Penelitian ini merupakan penelitian lapangan (field research) dengan metode pencarian data wawancara dan observasi. Hasil penelitian ini menunjukkan bahwa corak Syiah yang berkembang di Pekalongan adalah Syiah Isna ‘Asyariyah. Sementara tradisi yang biasa dilakukan sebagai berikut: perayaan Asyuro, perayaan Arbain, Perayaan Maulud Perayaan Ghadīr Khumm, Rabu Wekasan, Peringatan Quds.","author":[{"dropping-particle":"","family":"Rahman","given":"Kholilul","non-dropping-particle":"","parse-names":false,"suffix":""}],"container-title":"Religi: Jurnal Studi Agama-agama","id":"ITEM-1","issue":"1","issued":{"date-parts":[["2020"]]},"page":"97-112","title":"Syiah Di Pekalongan: Studi Atas Tradisi Syiah Pondok Pesantren Al Hadi Pekalongan Jawa Tengah","type":"article-journal","volume":"16"},"uris":["http://www.mendeley.com/documents/?uuid=e815ae1a-d58a-4794-a807-84b2acc7ea69"]}],"mendeley":{"formattedCitation":"(Rahman, 2020)","plainTextFormattedCitation":"(Rahman, 2020)","previouslyFormattedCitation":"(Rahman, 2020)"},"properties":{"noteIndex":0},"schema":"https://github.com/citation-style-language/schema/raw/master/csl-citation.json"}</w:instrText>
      </w:r>
      <w:r w:rsidRPr="0087384A">
        <w:rPr>
          <w:rStyle w:val="FootnoteReference"/>
          <w:rFonts w:ascii="Garamond" w:hAnsi="Garamond"/>
          <w:i/>
          <w:iCs/>
          <w:sz w:val="24"/>
          <w:szCs w:val="24"/>
        </w:rPr>
        <w:fldChar w:fldCharType="separate"/>
      </w:r>
      <w:r w:rsidRPr="0087384A">
        <w:rPr>
          <w:rFonts w:ascii="Garamond" w:hAnsi="Garamond"/>
          <w:bCs/>
          <w:iCs/>
          <w:noProof/>
          <w:sz w:val="24"/>
          <w:szCs w:val="24"/>
          <w:lang w:val="en-US"/>
        </w:rPr>
        <w:t>(Rahman, 2020)</w:t>
      </w:r>
      <w:r w:rsidRPr="0087384A">
        <w:rPr>
          <w:rStyle w:val="FootnoteReference"/>
          <w:rFonts w:ascii="Garamond" w:hAnsi="Garamond"/>
          <w:i/>
          <w:iCs/>
          <w:sz w:val="24"/>
          <w:szCs w:val="24"/>
        </w:rPr>
        <w:fldChar w:fldCharType="end"/>
      </w:r>
      <w:r w:rsidRPr="0087384A">
        <w:rPr>
          <w:rFonts w:ascii="Garamond" w:hAnsi="Garamond" w:cs="Times New Roman"/>
          <w:sz w:val="24"/>
          <w:szCs w:val="24"/>
        </w:rPr>
        <w:t xml:space="preserve">. There are at least two large Islamic boarding schools that openly refer to themselves as Shia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namely the al-Hadi </w:t>
      </w:r>
      <w:proofErr w:type="spellStart"/>
      <w:r w:rsidRPr="0087384A">
        <w:rPr>
          <w:rFonts w:ascii="Garamond" w:hAnsi="Garamond" w:cs="Times New Roman"/>
          <w:sz w:val="24"/>
          <w:szCs w:val="24"/>
        </w:rPr>
        <w:t>Pekalongan</w:t>
      </w:r>
      <w:proofErr w:type="spellEnd"/>
      <w:r w:rsidRPr="0087384A">
        <w:rPr>
          <w:rFonts w:ascii="Garamond" w:hAnsi="Garamond" w:cs="Times New Roman"/>
          <w:sz w:val="24"/>
          <w:szCs w:val="24"/>
        </w:rPr>
        <w:t xml:space="preserve"> </w:t>
      </w:r>
      <w:proofErr w:type="spellStart"/>
      <w:r>
        <w:rPr>
          <w:rFonts w:ascii="Garamond" w:hAnsi="Garamond" w:cs="Times New Roman"/>
          <w:sz w:val="24"/>
          <w:szCs w:val="24"/>
        </w:rPr>
        <w:t>pesantren</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and the YAPI </w:t>
      </w:r>
      <w:proofErr w:type="spellStart"/>
      <w:r w:rsidRPr="0087384A">
        <w:rPr>
          <w:rFonts w:ascii="Garamond" w:hAnsi="Garamond" w:cs="Times New Roman"/>
          <w:sz w:val="24"/>
          <w:szCs w:val="24"/>
        </w:rPr>
        <w:t>Bangil</w:t>
      </w:r>
      <w:proofErr w:type="spellEnd"/>
      <w:r w:rsidRPr="0087384A">
        <w:rPr>
          <w:rFonts w:ascii="Garamond" w:hAnsi="Garamond" w:cs="Times New Roman"/>
          <w:sz w:val="24"/>
          <w:szCs w:val="24"/>
        </w:rPr>
        <w:t xml:space="preserve"> </w:t>
      </w:r>
      <w:proofErr w:type="spellStart"/>
      <w:r>
        <w:rPr>
          <w:rFonts w:ascii="Garamond" w:hAnsi="Garamond" w:cs="Times New Roman"/>
          <w:sz w:val="24"/>
          <w:szCs w:val="24"/>
        </w:rPr>
        <w:t>pesantren</w:t>
      </w:r>
      <w:proofErr w:type="spellEnd"/>
      <w:r w:rsidRPr="0087384A">
        <w:rPr>
          <w:rFonts w:ascii="Garamond" w:hAnsi="Garamond" w:cs="Times New Roman"/>
          <w:sz w:val="24"/>
          <w:szCs w:val="24"/>
        </w:rPr>
        <w:t xml:space="preserve">. Some institutions that are similar to Shia-affiliated </w:t>
      </w:r>
      <w:proofErr w:type="spellStart"/>
      <w:r>
        <w:rPr>
          <w:rFonts w:ascii="Garamond" w:hAnsi="Garamond" w:cs="Times New Roman"/>
          <w:sz w:val="24"/>
          <w:szCs w:val="24"/>
        </w:rPr>
        <w:t>pesantrens</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are SMA Plus </w:t>
      </w:r>
      <w:proofErr w:type="spellStart"/>
      <w:r w:rsidRPr="0087384A">
        <w:rPr>
          <w:rFonts w:ascii="Garamond" w:hAnsi="Garamond" w:cs="Times New Roman"/>
          <w:sz w:val="24"/>
          <w:szCs w:val="24"/>
        </w:rPr>
        <w:t>Muthahhari</w:t>
      </w:r>
      <w:proofErr w:type="spellEnd"/>
      <w:r w:rsidRPr="0087384A">
        <w:rPr>
          <w:rFonts w:ascii="Garamond" w:hAnsi="Garamond" w:cs="Times New Roman"/>
          <w:sz w:val="24"/>
          <w:szCs w:val="24"/>
        </w:rPr>
        <w:t xml:space="preserve">, ICAS/IC, </w:t>
      </w:r>
      <w:proofErr w:type="spellStart"/>
      <w:r w:rsidRPr="0087384A">
        <w:rPr>
          <w:rFonts w:ascii="Garamond" w:hAnsi="Garamond" w:cs="Times New Roman"/>
          <w:sz w:val="24"/>
          <w:szCs w:val="24"/>
        </w:rPr>
        <w:t>Lazuardi</w:t>
      </w:r>
      <w:proofErr w:type="spellEnd"/>
      <w:r w:rsidRPr="0087384A">
        <w:rPr>
          <w:rFonts w:ascii="Garamond" w:hAnsi="Garamond" w:cs="Times New Roman"/>
          <w:sz w:val="24"/>
          <w:szCs w:val="24"/>
        </w:rPr>
        <w:t xml:space="preserve"> School, ST Madina </w:t>
      </w:r>
      <w:proofErr w:type="spellStart"/>
      <w:r w:rsidRPr="0087384A">
        <w:rPr>
          <w:rFonts w:ascii="Garamond" w:hAnsi="Garamond" w:cs="Times New Roman"/>
          <w:sz w:val="24"/>
          <w:szCs w:val="24"/>
        </w:rPr>
        <w:t>Ilmu</w:t>
      </w:r>
      <w:proofErr w:type="spellEnd"/>
      <w:r w:rsidRPr="0087384A">
        <w:rPr>
          <w:rFonts w:ascii="Garamond" w:hAnsi="Garamond" w:cs="Times New Roman"/>
          <w:sz w:val="24"/>
          <w:szCs w:val="24"/>
        </w:rPr>
        <w:t xml:space="preserve">, and Madrasah Nurul Iman, Sorong. </w:t>
      </w:r>
    </w:p>
    <w:p w14:paraId="63453C18" w14:textId="77777777" w:rsidR="00AF4385" w:rsidRPr="00D170BE" w:rsidRDefault="00AF4385" w:rsidP="00AF4385">
      <w:pPr>
        <w:pStyle w:val="ListParagraph"/>
        <w:spacing w:before="240" w:after="40" w:line="240" w:lineRule="auto"/>
        <w:ind w:left="0" w:firstLine="851"/>
        <w:jc w:val="both"/>
        <w:rPr>
          <w:rFonts w:ascii="Garamond" w:hAnsi="Garamond" w:cs="Times New Roman"/>
          <w:sz w:val="24"/>
          <w:szCs w:val="24"/>
        </w:rPr>
      </w:pPr>
      <w:r w:rsidRPr="0087384A">
        <w:rPr>
          <w:rFonts w:ascii="Garamond" w:hAnsi="Garamond" w:cs="Times New Roman"/>
          <w:sz w:val="24"/>
          <w:szCs w:val="24"/>
        </w:rPr>
        <w:t xml:space="preserve">The curriculum of Shia </w:t>
      </w:r>
      <w:proofErr w:type="spellStart"/>
      <w:r>
        <w:rPr>
          <w:rFonts w:ascii="Garamond" w:hAnsi="Garamond" w:cs="Times New Roman"/>
          <w:sz w:val="24"/>
          <w:szCs w:val="24"/>
        </w:rPr>
        <w:t>pesantrens</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in Indonesia tends to follow the Shia </w:t>
      </w:r>
      <w:proofErr w:type="spellStart"/>
      <w:r w:rsidRPr="0087384A">
        <w:rPr>
          <w:rFonts w:ascii="Garamond" w:hAnsi="Garamond" w:cs="Times New Roman"/>
          <w:sz w:val="24"/>
          <w:szCs w:val="24"/>
        </w:rPr>
        <w:t>Imamiyah</w:t>
      </w:r>
      <w:proofErr w:type="spellEnd"/>
      <w:r w:rsidRPr="0087384A">
        <w:rPr>
          <w:rFonts w:ascii="Garamond" w:hAnsi="Garamond" w:cs="Times New Roman"/>
          <w:sz w:val="24"/>
          <w:szCs w:val="24"/>
        </w:rPr>
        <w:t xml:space="preserve"> school, namely the Al-Hadi </w:t>
      </w:r>
      <w:proofErr w:type="spellStart"/>
      <w:r w:rsidRPr="0087384A">
        <w:rPr>
          <w:rFonts w:ascii="Garamond" w:hAnsi="Garamond" w:cs="Times New Roman"/>
          <w:sz w:val="24"/>
          <w:szCs w:val="24"/>
        </w:rPr>
        <w:t>Pekalongan</w:t>
      </w:r>
      <w:proofErr w:type="spellEnd"/>
      <w:r w:rsidRPr="0087384A">
        <w:rPr>
          <w:rFonts w:ascii="Garamond" w:hAnsi="Garamond" w:cs="Times New Roman"/>
          <w:sz w:val="24"/>
          <w:szCs w:val="24"/>
        </w:rPr>
        <w:t xml:space="preserve"> </w:t>
      </w:r>
      <w:proofErr w:type="spellStart"/>
      <w:r>
        <w:rPr>
          <w:rFonts w:ascii="Garamond" w:hAnsi="Garamond" w:cs="Times New Roman"/>
          <w:sz w:val="24"/>
          <w:szCs w:val="24"/>
        </w:rPr>
        <w:t>pesantren</w:t>
      </w:r>
      <w:proofErr w:type="spellEnd"/>
      <w:r>
        <w:rPr>
          <w:rFonts w:ascii="Garamond" w:hAnsi="Garamond" w:cs="Times New Roman"/>
          <w:sz w:val="24"/>
          <w:szCs w:val="24"/>
        </w:rPr>
        <w:t xml:space="preserve">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{"citationItems":[{"id":"ITEM-1","itemData":{"DOI":"10.14421/rejusta.2020.1601-06","ISSN":"1412-2634","abstract":"Tulisan ini bertujuan untuk membahas tentang tradisi Syiah di Pekalongan. Selama ini, tradisi Syiah di Indonesia jarang diketahui oleh publik. Hal ini bisa dikarenakan adanya anggapan bahwa Syiah adalah ajaran yang sesat. Anggapan seperti ini yang mendasari lahirnya pesantren Syiah di Pekalongan. Pondok Pesantren Al Hadi adalah salah satu lembaga pendidikan Syiah di Indonesia. Di dalam Pondok pesantren ini, orang-orang tidak hanya diajarkan tentang pemikiran Syiah saja, melainkan juga melakukan ritual-ritual keagmaan Syiah yang jarang diketahui oleh publik. Penelitian ini merupakan penelitian lapangan (field research) dengan metode pencarian data wawancara dan observasi. Hasil penelitian ini menunjukkan bahwa corak Syiah yang berkembang di Pekalongan adalah Syiah Isna ‘Asyariyah. Sementara tradisi yang biasa dilakukan sebagai berikut: perayaan Asyuro, perayaan Arbain, Perayaan Maulud Perayaan Ghadīr Khumm, Rabu Wekasan, Peringatan Quds.","author":[{"dropping-particle":"","family":"Rahman","given":"Kholilul","non-dropping-particle":"","parse-names":false,"suffix":""}],"container-title":"Religi: Jurnal Studi Agama-agama","id":"ITEM-1","issue":"1","issued":{"date-parts":[["2020"]]},"page":"97-112","title":"Syiah Di Pekalongan: Studi Atas Tradisi Syiah Pondok Pesantren Al Hadi Pekalongan Jawa Tengah","type":"article-journal","volume":"16"},"uris":["http://www.mendeley.com/documents/?uuid=e815ae1a-d58a-4794-a807-84b2acc7ea69"]}],"mendeley":{"formattedCitation":"(Rahman, 2020)","plainTextFormattedCitation":"(Rahman, 2020)","previouslyFormattedCitation":"(Rahman, 2020)"},"properties":{"noteIndex":0},"schema":"https://github.com/citation-style-language/schema/raw/master/csl-citation.json"}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noProof/>
          <w:sz w:val="24"/>
          <w:szCs w:val="24"/>
        </w:rPr>
        <w:t>(Rahman, 2020)</w:t>
      </w:r>
      <w:r w:rsidRPr="0087384A">
        <w:rPr>
          <w:rStyle w:val="FootnoteReference"/>
          <w:rFonts w:ascii="Garamond" w:hAnsi="Garamond"/>
          <w:sz w:val="24"/>
          <w:szCs w:val="24"/>
        </w:rPr>
        <w:fldChar w:fldCharType="end"/>
      </w:r>
      <w:r w:rsidRPr="0087384A">
        <w:rPr>
          <w:rFonts w:ascii="Garamond" w:hAnsi="Garamond" w:cs="Times New Roman"/>
          <w:sz w:val="24"/>
          <w:szCs w:val="24"/>
        </w:rPr>
        <w:t xml:space="preserve"> and YAPI </w:t>
      </w:r>
      <w:proofErr w:type="spellStart"/>
      <w:r w:rsidRPr="0087384A">
        <w:rPr>
          <w:rFonts w:ascii="Garamond" w:hAnsi="Garamond" w:cs="Times New Roman"/>
          <w:sz w:val="24"/>
          <w:szCs w:val="24"/>
        </w:rPr>
        <w:t>Bangil</w:t>
      </w:r>
      <w:proofErr w:type="spellEnd"/>
      <w:r w:rsidRPr="0087384A">
        <w:rPr>
          <w:rFonts w:ascii="Garamond" w:hAnsi="Garamond" w:cs="Times New Roman"/>
          <w:sz w:val="24"/>
          <w:szCs w:val="24"/>
        </w:rPr>
        <w:t xml:space="preserve">. The study of this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of course uses books or references from the Shia school, especially Shia </w:t>
      </w:r>
      <w:proofErr w:type="spellStart"/>
      <w:r w:rsidRPr="0087384A">
        <w:rPr>
          <w:rFonts w:ascii="Garamond" w:hAnsi="Garamond" w:cs="Times New Roman"/>
          <w:sz w:val="24"/>
          <w:szCs w:val="24"/>
        </w:rPr>
        <w:t>Imamiyah</w:t>
      </w:r>
      <w:proofErr w:type="spellEnd"/>
      <w:r w:rsidRPr="0087384A">
        <w:rPr>
          <w:rFonts w:ascii="Garamond" w:hAnsi="Garamond" w:cs="Times New Roman"/>
          <w:sz w:val="24"/>
          <w:szCs w:val="24"/>
        </w:rPr>
        <w:t>. Even if there is a book from the Sunni, it is used as a comparison only.</w:t>
      </w:r>
      <w:r>
        <w:rPr>
          <w:rFonts w:ascii="Garamond" w:hAnsi="Garamond" w:cs="Times New Roman"/>
          <w:sz w:val="24"/>
          <w:szCs w:val="24"/>
        </w:rPr>
        <w:t xml:space="preserve"> </w:t>
      </w:r>
      <w:r w:rsidRPr="00D170BE">
        <w:rPr>
          <w:rFonts w:ascii="Garamond" w:hAnsi="Garamond" w:cs="Times New Roman"/>
          <w:sz w:val="24"/>
          <w:szCs w:val="24"/>
        </w:rPr>
        <w:t xml:space="preserve">Among the books studied at YAPI </w:t>
      </w:r>
      <w:proofErr w:type="spellStart"/>
      <w:r w:rsidRPr="00D170BE">
        <w:rPr>
          <w:rFonts w:ascii="Garamond" w:hAnsi="Garamond" w:cs="Times New Roman"/>
          <w:sz w:val="24"/>
          <w:szCs w:val="24"/>
        </w:rPr>
        <w:t>Bangil</w:t>
      </w:r>
      <w:proofErr w:type="spellEnd"/>
      <w:r w:rsidRPr="00D170BE">
        <w:rPr>
          <w:rFonts w:ascii="Garamond" w:hAnsi="Garamond" w:cs="Times New Roman"/>
          <w:sz w:val="24"/>
          <w:szCs w:val="24"/>
        </w:rPr>
        <w:t xml:space="preserve"> are as follows:</w:t>
      </w:r>
    </w:p>
    <w:p w14:paraId="721F5722" w14:textId="77777777" w:rsidR="00AF4385" w:rsidRDefault="00AF4385" w:rsidP="00AF4385">
      <w:pPr>
        <w:pStyle w:val="ListParagraph"/>
        <w:spacing w:before="240" w:after="40" w:line="240" w:lineRule="auto"/>
        <w:ind w:left="0"/>
        <w:jc w:val="center"/>
        <w:rPr>
          <w:rFonts w:ascii="Garamond" w:hAnsi="Garamond" w:cs="Times New Roman"/>
          <w:sz w:val="24"/>
          <w:szCs w:val="24"/>
        </w:rPr>
      </w:pPr>
      <w:r w:rsidRPr="0087384A">
        <w:rPr>
          <w:rFonts w:ascii="Garamond" w:hAnsi="Garamond" w:cs="Times New Roman"/>
          <w:sz w:val="24"/>
          <w:szCs w:val="24"/>
        </w:rPr>
        <w:t xml:space="preserve">Table 2. YAPI </w:t>
      </w:r>
      <w:proofErr w:type="spellStart"/>
      <w:r w:rsidRPr="0087384A">
        <w:rPr>
          <w:rFonts w:ascii="Garamond" w:hAnsi="Garamond" w:cs="Times New Roman"/>
          <w:sz w:val="24"/>
          <w:szCs w:val="24"/>
        </w:rPr>
        <w:t>Bangil</w:t>
      </w:r>
      <w:proofErr w:type="spellEnd"/>
      <w:r w:rsidRPr="0087384A">
        <w:rPr>
          <w:rFonts w:ascii="Garamond" w:hAnsi="Garamond" w:cs="Times New Roman"/>
          <w:sz w:val="24"/>
          <w:szCs w:val="24"/>
        </w:rPr>
        <w:t xml:space="preserve"> </w:t>
      </w:r>
      <w:proofErr w:type="spellStart"/>
      <w:r>
        <w:rPr>
          <w:rFonts w:ascii="Garamond" w:hAnsi="Garamond" w:cs="Times New Roman"/>
          <w:sz w:val="24"/>
          <w:szCs w:val="24"/>
        </w:rPr>
        <w:t>Pesantren</w:t>
      </w:r>
      <w:proofErr w:type="spellEnd"/>
      <w:r>
        <w:rPr>
          <w:rFonts w:ascii="Garamond" w:hAnsi="Garamond" w:cs="Times New Roman"/>
          <w:sz w:val="24"/>
          <w:szCs w:val="24"/>
        </w:rPr>
        <w:t xml:space="preserve"> </w:t>
      </w:r>
      <w:r w:rsidRPr="0087384A">
        <w:rPr>
          <w:rFonts w:ascii="Garamond" w:hAnsi="Garamond" w:cs="Times New Roman"/>
          <w:sz w:val="24"/>
          <w:szCs w:val="24"/>
        </w:rPr>
        <w:t>Curriculum</w:t>
      </w:r>
    </w:p>
    <w:p w14:paraId="375E9B34" w14:textId="77777777" w:rsidR="00AF4385" w:rsidRPr="0087384A" w:rsidRDefault="00AF4385" w:rsidP="00AF4385">
      <w:pPr>
        <w:pStyle w:val="ListParagraph"/>
        <w:spacing w:before="240" w:after="40" w:line="240" w:lineRule="auto"/>
        <w:ind w:left="0"/>
        <w:jc w:val="center"/>
        <w:rPr>
          <w:rFonts w:ascii="Garamond" w:hAnsi="Garamond" w:cs="Times New Roman"/>
          <w:sz w:val="24"/>
          <w:szCs w:val="24"/>
        </w:rPr>
      </w:pPr>
    </w:p>
    <w:tbl>
      <w:tblPr>
        <w:tblStyle w:val="TableGrid"/>
        <w:tblW w:w="9067" w:type="dxa"/>
        <w:tblLook w:val="04A0" w:firstRow="1" w:lastRow="0" w:firstColumn="1" w:lastColumn="0" w:noHBand="0" w:noVBand="1"/>
      </w:tblPr>
      <w:tblGrid>
        <w:gridCol w:w="2122"/>
        <w:gridCol w:w="3402"/>
        <w:gridCol w:w="3543"/>
      </w:tblGrid>
      <w:tr w:rsidR="00AF4385" w:rsidRPr="0087384A" w14:paraId="140A3D30" w14:textId="77777777" w:rsidTr="00214B0A">
        <w:tc>
          <w:tcPr>
            <w:tcW w:w="2122" w:type="dxa"/>
          </w:tcPr>
          <w:p w14:paraId="4374EA70" w14:textId="77777777" w:rsidR="00AF4385" w:rsidRPr="0087384A" w:rsidRDefault="00AF4385" w:rsidP="00214B0A">
            <w:pPr>
              <w:pStyle w:val="ListParagraph"/>
              <w:spacing w:before="240" w:after="40" w:line="240" w:lineRule="auto"/>
              <w:ind w:left="0"/>
              <w:jc w:val="both"/>
              <w:rPr>
                <w:rFonts w:ascii="Garamond" w:hAnsi="Garamond" w:cs="Times New Roman"/>
                <w:b/>
                <w:bCs/>
                <w:sz w:val="24"/>
                <w:szCs w:val="24"/>
              </w:rPr>
            </w:pPr>
            <w:r w:rsidRPr="0087384A">
              <w:rPr>
                <w:rFonts w:ascii="Garamond" w:hAnsi="Garamond" w:cs="Times New Roman"/>
                <w:b/>
                <w:bCs/>
                <w:sz w:val="24"/>
                <w:szCs w:val="24"/>
              </w:rPr>
              <w:t>Material</w:t>
            </w:r>
          </w:p>
        </w:tc>
        <w:tc>
          <w:tcPr>
            <w:tcW w:w="3402" w:type="dxa"/>
          </w:tcPr>
          <w:p w14:paraId="7752AEA4" w14:textId="77777777" w:rsidR="00AF4385" w:rsidRPr="0087384A" w:rsidRDefault="00AF4385" w:rsidP="00214B0A">
            <w:pPr>
              <w:pStyle w:val="ListParagraph"/>
              <w:spacing w:before="240" w:after="40" w:line="240" w:lineRule="auto"/>
              <w:ind w:left="0"/>
              <w:jc w:val="both"/>
              <w:rPr>
                <w:rFonts w:ascii="Garamond" w:hAnsi="Garamond" w:cs="Times New Roman"/>
                <w:b/>
                <w:bCs/>
                <w:sz w:val="24"/>
                <w:szCs w:val="24"/>
              </w:rPr>
            </w:pPr>
            <w:r>
              <w:rPr>
                <w:rFonts w:ascii="Garamond" w:hAnsi="Garamond" w:cs="Times New Roman"/>
                <w:b/>
                <w:bCs/>
                <w:sz w:val="24"/>
                <w:szCs w:val="24"/>
              </w:rPr>
              <w:t>Book</w:t>
            </w:r>
          </w:p>
        </w:tc>
        <w:tc>
          <w:tcPr>
            <w:tcW w:w="3543" w:type="dxa"/>
          </w:tcPr>
          <w:p w14:paraId="3A02AF42" w14:textId="77777777" w:rsidR="00AF4385" w:rsidRPr="0087384A" w:rsidRDefault="00AF4385" w:rsidP="00214B0A">
            <w:pPr>
              <w:pStyle w:val="ListParagraph"/>
              <w:spacing w:before="240" w:after="40" w:line="240" w:lineRule="auto"/>
              <w:ind w:left="0"/>
              <w:jc w:val="both"/>
              <w:rPr>
                <w:rFonts w:ascii="Garamond" w:hAnsi="Garamond" w:cs="Times New Roman"/>
                <w:b/>
                <w:bCs/>
                <w:sz w:val="24"/>
                <w:szCs w:val="24"/>
              </w:rPr>
            </w:pPr>
            <w:r>
              <w:rPr>
                <w:rFonts w:ascii="Garamond" w:hAnsi="Garamond" w:cs="Times New Roman"/>
                <w:b/>
                <w:bCs/>
                <w:sz w:val="24"/>
                <w:szCs w:val="24"/>
              </w:rPr>
              <w:t>Author</w:t>
            </w:r>
          </w:p>
        </w:tc>
      </w:tr>
      <w:tr w:rsidR="00AF4385" w:rsidRPr="0087384A" w14:paraId="7547F5A6" w14:textId="77777777" w:rsidTr="00214B0A">
        <w:tc>
          <w:tcPr>
            <w:tcW w:w="2122" w:type="dxa"/>
          </w:tcPr>
          <w:p w14:paraId="67DA157B"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proofErr w:type="spellStart"/>
            <w:r w:rsidRPr="0087384A">
              <w:rPr>
                <w:rFonts w:ascii="Garamond" w:hAnsi="Garamond" w:cs="Times New Roman"/>
                <w:sz w:val="24"/>
                <w:szCs w:val="24"/>
              </w:rPr>
              <w:t>Akidah</w:t>
            </w:r>
            <w:proofErr w:type="spellEnd"/>
          </w:p>
        </w:tc>
        <w:tc>
          <w:tcPr>
            <w:tcW w:w="3402" w:type="dxa"/>
          </w:tcPr>
          <w:p w14:paraId="3476EE9E"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r w:rsidRPr="0087384A">
              <w:rPr>
                <w:rFonts w:ascii="Garamond" w:hAnsi="Garamond" w:cs="Times New Roman"/>
                <w:sz w:val="24"/>
                <w:szCs w:val="24"/>
              </w:rPr>
              <w:t>Al-</w:t>
            </w:r>
            <w:proofErr w:type="spellStart"/>
            <w:r w:rsidRPr="0087384A">
              <w:rPr>
                <w:rFonts w:ascii="Garamond" w:hAnsi="Garamond" w:cs="Times New Roman"/>
                <w:sz w:val="24"/>
                <w:szCs w:val="24"/>
              </w:rPr>
              <w:t>Aqaid</w:t>
            </w:r>
            <w:proofErr w:type="spellEnd"/>
            <w:r w:rsidRPr="0087384A">
              <w:rPr>
                <w:rFonts w:ascii="Garamond" w:hAnsi="Garamond" w:cs="Times New Roman"/>
                <w:sz w:val="24"/>
                <w:szCs w:val="24"/>
              </w:rPr>
              <w:t xml:space="preserve"> Islamiyah (?), </w:t>
            </w:r>
            <w:proofErr w:type="spellStart"/>
            <w:r w:rsidRPr="0087384A">
              <w:rPr>
                <w:rFonts w:ascii="Garamond" w:hAnsi="Garamond" w:cs="Times New Roman"/>
                <w:sz w:val="24"/>
                <w:szCs w:val="24"/>
              </w:rPr>
              <w:t>Amuzesye</w:t>
            </w:r>
            <w:proofErr w:type="spellEnd"/>
            <w:r w:rsidRPr="0087384A">
              <w:rPr>
                <w:rFonts w:ascii="Garamond" w:hAnsi="Garamond" w:cs="Times New Roman"/>
                <w:sz w:val="24"/>
                <w:szCs w:val="24"/>
              </w:rPr>
              <w:t xml:space="preserve"> </w:t>
            </w:r>
            <w:proofErr w:type="spellStart"/>
            <w:r w:rsidRPr="0087384A">
              <w:rPr>
                <w:rFonts w:ascii="Garamond" w:hAnsi="Garamond" w:cs="Times New Roman"/>
                <w:sz w:val="24"/>
                <w:szCs w:val="24"/>
              </w:rPr>
              <w:t>Aqayid</w:t>
            </w:r>
            <w:proofErr w:type="spellEnd"/>
          </w:p>
        </w:tc>
        <w:tc>
          <w:tcPr>
            <w:tcW w:w="3543" w:type="dxa"/>
          </w:tcPr>
          <w:p w14:paraId="51AD028E"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r w:rsidRPr="0087384A">
              <w:rPr>
                <w:rFonts w:ascii="Garamond" w:hAnsi="Garamond" w:cs="Times New Roman"/>
                <w:sz w:val="24"/>
                <w:szCs w:val="24"/>
              </w:rPr>
              <w:t xml:space="preserve">Ayatullah Taqi </w:t>
            </w:r>
            <w:proofErr w:type="spellStart"/>
            <w:r w:rsidRPr="0087384A">
              <w:rPr>
                <w:rFonts w:ascii="Garamond" w:hAnsi="Garamond" w:cs="Times New Roman"/>
                <w:sz w:val="24"/>
                <w:szCs w:val="24"/>
              </w:rPr>
              <w:t>Mishbah</w:t>
            </w:r>
            <w:proofErr w:type="spellEnd"/>
            <w:r w:rsidRPr="0087384A">
              <w:rPr>
                <w:rFonts w:ascii="Garamond" w:hAnsi="Garamond" w:cs="Times New Roman"/>
                <w:sz w:val="24"/>
                <w:szCs w:val="24"/>
              </w:rPr>
              <w:t xml:space="preserve"> Yazdi</w:t>
            </w:r>
          </w:p>
        </w:tc>
      </w:tr>
      <w:tr w:rsidR="00AF4385" w:rsidRPr="0087384A" w14:paraId="354DC0D6" w14:textId="77777777" w:rsidTr="00214B0A">
        <w:tc>
          <w:tcPr>
            <w:tcW w:w="2122" w:type="dxa"/>
          </w:tcPr>
          <w:p w14:paraId="64A7C901"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proofErr w:type="spellStart"/>
            <w:r w:rsidRPr="0087384A">
              <w:rPr>
                <w:rFonts w:ascii="Garamond" w:hAnsi="Garamond" w:cs="Times New Roman"/>
                <w:sz w:val="24"/>
                <w:szCs w:val="24"/>
              </w:rPr>
              <w:t>Fiqih</w:t>
            </w:r>
            <w:proofErr w:type="spellEnd"/>
          </w:p>
        </w:tc>
        <w:tc>
          <w:tcPr>
            <w:tcW w:w="3402" w:type="dxa"/>
          </w:tcPr>
          <w:p w14:paraId="13D71431"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r w:rsidRPr="0087384A">
              <w:rPr>
                <w:rFonts w:ascii="Garamond" w:hAnsi="Garamond" w:cs="Times New Roman"/>
                <w:sz w:val="24"/>
                <w:szCs w:val="24"/>
              </w:rPr>
              <w:t>Al-Fiqh ‘ala al-</w:t>
            </w:r>
            <w:proofErr w:type="spellStart"/>
            <w:r w:rsidRPr="0087384A">
              <w:rPr>
                <w:rFonts w:ascii="Garamond" w:hAnsi="Garamond" w:cs="Times New Roman"/>
                <w:sz w:val="24"/>
                <w:szCs w:val="24"/>
              </w:rPr>
              <w:t>Madhahib</w:t>
            </w:r>
            <w:proofErr w:type="spellEnd"/>
            <w:r w:rsidRPr="0087384A">
              <w:rPr>
                <w:rFonts w:ascii="Garamond" w:hAnsi="Garamond" w:cs="Times New Roman"/>
                <w:sz w:val="24"/>
                <w:szCs w:val="24"/>
              </w:rPr>
              <w:t xml:space="preserve"> al-</w:t>
            </w:r>
            <w:proofErr w:type="spellStart"/>
            <w:r w:rsidRPr="0087384A">
              <w:rPr>
                <w:rFonts w:ascii="Garamond" w:hAnsi="Garamond" w:cs="Times New Roman"/>
                <w:sz w:val="24"/>
                <w:szCs w:val="24"/>
              </w:rPr>
              <w:t>Khamsah</w:t>
            </w:r>
            <w:proofErr w:type="spellEnd"/>
          </w:p>
        </w:tc>
        <w:tc>
          <w:tcPr>
            <w:tcW w:w="3543" w:type="dxa"/>
          </w:tcPr>
          <w:p w14:paraId="3D2E53B3"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proofErr w:type="spellStart"/>
            <w:r w:rsidRPr="0087384A">
              <w:rPr>
                <w:rFonts w:ascii="Garamond" w:hAnsi="Garamond" w:cs="Times New Roman"/>
                <w:sz w:val="24"/>
                <w:szCs w:val="24"/>
              </w:rPr>
              <w:t>Syaikh</w:t>
            </w:r>
            <w:proofErr w:type="spellEnd"/>
            <w:r w:rsidRPr="0087384A">
              <w:rPr>
                <w:rFonts w:ascii="Garamond" w:hAnsi="Garamond" w:cs="Times New Roman"/>
                <w:sz w:val="24"/>
                <w:szCs w:val="24"/>
              </w:rPr>
              <w:t xml:space="preserve"> Jawad Mughniyah</w:t>
            </w:r>
          </w:p>
        </w:tc>
      </w:tr>
      <w:tr w:rsidR="00AF4385" w:rsidRPr="0087384A" w14:paraId="1C470038" w14:textId="77777777" w:rsidTr="00214B0A">
        <w:tc>
          <w:tcPr>
            <w:tcW w:w="2122" w:type="dxa"/>
          </w:tcPr>
          <w:p w14:paraId="02EB9E2C"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proofErr w:type="spellStart"/>
            <w:r w:rsidRPr="0087384A">
              <w:rPr>
                <w:rFonts w:ascii="Garamond" w:hAnsi="Garamond" w:cs="Times New Roman"/>
                <w:sz w:val="24"/>
                <w:szCs w:val="24"/>
              </w:rPr>
              <w:t>Ushul</w:t>
            </w:r>
            <w:proofErr w:type="spellEnd"/>
            <w:r w:rsidRPr="0087384A">
              <w:rPr>
                <w:rFonts w:ascii="Garamond" w:hAnsi="Garamond" w:cs="Times New Roman"/>
                <w:sz w:val="24"/>
                <w:szCs w:val="24"/>
              </w:rPr>
              <w:t xml:space="preserve"> Fiqh</w:t>
            </w:r>
          </w:p>
        </w:tc>
        <w:tc>
          <w:tcPr>
            <w:tcW w:w="3402" w:type="dxa"/>
          </w:tcPr>
          <w:p w14:paraId="241FBBF4"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r w:rsidRPr="0087384A">
              <w:rPr>
                <w:rFonts w:ascii="Garamond" w:hAnsi="Garamond" w:cs="Times New Roman"/>
                <w:sz w:val="24"/>
                <w:szCs w:val="24"/>
              </w:rPr>
              <w:t>Al-</w:t>
            </w:r>
            <w:proofErr w:type="spellStart"/>
            <w:r w:rsidRPr="0087384A">
              <w:rPr>
                <w:rFonts w:ascii="Garamond" w:hAnsi="Garamond" w:cs="Times New Roman"/>
                <w:sz w:val="24"/>
                <w:szCs w:val="24"/>
              </w:rPr>
              <w:t>Halaqat</w:t>
            </w:r>
            <w:proofErr w:type="spellEnd"/>
          </w:p>
        </w:tc>
        <w:tc>
          <w:tcPr>
            <w:tcW w:w="3543" w:type="dxa"/>
          </w:tcPr>
          <w:p w14:paraId="707A3B6F"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r w:rsidRPr="0087384A">
              <w:rPr>
                <w:rFonts w:ascii="Garamond" w:hAnsi="Garamond" w:cs="Times New Roman"/>
                <w:sz w:val="24"/>
                <w:szCs w:val="24"/>
              </w:rPr>
              <w:t>Muhammad Baqir Shadr</w:t>
            </w:r>
          </w:p>
        </w:tc>
      </w:tr>
      <w:tr w:rsidR="00AF4385" w:rsidRPr="0087384A" w14:paraId="6FAA586A" w14:textId="77777777" w:rsidTr="00214B0A">
        <w:tc>
          <w:tcPr>
            <w:tcW w:w="2122" w:type="dxa"/>
          </w:tcPr>
          <w:p w14:paraId="6AE03796"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r w:rsidRPr="0087384A">
              <w:rPr>
                <w:rFonts w:ascii="Garamond" w:hAnsi="Garamond" w:cs="Times New Roman"/>
                <w:sz w:val="24"/>
                <w:szCs w:val="24"/>
              </w:rPr>
              <w:lastRenderedPageBreak/>
              <w:t xml:space="preserve">Figh </w:t>
            </w:r>
            <w:proofErr w:type="spellStart"/>
            <w:r w:rsidRPr="0087384A">
              <w:rPr>
                <w:rFonts w:ascii="Garamond" w:hAnsi="Garamond" w:cs="Times New Roman"/>
                <w:sz w:val="24"/>
                <w:szCs w:val="24"/>
              </w:rPr>
              <w:t>Argumetatif</w:t>
            </w:r>
            <w:proofErr w:type="spellEnd"/>
          </w:p>
        </w:tc>
        <w:tc>
          <w:tcPr>
            <w:tcW w:w="3402" w:type="dxa"/>
          </w:tcPr>
          <w:p w14:paraId="36C16E21"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r w:rsidRPr="0087384A">
              <w:rPr>
                <w:rFonts w:ascii="Garamond" w:hAnsi="Garamond" w:cs="Times New Roman"/>
                <w:sz w:val="24"/>
                <w:szCs w:val="24"/>
              </w:rPr>
              <w:t xml:space="preserve">Fiqh </w:t>
            </w:r>
            <w:proofErr w:type="spellStart"/>
            <w:r w:rsidRPr="0087384A">
              <w:rPr>
                <w:rFonts w:ascii="Garamond" w:hAnsi="Garamond" w:cs="Times New Roman"/>
                <w:sz w:val="24"/>
                <w:szCs w:val="24"/>
              </w:rPr>
              <w:t>Istidlali</w:t>
            </w:r>
            <w:proofErr w:type="spellEnd"/>
          </w:p>
        </w:tc>
        <w:tc>
          <w:tcPr>
            <w:tcW w:w="3543" w:type="dxa"/>
          </w:tcPr>
          <w:p w14:paraId="35AAAC8C"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proofErr w:type="spellStart"/>
            <w:r w:rsidRPr="0087384A">
              <w:rPr>
                <w:rFonts w:ascii="Garamond" w:hAnsi="Garamond" w:cs="Times New Roman"/>
                <w:sz w:val="24"/>
                <w:szCs w:val="24"/>
              </w:rPr>
              <w:t>Syaikh</w:t>
            </w:r>
            <w:proofErr w:type="spellEnd"/>
            <w:r w:rsidRPr="0087384A">
              <w:rPr>
                <w:rFonts w:ascii="Garamond" w:hAnsi="Garamond" w:cs="Times New Roman"/>
                <w:sz w:val="24"/>
                <w:szCs w:val="24"/>
              </w:rPr>
              <w:t xml:space="preserve"> Baqir </w:t>
            </w:r>
            <w:proofErr w:type="spellStart"/>
            <w:r w:rsidRPr="0087384A">
              <w:rPr>
                <w:rFonts w:ascii="Garamond" w:hAnsi="Garamond" w:cs="Times New Roman"/>
                <w:sz w:val="24"/>
                <w:szCs w:val="24"/>
              </w:rPr>
              <w:t>Irwani</w:t>
            </w:r>
            <w:proofErr w:type="spellEnd"/>
          </w:p>
        </w:tc>
      </w:tr>
      <w:tr w:rsidR="00AF4385" w:rsidRPr="0087384A" w14:paraId="21B8269B" w14:textId="77777777" w:rsidTr="00214B0A">
        <w:tc>
          <w:tcPr>
            <w:tcW w:w="2122" w:type="dxa"/>
          </w:tcPr>
          <w:p w14:paraId="750EC760"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proofErr w:type="spellStart"/>
            <w:r w:rsidRPr="0087384A">
              <w:rPr>
                <w:rFonts w:ascii="Garamond" w:hAnsi="Garamond" w:cs="Times New Roman"/>
                <w:sz w:val="24"/>
                <w:szCs w:val="24"/>
              </w:rPr>
              <w:t>Filsafat</w:t>
            </w:r>
            <w:proofErr w:type="spellEnd"/>
            <w:r w:rsidRPr="0087384A">
              <w:rPr>
                <w:rFonts w:ascii="Garamond" w:hAnsi="Garamond" w:cs="Times New Roman"/>
                <w:sz w:val="24"/>
                <w:szCs w:val="24"/>
              </w:rPr>
              <w:t xml:space="preserve"> Islam</w:t>
            </w:r>
          </w:p>
        </w:tc>
        <w:tc>
          <w:tcPr>
            <w:tcW w:w="3402" w:type="dxa"/>
          </w:tcPr>
          <w:p w14:paraId="5303AB3B"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r w:rsidRPr="0087384A">
              <w:rPr>
                <w:rFonts w:ascii="Garamond" w:hAnsi="Garamond" w:cs="Times New Roman"/>
                <w:sz w:val="24"/>
                <w:szCs w:val="24"/>
              </w:rPr>
              <w:t>Bidayah al-Hikmah</w:t>
            </w:r>
          </w:p>
        </w:tc>
        <w:tc>
          <w:tcPr>
            <w:tcW w:w="3543" w:type="dxa"/>
          </w:tcPr>
          <w:p w14:paraId="4ECCCBED"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r w:rsidRPr="0087384A">
              <w:rPr>
                <w:rFonts w:ascii="Garamond" w:hAnsi="Garamond" w:cs="Times New Roman"/>
                <w:sz w:val="24"/>
                <w:szCs w:val="24"/>
              </w:rPr>
              <w:t xml:space="preserve">Sayyid Husain </w:t>
            </w:r>
            <w:proofErr w:type="spellStart"/>
            <w:r w:rsidRPr="0087384A">
              <w:rPr>
                <w:rFonts w:ascii="Garamond" w:hAnsi="Garamond" w:cs="Times New Roman"/>
                <w:sz w:val="24"/>
                <w:szCs w:val="24"/>
              </w:rPr>
              <w:t>Thabathabai</w:t>
            </w:r>
            <w:proofErr w:type="spellEnd"/>
          </w:p>
        </w:tc>
      </w:tr>
      <w:tr w:rsidR="00AF4385" w:rsidRPr="0087384A" w14:paraId="2855053D" w14:textId="77777777" w:rsidTr="00214B0A">
        <w:tc>
          <w:tcPr>
            <w:tcW w:w="2122" w:type="dxa"/>
          </w:tcPr>
          <w:p w14:paraId="30ADC42D"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proofErr w:type="spellStart"/>
            <w:r w:rsidRPr="0087384A">
              <w:rPr>
                <w:rFonts w:ascii="Garamond" w:hAnsi="Garamond" w:cs="Times New Roman"/>
                <w:sz w:val="24"/>
                <w:szCs w:val="24"/>
              </w:rPr>
              <w:t>Nahwu</w:t>
            </w:r>
            <w:proofErr w:type="spellEnd"/>
          </w:p>
        </w:tc>
        <w:tc>
          <w:tcPr>
            <w:tcW w:w="3402" w:type="dxa"/>
          </w:tcPr>
          <w:p w14:paraId="154BD136"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proofErr w:type="spellStart"/>
            <w:r w:rsidRPr="0087384A">
              <w:rPr>
                <w:rFonts w:ascii="Garamond" w:hAnsi="Garamond" w:cs="Times New Roman"/>
                <w:sz w:val="24"/>
                <w:szCs w:val="24"/>
              </w:rPr>
              <w:t>Alfiyah</w:t>
            </w:r>
            <w:proofErr w:type="spellEnd"/>
            <w:r w:rsidRPr="0087384A">
              <w:rPr>
                <w:rFonts w:ascii="Garamond" w:hAnsi="Garamond" w:cs="Times New Roman"/>
                <w:sz w:val="24"/>
                <w:szCs w:val="24"/>
              </w:rPr>
              <w:t xml:space="preserve"> ibn Malik</w:t>
            </w:r>
          </w:p>
        </w:tc>
        <w:tc>
          <w:tcPr>
            <w:tcW w:w="3543" w:type="dxa"/>
          </w:tcPr>
          <w:p w14:paraId="18A5B672" w14:textId="77777777" w:rsidR="00AF4385" w:rsidRPr="0087384A" w:rsidRDefault="00AF4385" w:rsidP="00214B0A">
            <w:pPr>
              <w:pStyle w:val="ListParagraph"/>
              <w:spacing w:before="240" w:after="40" w:line="240" w:lineRule="auto"/>
              <w:ind w:left="0"/>
              <w:jc w:val="both"/>
              <w:rPr>
                <w:rFonts w:ascii="Garamond" w:hAnsi="Garamond" w:cs="Times New Roman"/>
                <w:sz w:val="24"/>
                <w:szCs w:val="24"/>
              </w:rPr>
            </w:pPr>
          </w:p>
        </w:tc>
      </w:tr>
    </w:tbl>
    <w:p w14:paraId="60B6B61F" w14:textId="77777777" w:rsidR="00AF4385" w:rsidRPr="0087384A" w:rsidRDefault="00AF4385" w:rsidP="00AF4385">
      <w:pPr>
        <w:pStyle w:val="ListParagraph"/>
        <w:spacing w:before="240" w:after="40" w:line="240" w:lineRule="auto"/>
        <w:ind w:left="0" w:firstLine="851"/>
        <w:jc w:val="both"/>
        <w:rPr>
          <w:rFonts w:ascii="Garamond" w:hAnsi="Garamond" w:cs="Times New Roman"/>
          <w:b/>
          <w:bCs/>
          <w:sz w:val="24"/>
          <w:szCs w:val="24"/>
        </w:rPr>
      </w:pPr>
    </w:p>
    <w:p w14:paraId="5C75AF9B" w14:textId="77777777" w:rsidR="00AF4385" w:rsidRPr="0087384A" w:rsidRDefault="00AF4385" w:rsidP="00AF4385">
      <w:pPr>
        <w:pStyle w:val="ListParagraph"/>
        <w:spacing w:before="240" w:after="40" w:line="240" w:lineRule="auto"/>
        <w:ind w:left="0" w:firstLine="851"/>
        <w:jc w:val="both"/>
        <w:rPr>
          <w:rFonts w:ascii="Garamond" w:hAnsi="Garamond" w:cs="Times New Roman"/>
          <w:b/>
          <w:bCs/>
          <w:sz w:val="24"/>
          <w:szCs w:val="24"/>
        </w:rPr>
      </w:pPr>
      <w:r w:rsidRPr="0087384A">
        <w:rPr>
          <w:rFonts w:ascii="Garamond" w:hAnsi="Garamond" w:cs="Times New Roman"/>
          <w:sz w:val="24"/>
          <w:szCs w:val="24"/>
        </w:rPr>
        <w:t xml:space="preserve">From the table above, it can be explained that the theology of the Shia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in YAPI </w:t>
      </w:r>
      <w:proofErr w:type="spellStart"/>
      <w:r w:rsidRPr="0087384A">
        <w:rPr>
          <w:rFonts w:ascii="Garamond" w:hAnsi="Garamond" w:cs="Times New Roman"/>
          <w:sz w:val="24"/>
          <w:szCs w:val="24"/>
        </w:rPr>
        <w:t>Bangil</w:t>
      </w:r>
      <w:proofErr w:type="spellEnd"/>
      <w:r w:rsidRPr="0087384A">
        <w:rPr>
          <w:rFonts w:ascii="Garamond" w:hAnsi="Garamond" w:cs="Times New Roman"/>
          <w:sz w:val="24"/>
          <w:szCs w:val="24"/>
        </w:rPr>
        <w:t xml:space="preserve"> follows the official sect in Iran, namely Shia </w:t>
      </w:r>
      <w:proofErr w:type="spellStart"/>
      <w:r w:rsidRPr="0087384A">
        <w:rPr>
          <w:rFonts w:ascii="Garamond" w:hAnsi="Garamond" w:cs="Times New Roman"/>
          <w:sz w:val="24"/>
          <w:szCs w:val="24"/>
        </w:rPr>
        <w:t>Imamiyah</w:t>
      </w:r>
      <w:proofErr w:type="spellEnd"/>
      <w:r w:rsidRPr="0087384A">
        <w:rPr>
          <w:rFonts w:ascii="Garamond" w:hAnsi="Garamond" w:cs="Times New Roman"/>
          <w:sz w:val="24"/>
          <w:szCs w:val="24"/>
        </w:rPr>
        <w:t xml:space="preserve">. This Shia </w:t>
      </w:r>
      <w:proofErr w:type="spellStart"/>
      <w:r w:rsidRPr="0087384A">
        <w:rPr>
          <w:rFonts w:ascii="Garamond" w:hAnsi="Garamond" w:cs="Times New Roman"/>
          <w:sz w:val="24"/>
          <w:szCs w:val="24"/>
        </w:rPr>
        <w:t>Imamiyah</w:t>
      </w:r>
      <w:proofErr w:type="spellEnd"/>
      <w:r w:rsidRPr="0087384A">
        <w:rPr>
          <w:rFonts w:ascii="Garamond" w:hAnsi="Garamond" w:cs="Times New Roman"/>
          <w:sz w:val="24"/>
          <w:szCs w:val="24"/>
        </w:rPr>
        <w:t xml:space="preserve"> believes in the twelve Imams after the death of the Prophet Muhammad, namely: Imam Ali bin </w:t>
      </w:r>
      <w:proofErr w:type="spellStart"/>
      <w:r w:rsidRPr="0087384A">
        <w:rPr>
          <w:rFonts w:ascii="Garamond" w:hAnsi="Garamond" w:cs="Times New Roman"/>
          <w:sz w:val="24"/>
          <w:szCs w:val="24"/>
        </w:rPr>
        <w:t>abi</w:t>
      </w:r>
      <w:proofErr w:type="spellEnd"/>
      <w:r w:rsidRPr="0087384A">
        <w:rPr>
          <w:rFonts w:ascii="Garamond" w:hAnsi="Garamond" w:cs="Times New Roman"/>
          <w:sz w:val="24"/>
          <w:szCs w:val="24"/>
        </w:rPr>
        <w:t xml:space="preserve"> Talib (d.40 AH/661 AD), Imam Muhammad Hasan Bin Ali (d.49 AH/669 AD), Abu Abdillah al-Husain Bin Ali (d.61 AH/680 AD), Imam Ali bin Husain Zainal Abidin (d.95 AH/714 AD),  Imam Muhammad bin Ali al-</w:t>
      </w:r>
      <w:proofErr w:type="spellStart"/>
      <w:r w:rsidRPr="0087384A">
        <w:rPr>
          <w:rFonts w:ascii="Garamond" w:hAnsi="Garamond" w:cs="Times New Roman"/>
          <w:sz w:val="24"/>
          <w:szCs w:val="24"/>
        </w:rPr>
        <w:t>Baqiras</w:t>
      </w:r>
      <w:proofErr w:type="spellEnd"/>
      <w:r w:rsidRPr="0087384A">
        <w:rPr>
          <w:rFonts w:ascii="Garamond" w:hAnsi="Garamond" w:cs="Times New Roman"/>
          <w:sz w:val="24"/>
          <w:szCs w:val="24"/>
        </w:rPr>
        <w:t xml:space="preserve"> (d.115 AH/733 AD), Imam Jafar bin Muhammad al-Shadiq (d.148 AH/765 AD), Imam Musa bin Jafar al-</w:t>
      </w:r>
      <w:proofErr w:type="spellStart"/>
      <w:r w:rsidRPr="0087384A">
        <w:rPr>
          <w:rFonts w:ascii="Garamond" w:hAnsi="Garamond" w:cs="Times New Roman"/>
          <w:sz w:val="24"/>
          <w:szCs w:val="24"/>
        </w:rPr>
        <w:t>Kadzim</w:t>
      </w:r>
      <w:proofErr w:type="spellEnd"/>
      <w:r w:rsidRPr="0087384A">
        <w:rPr>
          <w:rFonts w:ascii="Garamond" w:hAnsi="Garamond" w:cs="Times New Roman"/>
          <w:sz w:val="24"/>
          <w:szCs w:val="24"/>
        </w:rPr>
        <w:t xml:space="preserve"> (d.183 AH/799 AD), Imam Ali bin Musa al-Ridha (d.203 AH/818 AD), Imam Muhammad bin Ali al-Jawad (220 AH/835 AD), Imam Ali bin al-Hadi ((d.254 AH/868 AD),  Imam Hasan Bin Ali al-</w:t>
      </w:r>
      <w:proofErr w:type="spellStart"/>
      <w:r w:rsidRPr="0087384A">
        <w:rPr>
          <w:rFonts w:ascii="Garamond" w:hAnsi="Garamond" w:cs="Times New Roman"/>
          <w:sz w:val="24"/>
          <w:szCs w:val="24"/>
        </w:rPr>
        <w:t>Ashkari</w:t>
      </w:r>
      <w:proofErr w:type="spellEnd"/>
      <w:r w:rsidRPr="0087384A">
        <w:rPr>
          <w:rFonts w:ascii="Garamond" w:hAnsi="Garamond" w:cs="Times New Roman"/>
          <w:sz w:val="24"/>
          <w:szCs w:val="24"/>
        </w:rPr>
        <w:t xml:space="preserve"> (d.260 H/874 AD) and Imam Muhammad Bin Hasan al-Mahdi al-</w:t>
      </w:r>
      <w:proofErr w:type="spellStart"/>
      <w:r w:rsidRPr="0087384A">
        <w:rPr>
          <w:rFonts w:ascii="Garamond" w:hAnsi="Garamond" w:cs="Times New Roman"/>
          <w:sz w:val="24"/>
          <w:szCs w:val="24"/>
        </w:rPr>
        <w:t>Muntazhar</w:t>
      </w:r>
      <w:proofErr w:type="spellEnd"/>
      <w:r w:rsidRPr="0087384A">
        <w:rPr>
          <w:rFonts w:ascii="Garamond" w:hAnsi="Garamond" w:cs="Times New Roman"/>
          <w:sz w:val="24"/>
          <w:szCs w:val="24"/>
        </w:rPr>
        <w:t xml:space="preserve"> as. The last Imam is believed to have experienced the occult (disappearance) in 392 AH/940 AD, and will come one day to fight all evil and falsehood in all corners of the earth </w:t>
      </w:r>
      <w:r w:rsidRPr="0087384A">
        <w:rPr>
          <w:rStyle w:val="FootnoteReference"/>
          <w:rFonts w:ascii="Garamond" w:hAnsi="Garamond"/>
          <w:b/>
          <w:bCs/>
          <w:sz w:val="24"/>
          <w:szCs w:val="24"/>
        </w:rPr>
        <w:fldChar w:fldCharType="begin" w:fldLock="1"/>
      </w:r>
      <w:r w:rsidRPr="0087384A">
        <w:rPr>
          <w:rFonts w:ascii="Garamond" w:hAnsi="Garamond"/>
          <w:bCs/>
          <w:sz w:val="24"/>
          <w:szCs w:val="24"/>
        </w:rPr>
        <w:instrText>ADDIN CSL_CITATION {"citationItems":[{"id":"ITEM-1","itemData":{"author":[{"dropping-particle":"","family":"Al-Syahrastani","given":"","non-dropping-particle":"","parse-names":false,"suffix":""}],"id":"ITEM-1","issued":{"date-parts":[["1997"]]},"publisher":"Dar al-Fikr","publisher-place":"Beirut","title":"Al-Milal wa al-Nihal","type":"book"},"uris":["http://www.mendeley.com/documents/?uuid=9347c584-35d0-4557-92ed-6ce6d693a821"]}],"mendeley":{"formattedCitation":"(Al-Syahrastani, 1997)","plainTextFormattedCitation":"(Al-Syahrastani, 1997)","previouslyFormattedCitation":"(Al-Syahrastani, 1997)"},"properties":{"noteIndex":0},"schema":"https://github.com/citation-style-language/schema/raw/master/csl-citation.json"}</w:instrText>
      </w:r>
      <w:r w:rsidRPr="0087384A">
        <w:rPr>
          <w:rStyle w:val="FootnoteReference"/>
          <w:rFonts w:ascii="Garamond" w:hAnsi="Garamond"/>
          <w:b/>
          <w:bCs/>
          <w:sz w:val="24"/>
          <w:szCs w:val="24"/>
        </w:rPr>
        <w:fldChar w:fldCharType="separate"/>
      </w:r>
      <w:r w:rsidRPr="0087384A">
        <w:rPr>
          <w:rFonts w:ascii="Garamond" w:hAnsi="Garamond"/>
          <w:bCs/>
          <w:noProof/>
          <w:sz w:val="24"/>
          <w:szCs w:val="24"/>
        </w:rPr>
        <w:t>(Al-Syahrastani, 1997)</w:t>
      </w:r>
      <w:r w:rsidRPr="0087384A">
        <w:rPr>
          <w:rStyle w:val="FootnoteReference"/>
          <w:rFonts w:ascii="Garamond" w:hAnsi="Garamond"/>
          <w:b/>
          <w:bCs/>
          <w:sz w:val="24"/>
          <w:szCs w:val="24"/>
        </w:rPr>
        <w:fldChar w:fldCharType="end"/>
      </w:r>
      <w:r w:rsidRPr="0087384A">
        <w:rPr>
          <w:rFonts w:ascii="Garamond" w:hAnsi="Garamond" w:cs="Times New Roman"/>
          <w:b/>
          <w:bCs/>
          <w:sz w:val="24"/>
          <w:szCs w:val="24"/>
        </w:rPr>
        <w:t>.</w:t>
      </w:r>
    </w:p>
    <w:p w14:paraId="29DEC02D" w14:textId="77777777" w:rsidR="00AF4385" w:rsidRPr="0087384A" w:rsidRDefault="00AF4385" w:rsidP="00AF4385">
      <w:pPr>
        <w:pStyle w:val="ListParagraph"/>
        <w:spacing w:before="240" w:after="40" w:line="240" w:lineRule="auto"/>
        <w:ind w:left="0" w:firstLine="851"/>
        <w:jc w:val="both"/>
        <w:rPr>
          <w:rFonts w:ascii="Garamond" w:hAnsi="Garamond" w:cs="Times New Roman"/>
          <w:sz w:val="24"/>
          <w:szCs w:val="24"/>
        </w:rPr>
      </w:pPr>
      <w:r w:rsidRPr="0087384A">
        <w:rPr>
          <w:rFonts w:ascii="Garamond" w:hAnsi="Garamond" w:cs="Times New Roman"/>
          <w:sz w:val="24"/>
          <w:szCs w:val="24"/>
        </w:rPr>
        <w:t xml:space="preserve">For </w:t>
      </w:r>
      <w:proofErr w:type="spellStart"/>
      <w:r w:rsidRPr="0087384A">
        <w:rPr>
          <w:rFonts w:ascii="Garamond" w:hAnsi="Garamond" w:cs="Times New Roman"/>
          <w:sz w:val="24"/>
          <w:szCs w:val="24"/>
        </w:rPr>
        <w:t>fiqh</w:t>
      </w:r>
      <w:proofErr w:type="spellEnd"/>
      <w:r w:rsidRPr="0087384A">
        <w:rPr>
          <w:rFonts w:ascii="Garamond" w:hAnsi="Garamond" w:cs="Times New Roman"/>
          <w:sz w:val="24"/>
          <w:szCs w:val="24"/>
        </w:rPr>
        <w:t xml:space="preserve"> materials, Shia-affiliated </w:t>
      </w:r>
      <w:proofErr w:type="spellStart"/>
      <w:r>
        <w:rPr>
          <w:rFonts w:ascii="Garamond" w:hAnsi="Garamond" w:cs="Times New Roman"/>
          <w:sz w:val="24"/>
          <w:szCs w:val="24"/>
        </w:rPr>
        <w:t>pesantrens</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usually use </w:t>
      </w:r>
      <w:proofErr w:type="spellStart"/>
      <w:r w:rsidRPr="0087384A">
        <w:rPr>
          <w:rFonts w:ascii="Garamond" w:hAnsi="Garamond" w:cs="Times New Roman"/>
          <w:sz w:val="24"/>
          <w:szCs w:val="24"/>
        </w:rPr>
        <w:t>fiqh</w:t>
      </w:r>
      <w:proofErr w:type="spellEnd"/>
      <w:r w:rsidRPr="0087384A">
        <w:rPr>
          <w:rFonts w:ascii="Garamond" w:hAnsi="Garamond" w:cs="Times New Roman"/>
          <w:sz w:val="24"/>
          <w:szCs w:val="24"/>
        </w:rPr>
        <w:t xml:space="preserve"> </w:t>
      </w:r>
      <w:proofErr w:type="spellStart"/>
      <w:r w:rsidRPr="0087384A">
        <w:rPr>
          <w:rFonts w:ascii="Garamond" w:hAnsi="Garamond" w:cs="Times New Roman"/>
          <w:sz w:val="24"/>
          <w:szCs w:val="24"/>
        </w:rPr>
        <w:t>madzhab</w:t>
      </w:r>
      <w:proofErr w:type="spellEnd"/>
      <w:r w:rsidRPr="0087384A">
        <w:rPr>
          <w:rFonts w:ascii="Garamond" w:hAnsi="Garamond" w:cs="Times New Roman"/>
          <w:sz w:val="24"/>
          <w:szCs w:val="24"/>
        </w:rPr>
        <w:t xml:space="preserve"> </w:t>
      </w:r>
      <w:proofErr w:type="spellStart"/>
      <w:r w:rsidRPr="0087384A">
        <w:rPr>
          <w:rFonts w:ascii="Garamond" w:hAnsi="Garamond" w:cs="Times New Roman"/>
          <w:sz w:val="24"/>
          <w:szCs w:val="24"/>
        </w:rPr>
        <w:t>Ja'fari</w:t>
      </w:r>
      <w:proofErr w:type="spellEnd"/>
      <w:r w:rsidRPr="0087384A">
        <w:rPr>
          <w:rFonts w:ascii="Garamond" w:hAnsi="Garamond" w:cs="Times New Roman"/>
          <w:sz w:val="24"/>
          <w:szCs w:val="24"/>
        </w:rPr>
        <w:t xml:space="preserve">. Therefore, the books listed in the table are </w:t>
      </w:r>
      <w:proofErr w:type="spellStart"/>
      <w:r w:rsidRPr="0087384A">
        <w:rPr>
          <w:rFonts w:ascii="Garamond" w:hAnsi="Garamond" w:cs="Times New Roman"/>
          <w:sz w:val="24"/>
          <w:szCs w:val="24"/>
        </w:rPr>
        <w:t>fiqh</w:t>
      </w:r>
      <w:proofErr w:type="spellEnd"/>
      <w:r w:rsidRPr="0087384A">
        <w:rPr>
          <w:rFonts w:ascii="Garamond" w:hAnsi="Garamond" w:cs="Times New Roman"/>
          <w:sz w:val="24"/>
          <w:szCs w:val="24"/>
        </w:rPr>
        <w:t xml:space="preserve"> of five madhhabs, namely 3 Sunni madhhabs plus one </w:t>
      </w:r>
      <w:proofErr w:type="spellStart"/>
      <w:r w:rsidRPr="0087384A">
        <w:rPr>
          <w:rFonts w:ascii="Garamond" w:hAnsi="Garamond" w:cs="Times New Roman"/>
          <w:sz w:val="24"/>
          <w:szCs w:val="24"/>
        </w:rPr>
        <w:t>Ja'fari</w:t>
      </w:r>
      <w:proofErr w:type="spellEnd"/>
      <w:r w:rsidRPr="0087384A">
        <w:rPr>
          <w:rFonts w:ascii="Garamond" w:hAnsi="Garamond" w:cs="Times New Roman"/>
          <w:sz w:val="24"/>
          <w:szCs w:val="24"/>
        </w:rPr>
        <w:t xml:space="preserve"> madhhab. </w:t>
      </w:r>
    </w:p>
    <w:p w14:paraId="617F4348" w14:textId="77777777" w:rsidR="00AF4385" w:rsidRPr="00925614" w:rsidRDefault="00AF4385" w:rsidP="00AF4385">
      <w:pPr>
        <w:pStyle w:val="ListParagraph"/>
        <w:spacing w:before="240" w:after="40" w:line="240" w:lineRule="auto"/>
        <w:ind w:left="0" w:firstLine="851"/>
        <w:jc w:val="both"/>
        <w:rPr>
          <w:rFonts w:ascii="Garamond" w:hAnsi="Garamond" w:cs="Times New Roman"/>
          <w:sz w:val="24"/>
          <w:szCs w:val="24"/>
        </w:rPr>
      </w:pPr>
      <w:r w:rsidRPr="0087384A">
        <w:rPr>
          <w:rFonts w:ascii="Garamond" w:hAnsi="Garamond" w:cs="Times New Roman"/>
          <w:sz w:val="24"/>
          <w:szCs w:val="24"/>
        </w:rPr>
        <w:t xml:space="preserve">What is interesting from the explanation of the table above is the existence of Islamic philosophy material in the curriculum of Shia-affiliated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The students of the Shia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were indeed given philosophy material with the logic of </w:t>
      </w:r>
      <w:proofErr w:type="spellStart"/>
      <w:r w:rsidRPr="0087384A">
        <w:rPr>
          <w:rFonts w:ascii="Garamond" w:hAnsi="Garamond" w:cs="Times New Roman"/>
          <w:sz w:val="24"/>
          <w:szCs w:val="24"/>
        </w:rPr>
        <w:t>mantiq</w:t>
      </w:r>
      <w:proofErr w:type="spellEnd"/>
      <w:r w:rsidRPr="0087384A">
        <w:rPr>
          <w:rFonts w:ascii="Garamond" w:hAnsi="Garamond" w:cs="Times New Roman"/>
          <w:sz w:val="24"/>
          <w:szCs w:val="24"/>
        </w:rPr>
        <w:t xml:space="preserve"> as an introduction. The Islamic philosophy taught is usually the transcendent philosophy </w:t>
      </w:r>
      <w:r w:rsidRPr="0087384A">
        <w:rPr>
          <w:rFonts w:ascii="Garamond" w:hAnsi="Garamond" w:cs="Times New Roman"/>
          <w:i/>
          <w:iCs/>
          <w:sz w:val="24"/>
          <w:szCs w:val="24"/>
        </w:rPr>
        <w:t>(hikmah al-</w:t>
      </w:r>
      <w:proofErr w:type="spellStart"/>
      <w:r w:rsidRPr="0087384A">
        <w:rPr>
          <w:rFonts w:ascii="Garamond" w:hAnsi="Garamond" w:cs="Times New Roman"/>
          <w:i/>
          <w:iCs/>
          <w:sz w:val="24"/>
          <w:szCs w:val="24"/>
        </w:rPr>
        <w:t>mutaaliyah</w:t>
      </w:r>
      <w:proofErr w:type="spellEnd"/>
      <w:r w:rsidRPr="0087384A">
        <w:rPr>
          <w:rFonts w:ascii="Garamond" w:hAnsi="Garamond" w:cs="Times New Roman"/>
          <w:i/>
          <w:iCs/>
          <w:sz w:val="24"/>
          <w:szCs w:val="24"/>
        </w:rPr>
        <w:t>)</w:t>
      </w:r>
      <w:r w:rsidRPr="0087384A">
        <w:rPr>
          <w:rFonts w:ascii="Garamond" w:hAnsi="Garamond" w:cs="Times New Roman"/>
          <w:sz w:val="24"/>
          <w:szCs w:val="24"/>
        </w:rPr>
        <w:t xml:space="preserve"> founded by Mulla Sadra. This philosophy not only uses the power of reason and intuition, but also bases itself on sacred texts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{"citationItems":[{"id":"ITEM-1","itemData":{"DOI":"10.21111/tsaqafah.v10i1.64","ISSN":"1411-0334","abstract":"Although acknowledged that Greek philosophy gave great influence on the development of Islamic philosophy, but philosophy of Islam are not based on it, because; (1) to learn does not necessarily reflect a repetition, (2) every thought is not separated from their cultural context, (3) the real fact shows that Islamic rational thinking has established before the arrival of Greek philosophy. If so, where Islamic philosophical thought come from? The answer is from the Islamic tradition itself, from scientists who attempt to explain the teachings of the Muslim holy book. There are three measures relevant to philosophical reasoning: ta'wil method, explanation of musytarak meaning, and qiyâs. In addition, the demands on theological issues, to harmonize the views that seem contradictory and complex, for further systematized it in an integral metaphysical idea. From there developed methods and philosophical thought in Islam, long before the arrival of Greek philosophy through the process of translation. First of all it was accepted because it is needed to answer new problems which require rational thinking, then it was declined at the time of Ibn Hanbal because there are certain cases which considered deviant, it was developed again in the time of al-Farabi and Ibn Sina, then rejected and considered to cause disbelief in the al-Ghazali era, and it was developed again at the Ibn Rushd, then change lanes to work together with Sufism in the time of Suhrawardi and Ibn Arabi. Finally, tradition of philosophical thought in the Sunni world does not grow up but remains develop well within the Shiite community.","author":[{"dropping-particle":"","family":"Soleh","given":"A. Khudori","non-dropping-particle":"","parse-names":false,"suffix":""}],"container-title":"Tsaqafah","id":"ITEM-1","issue":"1","issued":{"date-parts":[["2014"]]},"page":"63","title":"Mencermati Sejarah Perkembangan Filsafat Islam","type":"article-journal","volume":"10"},"uris":["http://www.mendeley.com/documents/?uuid=83a7408d-bdc0-4c55-86ab-69da1d482e13"]}],"mendeley":{"formattedCitation":"(Soleh, 2014)","plainTextFormattedCitation":"(Soleh, 2014)","previouslyFormattedCitation":"(Soleh, 2014)"},"properties":{"noteIndex":0},"schema":"https://github.com/citation-style-language/schema/raw/master/csl-citation.json"}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bCs/>
          <w:noProof/>
          <w:sz w:val="24"/>
          <w:szCs w:val="24"/>
          <w:lang w:val="en-US"/>
        </w:rPr>
        <w:t>(Soleh, 2014)</w:t>
      </w:r>
      <w:r w:rsidRPr="0087384A">
        <w:rPr>
          <w:rStyle w:val="FootnoteReference"/>
          <w:rFonts w:ascii="Garamond" w:hAnsi="Garamond"/>
          <w:sz w:val="24"/>
          <w:szCs w:val="24"/>
        </w:rPr>
        <w:fldChar w:fldCharType="end"/>
      </w:r>
      <w:r w:rsidRPr="0087384A">
        <w:rPr>
          <w:rFonts w:ascii="Garamond" w:hAnsi="Garamond" w:cs="Times New Roman"/>
          <w:sz w:val="24"/>
          <w:szCs w:val="24"/>
        </w:rPr>
        <w:t xml:space="preserve">. Mullah Sadra's thought has been passed down from generation to generation until it became an official thought in the modern world and became the inspiration of Ayatollah Ali </w:t>
      </w:r>
      <w:proofErr w:type="spellStart"/>
      <w:r w:rsidRPr="0087384A">
        <w:rPr>
          <w:rFonts w:ascii="Garamond" w:hAnsi="Garamond" w:cs="Times New Roman"/>
          <w:sz w:val="24"/>
          <w:szCs w:val="24"/>
        </w:rPr>
        <w:t>Khomaeni</w:t>
      </w:r>
      <w:proofErr w:type="spellEnd"/>
      <w:r w:rsidRPr="0087384A">
        <w:rPr>
          <w:rFonts w:ascii="Garamond" w:hAnsi="Garamond" w:cs="Times New Roman"/>
          <w:sz w:val="24"/>
          <w:szCs w:val="24"/>
        </w:rPr>
        <w:t xml:space="preserve"> in establishing the Islamic Republic of Iran and the concept</w:t>
      </w:r>
      <w:r w:rsidRPr="0087384A">
        <w:rPr>
          <w:rFonts w:ascii="Garamond" w:hAnsi="Garamond" w:cs="Times New Roman"/>
          <w:i/>
          <w:iCs/>
          <w:sz w:val="24"/>
          <w:szCs w:val="24"/>
        </w:rPr>
        <w:t xml:space="preserve"> of wilayat al-faqih.</w:t>
      </w:r>
      <w:r w:rsidRPr="0087384A">
        <w:rPr>
          <w:rFonts w:ascii="Garamond" w:hAnsi="Garamond" w:cs="Times New Roman"/>
          <w:sz w:val="24"/>
          <w:szCs w:val="24"/>
        </w:rPr>
        <w:t xml:space="preserve"> From Imam </w:t>
      </w:r>
      <w:proofErr w:type="spellStart"/>
      <w:r w:rsidRPr="0087384A">
        <w:rPr>
          <w:rFonts w:ascii="Garamond" w:hAnsi="Garamond" w:cs="Times New Roman"/>
          <w:sz w:val="24"/>
          <w:szCs w:val="24"/>
        </w:rPr>
        <w:t>Khomaeni</w:t>
      </w:r>
      <w:proofErr w:type="spellEnd"/>
      <w:r w:rsidRPr="0087384A">
        <w:rPr>
          <w:rFonts w:ascii="Garamond" w:hAnsi="Garamond" w:cs="Times New Roman"/>
          <w:sz w:val="24"/>
          <w:szCs w:val="24"/>
        </w:rPr>
        <w:t xml:space="preserve"> emerged contemporary Muslim philosophers such as Murtadha </w:t>
      </w:r>
      <w:proofErr w:type="spellStart"/>
      <w:r w:rsidRPr="0087384A">
        <w:rPr>
          <w:rFonts w:ascii="Garamond" w:hAnsi="Garamond" w:cs="Times New Roman"/>
          <w:sz w:val="24"/>
          <w:szCs w:val="24"/>
        </w:rPr>
        <w:t>Muthahhari</w:t>
      </w:r>
      <w:proofErr w:type="spellEnd"/>
      <w:r w:rsidRPr="0087384A">
        <w:rPr>
          <w:rFonts w:ascii="Garamond" w:hAnsi="Garamond" w:cs="Times New Roman"/>
          <w:sz w:val="24"/>
          <w:szCs w:val="24"/>
        </w:rPr>
        <w:t xml:space="preserve">, Mehdi </w:t>
      </w:r>
      <w:proofErr w:type="spellStart"/>
      <w:r w:rsidRPr="0087384A">
        <w:rPr>
          <w:rFonts w:ascii="Garamond" w:hAnsi="Garamond" w:cs="Times New Roman"/>
          <w:sz w:val="24"/>
          <w:szCs w:val="24"/>
        </w:rPr>
        <w:t>Hairi</w:t>
      </w:r>
      <w:proofErr w:type="spellEnd"/>
      <w:r w:rsidRPr="0087384A">
        <w:rPr>
          <w:rFonts w:ascii="Garamond" w:hAnsi="Garamond" w:cs="Times New Roman"/>
          <w:sz w:val="24"/>
          <w:szCs w:val="24"/>
        </w:rPr>
        <w:t xml:space="preserve"> Yazdi, Husein </w:t>
      </w:r>
      <w:proofErr w:type="spellStart"/>
      <w:r w:rsidRPr="0087384A">
        <w:rPr>
          <w:rFonts w:ascii="Garamond" w:hAnsi="Garamond" w:cs="Times New Roman"/>
          <w:sz w:val="24"/>
          <w:szCs w:val="24"/>
        </w:rPr>
        <w:t>Thabathabai</w:t>
      </w:r>
      <w:proofErr w:type="spellEnd"/>
      <w:r w:rsidRPr="0087384A">
        <w:rPr>
          <w:rFonts w:ascii="Garamond" w:hAnsi="Garamond" w:cs="Times New Roman"/>
          <w:sz w:val="24"/>
          <w:szCs w:val="24"/>
        </w:rPr>
        <w:t xml:space="preserve">, and M. </w:t>
      </w:r>
      <w:proofErr w:type="spellStart"/>
      <w:r w:rsidRPr="0087384A">
        <w:rPr>
          <w:rFonts w:ascii="Garamond" w:hAnsi="Garamond" w:cs="Times New Roman"/>
          <w:sz w:val="24"/>
          <w:szCs w:val="24"/>
        </w:rPr>
        <w:t>Baqr</w:t>
      </w:r>
      <w:proofErr w:type="spellEnd"/>
      <w:r w:rsidRPr="0087384A">
        <w:rPr>
          <w:rFonts w:ascii="Garamond" w:hAnsi="Garamond" w:cs="Times New Roman"/>
          <w:sz w:val="24"/>
          <w:szCs w:val="24"/>
        </w:rPr>
        <w:t xml:space="preserve"> Sadr. The thoughts of these philosophers are preserved in Shia </w:t>
      </w:r>
      <w:proofErr w:type="spellStart"/>
      <w:r>
        <w:rPr>
          <w:rFonts w:ascii="Garamond" w:hAnsi="Garamond" w:cs="Times New Roman"/>
          <w:sz w:val="24"/>
          <w:szCs w:val="24"/>
        </w:rPr>
        <w:t>pesantrens</w:t>
      </w:r>
      <w:proofErr w:type="spellEnd"/>
      <w:r>
        <w:rPr>
          <w:rFonts w:ascii="Garamond" w:hAnsi="Garamond" w:cs="Times New Roman"/>
          <w:sz w:val="24"/>
          <w:szCs w:val="24"/>
        </w:rPr>
        <w:t xml:space="preserve"> </w:t>
      </w:r>
      <w:r w:rsidRPr="0087384A">
        <w:rPr>
          <w:rFonts w:ascii="Garamond" w:hAnsi="Garamond" w:cs="Times New Roman"/>
          <w:sz w:val="24"/>
          <w:szCs w:val="24"/>
        </w:rPr>
        <w:t xml:space="preserve">to this day. </w:t>
      </w:r>
    </w:p>
    <w:p w14:paraId="6A44FF30" w14:textId="77777777" w:rsidR="00AF4385" w:rsidRPr="00925614" w:rsidRDefault="00AF4385" w:rsidP="00AF4385">
      <w:pPr>
        <w:spacing w:before="240" w:after="40" w:line="240" w:lineRule="auto"/>
        <w:jc w:val="both"/>
        <w:rPr>
          <w:rFonts w:ascii="Garamond" w:hAnsi="Garamond" w:cs="Times New Roman"/>
          <w:b/>
          <w:bCs/>
          <w:sz w:val="24"/>
          <w:szCs w:val="24"/>
        </w:rPr>
      </w:pPr>
      <w:r w:rsidRPr="00925614">
        <w:rPr>
          <w:rFonts w:ascii="Garamond" w:hAnsi="Garamond" w:cs="Times New Roman"/>
          <w:b/>
          <w:bCs/>
          <w:sz w:val="24"/>
          <w:szCs w:val="24"/>
        </w:rPr>
        <w:t>LDII Affiliate</w:t>
      </w:r>
      <w:r>
        <w:rPr>
          <w:rFonts w:ascii="Garamond" w:hAnsi="Garamond" w:cs="Times New Roman"/>
          <w:b/>
          <w:bCs/>
          <w:sz w:val="24"/>
          <w:szCs w:val="24"/>
        </w:rPr>
        <w:t>s</w:t>
      </w:r>
    </w:p>
    <w:p w14:paraId="73FED310" w14:textId="77777777" w:rsidR="00AF4385" w:rsidRPr="0087384A" w:rsidRDefault="00AF4385" w:rsidP="00AF4385">
      <w:pPr>
        <w:pStyle w:val="ListParagraph"/>
        <w:spacing w:before="240" w:after="40" w:line="240" w:lineRule="auto"/>
        <w:ind w:left="0" w:firstLine="851"/>
        <w:jc w:val="both"/>
        <w:rPr>
          <w:rFonts w:ascii="Garamond" w:hAnsi="Garamond" w:cs="Times New Roman"/>
          <w:sz w:val="24"/>
          <w:szCs w:val="24"/>
        </w:rPr>
      </w:pPr>
      <w:r w:rsidRPr="0087384A">
        <w:rPr>
          <w:rFonts w:ascii="Garamond" w:hAnsi="Garamond" w:cs="Times New Roman"/>
          <w:sz w:val="24"/>
          <w:szCs w:val="24"/>
        </w:rPr>
        <w:t xml:space="preserve">There is not much information related to the curriculum of LDII-affiliated </w:t>
      </w:r>
      <w:proofErr w:type="spellStart"/>
      <w:r>
        <w:rPr>
          <w:rFonts w:ascii="Garamond" w:hAnsi="Garamond" w:cs="Times New Roman"/>
          <w:sz w:val="24"/>
          <w:szCs w:val="24"/>
        </w:rPr>
        <w:t>pesantrens</w:t>
      </w:r>
      <w:proofErr w:type="spellEnd"/>
      <w:r w:rsidRPr="0087384A">
        <w:rPr>
          <w:rFonts w:ascii="Garamond" w:hAnsi="Garamond" w:cs="Times New Roman"/>
          <w:sz w:val="24"/>
          <w:szCs w:val="24"/>
        </w:rPr>
        <w:t xml:space="preserve"> LDII, which has the doctrine of tri-success, believes that every individual must have the character of pious </w:t>
      </w:r>
      <w:proofErr w:type="spellStart"/>
      <w:r w:rsidRPr="0087384A">
        <w:rPr>
          <w:rFonts w:ascii="Garamond" w:hAnsi="Garamond" w:cs="Times New Roman"/>
          <w:sz w:val="24"/>
          <w:szCs w:val="24"/>
        </w:rPr>
        <w:t>fakih</w:t>
      </w:r>
      <w:proofErr w:type="spellEnd"/>
      <w:r w:rsidRPr="0087384A">
        <w:rPr>
          <w:rFonts w:ascii="Garamond" w:hAnsi="Garamond" w:cs="Times New Roman"/>
          <w:sz w:val="24"/>
          <w:szCs w:val="24"/>
        </w:rPr>
        <w:t xml:space="preserve">, moral </w:t>
      </w:r>
      <w:proofErr w:type="spellStart"/>
      <w:r w:rsidRPr="0087384A">
        <w:rPr>
          <w:rFonts w:ascii="Garamond" w:hAnsi="Garamond" w:cs="Times New Roman"/>
          <w:sz w:val="24"/>
          <w:szCs w:val="24"/>
        </w:rPr>
        <w:t>karimah</w:t>
      </w:r>
      <w:proofErr w:type="spellEnd"/>
      <w:r w:rsidRPr="0087384A">
        <w:rPr>
          <w:rFonts w:ascii="Garamond" w:hAnsi="Garamond" w:cs="Times New Roman"/>
          <w:sz w:val="24"/>
          <w:szCs w:val="24"/>
        </w:rPr>
        <w:t xml:space="preserve">, and be self-reliant/not become a parasite. These three characters are the main goals of LDII-affiliated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education. In order to meet the standards of piety and faqi</w:t>
      </w:r>
      <w:r>
        <w:rPr>
          <w:rFonts w:ascii="Garamond" w:hAnsi="Garamond" w:cs="Times New Roman"/>
          <w:sz w:val="24"/>
          <w:szCs w:val="24"/>
        </w:rPr>
        <w:t>h</w:t>
      </w:r>
      <w:r w:rsidRPr="0087384A">
        <w:rPr>
          <w:rFonts w:ascii="Garamond" w:hAnsi="Garamond" w:cs="Times New Roman"/>
          <w:sz w:val="24"/>
          <w:szCs w:val="24"/>
        </w:rPr>
        <w:t xml:space="preserve">,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regulates various levels of structured education.  The learning activities of the curriculum are divided into six classes, namely: (1) Reading Class, (2) </w:t>
      </w:r>
      <w:proofErr w:type="spellStart"/>
      <w:r w:rsidRPr="0087384A">
        <w:rPr>
          <w:rFonts w:ascii="Garamond" w:hAnsi="Garamond" w:cs="Times New Roman"/>
          <w:sz w:val="24"/>
          <w:szCs w:val="24"/>
        </w:rPr>
        <w:t>Pegon</w:t>
      </w:r>
      <w:proofErr w:type="spellEnd"/>
      <w:r w:rsidRPr="0087384A">
        <w:rPr>
          <w:rFonts w:ascii="Garamond" w:hAnsi="Garamond" w:cs="Times New Roman"/>
          <w:sz w:val="24"/>
          <w:szCs w:val="24"/>
        </w:rPr>
        <w:t xml:space="preserve"> Class, (3) Slow Class, (4) Speed Class, (5) Pre-Screening Class, and (6) Screening Class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{"citationItems":[{"id":"ITEM-1","itemData":{"DOI":"10.69896/modeling.v11i2.2493","ISSN":"2442-3661","abstract":"The Nurul Hakim Kaliawen Islamic Boarding School focuses on training LDII preachers to become professional and religious preachers. This study explores these training strategies, emphasizing how the institution equips students with religious knowledge, noble character, and independence. Using a qualitative approach and descriptive analysis, data was collected through interviews, observations, and document studies, and analyzed using the Miles and Huberman method. The results show that Nurul Hakim Kaliawen implements the manqul-musnad-muttasil method in teaching the Qur'an and Hadith, instills the application of 29 noble characters, and promotes the development of independence. Regular evaluations are conducted to assess students' progress. In conclusion, the implemented training strategies have proven effective in shaping quality preachers and contributing to the development of students' competencies, while also providing additional insights into the effectiveness of training strategies in the context of LDII preaching.\r Abstrak\r Pondok Pesantren Nurul Hakim Kaliawen memfokuskan diri pada kaderisasi mubaligh LDII untuk membentuk mubaligh yang profesional dan religius. Penelitian ini mengeksplorasi strategi kaderisasi tersebut dengan menekankan cara lembaga ini membekali santri dengan pengetahuan agama, akhlakul karimah, dan kemandirian. Menggunakan pendekatan kualitatif dan analisis deskriptif, data dikumpulkan melalui wawancara, observasi, dan studi dokumentasi, serta dianalisis dengan metode Miles dan Huberman. Hasil penelitian menunjukkan bahwa Ponpes Nurul Hakim Kaliawen menerapkan metode manqul-musnad-muttasil dalam pembelajaran Al-Qur'an dan Hadits, serta membiasakan penerapan 29 karakter luhur dan pengembangan kemandirian. Evaluasi berkala dilakukan untuk menilai kemajuan santri. Kesimpulannya, strategi kaderisasi yang diterapkan terbukti efektif dalam membentuk mubaligh berkualitas dan berkontribusi pada pengembangan kompetensi santri, serta memberikan wawasan tambahan tentang efektivitas strategi kaderisasi dalam konteks dakwah LDII.","author":[{"dropping-particle":"","family":"Aly","given":"Imam","non-dropping-particle":"","parse-names":false,"suffix":""},{"dropping-particle":"","family":"Romadlon","given":"Dzulfikar Akbar","non-dropping-particle":"","parse-names":false,"suffix":""}],"container-title":"MODELING: Jurnal Program Studi PGMI","id":"ITEM-1","issue":"2","issued":{"date-parts":[["2024"]]},"page":"394-412","title":"The Strategy for Mubaligh Cadre Development by LDII at Nurul Hakim Kaliawen Islamic Boarding School in Kediri [Strategi Kaderisasi Mubaligh LDII di Pondok Pesantren Nurul Hakim Kaliawen Kediri]","type":"article-journal","volume":"11"},"uris":["http://www.mendeley.com/documents/?uuid=701da914-df80-4a4e-9678-d07759f52522"]}],"mendeley":{"formattedCitation":"(Aly &amp; Romadlon, 2024)","plainTextFormattedCitation":"(Aly &amp; Romadlon, 2024)","previouslyFormattedCitation":"(Aly &amp; Romadlon, 2024)"},"properties":{"noteIndex":0},"schema":"https://github.com/citation-style-language/schema/raw/master/csl-citation.json"}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bCs/>
          <w:noProof/>
          <w:sz w:val="24"/>
          <w:szCs w:val="24"/>
          <w:lang w:val="en-US"/>
        </w:rPr>
        <w:t>(Aly &amp; Romadlon, 2024)</w:t>
      </w:r>
      <w:r w:rsidRPr="0087384A">
        <w:rPr>
          <w:rStyle w:val="FootnoteReference"/>
          <w:rFonts w:ascii="Garamond" w:hAnsi="Garamond"/>
          <w:sz w:val="24"/>
          <w:szCs w:val="24"/>
        </w:rPr>
        <w:fldChar w:fldCharType="end"/>
      </w:r>
      <w:r w:rsidRPr="0087384A">
        <w:rPr>
          <w:rFonts w:ascii="Garamond" w:hAnsi="Garamond" w:cs="Times New Roman"/>
          <w:sz w:val="24"/>
          <w:szCs w:val="24"/>
        </w:rPr>
        <w:t>. Each class is designed to develop the necessary competencies so that students can meet the set criteria.</w:t>
      </w:r>
    </w:p>
    <w:p w14:paraId="11F40BF8" w14:textId="77777777" w:rsidR="00AF4385" w:rsidRPr="0087384A" w:rsidRDefault="00AF4385" w:rsidP="00AF4385">
      <w:pPr>
        <w:pStyle w:val="ListParagraph"/>
        <w:spacing w:before="240" w:after="40" w:line="240" w:lineRule="auto"/>
        <w:ind w:left="0" w:firstLine="851"/>
        <w:jc w:val="both"/>
        <w:rPr>
          <w:rFonts w:ascii="Garamond" w:hAnsi="Garamond" w:cs="Times New Roman"/>
          <w:sz w:val="24"/>
          <w:szCs w:val="24"/>
        </w:rPr>
      </w:pPr>
      <w:r w:rsidRPr="0087384A">
        <w:rPr>
          <w:rFonts w:ascii="Garamond" w:hAnsi="Garamond" w:cs="Times New Roman"/>
          <w:sz w:val="24"/>
          <w:szCs w:val="24"/>
        </w:rPr>
        <w:lastRenderedPageBreak/>
        <w:t xml:space="preserve">In his learning, the main book that is officially used is </w:t>
      </w:r>
      <w:proofErr w:type="spellStart"/>
      <w:r w:rsidRPr="0087384A">
        <w:rPr>
          <w:rFonts w:ascii="Garamond" w:hAnsi="Garamond" w:cs="Times New Roman"/>
          <w:i/>
          <w:iCs/>
          <w:sz w:val="24"/>
          <w:szCs w:val="24"/>
        </w:rPr>
        <w:t>Kutub</w:t>
      </w:r>
      <w:proofErr w:type="spellEnd"/>
      <w:r w:rsidRPr="0087384A">
        <w:rPr>
          <w:rFonts w:ascii="Garamond" w:hAnsi="Garamond" w:cs="Times New Roman"/>
          <w:i/>
          <w:iCs/>
          <w:sz w:val="24"/>
          <w:szCs w:val="24"/>
        </w:rPr>
        <w:t xml:space="preserve"> al-</w:t>
      </w:r>
      <w:proofErr w:type="spellStart"/>
      <w:proofErr w:type="gramStart"/>
      <w:r w:rsidRPr="0087384A">
        <w:rPr>
          <w:rFonts w:ascii="Garamond" w:hAnsi="Garamond" w:cs="Times New Roman"/>
          <w:i/>
          <w:iCs/>
          <w:sz w:val="24"/>
          <w:szCs w:val="24"/>
        </w:rPr>
        <w:t>Sittah</w:t>
      </w:r>
      <w:proofErr w:type="spellEnd"/>
      <w:r w:rsidRPr="0087384A">
        <w:rPr>
          <w:rFonts w:ascii="Garamond" w:hAnsi="Garamond" w:cs="Times New Roman"/>
          <w:i/>
          <w:iCs/>
          <w:sz w:val="24"/>
          <w:szCs w:val="24"/>
        </w:rPr>
        <w:t xml:space="preserve"> </w:t>
      </w:r>
      <w:r w:rsidRPr="0087384A">
        <w:rPr>
          <w:rFonts w:ascii="Garamond" w:hAnsi="Garamond" w:cs="Times New Roman"/>
          <w:sz w:val="24"/>
          <w:szCs w:val="24"/>
        </w:rPr>
        <w:t>,</w:t>
      </w:r>
      <w:proofErr w:type="gramEnd"/>
      <w:r w:rsidRPr="0087384A">
        <w:rPr>
          <w:rFonts w:ascii="Garamond" w:hAnsi="Garamond" w:cs="Times New Roman"/>
          <w:sz w:val="24"/>
          <w:szCs w:val="24"/>
        </w:rPr>
        <w:t xml:space="preserve"> therefore, LDII in ancient times was called Darul Hadis. In addition to </w:t>
      </w:r>
      <w:proofErr w:type="spellStart"/>
      <w:r w:rsidRPr="0087384A">
        <w:rPr>
          <w:rFonts w:ascii="Garamond" w:hAnsi="Garamond" w:cs="Times New Roman"/>
          <w:i/>
          <w:iCs/>
          <w:sz w:val="24"/>
          <w:szCs w:val="24"/>
        </w:rPr>
        <w:t>Kutub</w:t>
      </w:r>
      <w:proofErr w:type="spellEnd"/>
      <w:r w:rsidRPr="0087384A">
        <w:rPr>
          <w:rFonts w:ascii="Garamond" w:hAnsi="Garamond" w:cs="Times New Roman"/>
          <w:i/>
          <w:iCs/>
          <w:sz w:val="24"/>
          <w:szCs w:val="24"/>
        </w:rPr>
        <w:t xml:space="preserve"> al-</w:t>
      </w:r>
      <w:proofErr w:type="spellStart"/>
      <w:r w:rsidRPr="0087384A">
        <w:rPr>
          <w:rFonts w:ascii="Garamond" w:hAnsi="Garamond" w:cs="Times New Roman"/>
          <w:i/>
          <w:iCs/>
          <w:sz w:val="24"/>
          <w:szCs w:val="24"/>
        </w:rPr>
        <w:t>Sittah</w:t>
      </w:r>
      <w:proofErr w:type="spellEnd"/>
      <w:r w:rsidRPr="0087384A">
        <w:rPr>
          <w:rFonts w:ascii="Garamond" w:hAnsi="Garamond" w:cs="Times New Roman"/>
          <w:sz w:val="24"/>
          <w:szCs w:val="24"/>
        </w:rPr>
        <w:t xml:space="preserve">, the LDII </w:t>
      </w:r>
      <w:proofErr w:type="spellStart"/>
      <w:r>
        <w:rPr>
          <w:rFonts w:ascii="Garamond" w:hAnsi="Garamond" w:cs="Times New Roman"/>
          <w:sz w:val="24"/>
          <w:szCs w:val="24"/>
        </w:rPr>
        <w:t>pesantren</w:t>
      </w:r>
      <w:proofErr w:type="spellEnd"/>
      <w:r w:rsidRPr="0087384A">
        <w:rPr>
          <w:rFonts w:ascii="Garamond" w:hAnsi="Garamond" w:cs="Times New Roman"/>
          <w:sz w:val="24"/>
          <w:szCs w:val="24"/>
        </w:rPr>
        <w:t xml:space="preserve"> also uses a concise hadith collection consisting of 12 chapters. </w:t>
      </w:r>
    </w:p>
    <w:p w14:paraId="5A7BE602" w14:textId="77777777" w:rsidR="00AF4385" w:rsidRPr="00925614" w:rsidRDefault="00AF4385" w:rsidP="00AF4385">
      <w:pPr>
        <w:pStyle w:val="ListParagraph"/>
        <w:spacing w:before="240" w:after="40" w:line="240" w:lineRule="auto"/>
        <w:ind w:left="0" w:firstLine="851"/>
        <w:jc w:val="both"/>
        <w:rPr>
          <w:rFonts w:ascii="Garamond" w:hAnsi="Garamond" w:cs="Times New Roman"/>
          <w:sz w:val="24"/>
          <w:szCs w:val="24"/>
        </w:rPr>
      </w:pPr>
      <w:r w:rsidRPr="0087384A">
        <w:rPr>
          <w:rFonts w:ascii="Garamond" w:hAnsi="Garamond" w:cs="Times New Roman"/>
          <w:sz w:val="24"/>
          <w:szCs w:val="24"/>
        </w:rPr>
        <w:t xml:space="preserve">As for its implementation, students must first take part in the preparation stage which contains the teachings of morals and reading the basic Quran, as well as the knowledge of </w:t>
      </w:r>
      <w:r w:rsidRPr="00B80E18">
        <w:rPr>
          <w:rFonts w:ascii="Garamond" w:hAnsi="Garamond" w:cs="Times New Roman"/>
          <w:i/>
          <w:iCs/>
          <w:sz w:val="24"/>
          <w:szCs w:val="24"/>
        </w:rPr>
        <w:t>tajw</w:t>
      </w:r>
      <w:r>
        <w:rPr>
          <w:rFonts w:ascii="Garamond" w:hAnsi="Garamond" w:cs="Times New Roman"/>
          <w:i/>
          <w:iCs/>
          <w:sz w:val="24"/>
          <w:szCs w:val="24"/>
        </w:rPr>
        <w:t>i</w:t>
      </w:r>
      <w:r w:rsidRPr="00B80E18">
        <w:rPr>
          <w:rFonts w:ascii="Garamond" w:hAnsi="Garamond" w:cs="Times New Roman"/>
          <w:i/>
          <w:iCs/>
          <w:sz w:val="24"/>
          <w:szCs w:val="24"/>
        </w:rPr>
        <w:t>d</w:t>
      </w:r>
      <w:r w:rsidRPr="0087384A">
        <w:rPr>
          <w:rFonts w:ascii="Garamond" w:hAnsi="Garamond" w:cs="Times New Roman"/>
          <w:sz w:val="24"/>
          <w:szCs w:val="24"/>
        </w:rPr>
        <w:t xml:space="preserve">. At this stage, students are also taught </w:t>
      </w:r>
      <w:proofErr w:type="spellStart"/>
      <w:r w:rsidRPr="00B80E18">
        <w:rPr>
          <w:rFonts w:ascii="Garamond" w:hAnsi="Garamond" w:cs="Times New Roman"/>
          <w:i/>
          <w:iCs/>
          <w:sz w:val="24"/>
          <w:szCs w:val="24"/>
        </w:rPr>
        <w:t>thaharah</w:t>
      </w:r>
      <w:proofErr w:type="spellEnd"/>
      <w:r w:rsidRPr="00B80E18">
        <w:rPr>
          <w:rFonts w:ascii="Garamond" w:hAnsi="Garamond" w:cs="Times New Roman"/>
          <w:i/>
          <w:iCs/>
          <w:sz w:val="24"/>
          <w:szCs w:val="24"/>
        </w:rPr>
        <w:t xml:space="preserve"> </w:t>
      </w:r>
      <w:r w:rsidRPr="0087384A">
        <w:rPr>
          <w:rFonts w:ascii="Garamond" w:hAnsi="Garamond" w:cs="Times New Roman"/>
          <w:sz w:val="24"/>
          <w:szCs w:val="24"/>
        </w:rPr>
        <w:t xml:space="preserve">and several ways to worship. The next stage is a follow-up debriefing from the previous stage which contains advanced </w:t>
      </w:r>
      <w:proofErr w:type="spellStart"/>
      <w:r w:rsidRPr="0087384A">
        <w:rPr>
          <w:rFonts w:ascii="Garamond" w:hAnsi="Garamond" w:cs="Times New Roman"/>
          <w:sz w:val="24"/>
          <w:szCs w:val="24"/>
        </w:rPr>
        <w:t>fiqh</w:t>
      </w:r>
      <w:proofErr w:type="spellEnd"/>
      <w:r w:rsidRPr="0087384A">
        <w:rPr>
          <w:rFonts w:ascii="Garamond" w:hAnsi="Garamond" w:cs="Times New Roman"/>
          <w:sz w:val="24"/>
          <w:szCs w:val="24"/>
        </w:rPr>
        <w:t xml:space="preserve"> and advanced reading of the Quran. The next stage is the implementation stage where students will be assigned to several regions to practice the material that has been obtained. The last stage is the stage of scientific improvement where this stage is filled by </w:t>
      </w:r>
      <w:proofErr w:type="spellStart"/>
      <w:r w:rsidRPr="0087384A">
        <w:rPr>
          <w:rFonts w:ascii="Garamond" w:hAnsi="Garamond" w:cs="Times New Roman"/>
          <w:sz w:val="24"/>
          <w:szCs w:val="24"/>
        </w:rPr>
        <w:t>ustaz</w:t>
      </w:r>
      <w:proofErr w:type="spellEnd"/>
      <w:r w:rsidRPr="0087384A">
        <w:rPr>
          <w:rFonts w:ascii="Garamond" w:hAnsi="Garamond" w:cs="Times New Roman"/>
          <w:sz w:val="24"/>
          <w:szCs w:val="24"/>
        </w:rPr>
        <w:t xml:space="preserve">, missionaries, and other teachers </w:t>
      </w:r>
      <w:r w:rsidRPr="0087384A">
        <w:rPr>
          <w:rStyle w:val="FootnoteReference"/>
          <w:rFonts w:ascii="Garamond" w:hAnsi="Garamond"/>
          <w:sz w:val="24"/>
          <w:szCs w:val="24"/>
        </w:rPr>
        <w:fldChar w:fldCharType="begin" w:fldLock="1"/>
      </w:r>
      <w:r w:rsidRPr="0087384A">
        <w:rPr>
          <w:rFonts w:ascii="Garamond" w:hAnsi="Garamond"/>
          <w:sz w:val="24"/>
          <w:szCs w:val="24"/>
        </w:rPr>
        <w:instrText>ADDIN CSL_CITATION {"citationItems":[{"id":"ITEM-1","itemData":{"author":[{"dropping-particle":"","family":"Asrori","given":"","non-dropping-particle":"","parse-names":false,"suffix":""},{"dropping-particle":"","family":"Tobroni","given":"","non-dropping-particle":"","parse-names":false,"suffix":""},{"dropping-particle":"","family":"Yazid","given":"Syamsurizal","non-dropping-particle":"","parse-names":false,"suffix":""},{"dropping-particle":"","family":"Hadi","given":"Abd.","non-dropping-particle":"","parse-names":false,"suffix":""}],"id":"ITEM-1","issued":{"date-parts":[["2024"]]},"publisher":"Bildung","publisher-place":"Yogyakarta","title":"Kurikulum Pesantren LDII dalam Membentuk Karakter Muslim Sejati di Pondok Pesantren Wali Barokah Kediri","type":"book"},"uris":["http://www.mendeley.com/documents/?uuid=97a7f569-e23c-4b44-9c09-4747744642d3"]}],"mendeley":{"formattedCitation":"(Asrori, Tobroni, Yazid, &amp; Hadi, 2024)","plainTextFormattedCitation":"(Asrori, Tobroni, Yazid, &amp; Hadi, 2024)","previouslyFormattedCitation":"(Asrori, Tobroni, Yazid, &amp; Hadi, 2024)"},"properties":{"noteIndex":0},"schema":"https://github.com/citation-style-language/schema/raw/master/csl-citation.json"}</w:instrText>
      </w:r>
      <w:r w:rsidRPr="0087384A">
        <w:rPr>
          <w:rStyle w:val="FootnoteReference"/>
          <w:rFonts w:ascii="Garamond" w:hAnsi="Garamond"/>
          <w:sz w:val="24"/>
          <w:szCs w:val="24"/>
        </w:rPr>
        <w:fldChar w:fldCharType="separate"/>
      </w:r>
      <w:r w:rsidRPr="0087384A">
        <w:rPr>
          <w:rFonts w:ascii="Garamond" w:hAnsi="Garamond"/>
          <w:noProof/>
          <w:sz w:val="24"/>
          <w:szCs w:val="24"/>
        </w:rPr>
        <w:t>(Asrori, Tobroni, Yazid, &amp; Hadi, 2024)</w:t>
      </w:r>
      <w:r w:rsidRPr="0087384A">
        <w:rPr>
          <w:rStyle w:val="FootnoteReference"/>
          <w:rFonts w:ascii="Garamond" w:hAnsi="Garamond"/>
          <w:sz w:val="24"/>
          <w:szCs w:val="24"/>
        </w:rPr>
        <w:fldChar w:fldCharType="end"/>
      </w:r>
      <w:r w:rsidRPr="0087384A">
        <w:rPr>
          <w:rFonts w:ascii="Garamond" w:hAnsi="Garamond" w:cs="Times New Roman"/>
          <w:sz w:val="24"/>
          <w:szCs w:val="24"/>
        </w:rPr>
        <w:t>.</w:t>
      </w:r>
    </w:p>
    <w:p w14:paraId="5E33CE6A" w14:textId="77777777" w:rsidR="00AF4385" w:rsidRPr="00B80E18" w:rsidRDefault="00AF4385" w:rsidP="00AF4385">
      <w:pPr>
        <w:spacing w:before="240" w:after="40" w:line="240" w:lineRule="auto"/>
        <w:jc w:val="both"/>
        <w:rPr>
          <w:rFonts w:ascii="Garamond" w:hAnsi="Garamond" w:cs="Times New Roman"/>
          <w:b/>
          <w:bCs/>
          <w:sz w:val="24"/>
          <w:szCs w:val="24"/>
        </w:rPr>
      </w:pPr>
      <w:r w:rsidRPr="00B80E18">
        <w:rPr>
          <w:rFonts w:ascii="Garamond" w:hAnsi="Garamond" w:cs="Times New Roman"/>
          <w:b/>
          <w:bCs/>
          <w:sz w:val="24"/>
          <w:szCs w:val="24"/>
        </w:rPr>
        <w:t xml:space="preserve">Persis </w:t>
      </w:r>
      <w:proofErr w:type="spellStart"/>
      <w:r>
        <w:rPr>
          <w:rFonts w:ascii="Garamond" w:hAnsi="Garamond" w:cs="Times New Roman"/>
          <w:b/>
          <w:bCs/>
          <w:sz w:val="24"/>
          <w:szCs w:val="24"/>
        </w:rPr>
        <w:t>P</w:t>
      </w:r>
      <w:r w:rsidRPr="00B80E18">
        <w:rPr>
          <w:rFonts w:ascii="Garamond" w:hAnsi="Garamond" w:cs="Times New Roman"/>
          <w:b/>
          <w:bCs/>
          <w:sz w:val="24"/>
          <w:szCs w:val="24"/>
        </w:rPr>
        <w:t>esantren</w:t>
      </w:r>
      <w:proofErr w:type="spellEnd"/>
    </w:p>
    <w:p w14:paraId="0482A3BC" w14:textId="77777777" w:rsidR="00AF4385" w:rsidRPr="00672916" w:rsidRDefault="00AF4385" w:rsidP="00AF4385">
      <w:pPr>
        <w:spacing w:before="240" w:after="40" w:line="240" w:lineRule="auto"/>
        <w:ind w:firstLine="567"/>
        <w:jc w:val="both"/>
        <w:rPr>
          <w:rFonts w:ascii="Garamond" w:hAnsi="Garamond" w:cs="Times New Roman"/>
          <w:sz w:val="24"/>
          <w:szCs w:val="24"/>
        </w:rPr>
      </w:pPr>
      <w:r w:rsidRPr="00672916">
        <w:rPr>
          <w:rFonts w:ascii="Garamond" w:hAnsi="Garamond" w:cs="Times New Roman"/>
          <w:sz w:val="24"/>
          <w:szCs w:val="24"/>
        </w:rPr>
        <w:t xml:space="preserve">The Islamic Unity </w:t>
      </w:r>
      <w:proofErr w:type="spellStart"/>
      <w:r>
        <w:rPr>
          <w:rFonts w:ascii="Garamond" w:hAnsi="Garamond" w:cs="Times New Roman"/>
          <w:sz w:val="24"/>
          <w:szCs w:val="24"/>
        </w:rPr>
        <w:t>pesantren</w:t>
      </w:r>
      <w:proofErr w:type="spellEnd"/>
      <w:r w:rsidRPr="00672916">
        <w:rPr>
          <w:rFonts w:ascii="Garamond" w:hAnsi="Garamond" w:cs="Times New Roman"/>
          <w:sz w:val="24"/>
          <w:szCs w:val="24"/>
        </w:rPr>
        <w:t xml:space="preserve"> (Persis) is present as one of </w:t>
      </w:r>
      <w:proofErr w:type="spellStart"/>
      <w:r>
        <w:rPr>
          <w:rFonts w:ascii="Garamond" w:hAnsi="Garamond" w:cs="Times New Roman"/>
          <w:sz w:val="24"/>
          <w:szCs w:val="24"/>
        </w:rPr>
        <w:t>pesantren</w:t>
      </w:r>
      <w:proofErr w:type="spellEnd"/>
      <w:r>
        <w:rPr>
          <w:rFonts w:ascii="Garamond" w:hAnsi="Garamond" w:cs="Times New Roman"/>
          <w:sz w:val="24"/>
          <w:szCs w:val="24"/>
        </w:rPr>
        <w:t xml:space="preserve"> </w:t>
      </w:r>
      <w:r w:rsidRPr="00672916">
        <w:rPr>
          <w:rFonts w:ascii="Garamond" w:hAnsi="Garamond" w:cs="Times New Roman"/>
          <w:sz w:val="24"/>
          <w:szCs w:val="24"/>
        </w:rPr>
        <w:t xml:space="preserve">entities that has distinctive, sharp, and consistent curriculum characteristics in an effort to purify Islamic teachings from elements that are considered </w:t>
      </w:r>
      <w:proofErr w:type="spellStart"/>
      <w:r w:rsidRPr="00AA30E6">
        <w:rPr>
          <w:rFonts w:ascii="Garamond" w:hAnsi="Garamond" w:cs="Times New Roman"/>
          <w:i/>
          <w:iCs/>
          <w:sz w:val="24"/>
          <w:szCs w:val="24"/>
        </w:rPr>
        <w:t>bid'ah</w:t>
      </w:r>
      <w:proofErr w:type="spellEnd"/>
      <w:r w:rsidRPr="00AA30E6">
        <w:rPr>
          <w:rFonts w:ascii="Garamond" w:hAnsi="Garamond" w:cs="Times New Roman"/>
          <w:i/>
          <w:iCs/>
          <w:sz w:val="24"/>
          <w:szCs w:val="24"/>
        </w:rPr>
        <w:t xml:space="preserve">, </w:t>
      </w:r>
      <w:proofErr w:type="spellStart"/>
      <w:r w:rsidRPr="00AA30E6">
        <w:rPr>
          <w:rFonts w:ascii="Garamond" w:hAnsi="Garamond" w:cs="Times New Roman"/>
          <w:i/>
          <w:iCs/>
          <w:sz w:val="24"/>
          <w:szCs w:val="24"/>
        </w:rPr>
        <w:t>khurafat</w:t>
      </w:r>
      <w:proofErr w:type="spellEnd"/>
      <w:r w:rsidRPr="00AA30E6">
        <w:rPr>
          <w:rFonts w:ascii="Garamond" w:hAnsi="Garamond" w:cs="Times New Roman"/>
          <w:i/>
          <w:iCs/>
          <w:sz w:val="24"/>
          <w:szCs w:val="24"/>
        </w:rPr>
        <w:t>,</w:t>
      </w:r>
      <w:r w:rsidRPr="00672916">
        <w:rPr>
          <w:rFonts w:ascii="Garamond" w:hAnsi="Garamond" w:cs="Times New Roman"/>
          <w:sz w:val="24"/>
          <w:szCs w:val="24"/>
        </w:rPr>
        <w:t xml:space="preserve"> and </w:t>
      </w:r>
      <w:proofErr w:type="spellStart"/>
      <w:r w:rsidRPr="00AA30E6">
        <w:rPr>
          <w:rFonts w:ascii="Garamond" w:hAnsi="Garamond" w:cs="Times New Roman"/>
          <w:i/>
          <w:iCs/>
          <w:sz w:val="24"/>
          <w:szCs w:val="24"/>
        </w:rPr>
        <w:t>taklid</w:t>
      </w:r>
      <w:proofErr w:type="spellEnd"/>
      <w:r w:rsidRPr="00672916">
        <w:rPr>
          <w:rFonts w:ascii="Garamond" w:hAnsi="Garamond" w:cs="Times New Roman"/>
          <w:sz w:val="24"/>
          <w:szCs w:val="24"/>
        </w:rPr>
        <w:t xml:space="preserve">. Since its inception by reformers such as Ahmad Hassan and Mohammad </w:t>
      </w:r>
      <w:proofErr w:type="spellStart"/>
      <w:r w:rsidRPr="00672916">
        <w:rPr>
          <w:rFonts w:ascii="Garamond" w:hAnsi="Garamond" w:cs="Times New Roman"/>
          <w:sz w:val="24"/>
          <w:szCs w:val="24"/>
        </w:rPr>
        <w:t>Natsir</w:t>
      </w:r>
      <w:proofErr w:type="spellEnd"/>
      <w:r w:rsidRPr="00672916">
        <w:rPr>
          <w:rFonts w:ascii="Garamond" w:hAnsi="Garamond" w:cs="Times New Roman"/>
          <w:sz w:val="24"/>
          <w:szCs w:val="24"/>
        </w:rPr>
        <w:t xml:space="preserve">, Persis has taken a firm position as an Islamic intellectual movement that places the Qur'an and Hadith as the main sources of education, with an argumentative textual approach and free from the dominance of certain sects </w:t>
      </w:r>
      <w:r>
        <w:rPr>
          <w:rFonts w:ascii="Garamond" w:hAnsi="Garamond" w:cs="Times New Roman"/>
          <w:sz w:val="24"/>
          <w:szCs w:val="24"/>
        </w:rPr>
        <w:fldChar w:fldCharType="begin" w:fldLock="1"/>
      </w:r>
      <w:r>
        <w:rPr>
          <w:rFonts w:ascii="Garamond" w:hAnsi="Garamond" w:cs="Times New Roman"/>
          <w:sz w:val="24"/>
          <w:szCs w:val="24"/>
        </w:rPr>
        <w:instrText>ADDIN CSL_CITATION {"citationItems":[{"id":"ITEM-1","itemData":{"DOI":"10.20885/millah.vol11.iss1.art5","ISSN":"14120992","abstract":"The Pesantren Persatuan Islam that formed in 1936, is one of the private educational institutions in Indonesia. Until 1999, this institution has 154 educational institutions spread all over Indonesia. Although the current views of Islamic politics in Indonesia Persatuan Islam is not the mainstream, because he was small and not strong, but its contribution to Islam in Indonesia should also be taken into account. The internal contributions of Pesantren Persatuan Islam can be seen from the aspect of indoctrination, that this institution is an event-style formulation of the Persatuan Islam religious understanding. Then externally, the contribution of Pesantren Persatuan Islam can be viewed in terms of institutions, namely the institutional system, called pesantren. Unlike boarding institution in the traditional understanding, for the Pesantren Persatuan Islam are synonymous with modernity, that is still oriented â€œboarding-centricâ€</w:instrText>
      </w:r>
      <w:r>
        <w:rPr>
          <w:rFonts w:ascii="Garamond" w:hAnsi="Garamond" w:cs="Garamond"/>
          <w:sz w:val="24"/>
          <w:szCs w:val="24"/>
        </w:rPr>
        <w:instrText></w:instrText>
      </w:r>
      <w:r>
        <w:rPr>
          <w:rFonts w:ascii="Garamond" w:hAnsi="Garamond" w:cs="Times New Roman"/>
          <w:sz w:val="24"/>
          <w:szCs w:val="24"/>
        </w:rPr>
        <w:instrText>, but with adaptive and accommodative attitude towards the development of science and technology originating from the West. With such institutional concept, Pesantren Persatuan Islam successfully gave birth to thousands of Muslim volunteers who spread to all parts of Indonesia. Number of Pesantren Persatuan Islam spread over almost the whole of Indonesia was already assured a large contribution to the strengthening of Islamic education in Indonesia.","author":[{"dropping-particle":"","family":"Suharto","given":"Toto","non-dropping-particle":"","parse-names":false,"suffix":""}],"container-title":"Millah","id":"ITEM-1","issue":"1","issued":{"date-parts":[["2011"]]},"page":"109-133","title":"Kontribusi Pesantren Persatuan Islam Bagi Penguatan Pendidikan Islam Di Indonesia","type":"article-journal","volume":"11"},"uris":["http://www.mendeley.com/documents/?uuid=55d35cae-ff5e-4d77-9dc0-62ece55f6c56"]}],"mendeley":{"formattedCitation":"(Suharto, 2011)","plainTextFormattedCitation":"(Suharto, 2011)","previouslyFormattedCitation":"(Suharto, 2011)"},"properties":{"noteIndex":0},"schema":"https://github.com/citation-style-language/schema/raw/master/csl-citation.json"}</w:instrText>
      </w:r>
      <w:r>
        <w:rPr>
          <w:rFonts w:ascii="Garamond" w:hAnsi="Garamond" w:cs="Times New Roman"/>
          <w:sz w:val="24"/>
          <w:szCs w:val="24"/>
        </w:rPr>
        <w:fldChar w:fldCharType="separate"/>
      </w:r>
      <w:r w:rsidRPr="002862C8">
        <w:rPr>
          <w:rFonts w:ascii="Garamond" w:hAnsi="Garamond" w:cs="Times New Roman"/>
          <w:noProof/>
          <w:sz w:val="24"/>
          <w:szCs w:val="24"/>
        </w:rPr>
        <w:t>(Suharto, 2011)</w:t>
      </w:r>
      <w:r>
        <w:rPr>
          <w:rFonts w:ascii="Garamond" w:hAnsi="Garamond" w:cs="Times New Roman"/>
          <w:sz w:val="24"/>
          <w:szCs w:val="24"/>
        </w:rPr>
        <w:fldChar w:fldCharType="end"/>
      </w:r>
      <w:r w:rsidRPr="00672916">
        <w:rPr>
          <w:rFonts w:ascii="Garamond" w:hAnsi="Garamond" w:cs="Times New Roman"/>
          <w:sz w:val="24"/>
          <w:szCs w:val="24"/>
        </w:rPr>
        <w:t>.</w:t>
      </w:r>
    </w:p>
    <w:p w14:paraId="22D01401" w14:textId="77777777" w:rsidR="00AF4385" w:rsidRPr="00672916" w:rsidRDefault="00AF4385" w:rsidP="00AF4385">
      <w:pPr>
        <w:spacing w:before="240" w:after="40" w:line="240" w:lineRule="auto"/>
        <w:ind w:firstLine="567"/>
        <w:jc w:val="both"/>
        <w:rPr>
          <w:rFonts w:ascii="Garamond" w:hAnsi="Garamond" w:cs="Times New Roman"/>
          <w:sz w:val="24"/>
          <w:szCs w:val="24"/>
        </w:rPr>
      </w:pPr>
      <w:r w:rsidRPr="00672916">
        <w:rPr>
          <w:rFonts w:ascii="Garamond" w:hAnsi="Garamond" w:cs="Times New Roman"/>
          <w:sz w:val="24"/>
          <w:szCs w:val="24"/>
        </w:rPr>
        <w:t xml:space="preserve">The curriculum of the Persis </w:t>
      </w:r>
      <w:proofErr w:type="spellStart"/>
      <w:r>
        <w:rPr>
          <w:rFonts w:ascii="Garamond" w:hAnsi="Garamond" w:cs="Times New Roman"/>
          <w:sz w:val="24"/>
          <w:szCs w:val="24"/>
        </w:rPr>
        <w:t>pesantren</w:t>
      </w:r>
      <w:proofErr w:type="spellEnd"/>
      <w:r w:rsidRPr="00672916">
        <w:rPr>
          <w:rFonts w:ascii="Garamond" w:hAnsi="Garamond" w:cs="Times New Roman"/>
          <w:sz w:val="24"/>
          <w:szCs w:val="24"/>
        </w:rPr>
        <w:t xml:space="preserve"> is systematically built on three main foundations: mastery of Qur'anic interpretation, understanding of authentic hadith, and reasoning of </w:t>
      </w:r>
      <w:proofErr w:type="spellStart"/>
      <w:r w:rsidRPr="00672916">
        <w:rPr>
          <w:rFonts w:ascii="Garamond" w:hAnsi="Garamond" w:cs="Times New Roman"/>
          <w:sz w:val="24"/>
          <w:szCs w:val="24"/>
        </w:rPr>
        <w:t>ushuliyah</w:t>
      </w:r>
      <w:proofErr w:type="spellEnd"/>
      <w:r w:rsidRPr="00672916">
        <w:rPr>
          <w:rFonts w:ascii="Garamond" w:hAnsi="Garamond" w:cs="Times New Roman"/>
          <w:sz w:val="24"/>
          <w:szCs w:val="24"/>
        </w:rPr>
        <w:t xml:space="preserve"> (legal </w:t>
      </w:r>
      <w:proofErr w:type="spellStart"/>
      <w:r w:rsidRPr="00672916">
        <w:rPr>
          <w:rFonts w:ascii="Garamond" w:hAnsi="Garamond" w:cs="Times New Roman"/>
          <w:sz w:val="24"/>
          <w:szCs w:val="24"/>
        </w:rPr>
        <w:t>istinbath</w:t>
      </w:r>
      <w:proofErr w:type="spellEnd"/>
      <w:r w:rsidRPr="00672916">
        <w:rPr>
          <w:rFonts w:ascii="Garamond" w:hAnsi="Garamond" w:cs="Times New Roman"/>
          <w:sz w:val="24"/>
          <w:szCs w:val="24"/>
        </w:rPr>
        <w:t xml:space="preserve"> method). The books taught are strictly selected based on their authority and authenticity. In the study of tafsir, for example, rational-reformist works such as </w:t>
      </w:r>
      <w:r w:rsidRPr="00672916">
        <w:rPr>
          <w:rFonts w:ascii="Garamond" w:hAnsi="Garamond" w:cs="Times New Roman"/>
          <w:i/>
          <w:iCs/>
          <w:sz w:val="24"/>
          <w:szCs w:val="24"/>
        </w:rPr>
        <w:t>Tafsir al-Manar</w:t>
      </w:r>
      <w:r w:rsidRPr="00672916">
        <w:rPr>
          <w:rFonts w:ascii="Garamond" w:hAnsi="Garamond" w:cs="Times New Roman"/>
          <w:sz w:val="24"/>
          <w:szCs w:val="24"/>
        </w:rPr>
        <w:t xml:space="preserve"> by Muhammad Abduh and Rasyid Ridha are used, which are in line with the spirit of </w:t>
      </w:r>
      <w:proofErr w:type="spellStart"/>
      <w:r w:rsidRPr="00672916">
        <w:rPr>
          <w:rFonts w:ascii="Garamond" w:hAnsi="Garamond" w:cs="Times New Roman"/>
          <w:sz w:val="24"/>
          <w:szCs w:val="24"/>
        </w:rPr>
        <w:t>tajdid</w:t>
      </w:r>
      <w:proofErr w:type="spellEnd"/>
      <w:r w:rsidRPr="00672916">
        <w:rPr>
          <w:rFonts w:ascii="Garamond" w:hAnsi="Garamond" w:cs="Times New Roman"/>
          <w:sz w:val="24"/>
          <w:szCs w:val="24"/>
        </w:rPr>
        <w:t xml:space="preserve">. As for the study of hadith, primary texts such as </w:t>
      </w:r>
      <w:proofErr w:type="spellStart"/>
      <w:r w:rsidRPr="00672916">
        <w:rPr>
          <w:rFonts w:ascii="Garamond" w:hAnsi="Garamond" w:cs="Times New Roman"/>
          <w:i/>
          <w:iCs/>
          <w:sz w:val="24"/>
          <w:szCs w:val="24"/>
        </w:rPr>
        <w:t>Bulugh</w:t>
      </w:r>
      <w:proofErr w:type="spellEnd"/>
      <w:r w:rsidRPr="00672916">
        <w:rPr>
          <w:rFonts w:ascii="Garamond" w:hAnsi="Garamond" w:cs="Times New Roman"/>
          <w:i/>
          <w:iCs/>
          <w:sz w:val="24"/>
          <w:szCs w:val="24"/>
        </w:rPr>
        <w:t xml:space="preserve"> al-Maram</w:t>
      </w:r>
      <w:r w:rsidRPr="00672916">
        <w:rPr>
          <w:rFonts w:ascii="Garamond" w:hAnsi="Garamond" w:cs="Times New Roman"/>
          <w:sz w:val="24"/>
          <w:szCs w:val="24"/>
        </w:rPr>
        <w:t xml:space="preserve">, </w:t>
      </w:r>
      <w:proofErr w:type="spellStart"/>
      <w:r w:rsidRPr="00672916">
        <w:rPr>
          <w:rFonts w:ascii="Garamond" w:hAnsi="Garamond" w:cs="Times New Roman"/>
          <w:i/>
          <w:iCs/>
          <w:sz w:val="24"/>
          <w:szCs w:val="24"/>
        </w:rPr>
        <w:t>Umdat</w:t>
      </w:r>
      <w:proofErr w:type="spellEnd"/>
      <w:r w:rsidRPr="00672916">
        <w:rPr>
          <w:rFonts w:ascii="Garamond" w:hAnsi="Garamond" w:cs="Times New Roman"/>
          <w:i/>
          <w:iCs/>
          <w:sz w:val="24"/>
          <w:szCs w:val="24"/>
        </w:rPr>
        <w:t xml:space="preserve"> al-Ahkam</w:t>
      </w:r>
      <w:r w:rsidRPr="00672916">
        <w:rPr>
          <w:rFonts w:ascii="Garamond" w:hAnsi="Garamond" w:cs="Times New Roman"/>
          <w:sz w:val="24"/>
          <w:szCs w:val="24"/>
        </w:rPr>
        <w:t xml:space="preserve">, and </w:t>
      </w:r>
      <w:proofErr w:type="spellStart"/>
      <w:r w:rsidRPr="00672916">
        <w:rPr>
          <w:rFonts w:ascii="Garamond" w:hAnsi="Garamond" w:cs="Times New Roman"/>
          <w:i/>
          <w:iCs/>
          <w:sz w:val="24"/>
          <w:szCs w:val="24"/>
        </w:rPr>
        <w:t>Kutub</w:t>
      </w:r>
      <w:proofErr w:type="spellEnd"/>
      <w:r w:rsidRPr="00672916">
        <w:rPr>
          <w:rFonts w:ascii="Garamond" w:hAnsi="Garamond" w:cs="Times New Roman"/>
          <w:i/>
          <w:iCs/>
          <w:sz w:val="24"/>
          <w:szCs w:val="24"/>
        </w:rPr>
        <w:t xml:space="preserve"> al-</w:t>
      </w:r>
      <w:proofErr w:type="spellStart"/>
      <w:r w:rsidRPr="00672916">
        <w:rPr>
          <w:rFonts w:ascii="Garamond" w:hAnsi="Garamond" w:cs="Times New Roman"/>
          <w:i/>
          <w:iCs/>
          <w:sz w:val="24"/>
          <w:szCs w:val="24"/>
        </w:rPr>
        <w:t>Sittah</w:t>
      </w:r>
      <w:proofErr w:type="spellEnd"/>
      <w:r w:rsidRPr="00672916">
        <w:rPr>
          <w:rFonts w:ascii="Garamond" w:hAnsi="Garamond" w:cs="Times New Roman"/>
          <w:sz w:val="24"/>
          <w:szCs w:val="24"/>
        </w:rPr>
        <w:t xml:space="preserve"> are mandatory references (</w:t>
      </w:r>
      <w:hyperlink r:id="rId13" w:history="1">
        <w:r w:rsidRPr="00CF1492">
          <w:rPr>
            <w:rStyle w:val="Hyperlink"/>
            <w:rFonts w:ascii="Garamond" w:hAnsi="Garamond"/>
            <w:sz w:val="24"/>
            <w:szCs w:val="24"/>
          </w:rPr>
          <w:t>https://persis.or.id/</w:t>
        </w:r>
      </w:hyperlink>
      <w:r>
        <w:rPr>
          <w:rFonts w:ascii="Garamond" w:hAnsi="Garamond" w:cs="Times New Roman"/>
          <w:sz w:val="24"/>
          <w:szCs w:val="24"/>
        </w:rPr>
        <w:t xml:space="preserve">). </w:t>
      </w:r>
    </w:p>
    <w:p w14:paraId="239C2063" w14:textId="77777777" w:rsidR="00AF4385" w:rsidRPr="00672916" w:rsidRDefault="00AF4385" w:rsidP="00AF4385">
      <w:pPr>
        <w:spacing w:before="240" w:after="40" w:line="240" w:lineRule="auto"/>
        <w:ind w:firstLine="567"/>
        <w:jc w:val="both"/>
        <w:rPr>
          <w:rFonts w:ascii="Garamond" w:hAnsi="Garamond" w:cs="Times New Roman"/>
          <w:sz w:val="24"/>
          <w:szCs w:val="24"/>
        </w:rPr>
      </w:pPr>
      <w:r w:rsidRPr="00672916">
        <w:rPr>
          <w:rFonts w:ascii="Garamond" w:hAnsi="Garamond" w:cs="Times New Roman"/>
          <w:sz w:val="24"/>
          <w:szCs w:val="24"/>
        </w:rPr>
        <w:t xml:space="preserve">The pedagogical approach at the Persis </w:t>
      </w:r>
      <w:proofErr w:type="spellStart"/>
      <w:r>
        <w:rPr>
          <w:rFonts w:ascii="Garamond" w:hAnsi="Garamond" w:cs="Times New Roman"/>
          <w:sz w:val="24"/>
          <w:szCs w:val="24"/>
        </w:rPr>
        <w:t>pesantren</w:t>
      </w:r>
      <w:proofErr w:type="spellEnd"/>
      <w:r w:rsidRPr="00672916">
        <w:rPr>
          <w:rFonts w:ascii="Garamond" w:hAnsi="Garamond" w:cs="Times New Roman"/>
          <w:sz w:val="24"/>
          <w:szCs w:val="24"/>
        </w:rPr>
        <w:t xml:space="preserve"> emphasizes classical learning combined with interactive dialogue and argumentative exercises. Open discussion and scientific debate are not only allowed, but are seen as an effective method to test the validity of opinions based on </w:t>
      </w:r>
      <w:proofErr w:type="spellStart"/>
      <w:r w:rsidRPr="00672916">
        <w:rPr>
          <w:rFonts w:ascii="Garamond" w:hAnsi="Garamond" w:cs="Times New Roman"/>
          <w:sz w:val="24"/>
          <w:szCs w:val="24"/>
        </w:rPr>
        <w:t>shari'i</w:t>
      </w:r>
      <w:proofErr w:type="spellEnd"/>
      <w:r w:rsidRPr="00672916">
        <w:rPr>
          <w:rFonts w:ascii="Garamond" w:hAnsi="Garamond" w:cs="Times New Roman"/>
          <w:sz w:val="24"/>
          <w:szCs w:val="24"/>
        </w:rPr>
        <w:t xml:space="preserve"> postulates. This is intended so that students not only understand the text, but also be able to convey and maintain it scientifically and systematically </w:t>
      </w:r>
      <w:r>
        <w:rPr>
          <w:rFonts w:ascii="Garamond" w:hAnsi="Garamond" w:cs="Times New Roman"/>
          <w:sz w:val="24"/>
          <w:szCs w:val="24"/>
        </w:rPr>
        <w:fldChar w:fldCharType="begin" w:fldLock="1"/>
      </w:r>
      <w:r>
        <w:rPr>
          <w:rFonts w:ascii="Garamond" w:hAnsi="Garamond" w:cs="Times New Roman"/>
          <w:sz w:val="24"/>
          <w:szCs w:val="24"/>
        </w:rPr>
        <w:instrText>ADDIN CSL_CITATION {"citationItems":[{"id":"ITEM-1","itemData":{"DOI":"10.31851/jmksp.v6i2.5721","ISSN":"2548-7094","abstract":"The existence of boarding schools in Indonesia, in its development and coaching was very influential to the surrounding community, especially in terms of education. The world education was now facing a case of moral degradation great increasingly. The presence of Pesantren educational institutions can certainly strengthen Islamic civilization. The researchers used qualitative approach with case study methods at Pesantren Persatuan Islam 1-2 Bandung. The results of the study showed that Pesantren Persatuan Islam 1-2 Bandung was one of the modern pesantren that combines religious science and general science. Pesantren has the potential to give birth to students who are independent, sincere, tolerant, simple, and can establish a good ukhuwah ilsmaiyaah. The result has proven from the coaching program that was done either at KBM hours or outside KBM. The effort construction carried out in outside the KBM were ikhtifal activities, bai'at activities, hadith research activities, tahsin wa tahfidz halaqah activities, as well as Arabic language worship activities. While the efforts construction on KBM were adjusted in existing subjects both containing the general curriculum of IPA and IPS programs, the central religious curriculum (akidah akhlak, al-quran, Islamic cultural history, and fiqh), as well as pesantren curriculum such as balaghah, mantiq, maani, hiwar, ushul fiqh, tafsir ahkam, fafsir aam, aqidah, nahwu sharaf, and falaq science). All subjects are directed to embody a generation that is tafaquh fid-in","author":[{"dropping-particle":"","family":"Aziz","given":"Asep Abdul","non-dropping-particle":"","parse-names":false,"suffix":""},{"dropping-particle":"","family":"Budiyanti","given":"Nurti","non-dropping-particle":"","parse-names":false,"suffix":""},{"dropping-particle":"","family":"Ahmad","given":"Nurwadjah","non-dropping-particle":"","parse-names":false,"suffix":""},{"dropping-particle":"","family":"Suhartini","given":"Andewi","non-dropping-particle":"","parse-names":false,"suffix":""}],"container-title":"JMKSP (Jurnal Manajemen, Kepemimpinan, dan Supervisi Pendidikan)","id":"ITEM-1","issue":"2","issued":{"date-parts":[["2021"]]},"page":"352","title":"The Potential of Islamic Boarding Schools and Their Effort of Development and Fostering at Pesantren Persatuan Islam 1-2 Bandung)","type":"article-journal","volume":"6"},"uris":["http://www.mendeley.com/documents/?uuid=4dfc8c2f-8450-4a7e-a0b2-f6475d7bab4b"]}],"mendeley":{"formattedCitation":"(Aziz, Budiyanti, Ahmad, &amp; Suhartini, 2021)","plainTextFormattedCitation":"(Aziz, Budiyanti, Ahmad, &amp; Suhartini, 2021)","previouslyFormattedCitation":"(Aziz, Budiyanti, Ahmad, &amp; Suhartini, 2021)"},"properties":{"noteIndex":0},"schema":"https://github.com/citation-style-language/schema/raw/master/csl-citation.json"}</w:instrText>
      </w:r>
      <w:r>
        <w:rPr>
          <w:rFonts w:ascii="Garamond" w:hAnsi="Garamond" w:cs="Times New Roman"/>
          <w:sz w:val="24"/>
          <w:szCs w:val="24"/>
        </w:rPr>
        <w:fldChar w:fldCharType="separate"/>
      </w:r>
      <w:r w:rsidRPr="00CB7AFC">
        <w:rPr>
          <w:rFonts w:ascii="Garamond" w:hAnsi="Garamond" w:cs="Times New Roman"/>
          <w:noProof/>
          <w:sz w:val="24"/>
          <w:szCs w:val="24"/>
        </w:rPr>
        <w:t>(Aziz, Budiyanti, Ahmad, &amp; Suhartini, 2021)</w:t>
      </w:r>
      <w:r>
        <w:rPr>
          <w:rFonts w:ascii="Garamond" w:hAnsi="Garamond" w:cs="Times New Roman"/>
          <w:sz w:val="24"/>
          <w:szCs w:val="24"/>
        </w:rPr>
        <w:fldChar w:fldCharType="end"/>
      </w:r>
      <w:r w:rsidRPr="00672916">
        <w:rPr>
          <w:rFonts w:ascii="Garamond" w:hAnsi="Garamond" w:cs="Times New Roman"/>
          <w:sz w:val="24"/>
          <w:szCs w:val="24"/>
        </w:rPr>
        <w:t>.</w:t>
      </w:r>
    </w:p>
    <w:p w14:paraId="37934E62" w14:textId="77777777" w:rsidR="00AF4385" w:rsidRPr="00672916" w:rsidRDefault="00AF4385" w:rsidP="00AF4385">
      <w:pPr>
        <w:spacing w:before="240" w:after="40" w:line="240" w:lineRule="auto"/>
        <w:ind w:firstLine="567"/>
        <w:jc w:val="both"/>
        <w:rPr>
          <w:rFonts w:ascii="Garamond" w:hAnsi="Garamond" w:cs="Times New Roman"/>
          <w:sz w:val="24"/>
          <w:szCs w:val="24"/>
        </w:rPr>
      </w:pPr>
      <w:r w:rsidRPr="00672916">
        <w:rPr>
          <w:rFonts w:ascii="Garamond" w:hAnsi="Garamond" w:cs="Times New Roman"/>
          <w:sz w:val="24"/>
          <w:szCs w:val="24"/>
        </w:rPr>
        <w:t xml:space="preserve">One of the uniqueness of the Persis </w:t>
      </w:r>
      <w:proofErr w:type="spellStart"/>
      <w:r w:rsidRPr="00672916">
        <w:rPr>
          <w:rFonts w:ascii="Garamond" w:hAnsi="Garamond" w:cs="Times New Roman"/>
          <w:sz w:val="24"/>
          <w:szCs w:val="24"/>
        </w:rPr>
        <w:t>pesantren</w:t>
      </w:r>
      <w:proofErr w:type="spellEnd"/>
      <w:r w:rsidRPr="00672916">
        <w:rPr>
          <w:rFonts w:ascii="Garamond" w:hAnsi="Garamond" w:cs="Times New Roman"/>
          <w:sz w:val="24"/>
          <w:szCs w:val="24"/>
        </w:rPr>
        <w:t xml:space="preserve"> lies in its commitment to rationality and anti-dogmatism. Unlike traditional Islamic boarding schools that use the yellow book of madhhab as the core of teaching, the Persis </w:t>
      </w:r>
      <w:proofErr w:type="spellStart"/>
      <w:r w:rsidRPr="00672916">
        <w:rPr>
          <w:rFonts w:ascii="Garamond" w:hAnsi="Garamond" w:cs="Times New Roman"/>
          <w:sz w:val="24"/>
          <w:szCs w:val="24"/>
        </w:rPr>
        <w:t>pesantren</w:t>
      </w:r>
      <w:proofErr w:type="spellEnd"/>
      <w:r w:rsidRPr="00672916">
        <w:rPr>
          <w:rFonts w:ascii="Garamond" w:hAnsi="Garamond" w:cs="Times New Roman"/>
          <w:sz w:val="24"/>
          <w:szCs w:val="24"/>
        </w:rPr>
        <w:t xml:space="preserve"> chooses to criticize classical Islamic content selectively, even rejecting the authority of certain madhhab if it is not in line with a strong </w:t>
      </w:r>
      <w:proofErr w:type="spellStart"/>
      <w:r w:rsidRPr="00672916">
        <w:rPr>
          <w:rFonts w:ascii="Garamond" w:hAnsi="Garamond" w:cs="Times New Roman"/>
          <w:sz w:val="24"/>
          <w:szCs w:val="24"/>
        </w:rPr>
        <w:t>nash</w:t>
      </w:r>
      <w:proofErr w:type="spellEnd"/>
      <w:r w:rsidRPr="00672916">
        <w:rPr>
          <w:rFonts w:ascii="Garamond" w:hAnsi="Garamond" w:cs="Times New Roman"/>
          <w:sz w:val="24"/>
          <w:szCs w:val="24"/>
        </w:rPr>
        <w:t xml:space="preserve">. Students are educated to do </w:t>
      </w:r>
      <w:proofErr w:type="spellStart"/>
      <w:r w:rsidRPr="00672916">
        <w:rPr>
          <w:rFonts w:ascii="Garamond" w:hAnsi="Garamond" w:cs="Times New Roman"/>
          <w:i/>
          <w:iCs/>
          <w:sz w:val="24"/>
          <w:szCs w:val="24"/>
        </w:rPr>
        <w:t>tahqiq</w:t>
      </w:r>
      <w:proofErr w:type="spellEnd"/>
      <w:r w:rsidRPr="00672916">
        <w:rPr>
          <w:rFonts w:ascii="Garamond" w:hAnsi="Garamond" w:cs="Times New Roman"/>
          <w:sz w:val="24"/>
          <w:szCs w:val="24"/>
        </w:rPr>
        <w:t xml:space="preserve">, not just </w:t>
      </w:r>
      <w:r w:rsidRPr="00672916">
        <w:rPr>
          <w:rFonts w:ascii="Garamond" w:hAnsi="Garamond" w:cs="Times New Roman"/>
          <w:i/>
          <w:iCs/>
          <w:sz w:val="24"/>
          <w:szCs w:val="24"/>
        </w:rPr>
        <w:t xml:space="preserve">taqlid </w:t>
      </w:r>
      <w:r>
        <w:rPr>
          <w:rFonts w:ascii="Garamond" w:hAnsi="Garamond" w:cs="Times New Roman"/>
          <w:i/>
          <w:iCs/>
          <w:sz w:val="24"/>
          <w:szCs w:val="24"/>
        </w:rPr>
        <w:fldChar w:fldCharType="begin" w:fldLock="1"/>
      </w:r>
      <w:r>
        <w:rPr>
          <w:rFonts w:ascii="Garamond" w:hAnsi="Garamond" w:cs="Times New Roman"/>
          <w:i/>
          <w:iCs/>
          <w:sz w:val="24"/>
          <w:szCs w:val="24"/>
        </w:rPr>
        <w:instrText>ADDIN CSL_CITATION {"citationItems":[{"id":"ITEM-1","itemData":{"ISBN":"0812823583","abstract":"… Jamaah tabligh atau Tablighi Jamaat adalah sutu gerakan Pendidikan dan dakwah global yang bertujuan membangun pengakuan sejati Allah dengan undangan yang diadopsi oleh Nabi Muhammad untuk memperbaiki iman dan tindakan pada periode awal ketidaktahuan di …","author":[{"dropping-particle":"","family":"DADAN WILDAN ANAS, BADRI KHAERUMAN, M. TAUFIK RAHMAN","given":"LATIF AWALUDIN","non-dropping-particle":"","parse-names":false,"suffix":""}],"container-title":"Anomali","id":"ITEM-1","issue":"2","issued":{"date-parts":[["2018"]]},"number-of-pages":"143-158","title":"ANATOMI GERAKAN DAKWAH PERSATUAN ISLAM","type":"book","volume":"1"},"uris":["http://www.mendeley.com/documents/?uuid=d72ab1e0-f6d7-42d5-82e3-67a216c0c5a6"]}],"mendeley":{"formattedCitation":"(DADAN WILDAN ANAS, BADRI KHAERUMAN, M. TAUFIK RAHMAN, 2018)","manualFormatting":"(Dadan Wildan Anas, Badri Khaeruman, M. Taufik Rahman, 2018)","plainTextFormattedCitation":"(DADAN WILDAN ANAS, BADRI KHAERUMAN, M. TAUFIK RAHMAN, 2018)","previouslyFormattedCitation":"(DADAN WILDAN ANAS, BADRI KHAERUMAN, M. TAUFIK RAHMAN, 2018)"},"properties":{"noteIndex":0},"schema":"https://github.com/citation-style-language/schema/raw/master/csl-citation.json"}</w:instrText>
      </w:r>
      <w:r>
        <w:rPr>
          <w:rFonts w:ascii="Garamond" w:hAnsi="Garamond" w:cs="Times New Roman"/>
          <w:i/>
          <w:iCs/>
          <w:sz w:val="24"/>
          <w:szCs w:val="24"/>
        </w:rPr>
        <w:fldChar w:fldCharType="separate"/>
      </w:r>
      <w:r w:rsidRPr="00546E61">
        <w:rPr>
          <w:rFonts w:ascii="Garamond" w:hAnsi="Garamond" w:cs="Times New Roman"/>
          <w:iCs/>
          <w:noProof/>
          <w:sz w:val="24"/>
          <w:szCs w:val="24"/>
        </w:rPr>
        <w:t>(Dadan Wildan Anas, Badri Khaeruman, M. Taufik Rahman, 2018)</w:t>
      </w:r>
      <w:r>
        <w:rPr>
          <w:rFonts w:ascii="Garamond" w:hAnsi="Garamond" w:cs="Times New Roman"/>
          <w:i/>
          <w:iCs/>
          <w:sz w:val="24"/>
          <w:szCs w:val="24"/>
        </w:rPr>
        <w:fldChar w:fldCharType="end"/>
      </w:r>
      <w:r w:rsidRPr="00672916">
        <w:rPr>
          <w:rFonts w:ascii="Garamond" w:hAnsi="Garamond" w:cs="Times New Roman"/>
          <w:sz w:val="24"/>
          <w:szCs w:val="24"/>
        </w:rPr>
        <w:t>. Thus, the curriculum is not only conservative or transmissive, but progressive and critical of the heritage of Islamic thought.</w:t>
      </w:r>
    </w:p>
    <w:p w14:paraId="2932C5F7" w14:textId="77777777" w:rsidR="00AF4385" w:rsidRPr="00672916" w:rsidRDefault="00AF4385" w:rsidP="00AF4385">
      <w:pPr>
        <w:spacing w:before="240" w:after="40" w:line="240" w:lineRule="auto"/>
        <w:ind w:firstLine="567"/>
        <w:jc w:val="both"/>
        <w:rPr>
          <w:rFonts w:ascii="Garamond" w:hAnsi="Garamond" w:cs="Times New Roman"/>
          <w:sz w:val="24"/>
          <w:szCs w:val="24"/>
        </w:rPr>
      </w:pPr>
      <w:r w:rsidRPr="00672916">
        <w:rPr>
          <w:rFonts w:ascii="Garamond" w:hAnsi="Garamond" w:cs="Times New Roman"/>
          <w:sz w:val="24"/>
          <w:szCs w:val="24"/>
        </w:rPr>
        <w:t xml:space="preserve">The main goal of education at the Persis Islamic boarding school is to produce da'wah cadres who excel in argumentation, are firm in the faith of monotheism, and are pure in the practice of worship. The character of the students is formed through the strengthening of </w:t>
      </w:r>
      <w:r w:rsidRPr="00672916">
        <w:rPr>
          <w:rFonts w:ascii="Garamond" w:hAnsi="Garamond" w:cs="Times New Roman"/>
          <w:sz w:val="24"/>
          <w:szCs w:val="24"/>
        </w:rPr>
        <w:lastRenderedPageBreak/>
        <w:t xml:space="preserve">the </w:t>
      </w:r>
      <w:proofErr w:type="spellStart"/>
      <w:r w:rsidRPr="006F3AB0">
        <w:rPr>
          <w:rFonts w:ascii="Garamond" w:hAnsi="Garamond" w:cs="Times New Roman"/>
          <w:i/>
          <w:iCs/>
          <w:sz w:val="24"/>
          <w:szCs w:val="24"/>
        </w:rPr>
        <w:t>aqidah</w:t>
      </w:r>
      <w:proofErr w:type="spellEnd"/>
      <w:r w:rsidRPr="006F3AB0">
        <w:rPr>
          <w:rFonts w:ascii="Garamond" w:hAnsi="Garamond" w:cs="Times New Roman"/>
          <w:i/>
          <w:iCs/>
          <w:sz w:val="24"/>
          <w:szCs w:val="24"/>
        </w:rPr>
        <w:t xml:space="preserve"> </w:t>
      </w:r>
      <w:r w:rsidRPr="00672916">
        <w:rPr>
          <w:rFonts w:ascii="Garamond" w:hAnsi="Garamond" w:cs="Times New Roman"/>
          <w:sz w:val="24"/>
          <w:szCs w:val="24"/>
        </w:rPr>
        <w:t>of tauhid (without compromising on the elements of shirk), the practice of scientific debate, and the understanding of basic logic (</w:t>
      </w:r>
      <w:proofErr w:type="spellStart"/>
      <w:r w:rsidRPr="00672916">
        <w:rPr>
          <w:rFonts w:ascii="Garamond" w:hAnsi="Garamond" w:cs="Times New Roman"/>
          <w:sz w:val="24"/>
          <w:szCs w:val="24"/>
        </w:rPr>
        <w:t>mantiq</w:t>
      </w:r>
      <w:proofErr w:type="spellEnd"/>
      <w:r w:rsidRPr="00672916">
        <w:rPr>
          <w:rFonts w:ascii="Garamond" w:hAnsi="Garamond" w:cs="Times New Roman"/>
          <w:sz w:val="24"/>
          <w:szCs w:val="24"/>
        </w:rPr>
        <w:t xml:space="preserve">) as a tool for thinking. Tawhid education is not only a subject, but a key value framework in the entire curriculum structure </w:t>
      </w:r>
      <w:r>
        <w:rPr>
          <w:rFonts w:ascii="Garamond" w:hAnsi="Garamond" w:cs="Times New Roman"/>
          <w:sz w:val="24"/>
          <w:szCs w:val="24"/>
        </w:rPr>
        <w:fldChar w:fldCharType="begin" w:fldLock="1"/>
      </w:r>
      <w:r>
        <w:rPr>
          <w:rFonts w:ascii="Garamond" w:hAnsi="Garamond" w:cs="Times New Roman"/>
          <w:sz w:val="24"/>
          <w:szCs w:val="24"/>
        </w:rPr>
        <w:instrText>ADDIN CSL_CITATION {"citationItems":[{"id":"ITEM-1","itemData":{"abstract":"Abstrak Ilmu Tauhid merupakan ilmu fundamental dalam ajaran Islam yang harus disampaikan kepada seluruh umat Islam dan hukum mempelajarinya adalah fardhu ‘ain. Ilmu Tauhid di Pesantren Persis diberikan sejak Madrasah Ula hingga Mu’allimin, sehingga peserta didik di Pesantren Persis memahami dengan benar Ilmu Tauhid sejak belia hingga dewasa. Namun demikian, corak ajaran Tauhid di Pesantren Persis tidak seragam. Ada yang mengajarkan paham Asy’ari dan ada juga yang mengajarkan paham Salafi, bahkan ada yang memadukan keduanya. Karena itu, menarik untuk mengkaji lebih jauh mengenai pemahaman ilmu Tauhid di Pesantren Persis. Penelitian ini merupakan penelitian kualitatif dengan menggunakan pendekatan library research dan field research berupa wawancara ke narasumber yang dianggap penting. Hasil dari penelitian ini menunjukkan bahwa Pesantren Persis tidak memiliki pemahaman Tauhid yang seragam sehingga amat tergantung dari masing-masing pengajar dan sumber buku yang diajarkannya.","author":[{"dropping-particle":"","family":"Hidayat","given":"Syarif","non-dropping-particle":"","parse-names":false,"suffix":""}],"container-title":"JSIM: Jurnal Ilmu Sosial dan Pendidikan","id":"ITEM-1","issue":"3","issued":{"date-parts":[["2024"]]},"title":"Konsep Pendidikan Tauhid di Pesantren Persatuan Islam","type":"article-journal","volume":"5"},"uris":["http://www.mendeley.com/documents/?uuid=b652db90-3102-43c9-bfdf-92cafd9543b4"]}],"mendeley":{"formattedCitation":"(Hidayat, 2024)","plainTextFormattedCitation":"(Hidayat, 2024)","previouslyFormattedCitation":"(Hidayat, 2024)"},"properties":{"noteIndex":0},"schema":"https://github.com/citation-style-language/schema/raw/master/csl-citation.json"}</w:instrText>
      </w:r>
      <w:r>
        <w:rPr>
          <w:rFonts w:ascii="Garamond" w:hAnsi="Garamond" w:cs="Times New Roman"/>
          <w:sz w:val="24"/>
          <w:szCs w:val="24"/>
        </w:rPr>
        <w:fldChar w:fldCharType="separate"/>
      </w:r>
      <w:r w:rsidRPr="009B3522">
        <w:rPr>
          <w:rFonts w:ascii="Garamond" w:hAnsi="Garamond" w:cs="Times New Roman"/>
          <w:noProof/>
          <w:sz w:val="24"/>
          <w:szCs w:val="24"/>
        </w:rPr>
        <w:t>(Hidayat, 2024)</w:t>
      </w:r>
      <w:r>
        <w:rPr>
          <w:rFonts w:ascii="Garamond" w:hAnsi="Garamond" w:cs="Times New Roman"/>
          <w:sz w:val="24"/>
          <w:szCs w:val="24"/>
        </w:rPr>
        <w:fldChar w:fldCharType="end"/>
      </w:r>
      <w:r w:rsidRPr="00672916">
        <w:rPr>
          <w:rFonts w:ascii="Garamond" w:hAnsi="Garamond" w:cs="Times New Roman"/>
          <w:sz w:val="24"/>
          <w:szCs w:val="24"/>
        </w:rPr>
        <w:t>.</w:t>
      </w:r>
    </w:p>
    <w:p w14:paraId="1BE16FB2" w14:textId="77777777" w:rsidR="00AF4385" w:rsidRPr="00672916" w:rsidRDefault="00AF4385" w:rsidP="00AF4385">
      <w:pPr>
        <w:spacing w:before="240" w:after="40" w:line="240" w:lineRule="auto"/>
        <w:ind w:firstLine="567"/>
        <w:jc w:val="both"/>
        <w:rPr>
          <w:rFonts w:ascii="Garamond" w:hAnsi="Garamond" w:cs="Times New Roman"/>
          <w:sz w:val="24"/>
          <w:szCs w:val="24"/>
        </w:rPr>
      </w:pPr>
      <w:r w:rsidRPr="00672916">
        <w:rPr>
          <w:rFonts w:ascii="Garamond" w:hAnsi="Garamond" w:cs="Times New Roman"/>
          <w:sz w:val="24"/>
          <w:szCs w:val="24"/>
        </w:rPr>
        <w:t xml:space="preserve">In practice, the curriculum of the Persis </w:t>
      </w:r>
      <w:proofErr w:type="spellStart"/>
      <w:r>
        <w:rPr>
          <w:rFonts w:ascii="Garamond" w:hAnsi="Garamond" w:cs="Times New Roman"/>
          <w:sz w:val="24"/>
          <w:szCs w:val="24"/>
        </w:rPr>
        <w:t>pesantren</w:t>
      </w:r>
      <w:proofErr w:type="spellEnd"/>
      <w:r w:rsidRPr="00672916">
        <w:rPr>
          <w:rFonts w:ascii="Garamond" w:hAnsi="Garamond" w:cs="Times New Roman"/>
          <w:sz w:val="24"/>
          <w:szCs w:val="24"/>
        </w:rPr>
        <w:t xml:space="preserve"> does not stand in a vacuum. </w:t>
      </w:r>
      <w:r>
        <w:rPr>
          <w:rFonts w:ascii="Garamond" w:hAnsi="Garamond" w:cs="Times New Roman"/>
          <w:sz w:val="24"/>
          <w:szCs w:val="24"/>
        </w:rPr>
        <w:t>It</w:t>
      </w:r>
      <w:r w:rsidRPr="00672916">
        <w:rPr>
          <w:rFonts w:ascii="Garamond" w:hAnsi="Garamond" w:cs="Times New Roman"/>
          <w:sz w:val="24"/>
          <w:szCs w:val="24"/>
        </w:rPr>
        <w:t xml:space="preserve"> responds to the challenges of the times with a rational approach, without sacrificing the purity of revelation. This can be seen from the efforts to integrate general and vocational education in several educational units under Persis. </w:t>
      </w:r>
      <w:proofErr w:type="spellStart"/>
      <w:r>
        <w:rPr>
          <w:rFonts w:ascii="Garamond" w:hAnsi="Garamond" w:cs="Times New Roman"/>
          <w:sz w:val="24"/>
          <w:szCs w:val="24"/>
        </w:rPr>
        <w:t>Pesantrens</w:t>
      </w:r>
      <w:proofErr w:type="spellEnd"/>
      <w:r w:rsidRPr="00672916">
        <w:rPr>
          <w:rFonts w:ascii="Garamond" w:hAnsi="Garamond" w:cs="Times New Roman"/>
          <w:sz w:val="24"/>
          <w:szCs w:val="24"/>
        </w:rPr>
        <w:t xml:space="preserve"> not only produce scholars, but also Muslim scholars who are able to stand in the midst of modern society without losing their ideological identity </w:t>
      </w:r>
      <w:r>
        <w:rPr>
          <w:rFonts w:ascii="Garamond" w:hAnsi="Garamond" w:cs="Times New Roman"/>
          <w:sz w:val="24"/>
          <w:szCs w:val="24"/>
        </w:rPr>
        <w:fldChar w:fldCharType="begin" w:fldLock="1"/>
      </w:r>
      <w:r>
        <w:rPr>
          <w:rFonts w:ascii="Garamond" w:hAnsi="Garamond" w:cs="Times New Roman"/>
          <w:sz w:val="24"/>
          <w:szCs w:val="24"/>
        </w:rPr>
        <w:instrText>ADDIN CSL_CITATION {"citationItems":[{"id":"ITEM-1","itemData":{"DOI":"10.31851/jmksp.v6i2.5721","ISSN":"2548-7094","abstract":"The existence of boarding schools in Indonesia, in its development and coaching was very influential to the surrounding community, especially in terms of education. The world education was now facing a case of moral degradation great increasingly. The presence of Pesantren educational institutions can certainly strengthen Islamic civilization. The researchers used qualitative approach with case study methods at Pesantren Persatuan Islam 1-2 Bandung. The results of the study showed that Pesantren Persatuan Islam 1-2 Bandung was one of the modern pesantren that combines religious science and general science. Pesantren has the potential to give birth to students who are independent, sincere, tolerant, simple, and can establish a good ukhuwah ilsmaiyaah. The result has proven from the coaching program that was done either at KBM hours or outside KBM. The effort construction carried out in outside the KBM were ikhtifal activities, bai'at activities, hadith research activities, tahsin wa tahfidz halaqah activities, as well as Arabic language worship activities. While the efforts construction on KBM were adjusted in existing subjects both containing the general curriculum of IPA and IPS programs, the central religious curriculum (akidah akhlak, al-quran, Islamic cultural history, and fiqh), as well as pesantren curriculum such as balaghah, mantiq, maani, hiwar, ushul fiqh, tafsir ahkam, fafsir aam, aqidah, nahwu sharaf, and falaq science). All subjects are directed to embody a generation that is tafaquh fid-in","author":[{"dropping-particle":"","family":"Aziz","given":"Asep Abdul","non-dropping-particle":"","parse-names":false,"suffix":""},{"dropping-particle":"","family":"Budiyanti","given":"Nurti","non-dropping-particle":"","parse-names":false,"suffix":""},{"dropping-particle":"","family":"Ahmad","given":"Nurwadjah","non-dropping-particle":"","parse-names":false,"suffix":""},{"dropping-particle":"","family":"Suhartini","given":"Andewi","non-dropping-particle":"","parse-names":false,"suffix":""}],"container-title":"JMKSP (Jurnal Manajemen, Kepemimpinan, dan Supervisi Pendidikan)","id":"ITEM-1","issue":"2","issued":{"date-parts":[["2021"]]},"page":"352","title":"The Potential of Islamic Boarding Schools and Their Effort of Development and Fostering at Pesantren Persatuan Islam 1-2 Bandung)","type":"article-journal","volume":"6"},"uris":["http://www.mendeley.com/documents/?uuid=4dfc8c2f-8450-4a7e-a0b2-f6475d7bab4b"]}],"mendeley":{"formattedCitation":"(Aziz et al., 2021)","plainTextFormattedCitation":"(Aziz et al., 2021)","previouslyFormattedCitation":"(Aziz et al., 2021)"},"properties":{"noteIndex":0},"schema":"https://github.com/citation-style-language/schema/raw/master/csl-citation.json"}</w:instrText>
      </w:r>
      <w:r>
        <w:rPr>
          <w:rFonts w:ascii="Garamond" w:hAnsi="Garamond" w:cs="Times New Roman"/>
          <w:sz w:val="24"/>
          <w:szCs w:val="24"/>
        </w:rPr>
        <w:fldChar w:fldCharType="separate"/>
      </w:r>
      <w:r w:rsidRPr="00BD3E98">
        <w:rPr>
          <w:rFonts w:ascii="Garamond" w:hAnsi="Garamond" w:cs="Times New Roman"/>
          <w:noProof/>
          <w:sz w:val="24"/>
          <w:szCs w:val="24"/>
        </w:rPr>
        <w:t>(Aziz et al., 2021)</w:t>
      </w:r>
      <w:r>
        <w:rPr>
          <w:rFonts w:ascii="Garamond" w:hAnsi="Garamond" w:cs="Times New Roman"/>
          <w:sz w:val="24"/>
          <w:szCs w:val="24"/>
        </w:rPr>
        <w:fldChar w:fldCharType="end"/>
      </w:r>
      <w:r w:rsidRPr="00672916">
        <w:rPr>
          <w:rFonts w:ascii="Garamond" w:hAnsi="Garamond" w:cs="Times New Roman"/>
          <w:sz w:val="24"/>
          <w:szCs w:val="24"/>
        </w:rPr>
        <w:t>.</w:t>
      </w:r>
    </w:p>
    <w:p w14:paraId="3286C6C6" w14:textId="77777777" w:rsidR="00AF4385" w:rsidRPr="00672916" w:rsidRDefault="00AF4385" w:rsidP="00AF4385">
      <w:pPr>
        <w:spacing w:before="240" w:after="40" w:line="240" w:lineRule="auto"/>
        <w:ind w:firstLine="567"/>
        <w:jc w:val="both"/>
        <w:rPr>
          <w:rFonts w:ascii="Garamond" w:hAnsi="Garamond" w:cs="Times New Roman"/>
          <w:sz w:val="24"/>
          <w:szCs w:val="24"/>
        </w:rPr>
      </w:pPr>
      <w:r w:rsidRPr="00672916">
        <w:rPr>
          <w:rFonts w:ascii="Garamond" w:hAnsi="Garamond" w:cs="Times New Roman"/>
          <w:sz w:val="24"/>
          <w:szCs w:val="24"/>
        </w:rPr>
        <w:t xml:space="preserve">Through a solid curriculum structure, a critical epistemological approach, and the courage to take a firm stance against deviations from teaching, the Persis </w:t>
      </w:r>
      <w:proofErr w:type="spellStart"/>
      <w:r w:rsidRPr="00672916">
        <w:rPr>
          <w:rFonts w:ascii="Garamond" w:hAnsi="Garamond" w:cs="Times New Roman"/>
          <w:sz w:val="24"/>
          <w:szCs w:val="24"/>
        </w:rPr>
        <w:t>pesantren</w:t>
      </w:r>
      <w:proofErr w:type="spellEnd"/>
      <w:r w:rsidRPr="00672916">
        <w:rPr>
          <w:rFonts w:ascii="Garamond" w:hAnsi="Garamond" w:cs="Times New Roman"/>
          <w:sz w:val="24"/>
          <w:szCs w:val="24"/>
        </w:rPr>
        <w:t xml:space="preserve"> has proven its contribution to the map of Islamic education in Indonesia. It became the locomotive for the </w:t>
      </w:r>
      <w:proofErr w:type="spellStart"/>
      <w:r w:rsidRPr="00672916">
        <w:rPr>
          <w:rFonts w:ascii="Garamond" w:hAnsi="Garamond" w:cs="Times New Roman"/>
          <w:sz w:val="24"/>
          <w:szCs w:val="24"/>
        </w:rPr>
        <w:t>pesantren</w:t>
      </w:r>
      <w:proofErr w:type="spellEnd"/>
      <w:r w:rsidRPr="00672916">
        <w:rPr>
          <w:rFonts w:ascii="Garamond" w:hAnsi="Garamond" w:cs="Times New Roman"/>
          <w:sz w:val="24"/>
          <w:szCs w:val="24"/>
        </w:rPr>
        <w:t xml:space="preserve"> model that was clean from syncretism, but open to rationality and contextualization of da'wah in the modern era.</w:t>
      </w:r>
    </w:p>
    <w:p w14:paraId="77845BDD" w14:textId="77777777" w:rsidR="00AF4385" w:rsidRDefault="00AF4385" w:rsidP="00AF4385">
      <w:pPr>
        <w:spacing w:before="240" w:after="40" w:line="240" w:lineRule="auto"/>
        <w:ind w:firstLine="567"/>
        <w:jc w:val="both"/>
        <w:rPr>
          <w:rFonts w:ascii="Garamond" w:hAnsi="Garamond" w:cs="Times New Roman"/>
          <w:sz w:val="24"/>
          <w:szCs w:val="24"/>
        </w:rPr>
      </w:pPr>
      <w:proofErr w:type="spellStart"/>
      <w:r w:rsidRPr="00F8139A">
        <w:rPr>
          <w:rFonts w:ascii="Garamond" w:hAnsi="Garamond" w:cs="Times New Roman"/>
          <w:i/>
          <w:iCs/>
          <w:sz w:val="24"/>
          <w:szCs w:val="24"/>
        </w:rPr>
        <w:t>Manhaj</w:t>
      </w:r>
      <w:proofErr w:type="spellEnd"/>
      <w:r w:rsidRPr="00672916">
        <w:rPr>
          <w:rFonts w:ascii="Garamond" w:hAnsi="Garamond" w:cs="Times New Roman"/>
          <w:sz w:val="24"/>
          <w:szCs w:val="24"/>
        </w:rPr>
        <w:t xml:space="preserve"> (curriculum) of Persis 27 </w:t>
      </w:r>
      <w:proofErr w:type="spellStart"/>
      <w:r w:rsidRPr="00672916">
        <w:rPr>
          <w:rFonts w:ascii="Garamond" w:hAnsi="Garamond" w:cs="Times New Roman"/>
          <w:sz w:val="24"/>
          <w:szCs w:val="24"/>
        </w:rPr>
        <w:t>Situaksan</w:t>
      </w:r>
      <w:proofErr w:type="spellEnd"/>
      <w:r w:rsidRPr="00672916">
        <w:rPr>
          <w:rFonts w:ascii="Garamond" w:hAnsi="Garamond" w:cs="Times New Roman"/>
          <w:sz w:val="24"/>
          <w:szCs w:val="24"/>
        </w:rPr>
        <w:t xml:space="preserve"> Bandung refers entirely to the educational curriculum of the </w:t>
      </w:r>
      <w:r>
        <w:rPr>
          <w:rFonts w:ascii="Garamond" w:hAnsi="Garamond" w:cs="Times New Roman"/>
          <w:sz w:val="24"/>
          <w:szCs w:val="24"/>
        </w:rPr>
        <w:t>Persis</w:t>
      </w:r>
      <w:r w:rsidRPr="00672916">
        <w:rPr>
          <w:rFonts w:ascii="Garamond" w:hAnsi="Garamond" w:cs="Times New Roman"/>
          <w:sz w:val="24"/>
          <w:szCs w:val="24"/>
        </w:rPr>
        <w:t xml:space="preserve"> by giving a large portion and </w:t>
      </w:r>
      <w:proofErr w:type="gramStart"/>
      <w:r w:rsidRPr="00672916">
        <w:rPr>
          <w:rFonts w:ascii="Garamond" w:hAnsi="Garamond" w:cs="Times New Roman"/>
          <w:sz w:val="24"/>
          <w:szCs w:val="24"/>
        </w:rPr>
        <w:t>adding  weight</w:t>
      </w:r>
      <w:proofErr w:type="gramEnd"/>
      <w:r w:rsidRPr="00672916">
        <w:rPr>
          <w:rFonts w:ascii="Garamond" w:hAnsi="Garamond" w:cs="Times New Roman"/>
          <w:sz w:val="24"/>
          <w:szCs w:val="24"/>
        </w:rPr>
        <w:t xml:space="preserve"> to </w:t>
      </w:r>
      <w:r w:rsidRPr="00672916">
        <w:rPr>
          <w:rFonts w:ascii="Garamond" w:hAnsi="Garamond" w:cs="Times New Roman"/>
          <w:i/>
          <w:iCs/>
          <w:sz w:val="24"/>
          <w:szCs w:val="24"/>
        </w:rPr>
        <w:t>the material on al-'</w:t>
      </w:r>
      <w:proofErr w:type="spellStart"/>
      <w:r w:rsidRPr="00672916">
        <w:rPr>
          <w:rFonts w:ascii="Garamond" w:hAnsi="Garamond" w:cs="Times New Roman"/>
          <w:i/>
          <w:iCs/>
          <w:sz w:val="24"/>
          <w:szCs w:val="24"/>
        </w:rPr>
        <w:t>ulumus</w:t>
      </w:r>
      <w:proofErr w:type="spellEnd"/>
      <w:r w:rsidRPr="00672916">
        <w:rPr>
          <w:rFonts w:ascii="Garamond" w:hAnsi="Garamond" w:cs="Times New Roman"/>
          <w:i/>
          <w:iCs/>
          <w:sz w:val="24"/>
          <w:szCs w:val="24"/>
        </w:rPr>
        <w:t>-</w:t>
      </w:r>
      <w:proofErr w:type="spellStart"/>
      <w:r w:rsidRPr="00672916">
        <w:rPr>
          <w:rFonts w:ascii="Garamond" w:hAnsi="Garamond" w:cs="Times New Roman"/>
          <w:i/>
          <w:iCs/>
          <w:sz w:val="24"/>
          <w:szCs w:val="24"/>
        </w:rPr>
        <w:t>syar'iyyah</w:t>
      </w:r>
      <w:proofErr w:type="spellEnd"/>
      <w:r w:rsidRPr="00672916">
        <w:rPr>
          <w:rFonts w:ascii="Garamond" w:hAnsi="Garamond" w:cs="Times New Roman"/>
          <w:i/>
          <w:iCs/>
          <w:sz w:val="24"/>
          <w:szCs w:val="24"/>
        </w:rPr>
        <w:t xml:space="preserve"> </w:t>
      </w:r>
      <w:r w:rsidRPr="00672916">
        <w:rPr>
          <w:rFonts w:ascii="Garamond" w:hAnsi="Garamond" w:cs="Times New Roman"/>
          <w:sz w:val="24"/>
          <w:szCs w:val="24"/>
        </w:rPr>
        <w:t xml:space="preserve">and Arabic. The </w:t>
      </w:r>
      <w:r w:rsidRPr="00672916">
        <w:rPr>
          <w:rFonts w:ascii="Garamond" w:hAnsi="Garamond" w:cs="Times New Roman"/>
          <w:i/>
          <w:iCs/>
          <w:sz w:val="24"/>
          <w:szCs w:val="24"/>
        </w:rPr>
        <w:t>al-'</w:t>
      </w:r>
      <w:proofErr w:type="spellStart"/>
      <w:r w:rsidRPr="00672916">
        <w:rPr>
          <w:rFonts w:ascii="Garamond" w:hAnsi="Garamond" w:cs="Times New Roman"/>
          <w:i/>
          <w:iCs/>
          <w:sz w:val="24"/>
          <w:szCs w:val="24"/>
        </w:rPr>
        <w:t>ulumul</w:t>
      </w:r>
      <w:proofErr w:type="spellEnd"/>
      <w:r w:rsidRPr="00672916">
        <w:rPr>
          <w:rFonts w:ascii="Garamond" w:hAnsi="Garamond" w:cs="Times New Roman"/>
          <w:i/>
          <w:iCs/>
          <w:sz w:val="24"/>
          <w:szCs w:val="24"/>
        </w:rPr>
        <w:t>-</w:t>
      </w:r>
      <w:proofErr w:type="spellStart"/>
      <w:r w:rsidRPr="00672916">
        <w:rPr>
          <w:rFonts w:ascii="Garamond" w:hAnsi="Garamond" w:cs="Times New Roman"/>
          <w:i/>
          <w:iCs/>
          <w:sz w:val="24"/>
          <w:szCs w:val="24"/>
        </w:rPr>
        <w:t>insaniyyah</w:t>
      </w:r>
      <w:proofErr w:type="spellEnd"/>
      <w:r w:rsidRPr="00672916">
        <w:rPr>
          <w:rFonts w:ascii="Garamond" w:hAnsi="Garamond" w:cs="Times New Roman"/>
          <w:i/>
          <w:iCs/>
          <w:sz w:val="24"/>
          <w:szCs w:val="24"/>
        </w:rPr>
        <w:t xml:space="preserve"> </w:t>
      </w:r>
      <w:r w:rsidRPr="00672916">
        <w:rPr>
          <w:rFonts w:ascii="Garamond" w:hAnsi="Garamond" w:cs="Times New Roman"/>
          <w:sz w:val="24"/>
          <w:szCs w:val="24"/>
        </w:rPr>
        <w:t xml:space="preserve">and </w:t>
      </w:r>
      <w:r w:rsidRPr="00672916">
        <w:rPr>
          <w:rFonts w:ascii="Garamond" w:hAnsi="Garamond" w:cs="Times New Roman"/>
          <w:i/>
          <w:iCs/>
          <w:sz w:val="24"/>
          <w:szCs w:val="24"/>
        </w:rPr>
        <w:t>al-</w:t>
      </w:r>
      <w:proofErr w:type="spellStart"/>
      <w:r w:rsidRPr="00672916">
        <w:rPr>
          <w:rFonts w:ascii="Garamond" w:hAnsi="Garamond" w:cs="Times New Roman"/>
          <w:i/>
          <w:iCs/>
          <w:sz w:val="24"/>
          <w:szCs w:val="24"/>
        </w:rPr>
        <w:t>kauniyyah</w:t>
      </w:r>
      <w:proofErr w:type="spellEnd"/>
      <w:r w:rsidRPr="00672916">
        <w:rPr>
          <w:rFonts w:ascii="Garamond" w:hAnsi="Garamond" w:cs="Times New Roman"/>
          <w:i/>
          <w:iCs/>
          <w:sz w:val="24"/>
          <w:szCs w:val="24"/>
        </w:rPr>
        <w:t xml:space="preserve"> </w:t>
      </w:r>
      <w:r w:rsidRPr="00672916">
        <w:rPr>
          <w:rFonts w:ascii="Garamond" w:hAnsi="Garamond" w:cs="Times New Roman"/>
          <w:sz w:val="24"/>
          <w:szCs w:val="24"/>
        </w:rPr>
        <w:t xml:space="preserve">are given in an extracurricular format. Excluding English which is included in the </w:t>
      </w:r>
      <w:proofErr w:type="spellStart"/>
      <w:r w:rsidRPr="00672916">
        <w:rPr>
          <w:rFonts w:ascii="Garamond" w:hAnsi="Garamond" w:cs="Times New Roman"/>
          <w:sz w:val="24"/>
          <w:szCs w:val="24"/>
        </w:rPr>
        <w:t>intracurricular</w:t>
      </w:r>
      <w:proofErr w:type="spellEnd"/>
      <w:r w:rsidRPr="00672916">
        <w:rPr>
          <w:rFonts w:ascii="Garamond" w:hAnsi="Garamond" w:cs="Times New Roman"/>
          <w:sz w:val="24"/>
          <w:szCs w:val="24"/>
        </w:rPr>
        <w:t xml:space="preserve"> considering that the study of Islamic religion today requires competence in understanding the references of Islamic studies in English. In more detail, the </w:t>
      </w:r>
      <w:proofErr w:type="spellStart"/>
      <w:r w:rsidRPr="00672916">
        <w:rPr>
          <w:rFonts w:ascii="Garamond" w:hAnsi="Garamond" w:cs="Times New Roman"/>
          <w:sz w:val="24"/>
          <w:szCs w:val="24"/>
        </w:rPr>
        <w:t>intracurricular</w:t>
      </w:r>
      <w:proofErr w:type="spellEnd"/>
      <w:r w:rsidRPr="00672916">
        <w:rPr>
          <w:rFonts w:ascii="Garamond" w:hAnsi="Garamond" w:cs="Times New Roman"/>
          <w:sz w:val="24"/>
          <w:szCs w:val="24"/>
        </w:rPr>
        <w:t xml:space="preserve"> and extracurricular formats are: </w:t>
      </w:r>
      <w:r>
        <w:rPr>
          <w:rFonts w:ascii="Garamond" w:hAnsi="Garamond" w:cs="Times New Roman"/>
          <w:i/>
          <w:iCs/>
          <w:sz w:val="24"/>
          <w:szCs w:val="24"/>
        </w:rPr>
        <w:t xml:space="preserve">First, </w:t>
      </w:r>
      <w:proofErr w:type="spellStart"/>
      <w:r>
        <w:rPr>
          <w:rFonts w:ascii="Garamond" w:hAnsi="Garamond" w:cs="Times New Roman"/>
          <w:sz w:val="24"/>
          <w:szCs w:val="24"/>
        </w:rPr>
        <w:t>intracurricular</w:t>
      </w:r>
      <w:proofErr w:type="spellEnd"/>
      <w:r>
        <w:rPr>
          <w:rFonts w:ascii="Garamond" w:hAnsi="Garamond" w:cs="Times New Roman"/>
          <w:sz w:val="24"/>
          <w:szCs w:val="24"/>
        </w:rPr>
        <w:t xml:space="preserve"> subjects consist of </w:t>
      </w:r>
      <w:proofErr w:type="spellStart"/>
      <w:r>
        <w:rPr>
          <w:rFonts w:ascii="Garamond" w:hAnsi="Garamond" w:cs="Times New Roman"/>
          <w:sz w:val="24"/>
          <w:szCs w:val="24"/>
        </w:rPr>
        <w:t>tahsin</w:t>
      </w:r>
      <w:proofErr w:type="spellEnd"/>
      <w:r>
        <w:rPr>
          <w:rFonts w:ascii="Garamond" w:hAnsi="Garamond" w:cs="Times New Roman"/>
          <w:sz w:val="24"/>
          <w:szCs w:val="24"/>
        </w:rPr>
        <w:t xml:space="preserve"> and </w:t>
      </w:r>
      <w:proofErr w:type="spellStart"/>
      <w:r>
        <w:rPr>
          <w:rFonts w:ascii="Garamond" w:hAnsi="Garamond" w:cs="Times New Roman"/>
          <w:sz w:val="24"/>
          <w:szCs w:val="24"/>
        </w:rPr>
        <w:t>tahfizh</w:t>
      </w:r>
      <w:proofErr w:type="spellEnd"/>
      <w:r>
        <w:rPr>
          <w:rFonts w:ascii="Garamond" w:hAnsi="Garamond" w:cs="Times New Roman"/>
          <w:sz w:val="24"/>
          <w:szCs w:val="24"/>
        </w:rPr>
        <w:t xml:space="preserve">, tafsir of the Qur'an, knowledge of the Qur'an, </w:t>
      </w:r>
      <w:proofErr w:type="spellStart"/>
      <w:r w:rsidRPr="00F8139A">
        <w:rPr>
          <w:rFonts w:ascii="Garamond" w:hAnsi="Garamond" w:cs="Times New Roman"/>
          <w:i/>
          <w:iCs/>
          <w:sz w:val="24"/>
          <w:szCs w:val="24"/>
        </w:rPr>
        <w:t>mushthalah</w:t>
      </w:r>
      <w:proofErr w:type="spellEnd"/>
      <w:r w:rsidRPr="00F8139A">
        <w:rPr>
          <w:rFonts w:ascii="Garamond" w:hAnsi="Garamond" w:cs="Times New Roman"/>
          <w:i/>
          <w:iCs/>
          <w:sz w:val="24"/>
          <w:szCs w:val="24"/>
        </w:rPr>
        <w:t xml:space="preserve"> hadith</w:t>
      </w:r>
      <w:r>
        <w:rPr>
          <w:rFonts w:ascii="Garamond" w:hAnsi="Garamond" w:cs="Times New Roman"/>
          <w:sz w:val="24"/>
          <w:szCs w:val="24"/>
        </w:rPr>
        <w:t xml:space="preserve">, tauhid, </w:t>
      </w:r>
      <w:proofErr w:type="spellStart"/>
      <w:r w:rsidRPr="00F8139A">
        <w:rPr>
          <w:rFonts w:ascii="Garamond" w:hAnsi="Garamond" w:cs="Times New Roman"/>
          <w:i/>
          <w:iCs/>
          <w:sz w:val="24"/>
          <w:szCs w:val="24"/>
        </w:rPr>
        <w:t>Riyadlus-Shalihin</w:t>
      </w:r>
      <w:proofErr w:type="spellEnd"/>
      <w:r w:rsidRPr="00F8139A">
        <w:rPr>
          <w:rFonts w:ascii="Garamond" w:hAnsi="Garamond" w:cs="Times New Roman"/>
          <w:i/>
          <w:iCs/>
          <w:sz w:val="24"/>
          <w:szCs w:val="24"/>
        </w:rPr>
        <w:t xml:space="preserve">, </w:t>
      </w:r>
      <w:proofErr w:type="spellStart"/>
      <w:r w:rsidRPr="00F8139A">
        <w:rPr>
          <w:rFonts w:ascii="Garamond" w:hAnsi="Garamond" w:cs="Times New Roman"/>
          <w:i/>
          <w:iCs/>
          <w:sz w:val="24"/>
          <w:szCs w:val="24"/>
        </w:rPr>
        <w:t>Bulughul</w:t>
      </w:r>
      <w:proofErr w:type="spellEnd"/>
      <w:r w:rsidRPr="00F8139A">
        <w:rPr>
          <w:rFonts w:ascii="Garamond" w:hAnsi="Garamond" w:cs="Times New Roman"/>
          <w:i/>
          <w:iCs/>
          <w:sz w:val="24"/>
          <w:szCs w:val="24"/>
        </w:rPr>
        <w:t>-Maram</w:t>
      </w:r>
      <w:r>
        <w:rPr>
          <w:rFonts w:ascii="Garamond" w:hAnsi="Garamond" w:cs="Times New Roman"/>
          <w:sz w:val="24"/>
          <w:szCs w:val="24"/>
        </w:rPr>
        <w:t xml:space="preserve">, </w:t>
      </w:r>
      <w:proofErr w:type="spellStart"/>
      <w:r w:rsidRPr="00F8139A">
        <w:rPr>
          <w:rFonts w:ascii="Garamond" w:hAnsi="Garamond" w:cs="Times New Roman"/>
          <w:i/>
          <w:iCs/>
          <w:sz w:val="24"/>
          <w:szCs w:val="24"/>
        </w:rPr>
        <w:t>Ushul</w:t>
      </w:r>
      <w:proofErr w:type="spellEnd"/>
      <w:r w:rsidRPr="00F8139A">
        <w:rPr>
          <w:rFonts w:ascii="Garamond" w:hAnsi="Garamond" w:cs="Times New Roman"/>
          <w:i/>
          <w:iCs/>
          <w:sz w:val="24"/>
          <w:szCs w:val="24"/>
        </w:rPr>
        <w:t>-Fiqh</w:t>
      </w:r>
      <w:r>
        <w:rPr>
          <w:rFonts w:ascii="Garamond" w:hAnsi="Garamond" w:cs="Times New Roman"/>
          <w:sz w:val="24"/>
          <w:szCs w:val="24"/>
        </w:rPr>
        <w:t>, Arabic (</w:t>
      </w:r>
      <w:proofErr w:type="spellStart"/>
      <w:r w:rsidRPr="00F8139A">
        <w:rPr>
          <w:rFonts w:ascii="Garamond" w:hAnsi="Garamond" w:cs="Times New Roman"/>
          <w:i/>
          <w:iCs/>
          <w:sz w:val="24"/>
          <w:szCs w:val="24"/>
        </w:rPr>
        <w:t>Qawa'id</w:t>
      </w:r>
      <w:proofErr w:type="spellEnd"/>
      <w:r w:rsidRPr="00F8139A">
        <w:rPr>
          <w:rFonts w:ascii="Garamond" w:hAnsi="Garamond" w:cs="Times New Roman"/>
          <w:i/>
          <w:iCs/>
          <w:sz w:val="24"/>
          <w:szCs w:val="24"/>
        </w:rPr>
        <w:t xml:space="preserve">, </w:t>
      </w:r>
      <w:proofErr w:type="spellStart"/>
      <w:r w:rsidRPr="00F8139A">
        <w:rPr>
          <w:rFonts w:ascii="Garamond" w:hAnsi="Garamond" w:cs="Times New Roman"/>
          <w:i/>
          <w:iCs/>
          <w:sz w:val="24"/>
          <w:szCs w:val="24"/>
        </w:rPr>
        <w:t>Hiwar</w:t>
      </w:r>
      <w:proofErr w:type="spellEnd"/>
      <w:r w:rsidRPr="00F8139A">
        <w:rPr>
          <w:rFonts w:ascii="Garamond" w:hAnsi="Garamond" w:cs="Times New Roman"/>
          <w:i/>
          <w:iCs/>
          <w:sz w:val="24"/>
          <w:szCs w:val="24"/>
        </w:rPr>
        <w:t xml:space="preserve">, </w:t>
      </w:r>
      <w:proofErr w:type="spellStart"/>
      <w:r w:rsidRPr="00F8139A">
        <w:rPr>
          <w:rFonts w:ascii="Garamond" w:hAnsi="Garamond" w:cs="Times New Roman"/>
          <w:i/>
          <w:iCs/>
          <w:sz w:val="24"/>
          <w:szCs w:val="24"/>
        </w:rPr>
        <w:t>Balaghah</w:t>
      </w:r>
      <w:proofErr w:type="spellEnd"/>
      <w:r>
        <w:rPr>
          <w:rFonts w:ascii="Garamond" w:hAnsi="Garamond" w:cs="Times New Roman"/>
          <w:sz w:val="24"/>
          <w:szCs w:val="24"/>
        </w:rPr>
        <w:t xml:space="preserve">), and English. The extracurricular subjects consist of: Indonesian, Science, Social Studies, mathematics, </w:t>
      </w:r>
      <w:proofErr w:type="spellStart"/>
      <w:r>
        <w:rPr>
          <w:rFonts w:ascii="Garamond" w:hAnsi="Garamond" w:cs="Times New Roman"/>
          <w:i/>
          <w:iCs/>
          <w:sz w:val="24"/>
          <w:szCs w:val="24"/>
        </w:rPr>
        <w:t>fara'idl</w:t>
      </w:r>
      <w:proofErr w:type="spellEnd"/>
      <w:r>
        <w:rPr>
          <w:rFonts w:ascii="Garamond" w:hAnsi="Garamond" w:cs="Times New Roman"/>
          <w:sz w:val="24"/>
          <w:szCs w:val="24"/>
        </w:rPr>
        <w:t xml:space="preserve">, </w:t>
      </w:r>
      <w:proofErr w:type="spellStart"/>
      <w:r>
        <w:rPr>
          <w:rFonts w:ascii="Garamond" w:hAnsi="Garamond" w:cs="Times New Roman"/>
          <w:sz w:val="24"/>
          <w:szCs w:val="24"/>
        </w:rPr>
        <w:t>sirah</w:t>
      </w:r>
      <w:proofErr w:type="spellEnd"/>
      <w:r>
        <w:rPr>
          <w:rFonts w:ascii="Garamond" w:hAnsi="Garamond" w:cs="Times New Roman"/>
          <w:sz w:val="24"/>
          <w:szCs w:val="24"/>
        </w:rPr>
        <w:t xml:space="preserve"> </w:t>
      </w:r>
      <w:proofErr w:type="spellStart"/>
      <w:r>
        <w:rPr>
          <w:rFonts w:ascii="Garamond" w:hAnsi="Garamond" w:cs="Times New Roman"/>
          <w:sz w:val="24"/>
          <w:szCs w:val="24"/>
        </w:rPr>
        <w:t>nabawiyyah</w:t>
      </w:r>
      <w:proofErr w:type="spellEnd"/>
      <w:r>
        <w:rPr>
          <w:rFonts w:ascii="Garamond" w:hAnsi="Garamond" w:cs="Times New Roman"/>
          <w:sz w:val="24"/>
          <w:szCs w:val="24"/>
        </w:rPr>
        <w:t xml:space="preserve"> and Islamic history, sports, martial arts, </w:t>
      </w:r>
      <w:proofErr w:type="spellStart"/>
      <w:r>
        <w:rPr>
          <w:rFonts w:ascii="Garamond" w:hAnsi="Garamond" w:cs="Times New Roman"/>
          <w:sz w:val="24"/>
          <w:szCs w:val="24"/>
        </w:rPr>
        <w:t>hisab</w:t>
      </w:r>
      <w:proofErr w:type="spellEnd"/>
      <w:r>
        <w:rPr>
          <w:rFonts w:ascii="Garamond" w:hAnsi="Garamond" w:cs="Times New Roman"/>
          <w:sz w:val="24"/>
          <w:szCs w:val="24"/>
        </w:rPr>
        <w:t xml:space="preserve">, precision, </w:t>
      </w:r>
      <w:proofErr w:type="spellStart"/>
      <w:r>
        <w:rPr>
          <w:rFonts w:ascii="Garamond" w:hAnsi="Garamond" w:cs="Times New Roman"/>
          <w:sz w:val="24"/>
          <w:szCs w:val="24"/>
        </w:rPr>
        <w:t>fiqh</w:t>
      </w:r>
      <w:proofErr w:type="spellEnd"/>
      <w:r>
        <w:rPr>
          <w:rFonts w:ascii="Garamond" w:hAnsi="Garamond" w:cs="Times New Roman"/>
          <w:sz w:val="24"/>
          <w:szCs w:val="24"/>
        </w:rPr>
        <w:t xml:space="preserve"> </w:t>
      </w:r>
      <w:proofErr w:type="spellStart"/>
      <w:r>
        <w:rPr>
          <w:rFonts w:ascii="Garamond" w:hAnsi="Garamond" w:cs="Times New Roman"/>
          <w:sz w:val="24"/>
          <w:szCs w:val="24"/>
        </w:rPr>
        <w:t>siyasah</w:t>
      </w:r>
      <w:proofErr w:type="spellEnd"/>
      <w:r>
        <w:rPr>
          <w:rFonts w:ascii="Garamond" w:hAnsi="Garamond" w:cs="Times New Roman"/>
          <w:sz w:val="24"/>
          <w:szCs w:val="24"/>
        </w:rPr>
        <w:t xml:space="preserve">, </w:t>
      </w:r>
      <w:proofErr w:type="spellStart"/>
      <w:r>
        <w:rPr>
          <w:rFonts w:ascii="Garamond" w:hAnsi="Garamond" w:cs="Times New Roman"/>
          <w:sz w:val="24"/>
          <w:szCs w:val="24"/>
        </w:rPr>
        <w:t>manthiq</w:t>
      </w:r>
      <w:proofErr w:type="spellEnd"/>
      <w:r>
        <w:rPr>
          <w:rFonts w:ascii="Garamond" w:hAnsi="Garamond" w:cs="Times New Roman"/>
          <w:sz w:val="24"/>
          <w:szCs w:val="24"/>
        </w:rPr>
        <w:t xml:space="preserve">, and education. In addition, extracurricular education activities will also be supplemented with </w:t>
      </w:r>
      <w:r w:rsidRPr="00F8139A">
        <w:rPr>
          <w:rFonts w:ascii="Garamond" w:hAnsi="Garamond" w:cs="Times New Roman"/>
          <w:i/>
          <w:iCs/>
          <w:sz w:val="24"/>
          <w:szCs w:val="24"/>
        </w:rPr>
        <w:t>polar and</w:t>
      </w:r>
      <w:r>
        <w:rPr>
          <w:rFonts w:ascii="Garamond" w:hAnsi="Garamond" w:cs="Times New Roman"/>
          <w:sz w:val="24"/>
          <w:szCs w:val="24"/>
        </w:rPr>
        <w:t xml:space="preserve"> mass communication (rhetoric and journalism) (</w:t>
      </w:r>
      <w:hyperlink r:id="rId14" w:history="1">
        <w:r w:rsidRPr="00CF1492">
          <w:rPr>
            <w:rStyle w:val="Hyperlink"/>
            <w:rFonts w:ascii="Garamond" w:hAnsi="Garamond"/>
            <w:sz w:val="24"/>
            <w:szCs w:val="24"/>
          </w:rPr>
          <w:t>https://pesantrenpersis27.com/</w:t>
        </w:r>
      </w:hyperlink>
      <w:r>
        <w:rPr>
          <w:rFonts w:ascii="Garamond" w:hAnsi="Garamond" w:cs="Times New Roman"/>
          <w:sz w:val="24"/>
          <w:szCs w:val="24"/>
        </w:rPr>
        <w:t xml:space="preserve">). </w:t>
      </w:r>
    </w:p>
    <w:p w14:paraId="2BC5277F" w14:textId="77777777" w:rsidR="00AF4385" w:rsidRDefault="00AF4385" w:rsidP="00AF4385">
      <w:pPr>
        <w:spacing w:before="240" w:after="40" w:line="240" w:lineRule="auto"/>
        <w:jc w:val="both"/>
        <w:rPr>
          <w:rFonts w:ascii="Garamond" w:hAnsi="Garamond" w:cs="Times New Roman"/>
          <w:sz w:val="24"/>
          <w:szCs w:val="24"/>
        </w:rPr>
      </w:pPr>
    </w:p>
    <w:p w14:paraId="4588F081" w14:textId="77777777" w:rsidR="00AF4385" w:rsidRPr="0087384A" w:rsidRDefault="00AF4385" w:rsidP="00AF4385">
      <w:pPr>
        <w:spacing w:before="240" w:after="40" w:line="240" w:lineRule="auto"/>
        <w:jc w:val="both"/>
        <w:rPr>
          <w:rFonts w:ascii="Garamond" w:hAnsi="Garamond" w:cs="Times New Roman"/>
          <w:b/>
          <w:bCs/>
          <w:sz w:val="24"/>
          <w:szCs w:val="24"/>
        </w:rPr>
      </w:pPr>
      <w:r w:rsidRPr="0087384A">
        <w:rPr>
          <w:rFonts w:ascii="Garamond" w:hAnsi="Garamond" w:cs="Times New Roman"/>
          <w:b/>
          <w:bCs/>
          <w:sz w:val="24"/>
          <w:szCs w:val="24"/>
        </w:rPr>
        <w:t xml:space="preserve">Discussion </w:t>
      </w:r>
    </w:p>
    <w:p w14:paraId="317F55A3" w14:textId="77777777" w:rsidR="00AF4385" w:rsidRDefault="00AF4385" w:rsidP="00AF4385">
      <w:pPr>
        <w:spacing w:before="240" w:after="40" w:line="240" w:lineRule="auto"/>
        <w:jc w:val="both"/>
        <w:rPr>
          <w:rFonts w:ascii="Garamond" w:hAnsi="Garamond"/>
          <w:b/>
          <w:bCs/>
          <w:sz w:val="24"/>
          <w:szCs w:val="24"/>
        </w:rPr>
      </w:pPr>
    </w:p>
    <w:p w14:paraId="7D0520B5" w14:textId="77777777" w:rsidR="00AF4385" w:rsidRPr="00A85841" w:rsidRDefault="00AF4385" w:rsidP="00AF4385">
      <w:pPr>
        <w:spacing w:before="240" w:after="40" w:line="240" w:lineRule="auto"/>
        <w:jc w:val="both"/>
        <w:rPr>
          <w:rFonts w:ascii="Garamond" w:hAnsi="Garamond"/>
          <w:b/>
          <w:bCs/>
          <w:sz w:val="24"/>
          <w:szCs w:val="24"/>
        </w:rPr>
      </w:pPr>
      <w:r w:rsidRPr="00A85841">
        <w:rPr>
          <w:rFonts w:ascii="Garamond" w:hAnsi="Garamond"/>
          <w:b/>
          <w:bCs/>
          <w:sz w:val="24"/>
          <w:szCs w:val="24"/>
        </w:rPr>
        <w:t>Curriculum Differentiation Based on Organizational Affiliation</w:t>
      </w:r>
    </w:p>
    <w:p w14:paraId="48C4BF6E" w14:textId="77777777" w:rsidR="00AF4385" w:rsidRPr="00A85841" w:rsidRDefault="00AF4385" w:rsidP="00AF4385">
      <w:pPr>
        <w:spacing w:before="240" w:after="40" w:line="240" w:lineRule="auto"/>
        <w:ind w:firstLine="567"/>
        <w:jc w:val="both"/>
        <w:rPr>
          <w:rFonts w:ascii="Garamond" w:hAnsi="Garamond"/>
          <w:sz w:val="24"/>
          <w:szCs w:val="24"/>
        </w:rPr>
      </w:pPr>
      <w:r w:rsidRPr="00A85841">
        <w:rPr>
          <w:rFonts w:ascii="Garamond" w:hAnsi="Garamond"/>
          <w:sz w:val="24"/>
          <w:szCs w:val="24"/>
        </w:rPr>
        <w:t xml:space="preserve">An analysis of the curriculum of </w:t>
      </w:r>
      <w:proofErr w:type="spellStart"/>
      <w:r>
        <w:rPr>
          <w:rFonts w:ascii="Garamond" w:hAnsi="Garamond" w:cs="Times New Roman"/>
          <w:sz w:val="24"/>
          <w:szCs w:val="24"/>
        </w:rPr>
        <w:t>pesantren</w:t>
      </w:r>
      <w:proofErr w:type="spellEnd"/>
      <w:r w:rsidRPr="00A85841">
        <w:rPr>
          <w:rFonts w:ascii="Garamond" w:hAnsi="Garamond"/>
          <w:sz w:val="24"/>
          <w:szCs w:val="24"/>
        </w:rPr>
        <w:t xml:space="preserve"> affiliated with Islamic organizations shows that each affiliation develops a distinctive curriculum approach, rooted in their respective theological, historical, and social identities. NU </w:t>
      </w:r>
      <w:proofErr w:type="spellStart"/>
      <w:r>
        <w:rPr>
          <w:rFonts w:ascii="Garamond" w:hAnsi="Garamond" w:cs="Times New Roman"/>
          <w:sz w:val="24"/>
          <w:szCs w:val="24"/>
        </w:rPr>
        <w:t>pesantren</w:t>
      </w:r>
      <w:proofErr w:type="spellEnd"/>
      <w:r w:rsidRPr="00A85841">
        <w:rPr>
          <w:rFonts w:ascii="Garamond" w:hAnsi="Garamond"/>
          <w:sz w:val="24"/>
          <w:szCs w:val="24"/>
        </w:rPr>
        <w:t xml:space="preserve">, for example, builds a curriculum system based on </w:t>
      </w:r>
      <w:proofErr w:type="spellStart"/>
      <w:r w:rsidRPr="00A85841">
        <w:rPr>
          <w:rFonts w:ascii="Garamond" w:hAnsi="Garamond"/>
          <w:i/>
          <w:iCs/>
          <w:sz w:val="24"/>
          <w:szCs w:val="24"/>
        </w:rPr>
        <w:t>tafaqquh</w:t>
      </w:r>
      <w:proofErr w:type="spellEnd"/>
      <w:r w:rsidRPr="00A85841">
        <w:rPr>
          <w:rFonts w:ascii="Garamond" w:hAnsi="Garamond"/>
          <w:i/>
          <w:iCs/>
          <w:sz w:val="24"/>
          <w:szCs w:val="24"/>
        </w:rPr>
        <w:t xml:space="preserve"> fi al-din</w:t>
      </w:r>
      <w:r w:rsidRPr="00A85841">
        <w:rPr>
          <w:rFonts w:ascii="Garamond" w:hAnsi="Garamond"/>
          <w:sz w:val="24"/>
          <w:szCs w:val="24"/>
        </w:rPr>
        <w:t xml:space="preserve"> with the main teaching resource in the form of the classic </w:t>
      </w:r>
      <w:r>
        <w:rPr>
          <w:rFonts w:ascii="Garamond" w:hAnsi="Garamond"/>
          <w:i/>
          <w:iCs/>
          <w:sz w:val="24"/>
          <w:szCs w:val="24"/>
        </w:rPr>
        <w:t xml:space="preserve">kitab </w:t>
      </w:r>
      <w:proofErr w:type="spellStart"/>
      <w:r>
        <w:rPr>
          <w:rFonts w:ascii="Garamond" w:hAnsi="Garamond"/>
          <w:i/>
          <w:iCs/>
          <w:sz w:val="24"/>
          <w:szCs w:val="24"/>
        </w:rPr>
        <w:t>kuning</w:t>
      </w:r>
      <w:proofErr w:type="spellEnd"/>
      <w:r w:rsidRPr="00A85841">
        <w:rPr>
          <w:rFonts w:ascii="Garamond" w:hAnsi="Garamond"/>
          <w:sz w:val="24"/>
          <w:szCs w:val="24"/>
        </w:rPr>
        <w:t xml:space="preserve"> that is read in stages and in depth. In this case, the NU </w:t>
      </w:r>
      <w:proofErr w:type="spellStart"/>
      <w:r w:rsidRPr="00A85841">
        <w:rPr>
          <w:rFonts w:ascii="Garamond" w:hAnsi="Garamond"/>
          <w:sz w:val="24"/>
          <w:szCs w:val="24"/>
        </w:rPr>
        <w:t>pesantren</w:t>
      </w:r>
      <w:proofErr w:type="spellEnd"/>
      <w:r w:rsidRPr="00A85841">
        <w:rPr>
          <w:rFonts w:ascii="Garamond" w:hAnsi="Garamond"/>
          <w:sz w:val="24"/>
          <w:szCs w:val="24"/>
        </w:rPr>
        <w:t xml:space="preserve"> maintains a rich scientific tradition of </w:t>
      </w:r>
      <w:proofErr w:type="spellStart"/>
      <w:r w:rsidRPr="00A85841">
        <w:rPr>
          <w:rFonts w:ascii="Garamond" w:hAnsi="Garamond"/>
          <w:sz w:val="24"/>
          <w:szCs w:val="24"/>
        </w:rPr>
        <w:t>turats</w:t>
      </w:r>
      <w:proofErr w:type="spellEnd"/>
      <w:r w:rsidRPr="00A85841">
        <w:rPr>
          <w:rFonts w:ascii="Garamond" w:hAnsi="Garamond"/>
          <w:sz w:val="24"/>
          <w:szCs w:val="24"/>
        </w:rPr>
        <w:t xml:space="preserve"> with a </w:t>
      </w:r>
      <w:proofErr w:type="spellStart"/>
      <w:r w:rsidRPr="00A85841">
        <w:rPr>
          <w:rFonts w:ascii="Garamond" w:hAnsi="Garamond"/>
          <w:sz w:val="24"/>
          <w:szCs w:val="24"/>
        </w:rPr>
        <w:t>sufistic</w:t>
      </w:r>
      <w:proofErr w:type="spellEnd"/>
      <w:r w:rsidRPr="00A85841">
        <w:rPr>
          <w:rFonts w:ascii="Garamond" w:hAnsi="Garamond"/>
          <w:sz w:val="24"/>
          <w:szCs w:val="24"/>
        </w:rPr>
        <w:t xml:space="preserve"> and legalistic approach from the Shafi'</w:t>
      </w:r>
      <w:r>
        <w:rPr>
          <w:rFonts w:ascii="Garamond" w:hAnsi="Garamond"/>
          <w:sz w:val="24"/>
          <w:szCs w:val="24"/>
        </w:rPr>
        <w:t>i</w:t>
      </w:r>
      <w:r w:rsidRPr="00A85841">
        <w:rPr>
          <w:rFonts w:ascii="Garamond" w:hAnsi="Garamond"/>
          <w:sz w:val="24"/>
          <w:szCs w:val="24"/>
        </w:rPr>
        <w:t xml:space="preserve"> school </w:t>
      </w:r>
      <w:r>
        <w:rPr>
          <w:rFonts w:ascii="Garamond" w:hAnsi="Garamond"/>
          <w:sz w:val="24"/>
          <w:szCs w:val="24"/>
        </w:rPr>
        <w:fldChar w:fldCharType="begin" w:fldLock="1"/>
      </w:r>
      <w:r>
        <w:rPr>
          <w:rFonts w:ascii="Garamond" w:hAnsi="Garamond"/>
          <w:sz w:val="24"/>
          <w:szCs w:val="24"/>
        </w:rPr>
        <w:instrText>ADDIN CSL_CITATION {"citationItems":[{"id":"ITEM-1","itemData":{"author":[{"dropping-particle":"","family":"Sahri","given":"Iksan K.","non-dropping-particle":"","parse-names":false,"suffix":""}],"id":"ITEM-1","issued":{"date-parts":[["2021"]]},"publisher":"Cantrik Pustaka","publisher-place":"Yogyakarta","title":"Pesantren, Kiai, dan Kitab Kuning","type":"book"},"uris":["http://www.mendeley.com/documents/?uuid=f4b2be09-f8f5-4889-aec0-f55e5306087f"]}],"mendeley":{"formattedCitation":"(Sahri, 2021a)","manualFormatting":"(Sahri, 2021)","plainTextFormattedCitation":"(Sahri, 2021a)","previouslyFormattedCitation":"(Sahri, 2021a)"},"properties":{"noteIndex":0},"schema":"https://github.com/citation-style-language/schema/raw/master/csl-citation.json"}</w:instrText>
      </w:r>
      <w:r>
        <w:rPr>
          <w:rFonts w:ascii="Garamond" w:hAnsi="Garamond"/>
          <w:sz w:val="24"/>
          <w:szCs w:val="24"/>
        </w:rPr>
        <w:fldChar w:fldCharType="separate"/>
      </w:r>
      <w:r w:rsidRPr="002243E1">
        <w:rPr>
          <w:rFonts w:ascii="Garamond" w:hAnsi="Garamond"/>
          <w:noProof/>
          <w:sz w:val="24"/>
          <w:szCs w:val="24"/>
        </w:rPr>
        <w:t>(Sahri, 2021)</w:t>
      </w:r>
      <w:r>
        <w:rPr>
          <w:rFonts w:ascii="Garamond" w:hAnsi="Garamond"/>
          <w:sz w:val="24"/>
          <w:szCs w:val="24"/>
        </w:rPr>
        <w:fldChar w:fldCharType="end"/>
      </w:r>
      <w:r w:rsidRPr="00A85841">
        <w:rPr>
          <w:rFonts w:ascii="Garamond" w:hAnsi="Garamond"/>
          <w:sz w:val="24"/>
          <w:szCs w:val="24"/>
        </w:rPr>
        <w:t>.</w:t>
      </w:r>
    </w:p>
    <w:p w14:paraId="3EF0CC95" w14:textId="77777777" w:rsidR="00AF4385" w:rsidRPr="00A85841" w:rsidRDefault="00AF4385" w:rsidP="00AF4385">
      <w:pPr>
        <w:spacing w:before="240" w:after="40" w:line="240" w:lineRule="auto"/>
        <w:ind w:firstLine="567"/>
        <w:jc w:val="both"/>
        <w:rPr>
          <w:rFonts w:ascii="Garamond" w:hAnsi="Garamond"/>
          <w:sz w:val="24"/>
          <w:szCs w:val="24"/>
        </w:rPr>
      </w:pPr>
      <w:r w:rsidRPr="00A85841">
        <w:rPr>
          <w:rFonts w:ascii="Garamond" w:hAnsi="Garamond"/>
          <w:sz w:val="24"/>
          <w:szCs w:val="24"/>
        </w:rPr>
        <w:lastRenderedPageBreak/>
        <w:t xml:space="preserve">Apart from that, Muhammadiyah </w:t>
      </w:r>
      <w:proofErr w:type="spellStart"/>
      <w:r>
        <w:rPr>
          <w:rFonts w:ascii="Garamond" w:hAnsi="Garamond" w:cs="Times New Roman"/>
          <w:sz w:val="24"/>
          <w:szCs w:val="24"/>
        </w:rPr>
        <w:t>pesantren</w:t>
      </w:r>
      <w:proofErr w:type="spellEnd"/>
      <w:r>
        <w:rPr>
          <w:rFonts w:ascii="Garamond" w:hAnsi="Garamond" w:cs="Times New Roman"/>
          <w:sz w:val="24"/>
          <w:szCs w:val="24"/>
        </w:rPr>
        <w:t xml:space="preserve"> </w:t>
      </w:r>
      <w:r w:rsidRPr="00A85841">
        <w:rPr>
          <w:rFonts w:ascii="Garamond" w:hAnsi="Garamond"/>
          <w:sz w:val="24"/>
          <w:szCs w:val="24"/>
        </w:rPr>
        <w:t xml:space="preserve">prioritize the integration of general and religious curricula with modern and systemic education management. The national curriculum is used as the main foundation, while Islamic lessons are arranged through a thematic approach and are not </w:t>
      </w:r>
      <w:proofErr w:type="spellStart"/>
      <w:r w:rsidRPr="00A85841">
        <w:rPr>
          <w:rFonts w:ascii="Garamond" w:hAnsi="Garamond"/>
          <w:sz w:val="24"/>
          <w:szCs w:val="24"/>
        </w:rPr>
        <w:t>centered</w:t>
      </w:r>
      <w:proofErr w:type="spellEnd"/>
      <w:r w:rsidRPr="00A85841">
        <w:rPr>
          <w:rFonts w:ascii="Garamond" w:hAnsi="Garamond"/>
          <w:sz w:val="24"/>
          <w:szCs w:val="24"/>
        </w:rPr>
        <w:t xml:space="preserve"> on the yellow book. This reflects the reformist orientation of Muhammadiyah which from the beginning rejected </w:t>
      </w:r>
      <w:proofErr w:type="spellStart"/>
      <w:r w:rsidRPr="00A85841">
        <w:rPr>
          <w:rFonts w:ascii="Garamond" w:hAnsi="Garamond"/>
          <w:sz w:val="24"/>
          <w:szCs w:val="24"/>
        </w:rPr>
        <w:t>taklid</w:t>
      </w:r>
      <w:proofErr w:type="spellEnd"/>
      <w:r w:rsidRPr="00A85841">
        <w:rPr>
          <w:rFonts w:ascii="Garamond" w:hAnsi="Garamond"/>
          <w:sz w:val="24"/>
          <w:szCs w:val="24"/>
        </w:rPr>
        <w:t xml:space="preserve"> and tried to adapt Islamic education to the demands of modern times </w:t>
      </w:r>
      <w:r>
        <w:rPr>
          <w:rFonts w:ascii="Garamond" w:hAnsi="Garamond"/>
          <w:sz w:val="24"/>
          <w:szCs w:val="24"/>
        </w:rPr>
        <w:fldChar w:fldCharType="begin" w:fldLock="1"/>
      </w:r>
      <w:r>
        <w:rPr>
          <w:rFonts w:ascii="Garamond" w:hAnsi="Garamond"/>
          <w:sz w:val="24"/>
          <w:szCs w:val="24"/>
        </w:rPr>
        <w:instrText>ADDIN CSL_CITATION {"citationItems":[{"id":"ITEM-1","itemData":{"abstract":"Kurikulum adalah salah satu elemen penting dan mendasar dalam dunia pendidikan, termasuk pendidikan islam. Disamping elemen-elemen lain seperti Tujuan pendidikan, pendidik, anak didik, metode, lingkungan dan evaluasi. Hal ini juga menjadi perhatian besar bagi lembaga-lembaga pendidikan Islam di Indonesia, baik instansi pendidikan tradisonal maupun modern, termasuk pondok pesantren Muhammadiyah Paciran Lamongan yang menjadi obyek penulisan penulis. Seiring dengan perkembangan jaman, kurikulum pendidikan Islam dituntut untuk dapat selalu melakukan penyesuaian-penyesuaian sehingga dapat merangsang munculnya inovasi-inovasi baru dalam pengembangannya. Bila tidak demikian, maka kurikulum akan dianggap sebagai elemen pendidikan yang statis, tidak dinamis dan tidak dapat memenuhi tuntutan jaman. Hal ini akan membawa konsekwensi pada bibit kualitas lembaga pendidikan Islam tersebut, juga akan sangat berpengaruh pada out put (alumninya) yang keluar sangat diharapkan peran sertanya dalam kehidupan masyarakat dan bangsa bila kelak sudah selesai studinya. Karena itu masalah pokok yang diangkat dalam penelitian ini adalah bagaimana pengembangan kurikulum pendidikan Islam yang dilakukan di Pondok Modern Muhammadiyah Paciran Lamongan saat ini. Terkait dengan ini penulis berusaha melakukan penelitian dengan mengumpulkan data-data yang cukup, kemudian dikumpulkan dan diolah untuk selanjutnya dianalisa secara cepat dan seksama. Akhirnya dari hasil penelitian tersebut dapat diambil berupa kesimpulan sebagai berikut : Pertama Kurikulum yang dikembangkan dibentuk atas dua desain yaitu kurikulum lokal (keagamaan/kepesantrenan) dan kurikulum Nasional (Departemen Pendidikan Nasional dan Departemen Agama RI) sehingga dalam prakteknya diatur sedemikian rupa untuk menghindari benturan-benturan atau saling tindih antara kurikulum lokal dengan kurikulum nasional, keduanya diatur dengan melihat kebutuhan yang disesuaikan dengan kondisi masing-masing . Kurikulum lokal (pesantren) hanya dilakukan di kompleks pesantren dengan jadwal diluar kurikulum nasional. Sedang kurikulum nasional (Diknas dan Depag) dilaksanakan di unit-unit sekolah yang ada di lingkungan pesantren. Kedua dinamika perkembangan kurikulum di pesantren modern Muhammadiyah Paciran Lamongan mengalami proses yang panjang dari kurikulum tradisional sampai kurikulum yang modrn dan maju. Hal ini dapat dibuktikan dengan didirikannya unit pendidikan dari TK sampai Perguruan Tinggi. Hal inilah yang akan membawa konsekwensi pen…","author":[{"dropping-particle":"","family":"Abdul Muid","given":"Hidayat","non-dropping-particle":"","parse-names":false,"suffix":""}],"container-title":"Jurnal Ilmu Pengetahuan dan pendidikan","id":"ITEM-1","issue":"8","issued":{"date-parts":[["2021"]]},"title":"Pengembangan Kurikulum Pendidikan Islam di Pondok Modern Muhammadiyah Paciran Lamongan","type":"article-journal","volume":"8"},"uris":["http://www.mendeley.com/documents/?uuid=7f3ec1d5-af6f-436e-a7fb-6da55ebc7c59"]},{"id":"ITEM-2","itemData":{"author":[{"dropping-particle":"","family":"Ziemek","given":"Manfred","non-dropping-particle":"","parse-names":false,"suffix":""}],"id":"ITEM-2","issued":{"date-parts":[["1986"]]},"publisher":"P3M","publisher-place":"Jakarta","title":"Pesantren Islamische Bildung in Sozialen Wandel (terj.) Buetche B. Soendjojo","type":"book"},"uris":["http://www.mendeley.com/documents/?uuid=9e266b62-472c-4e11-b259-8dd7de395eba"]}],"mendeley":{"formattedCitation":"(Abdul Muid, 2021; Ziemek, 1986)","plainTextFormattedCitation":"(Abdul Muid, 2021; Ziemek, 1986)","previouslyFormattedCitation":"(Abdul Muid, 2021; Ziemek, 1986)"},"properties":{"noteIndex":0},"schema":"https://github.com/citation-style-language/schema/raw/master/csl-citation.json"}</w:instrText>
      </w:r>
      <w:r>
        <w:rPr>
          <w:rFonts w:ascii="Garamond" w:hAnsi="Garamond"/>
          <w:sz w:val="24"/>
          <w:szCs w:val="24"/>
        </w:rPr>
        <w:fldChar w:fldCharType="separate"/>
      </w:r>
      <w:r w:rsidRPr="002243E1">
        <w:rPr>
          <w:rFonts w:ascii="Garamond" w:hAnsi="Garamond"/>
          <w:noProof/>
          <w:sz w:val="24"/>
          <w:szCs w:val="24"/>
        </w:rPr>
        <w:t>(Abdul Muid, 2021; Ziemek, 1986)</w:t>
      </w:r>
      <w:r>
        <w:rPr>
          <w:rFonts w:ascii="Garamond" w:hAnsi="Garamond"/>
          <w:sz w:val="24"/>
          <w:szCs w:val="24"/>
        </w:rPr>
        <w:fldChar w:fldCharType="end"/>
      </w:r>
      <w:r w:rsidRPr="00A85841">
        <w:rPr>
          <w:rFonts w:ascii="Garamond" w:hAnsi="Garamond"/>
          <w:sz w:val="24"/>
          <w:szCs w:val="24"/>
        </w:rPr>
        <w:t>.</w:t>
      </w:r>
    </w:p>
    <w:p w14:paraId="36E54001" w14:textId="77777777" w:rsidR="00AF4385" w:rsidRPr="00A85841" w:rsidRDefault="00AF4385" w:rsidP="00AF4385">
      <w:pPr>
        <w:spacing w:before="240" w:after="40" w:line="240" w:lineRule="auto"/>
        <w:ind w:firstLine="567"/>
        <w:jc w:val="both"/>
        <w:rPr>
          <w:rFonts w:ascii="Garamond" w:hAnsi="Garamond"/>
          <w:sz w:val="24"/>
          <w:szCs w:val="24"/>
        </w:rPr>
      </w:pPr>
      <w:r w:rsidRPr="0087384A">
        <w:rPr>
          <w:rFonts w:ascii="Garamond" w:hAnsi="Garamond"/>
          <w:sz w:val="24"/>
          <w:szCs w:val="24"/>
        </w:rPr>
        <w:t xml:space="preserve">On the other hand, Shia </w:t>
      </w:r>
      <w:proofErr w:type="spellStart"/>
      <w:r>
        <w:rPr>
          <w:rFonts w:ascii="Garamond" w:hAnsi="Garamond" w:cs="Times New Roman"/>
          <w:sz w:val="24"/>
          <w:szCs w:val="24"/>
        </w:rPr>
        <w:t>pesantren</w:t>
      </w:r>
      <w:proofErr w:type="spellEnd"/>
      <w:r w:rsidRPr="0087384A">
        <w:rPr>
          <w:rFonts w:ascii="Garamond" w:hAnsi="Garamond"/>
          <w:sz w:val="24"/>
          <w:szCs w:val="24"/>
        </w:rPr>
        <w:t xml:space="preserve"> such as YAPI </w:t>
      </w:r>
      <w:proofErr w:type="spellStart"/>
      <w:r w:rsidRPr="0087384A">
        <w:rPr>
          <w:rFonts w:ascii="Garamond" w:hAnsi="Garamond"/>
          <w:sz w:val="24"/>
          <w:szCs w:val="24"/>
        </w:rPr>
        <w:t>Bangil</w:t>
      </w:r>
      <w:proofErr w:type="spellEnd"/>
      <w:r w:rsidRPr="0087384A">
        <w:rPr>
          <w:rFonts w:ascii="Garamond" w:hAnsi="Garamond"/>
          <w:sz w:val="24"/>
          <w:szCs w:val="24"/>
        </w:rPr>
        <w:t xml:space="preserve"> show a very systematic curriculum structure, with an emphasis on Islamic philosophy, logic, and jurisprudence of the </w:t>
      </w:r>
      <w:proofErr w:type="spellStart"/>
      <w:r w:rsidRPr="0087384A">
        <w:rPr>
          <w:rFonts w:ascii="Garamond" w:hAnsi="Garamond"/>
          <w:sz w:val="24"/>
          <w:szCs w:val="24"/>
        </w:rPr>
        <w:t>Ja'fari</w:t>
      </w:r>
      <w:proofErr w:type="spellEnd"/>
      <w:r w:rsidRPr="0087384A">
        <w:rPr>
          <w:rFonts w:ascii="Garamond" w:hAnsi="Garamond"/>
          <w:sz w:val="24"/>
          <w:szCs w:val="24"/>
        </w:rPr>
        <w:t xml:space="preserve"> school. The implementation of this curriculum is based on the Hausa education system which is the standard model in Iran and the global Shia world. This approach emphasizes rationality, argumentation, and the ideology of </w:t>
      </w:r>
      <w:proofErr w:type="spellStart"/>
      <w:r w:rsidRPr="0087384A">
        <w:rPr>
          <w:rFonts w:ascii="Garamond" w:hAnsi="Garamond"/>
          <w:sz w:val="24"/>
          <w:szCs w:val="24"/>
        </w:rPr>
        <w:t>imamah</w:t>
      </w:r>
      <w:proofErr w:type="spellEnd"/>
      <w:r w:rsidRPr="0087384A">
        <w:rPr>
          <w:rFonts w:ascii="Garamond" w:hAnsi="Garamond"/>
          <w:sz w:val="24"/>
          <w:szCs w:val="24"/>
        </w:rPr>
        <w:t xml:space="preserve"> as the main framework of education </w:t>
      </w:r>
      <w:r w:rsidRPr="00A85841">
        <w:rPr>
          <w:rFonts w:ascii="Garamond" w:hAnsi="Garamond"/>
          <w:sz w:val="24"/>
          <w:szCs w:val="24"/>
        </w:rPr>
        <w:t>(Rahman, 2020).</w:t>
      </w:r>
    </w:p>
    <w:p w14:paraId="13D531F8" w14:textId="77777777" w:rsidR="00AF4385" w:rsidRPr="0087384A" w:rsidRDefault="00AF4385" w:rsidP="00AF4385">
      <w:pPr>
        <w:spacing w:before="240" w:after="40" w:line="240" w:lineRule="auto"/>
        <w:ind w:firstLine="567"/>
        <w:jc w:val="both"/>
        <w:rPr>
          <w:rFonts w:ascii="Garamond" w:hAnsi="Garamond" w:cs="Times New Roman"/>
          <w:sz w:val="24"/>
          <w:szCs w:val="24"/>
        </w:rPr>
      </w:pPr>
      <w:r w:rsidRPr="0087384A">
        <w:rPr>
          <w:rFonts w:ascii="Garamond" w:hAnsi="Garamond"/>
          <w:sz w:val="24"/>
          <w:szCs w:val="24"/>
        </w:rPr>
        <w:t xml:space="preserve">Meanwhile, LDII Islamic boarding schools display a rigid, multi-tiered, and internal </w:t>
      </w:r>
      <w:proofErr w:type="gramStart"/>
      <w:r w:rsidRPr="0087384A">
        <w:rPr>
          <w:rFonts w:ascii="Garamond" w:hAnsi="Garamond"/>
          <w:sz w:val="24"/>
          <w:szCs w:val="24"/>
        </w:rPr>
        <w:t>cadre based</w:t>
      </w:r>
      <w:proofErr w:type="gramEnd"/>
      <w:r w:rsidRPr="0087384A">
        <w:rPr>
          <w:rFonts w:ascii="Garamond" w:hAnsi="Garamond"/>
          <w:sz w:val="24"/>
          <w:szCs w:val="24"/>
        </w:rPr>
        <w:t xml:space="preserve"> curriculum typology. Their curriculum is designed to form the ideal character of the LDII version: </w:t>
      </w:r>
      <w:r w:rsidRPr="001E58DA">
        <w:rPr>
          <w:rFonts w:ascii="Garamond" w:hAnsi="Garamond"/>
          <w:i/>
          <w:iCs/>
          <w:sz w:val="24"/>
          <w:szCs w:val="24"/>
        </w:rPr>
        <w:t>alim-faqih</w:t>
      </w:r>
      <w:r w:rsidRPr="0087384A">
        <w:rPr>
          <w:rFonts w:ascii="Garamond" w:hAnsi="Garamond"/>
          <w:sz w:val="24"/>
          <w:szCs w:val="24"/>
        </w:rPr>
        <w:t>, moral, and independent. The books taught are focused on selected hadiths (</w:t>
      </w:r>
      <w:r w:rsidRPr="00A85841">
        <w:rPr>
          <w:rFonts w:ascii="Garamond" w:hAnsi="Garamond"/>
          <w:i/>
          <w:iCs/>
          <w:sz w:val="24"/>
          <w:szCs w:val="24"/>
        </w:rPr>
        <w:t>Kupol al-</w:t>
      </w:r>
      <w:proofErr w:type="spellStart"/>
      <w:r w:rsidRPr="00A85841">
        <w:rPr>
          <w:rFonts w:ascii="Garamond" w:hAnsi="Garamond"/>
          <w:i/>
          <w:iCs/>
          <w:sz w:val="24"/>
          <w:szCs w:val="24"/>
        </w:rPr>
        <w:t>Sittah</w:t>
      </w:r>
      <w:proofErr w:type="spellEnd"/>
      <w:r w:rsidRPr="00A85841">
        <w:rPr>
          <w:rFonts w:ascii="Garamond" w:hAnsi="Garamond"/>
          <w:sz w:val="24"/>
          <w:szCs w:val="24"/>
        </w:rPr>
        <w:t xml:space="preserve">) and are delivered in a tiered class system. This curriculum is very closed and internal, with the aim of maintaining the continuity of the organization's ideology (Aly &amp; </w:t>
      </w:r>
      <w:proofErr w:type="spellStart"/>
      <w:r w:rsidRPr="00A85841">
        <w:rPr>
          <w:rFonts w:ascii="Garamond" w:hAnsi="Garamond"/>
          <w:sz w:val="24"/>
          <w:szCs w:val="24"/>
        </w:rPr>
        <w:t>Romadlon</w:t>
      </w:r>
      <w:proofErr w:type="spellEnd"/>
      <w:r w:rsidRPr="00A85841">
        <w:rPr>
          <w:rFonts w:ascii="Garamond" w:hAnsi="Garamond"/>
          <w:sz w:val="24"/>
          <w:szCs w:val="24"/>
        </w:rPr>
        <w:t>, 2024).</w:t>
      </w:r>
      <w:r w:rsidRPr="0087384A">
        <w:rPr>
          <w:rFonts w:ascii="Garamond" w:hAnsi="Garamond"/>
          <w:sz w:val="24"/>
          <w:szCs w:val="24"/>
        </w:rPr>
        <w:t xml:space="preserve"> The </w:t>
      </w:r>
      <w:r w:rsidRPr="001418C8">
        <w:rPr>
          <w:rFonts w:ascii="Garamond" w:hAnsi="Garamond" w:cs="Times New Roman"/>
          <w:sz w:val="24"/>
          <w:szCs w:val="24"/>
        </w:rPr>
        <w:t xml:space="preserve">Persis </w:t>
      </w:r>
      <w:proofErr w:type="spellStart"/>
      <w:r>
        <w:rPr>
          <w:rFonts w:ascii="Garamond" w:hAnsi="Garamond" w:cs="Times New Roman"/>
          <w:sz w:val="24"/>
          <w:szCs w:val="24"/>
        </w:rPr>
        <w:t>pesantren</w:t>
      </w:r>
      <w:proofErr w:type="spellEnd"/>
      <w:r w:rsidRPr="001418C8">
        <w:rPr>
          <w:rFonts w:ascii="Garamond" w:hAnsi="Garamond" w:cs="Times New Roman"/>
          <w:sz w:val="24"/>
          <w:szCs w:val="24"/>
        </w:rPr>
        <w:t xml:space="preserve"> emphasizes a rational, scriptural, and anti-madhhab approach through the study of books such as </w:t>
      </w:r>
      <w:proofErr w:type="spellStart"/>
      <w:r w:rsidRPr="001418C8">
        <w:rPr>
          <w:rFonts w:ascii="Garamond" w:hAnsi="Garamond" w:cs="Times New Roman"/>
          <w:i/>
          <w:iCs/>
          <w:sz w:val="24"/>
          <w:szCs w:val="24"/>
        </w:rPr>
        <w:t>Bulugh</w:t>
      </w:r>
      <w:proofErr w:type="spellEnd"/>
      <w:r w:rsidRPr="001418C8">
        <w:rPr>
          <w:rFonts w:ascii="Garamond" w:hAnsi="Garamond" w:cs="Times New Roman"/>
          <w:i/>
          <w:iCs/>
          <w:sz w:val="24"/>
          <w:szCs w:val="24"/>
        </w:rPr>
        <w:t xml:space="preserve"> al-Maram</w:t>
      </w:r>
      <w:r w:rsidRPr="001418C8">
        <w:rPr>
          <w:rFonts w:ascii="Garamond" w:hAnsi="Garamond" w:cs="Times New Roman"/>
          <w:sz w:val="24"/>
          <w:szCs w:val="24"/>
        </w:rPr>
        <w:t xml:space="preserve"> and </w:t>
      </w:r>
      <w:r w:rsidRPr="001418C8">
        <w:rPr>
          <w:rFonts w:ascii="Garamond" w:hAnsi="Garamond" w:cs="Times New Roman"/>
          <w:i/>
          <w:iCs/>
          <w:sz w:val="24"/>
          <w:szCs w:val="24"/>
        </w:rPr>
        <w:t>Tafsir al-Manar</w:t>
      </w:r>
      <w:r w:rsidRPr="001418C8">
        <w:rPr>
          <w:rFonts w:ascii="Garamond" w:hAnsi="Garamond" w:cs="Times New Roman"/>
          <w:sz w:val="24"/>
          <w:szCs w:val="24"/>
        </w:rPr>
        <w:t>.</w:t>
      </w:r>
    </w:p>
    <w:p w14:paraId="74EAB522" w14:textId="77777777" w:rsidR="00AF4385" w:rsidRPr="00A85841" w:rsidRDefault="00AF4385" w:rsidP="00AF4385">
      <w:pPr>
        <w:spacing w:before="240" w:after="40" w:line="240" w:lineRule="auto"/>
        <w:ind w:firstLine="567"/>
        <w:jc w:val="both"/>
        <w:rPr>
          <w:rFonts w:ascii="Garamond" w:hAnsi="Garamond" w:cs="Times New Roman"/>
          <w:sz w:val="24"/>
          <w:szCs w:val="24"/>
        </w:rPr>
      </w:pPr>
      <w:r w:rsidRPr="001418C8">
        <w:rPr>
          <w:rFonts w:ascii="Garamond" w:hAnsi="Garamond" w:cs="Times New Roman"/>
          <w:sz w:val="24"/>
          <w:szCs w:val="24"/>
        </w:rPr>
        <w:t xml:space="preserve">This differentiation marks a shift in educational orientation from just delivering knowledge towards strengthening ideological identity. This means that the curriculum is not only an instructional tool, but also an instrument of ideological formation that is rooted in the history, scientific network, and vision of certain Islamic movements </w:t>
      </w:r>
      <w:r>
        <w:rPr>
          <w:rFonts w:ascii="Garamond" w:hAnsi="Garamond" w:cs="Times New Roman"/>
          <w:sz w:val="24"/>
          <w:szCs w:val="24"/>
        </w:rPr>
        <w:t xml:space="preserve"> </w:t>
      </w:r>
      <w:r>
        <w:rPr>
          <w:rFonts w:ascii="Garamond" w:hAnsi="Garamond" w:cs="Times New Roman"/>
          <w:sz w:val="24"/>
          <w:szCs w:val="24"/>
        </w:rPr>
        <w:fldChar w:fldCharType="begin" w:fldLock="1"/>
      </w:r>
      <w:r>
        <w:rPr>
          <w:rFonts w:ascii="Garamond" w:hAnsi="Garamond" w:cs="Times New Roman"/>
          <w:sz w:val="24"/>
          <w:szCs w:val="24"/>
        </w:rPr>
        <w:instrText>ADDIN CSL_CITATION {"citationItems":[{"id":"ITEM-1","itemData":{"DOI":"10.31851/jmksp.v6i2.5721","ISSN":"2548-7094","abstract":"The existence of boarding schools in Indonesia, in its development and coaching was very influential to the surrounding community, especially in terms of education. The world education was now facing a case of moral degradation great increasingly. The presence of Pesantren educational institutions can certainly strengthen Islamic civilization. The researchers used qualitative approach with case study methods at Pesantren Persatuan Islam 1-2 Bandung. The results of the study showed that Pesantren Persatuan Islam 1-2 Bandung was one of the modern pesantren that combines religious science and general science. Pesantren has the potential to give birth to students who are independent, sincere, tolerant, simple, and can establish a good ukhuwah ilsmaiyaah. The result has proven from the coaching program that was done either at KBM hours or outside KBM. The effort construction carried out in outside the KBM were ikhtifal activities, bai'at activities, hadith research activities, tahsin wa tahfidz halaqah activities, as well as Arabic language worship activities. While the efforts construction on KBM were adjusted in existing subjects both containing the general curriculum of IPA and IPS programs, the central religious curriculum (akidah akhlak, al-quran, Islamic cultural history, and fiqh), as well as pesantren curriculum such as balaghah, mantiq, maani, hiwar, ushul fiqh, tafsir ahkam, fafsir aam, aqidah, nahwu sharaf, and falaq science). All subjects are directed to embody a generation that is tafaquh fid-in","author":[{"dropping-particle":"","family":"Aziz","given":"Asep Abdul","non-dropping-particle":"","parse-names":false,"suffix":""},{"dropping-particle":"","family":"Budiyanti","given":"Nurti","non-dropping-particle":"","parse-names":false,"suffix":""},{"dropping-particle":"","family":"Ahmad","given":"Nurwadjah","non-dropping-particle":"","parse-names":false,"suffix":""},{"dropping-particle":"","family":"Suhartini","given":"Andewi","non-dropping-particle":"","parse-names":false,"suffix":""}],"container-title":"JMKSP (Jurnal Manajemen, Kepemimpinan, dan Supervisi Pendidikan)","id":"ITEM-1","issue":"2","issued":{"date-parts":[["2021"]]},"page":"352","title":"The Potential of Islamic Boarding Schools and Their Effort of Development and Fostering at Pesantren Persatuan Islam 1-2 Bandung)","type":"article-journal","volume":"6"},"uris":["http://www.mendeley.com/documents/?uuid=4dfc8c2f-8450-4a7e-a0b2-f6475d7bab4b"]},{"id":"ITEM-2","itemData":{"author":[{"dropping-particle":"","family":"Sahri","given":"Iksan K.","non-dropping-particle":"","parse-names":false,"suffix":""}],"id":"ITEM-2","issued":{"date-parts":[["2021"]]},"publisher":"Cantrik Pustaka","publisher-place":"Yogyakarta","title":"Pesantren, Kiyai, dan Kitab Kuning: Respons Pesantren Tradisional terhadap Agenda Pembaruan Pendidikan Islam di Indonesia","type":"book"},"uris":["http://www.mendeley.com/documents/?uuid=9c3a491f-953e-4c6e-8516-a827105301b7"]}],"mendeley":{"formattedCitation":"(Aziz et al., 2021; Sahri, 2021b)","manualFormatting":"(Aziz et al., 2021; Sahri, 2021)","plainTextFormattedCitation":"(Aziz et al., 2021; Sahri, 2021b)","previouslyFormattedCitation":"(Aziz et al., 2021; Sahri, 2021b)"},"properties":{"noteIndex":0},"schema":"https://github.com/citation-style-language/schema/raw/master/csl-citation.json"}</w:instrText>
      </w:r>
      <w:r>
        <w:rPr>
          <w:rFonts w:ascii="Garamond" w:hAnsi="Garamond" w:cs="Times New Roman"/>
          <w:sz w:val="24"/>
          <w:szCs w:val="24"/>
        </w:rPr>
        <w:fldChar w:fldCharType="separate"/>
      </w:r>
      <w:r w:rsidRPr="001D60F8">
        <w:rPr>
          <w:rFonts w:ascii="Garamond" w:hAnsi="Garamond" w:cs="Times New Roman"/>
          <w:noProof/>
          <w:sz w:val="24"/>
          <w:szCs w:val="24"/>
        </w:rPr>
        <w:t>(Aziz et al., 2021; Sahri, 2021)</w:t>
      </w:r>
      <w:r>
        <w:rPr>
          <w:rFonts w:ascii="Garamond" w:hAnsi="Garamond" w:cs="Times New Roman"/>
          <w:sz w:val="24"/>
          <w:szCs w:val="24"/>
        </w:rPr>
        <w:fldChar w:fldCharType="end"/>
      </w:r>
      <w:r w:rsidRPr="001418C8">
        <w:rPr>
          <w:rFonts w:ascii="Garamond" w:hAnsi="Garamond" w:cs="Times New Roman"/>
          <w:sz w:val="24"/>
          <w:szCs w:val="24"/>
        </w:rPr>
        <w:t>.</w:t>
      </w:r>
    </w:p>
    <w:p w14:paraId="6B33C279" w14:textId="77777777" w:rsidR="00AF4385" w:rsidRDefault="00AF4385" w:rsidP="00AF4385">
      <w:pPr>
        <w:spacing w:before="240" w:after="40" w:line="240" w:lineRule="auto"/>
        <w:jc w:val="both"/>
        <w:rPr>
          <w:rFonts w:ascii="Garamond" w:hAnsi="Garamond"/>
          <w:b/>
          <w:bCs/>
          <w:sz w:val="24"/>
          <w:szCs w:val="24"/>
        </w:rPr>
      </w:pPr>
    </w:p>
    <w:p w14:paraId="3BB8962A" w14:textId="77777777" w:rsidR="00AF4385" w:rsidRPr="00A85841" w:rsidRDefault="00AF4385" w:rsidP="00AF4385">
      <w:pPr>
        <w:spacing w:before="240" w:after="40" w:line="240" w:lineRule="auto"/>
        <w:jc w:val="both"/>
        <w:rPr>
          <w:rFonts w:ascii="Garamond" w:hAnsi="Garamond"/>
          <w:b/>
          <w:bCs/>
          <w:sz w:val="24"/>
          <w:szCs w:val="24"/>
        </w:rPr>
      </w:pPr>
      <w:r w:rsidRPr="00A85841">
        <w:rPr>
          <w:rFonts w:ascii="Garamond" w:hAnsi="Garamond"/>
          <w:b/>
          <w:bCs/>
          <w:sz w:val="24"/>
          <w:szCs w:val="24"/>
        </w:rPr>
        <w:t>Religious Ideology as the Basis of the Curriculum</w:t>
      </w:r>
    </w:p>
    <w:p w14:paraId="3365ACFD" w14:textId="77777777" w:rsidR="00AF4385" w:rsidRPr="00A85841" w:rsidRDefault="00AF4385" w:rsidP="00AF4385">
      <w:pPr>
        <w:spacing w:before="240" w:after="40" w:line="240" w:lineRule="auto"/>
        <w:ind w:firstLine="567"/>
        <w:jc w:val="both"/>
        <w:rPr>
          <w:rFonts w:ascii="Garamond" w:hAnsi="Garamond" w:cs="Times New Roman"/>
          <w:sz w:val="24"/>
          <w:szCs w:val="24"/>
        </w:rPr>
      </w:pPr>
      <w:r w:rsidRPr="00A85841">
        <w:rPr>
          <w:rFonts w:ascii="Garamond" w:hAnsi="Garamond"/>
          <w:sz w:val="24"/>
          <w:szCs w:val="24"/>
        </w:rPr>
        <w:t xml:space="preserve">One of the important findings is that the </w:t>
      </w:r>
      <w:proofErr w:type="spellStart"/>
      <w:r w:rsidRPr="00A85841">
        <w:rPr>
          <w:rFonts w:ascii="Garamond" w:hAnsi="Garamond"/>
          <w:sz w:val="24"/>
          <w:szCs w:val="24"/>
        </w:rPr>
        <w:t>pesantren</w:t>
      </w:r>
      <w:proofErr w:type="spellEnd"/>
      <w:r w:rsidRPr="00A85841">
        <w:rPr>
          <w:rFonts w:ascii="Garamond" w:hAnsi="Garamond"/>
          <w:sz w:val="24"/>
          <w:szCs w:val="24"/>
        </w:rPr>
        <w:t xml:space="preserve"> curriculum is not only a pedagogical tool, but an ideological reflection of the managing organization or its founder. In the context of NU </w:t>
      </w:r>
      <w:proofErr w:type="spellStart"/>
      <w:r w:rsidRPr="00A85841">
        <w:rPr>
          <w:rFonts w:ascii="Garamond" w:hAnsi="Garamond"/>
          <w:sz w:val="24"/>
          <w:szCs w:val="24"/>
        </w:rPr>
        <w:t>pesantren</w:t>
      </w:r>
      <w:proofErr w:type="spellEnd"/>
      <w:r w:rsidRPr="00A85841">
        <w:rPr>
          <w:rFonts w:ascii="Garamond" w:hAnsi="Garamond"/>
          <w:sz w:val="24"/>
          <w:szCs w:val="24"/>
        </w:rPr>
        <w:t xml:space="preserve"> the ideology </w:t>
      </w:r>
      <w:r w:rsidRPr="00A85841">
        <w:rPr>
          <w:rFonts w:ascii="Garamond" w:hAnsi="Garamond"/>
          <w:i/>
          <w:iCs/>
          <w:sz w:val="24"/>
          <w:szCs w:val="24"/>
        </w:rPr>
        <w:t xml:space="preserve">of Ahl al-Sunnah </w:t>
      </w:r>
      <w:proofErr w:type="spellStart"/>
      <w:r w:rsidRPr="00A85841">
        <w:rPr>
          <w:rFonts w:ascii="Garamond" w:hAnsi="Garamond"/>
          <w:i/>
          <w:iCs/>
          <w:sz w:val="24"/>
          <w:szCs w:val="24"/>
        </w:rPr>
        <w:t>wa</w:t>
      </w:r>
      <w:proofErr w:type="spellEnd"/>
      <w:r w:rsidRPr="00A85841">
        <w:rPr>
          <w:rFonts w:ascii="Garamond" w:hAnsi="Garamond"/>
          <w:i/>
          <w:iCs/>
          <w:sz w:val="24"/>
          <w:szCs w:val="24"/>
        </w:rPr>
        <w:t xml:space="preserve"> al-</w:t>
      </w:r>
      <w:proofErr w:type="spellStart"/>
      <w:r w:rsidRPr="00A85841">
        <w:rPr>
          <w:rFonts w:ascii="Garamond" w:hAnsi="Garamond"/>
          <w:i/>
          <w:iCs/>
          <w:sz w:val="24"/>
          <w:szCs w:val="24"/>
        </w:rPr>
        <w:t>Jama'ah</w:t>
      </w:r>
      <w:proofErr w:type="spellEnd"/>
      <w:r w:rsidRPr="00A85841">
        <w:rPr>
          <w:rFonts w:ascii="Garamond" w:hAnsi="Garamond"/>
          <w:sz w:val="24"/>
          <w:szCs w:val="24"/>
        </w:rPr>
        <w:t xml:space="preserve"> became the basis for learning, which was manifested in the selection of books from </w:t>
      </w:r>
      <w:proofErr w:type="spellStart"/>
      <w:r w:rsidRPr="00A85841">
        <w:rPr>
          <w:rFonts w:ascii="Garamond" w:hAnsi="Garamond"/>
          <w:sz w:val="24"/>
          <w:szCs w:val="24"/>
        </w:rPr>
        <w:t>Shafi'iyyah</w:t>
      </w:r>
      <w:proofErr w:type="spellEnd"/>
      <w:r w:rsidRPr="00A85841">
        <w:rPr>
          <w:rFonts w:ascii="Garamond" w:hAnsi="Garamond"/>
          <w:sz w:val="24"/>
          <w:szCs w:val="24"/>
        </w:rPr>
        <w:t xml:space="preserve"> and Sufi scholars. </w:t>
      </w:r>
      <w:r w:rsidRPr="0087384A">
        <w:rPr>
          <w:rFonts w:ascii="Garamond" w:hAnsi="Garamond" w:cs="Times New Roman"/>
          <w:sz w:val="24"/>
          <w:szCs w:val="24"/>
        </w:rPr>
        <w:t xml:space="preserve">NU </w:t>
      </w:r>
      <w:proofErr w:type="spellStart"/>
      <w:r w:rsidRPr="0087384A">
        <w:rPr>
          <w:rFonts w:ascii="Garamond" w:hAnsi="Garamond" w:cs="Times New Roman"/>
          <w:sz w:val="24"/>
          <w:szCs w:val="24"/>
        </w:rPr>
        <w:t>pesantren</w:t>
      </w:r>
      <w:proofErr w:type="spellEnd"/>
      <w:r w:rsidRPr="0087384A">
        <w:rPr>
          <w:rFonts w:ascii="Garamond" w:hAnsi="Garamond" w:cs="Times New Roman"/>
          <w:sz w:val="24"/>
          <w:szCs w:val="24"/>
        </w:rPr>
        <w:t xml:space="preserve"> education is oriented towards </w:t>
      </w:r>
      <w:proofErr w:type="spellStart"/>
      <w:r w:rsidRPr="0087384A">
        <w:rPr>
          <w:rFonts w:ascii="Garamond" w:hAnsi="Garamond" w:cs="Times New Roman"/>
          <w:sz w:val="24"/>
          <w:szCs w:val="24"/>
        </w:rPr>
        <w:t>madzhab</w:t>
      </w:r>
      <w:proofErr w:type="spellEnd"/>
      <w:r w:rsidRPr="0087384A">
        <w:rPr>
          <w:rFonts w:ascii="Garamond" w:hAnsi="Garamond" w:cs="Times New Roman"/>
          <w:sz w:val="24"/>
          <w:szCs w:val="24"/>
        </w:rPr>
        <w:t xml:space="preserve"> Shafi'i in </w:t>
      </w:r>
      <w:proofErr w:type="spellStart"/>
      <w:r w:rsidRPr="0087384A">
        <w:rPr>
          <w:rFonts w:ascii="Garamond" w:hAnsi="Garamond" w:cs="Times New Roman"/>
          <w:sz w:val="24"/>
          <w:szCs w:val="24"/>
        </w:rPr>
        <w:t>fiqh</w:t>
      </w:r>
      <w:proofErr w:type="spellEnd"/>
      <w:r w:rsidRPr="0087384A">
        <w:rPr>
          <w:rFonts w:ascii="Garamond" w:hAnsi="Garamond" w:cs="Times New Roman"/>
          <w:sz w:val="24"/>
          <w:szCs w:val="24"/>
        </w:rPr>
        <w:t xml:space="preserve">, </w:t>
      </w:r>
      <w:proofErr w:type="spellStart"/>
      <w:r w:rsidRPr="0087384A">
        <w:rPr>
          <w:rFonts w:ascii="Garamond" w:hAnsi="Garamond" w:cs="Times New Roman"/>
          <w:sz w:val="24"/>
          <w:szCs w:val="24"/>
        </w:rPr>
        <w:t>Ash'ariyah</w:t>
      </w:r>
      <w:proofErr w:type="spellEnd"/>
      <w:r w:rsidRPr="0087384A">
        <w:rPr>
          <w:rFonts w:ascii="Garamond" w:hAnsi="Garamond" w:cs="Times New Roman"/>
          <w:sz w:val="24"/>
          <w:szCs w:val="24"/>
        </w:rPr>
        <w:t xml:space="preserve"> in monotheism, and Sufism in the spiritual dimension. Books such as </w:t>
      </w:r>
      <w:r w:rsidRPr="001418C8">
        <w:rPr>
          <w:rFonts w:ascii="Garamond" w:hAnsi="Garamond" w:cs="Times New Roman"/>
          <w:i/>
          <w:iCs/>
          <w:sz w:val="24"/>
          <w:szCs w:val="24"/>
        </w:rPr>
        <w:t>Fath al-</w:t>
      </w:r>
      <w:proofErr w:type="spellStart"/>
      <w:r w:rsidRPr="001418C8">
        <w:rPr>
          <w:rFonts w:ascii="Garamond" w:hAnsi="Garamond" w:cs="Times New Roman"/>
          <w:i/>
          <w:iCs/>
          <w:sz w:val="24"/>
          <w:szCs w:val="24"/>
        </w:rPr>
        <w:t>Mu'in</w:t>
      </w:r>
      <w:proofErr w:type="spellEnd"/>
      <w:r w:rsidRPr="001418C8">
        <w:rPr>
          <w:rFonts w:ascii="Garamond" w:hAnsi="Garamond" w:cs="Times New Roman"/>
          <w:sz w:val="24"/>
          <w:szCs w:val="24"/>
        </w:rPr>
        <w:t xml:space="preserve"> and </w:t>
      </w:r>
      <w:proofErr w:type="spellStart"/>
      <w:r w:rsidRPr="001418C8">
        <w:rPr>
          <w:rFonts w:ascii="Garamond" w:hAnsi="Garamond" w:cs="Times New Roman"/>
          <w:i/>
          <w:iCs/>
          <w:sz w:val="24"/>
          <w:szCs w:val="24"/>
        </w:rPr>
        <w:t>Syarh</w:t>
      </w:r>
      <w:proofErr w:type="spellEnd"/>
      <w:r w:rsidRPr="001418C8">
        <w:rPr>
          <w:rFonts w:ascii="Garamond" w:hAnsi="Garamond" w:cs="Times New Roman"/>
          <w:i/>
          <w:iCs/>
          <w:sz w:val="24"/>
          <w:szCs w:val="24"/>
        </w:rPr>
        <w:t xml:space="preserve"> al-</w:t>
      </w:r>
      <w:proofErr w:type="spellStart"/>
      <w:r w:rsidRPr="001418C8">
        <w:rPr>
          <w:rFonts w:ascii="Garamond" w:hAnsi="Garamond" w:cs="Times New Roman"/>
          <w:i/>
          <w:iCs/>
          <w:sz w:val="24"/>
          <w:szCs w:val="24"/>
        </w:rPr>
        <w:t>Hikam</w:t>
      </w:r>
      <w:proofErr w:type="spellEnd"/>
      <w:r w:rsidRPr="001418C8">
        <w:rPr>
          <w:rFonts w:ascii="Garamond" w:hAnsi="Garamond" w:cs="Times New Roman"/>
          <w:sz w:val="24"/>
          <w:szCs w:val="24"/>
        </w:rPr>
        <w:t xml:space="preserve"> are not only teaching texts, but also the cultivation of moderate values, </w:t>
      </w:r>
      <w:proofErr w:type="spellStart"/>
      <w:r w:rsidRPr="001418C8">
        <w:rPr>
          <w:rFonts w:ascii="Garamond" w:hAnsi="Garamond" w:cs="Times New Roman"/>
          <w:sz w:val="24"/>
          <w:szCs w:val="24"/>
        </w:rPr>
        <w:t>tawassuth</w:t>
      </w:r>
      <w:proofErr w:type="spellEnd"/>
      <w:r w:rsidRPr="001418C8">
        <w:rPr>
          <w:rFonts w:ascii="Garamond" w:hAnsi="Garamond" w:cs="Times New Roman"/>
          <w:sz w:val="24"/>
          <w:szCs w:val="24"/>
        </w:rPr>
        <w:t xml:space="preserve">, and obedience to the authority of </w:t>
      </w:r>
      <w:proofErr w:type="spellStart"/>
      <w:r w:rsidRPr="001418C8">
        <w:rPr>
          <w:rFonts w:ascii="Garamond" w:hAnsi="Garamond" w:cs="Times New Roman"/>
          <w:sz w:val="24"/>
          <w:szCs w:val="24"/>
        </w:rPr>
        <w:t>salaf</w:t>
      </w:r>
      <w:proofErr w:type="spellEnd"/>
      <w:r w:rsidRPr="001418C8">
        <w:rPr>
          <w:rFonts w:ascii="Garamond" w:hAnsi="Garamond" w:cs="Times New Roman"/>
          <w:sz w:val="24"/>
          <w:szCs w:val="24"/>
        </w:rPr>
        <w:t xml:space="preserve"> scholars. </w:t>
      </w:r>
      <w:r w:rsidRPr="00A85841">
        <w:rPr>
          <w:rFonts w:ascii="Garamond" w:hAnsi="Garamond"/>
          <w:sz w:val="24"/>
          <w:szCs w:val="24"/>
        </w:rPr>
        <w:t xml:space="preserve">This strengthens the position of NU </w:t>
      </w:r>
      <w:proofErr w:type="spellStart"/>
      <w:r w:rsidRPr="00A85841">
        <w:rPr>
          <w:rFonts w:ascii="Garamond" w:hAnsi="Garamond"/>
          <w:sz w:val="24"/>
          <w:szCs w:val="24"/>
        </w:rPr>
        <w:t>pesantren</w:t>
      </w:r>
      <w:proofErr w:type="spellEnd"/>
      <w:r w:rsidRPr="00A85841">
        <w:rPr>
          <w:rFonts w:ascii="Garamond" w:hAnsi="Garamond"/>
          <w:sz w:val="24"/>
          <w:szCs w:val="24"/>
        </w:rPr>
        <w:t xml:space="preserve"> as a </w:t>
      </w:r>
      <w:proofErr w:type="spellStart"/>
      <w:r w:rsidRPr="00A85841">
        <w:rPr>
          <w:rFonts w:ascii="Garamond" w:hAnsi="Garamond"/>
          <w:sz w:val="24"/>
          <w:szCs w:val="24"/>
        </w:rPr>
        <w:t>center</w:t>
      </w:r>
      <w:proofErr w:type="spellEnd"/>
      <w:r w:rsidRPr="00A85841">
        <w:rPr>
          <w:rFonts w:ascii="Garamond" w:hAnsi="Garamond"/>
          <w:sz w:val="24"/>
          <w:szCs w:val="24"/>
        </w:rPr>
        <w:t xml:space="preserve"> for the preservation of traditional Islam with a moderate and contextual approach </w:t>
      </w:r>
      <w:r>
        <w:rPr>
          <w:rFonts w:ascii="Garamond" w:hAnsi="Garamond"/>
          <w:sz w:val="24"/>
          <w:szCs w:val="24"/>
        </w:rPr>
        <w:fldChar w:fldCharType="begin" w:fldLock="1"/>
      </w:r>
      <w:r>
        <w:rPr>
          <w:rFonts w:ascii="Garamond" w:hAnsi="Garamond"/>
          <w:sz w:val="24"/>
          <w:szCs w:val="24"/>
        </w:rPr>
        <w:instrText>ADDIN CSL_CITATION {"citationItems":[{"id":"ITEM-1","itemData":{"DOI":"10.30821/jcims.v3i1.2001","ISSN":"2528-6110","abstract":"&lt;strong&gt;Abstrak: &lt;/strong&gt;Studi ini menganalisis falsafah pendidikan Pesantren Musthafawiyah. Pesantren ini telah menarik minat sejumlah peneliti, tetapi mereka belum mengungkap falsafah pendidikan yang dikembangkan dalam pesantren ini. Data kajian diperoleh dari kegiatan studi dokumen dan diperkuat dengan data yang diperoleh dari kegiatan observasi yang berkelanjutan, kemudian dianalisis dengan memanfaatkan model Miles dan Huberman. Studi ini mengajukan kesimpulan bahwa sebagaimana pesantren NU lain, Pesantren Musthafawiyah mengembangkan prinsip-prinsip &lt;em&gt;al-mu&lt;span style=\"text-decoration: underline;\"&gt;h&lt;/span&gt;âfazhah ‘ala qadîm al-shâli&lt;span style=\"text-decoration: underline;\"&gt;h&lt;/span&gt; wa al-akhzu bi al-jadîd al-ashlâ&lt;span style=\"text-decoration: underline;\"&gt;h&lt;/span&gt;, tawâzun, ta‘âdul, &lt;/em&gt;dan &lt;em&gt;tasâmu&lt;span style=\"text-decoration: underline;\"&gt;h&lt;/span&gt; &lt;/em&gt;dimana seluruh prinsip tersebut menjadi nilai-nilai dasar yang diterapkan dalam pembelajaran. Tentu saja, studi ini memperkuat kesimpulan sejumlah peneliti bahwa pesantren mengusung paham Islam moderat dan menolak radikalisme dalam beragama dan bernegara.&lt;br /&gt;&lt;br /&gt;&lt;strong&gt;Abstract: &lt;/strong&gt;&lt;strong&gt;Reaffirming &lt;em&gt;Nusantara Islam&lt;/em&gt;: Nahdlatul Ulama and the Educational Philosophy of Pesantren&lt;em&gt; &lt;/em&gt;Musthafawiyah.&lt;/strong&gt; This study analyzes the educational philosophy of Pesantren Musthafawiyah, a theme that has not been properly studies by former researchers. This &lt;em&gt;pesantren&lt;/em&gt; is affiliated with Nahdlatul Ulama; as a matter of fact, its founder, Sheikh Mustafa Husein, is also the founder of NU in North Sumatra. This study data was obtained through document reviews and strengthened with prolonged observation activities, then analyzed using the Miles and Huberman data analysis models. This study concludes that as with other NU &lt;em&gt;pesantren&lt;/em&gt;&lt;em&gt;s&lt;/em&gt;, Musthafawiyah develops the principles of &lt;em&gt;al-mu&lt;span style=\"text-decoration: underline;\"&gt;h&lt;/span&gt;âfazhah ‘ala qadîm al-shâli&lt;span style=\"text-decoration: underline;\"&gt;h&lt;/span&gt; wa al-akhzu bi al-jadîd al-ashlâ&lt;span style=\"text-decoration: underline;\"&gt;h&lt;/span&gt;, tawâzun, ta‘âdul,&lt;/em&gt;&lt;em&gt; &lt;/em&gt;and&lt;em&gt; tasâmuh&lt;/em&gt;, the principles of which have become the basic values that are applied in teaching and learning process. Of course, this study reinforces the conclusions of a number of researchers that Islamic boarding schools uphold a moderate understanding of Islam and reject radicalism in religion and state.&lt;br /&gt;&lt;br /&gt;&lt;strong&gt;Kata Kun…","author":[{"dropping-particle":"","family":"Salamuddin","given":"Salamuddin","non-dropping-particle":"","parse-names":false,"suffix":""}],"container-title":"Journal of Contemporary Islam and Muslim Societies","id":"ITEM-1","issue":"1","issued":{"date-parts":[["2019"]]},"page":"36","title":"MENEGUHKAN ISLAM NUSANTARA: Nahdlatul Ulama dan Falsafah Pendidikan Pesantren Musthafawiyah","type":"article-journal","volume":"3"},"uris":["http://www.mendeley.com/documents/?uuid=e2aff27f-f11a-454f-a652-d0307ac86b38"]}],"mendeley":{"formattedCitation":"(Salamuddin, 2019)","plainTextFormattedCitation":"(Salamuddin, 2019)","previouslyFormattedCitation":"(Salamuddin, 2019)"},"properties":{"noteIndex":0},"schema":"https://github.com/citation-style-language/schema/raw/master/csl-citation.json"}</w:instrText>
      </w:r>
      <w:r>
        <w:rPr>
          <w:rFonts w:ascii="Garamond" w:hAnsi="Garamond"/>
          <w:sz w:val="24"/>
          <w:szCs w:val="24"/>
        </w:rPr>
        <w:fldChar w:fldCharType="separate"/>
      </w:r>
      <w:r w:rsidRPr="001D60F8">
        <w:rPr>
          <w:rFonts w:ascii="Garamond" w:hAnsi="Garamond"/>
          <w:noProof/>
          <w:sz w:val="24"/>
          <w:szCs w:val="24"/>
        </w:rPr>
        <w:t>(Salamuddin, 2019)</w:t>
      </w:r>
      <w:r>
        <w:rPr>
          <w:rFonts w:ascii="Garamond" w:hAnsi="Garamond"/>
          <w:sz w:val="24"/>
          <w:szCs w:val="24"/>
        </w:rPr>
        <w:fldChar w:fldCharType="end"/>
      </w:r>
      <w:r>
        <w:rPr>
          <w:rFonts w:ascii="Garamond" w:hAnsi="Garamond"/>
          <w:sz w:val="24"/>
          <w:szCs w:val="24"/>
        </w:rPr>
        <w:t>.</w:t>
      </w:r>
    </w:p>
    <w:p w14:paraId="5EAA36AE" w14:textId="77777777" w:rsidR="00AF4385" w:rsidRPr="0087384A" w:rsidRDefault="00AF4385" w:rsidP="00AF4385">
      <w:pPr>
        <w:spacing w:before="240" w:after="40" w:line="240" w:lineRule="auto"/>
        <w:ind w:firstLine="567"/>
        <w:jc w:val="both"/>
        <w:rPr>
          <w:rFonts w:ascii="Garamond" w:hAnsi="Garamond"/>
          <w:sz w:val="24"/>
          <w:szCs w:val="24"/>
        </w:rPr>
      </w:pPr>
      <w:r w:rsidRPr="00A85841">
        <w:rPr>
          <w:rFonts w:ascii="Garamond" w:hAnsi="Garamond"/>
          <w:sz w:val="24"/>
          <w:szCs w:val="24"/>
        </w:rPr>
        <w:t xml:space="preserve">Muhammadiyah, on the other hand, holds the </w:t>
      </w:r>
      <w:proofErr w:type="gramStart"/>
      <w:r w:rsidRPr="00A85841">
        <w:rPr>
          <w:rFonts w:ascii="Garamond" w:hAnsi="Garamond"/>
          <w:sz w:val="24"/>
          <w:szCs w:val="24"/>
        </w:rPr>
        <w:t xml:space="preserve">principle </w:t>
      </w:r>
      <w:r w:rsidRPr="00A85841">
        <w:rPr>
          <w:rFonts w:ascii="Garamond" w:hAnsi="Garamond"/>
          <w:i/>
          <w:iCs/>
          <w:sz w:val="24"/>
          <w:szCs w:val="24"/>
        </w:rPr>
        <w:t xml:space="preserve"> of</w:t>
      </w:r>
      <w:proofErr w:type="gramEnd"/>
      <w:r w:rsidRPr="00A85841">
        <w:rPr>
          <w:rFonts w:ascii="Garamond" w:hAnsi="Garamond"/>
          <w:i/>
          <w:iCs/>
          <w:sz w:val="24"/>
          <w:szCs w:val="24"/>
        </w:rPr>
        <w:t xml:space="preserve"> </w:t>
      </w:r>
      <w:proofErr w:type="spellStart"/>
      <w:r w:rsidRPr="00A85841">
        <w:rPr>
          <w:rFonts w:ascii="Garamond" w:hAnsi="Garamond"/>
          <w:i/>
          <w:iCs/>
          <w:sz w:val="24"/>
          <w:szCs w:val="24"/>
        </w:rPr>
        <w:t>tajdid</w:t>
      </w:r>
      <w:proofErr w:type="spellEnd"/>
      <w:r w:rsidRPr="00A85841">
        <w:rPr>
          <w:rFonts w:ascii="Garamond" w:hAnsi="Garamond"/>
          <w:sz w:val="24"/>
          <w:szCs w:val="24"/>
        </w:rPr>
        <w:t xml:space="preserve"> (renewal) and </w:t>
      </w:r>
      <w:r w:rsidRPr="00A85841">
        <w:rPr>
          <w:rFonts w:ascii="Garamond" w:hAnsi="Garamond"/>
          <w:i/>
          <w:iCs/>
          <w:sz w:val="24"/>
          <w:szCs w:val="24"/>
        </w:rPr>
        <w:t>progressive Islam</w:t>
      </w:r>
      <w:r w:rsidRPr="00A85841">
        <w:rPr>
          <w:rFonts w:ascii="Garamond" w:hAnsi="Garamond"/>
          <w:sz w:val="24"/>
          <w:szCs w:val="24"/>
        </w:rPr>
        <w:t>. This orientation is reflected in the selection of teaching materials based on tafsir-hadith, such</w:t>
      </w:r>
      <w:r w:rsidRPr="001418C8">
        <w:rPr>
          <w:rFonts w:ascii="Garamond" w:hAnsi="Garamond" w:cs="Times New Roman"/>
          <w:sz w:val="24"/>
          <w:szCs w:val="24"/>
        </w:rPr>
        <w:t xml:space="preserve"> as </w:t>
      </w:r>
      <w:r w:rsidRPr="001418C8">
        <w:rPr>
          <w:rFonts w:ascii="Garamond" w:hAnsi="Garamond" w:cs="Times New Roman"/>
          <w:i/>
          <w:iCs/>
          <w:sz w:val="24"/>
          <w:szCs w:val="24"/>
        </w:rPr>
        <w:t>Tafsir al-</w:t>
      </w:r>
      <w:proofErr w:type="spellStart"/>
      <w:r w:rsidRPr="001418C8">
        <w:rPr>
          <w:rFonts w:ascii="Garamond" w:hAnsi="Garamond" w:cs="Times New Roman"/>
          <w:i/>
          <w:iCs/>
          <w:sz w:val="24"/>
          <w:szCs w:val="24"/>
        </w:rPr>
        <w:t>Maraghi</w:t>
      </w:r>
      <w:proofErr w:type="spellEnd"/>
      <w:r w:rsidRPr="001418C8">
        <w:rPr>
          <w:rFonts w:ascii="Garamond" w:hAnsi="Garamond" w:cs="Times New Roman"/>
          <w:sz w:val="24"/>
          <w:szCs w:val="24"/>
        </w:rPr>
        <w:t xml:space="preserve">, </w:t>
      </w:r>
      <w:proofErr w:type="spellStart"/>
      <w:r w:rsidRPr="001418C8">
        <w:rPr>
          <w:rFonts w:ascii="Garamond" w:hAnsi="Garamond" w:cs="Times New Roman"/>
          <w:i/>
          <w:iCs/>
          <w:sz w:val="24"/>
          <w:szCs w:val="24"/>
        </w:rPr>
        <w:t>Bulugh</w:t>
      </w:r>
      <w:proofErr w:type="spellEnd"/>
      <w:r w:rsidRPr="001418C8">
        <w:rPr>
          <w:rFonts w:ascii="Garamond" w:hAnsi="Garamond" w:cs="Times New Roman"/>
          <w:i/>
          <w:iCs/>
          <w:sz w:val="24"/>
          <w:szCs w:val="24"/>
        </w:rPr>
        <w:t xml:space="preserve"> al-Maram</w:t>
      </w:r>
      <w:r w:rsidRPr="001418C8">
        <w:rPr>
          <w:rFonts w:ascii="Garamond" w:hAnsi="Garamond" w:cs="Times New Roman"/>
          <w:sz w:val="24"/>
          <w:szCs w:val="24"/>
        </w:rPr>
        <w:t xml:space="preserve">, books by Ibn Qayyim, and Ibn Taymiyyah, </w:t>
      </w:r>
      <w:r w:rsidRPr="00A85841">
        <w:rPr>
          <w:rFonts w:ascii="Garamond" w:hAnsi="Garamond"/>
          <w:sz w:val="24"/>
          <w:szCs w:val="24"/>
        </w:rPr>
        <w:t xml:space="preserve">modern </w:t>
      </w:r>
      <w:proofErr w:type="spellStart"/>
      <w:r w:rsidRPr="00A85841">
        <w:rPr>
          <w:rFonts w:ascii="Garamond" w:hAnsi="Garamond"/>
          <w:sz w:val="24"/>
          <w:szCs w:val="24"/>
        </w:rPr>
        <w:t>fiqh</w:t>
      </w:r>
      <w:proofErr w:type="spellEnd"/>
      <w:r w:rsidRPr="00A85841">
        <w:rPr>
          <w:rFonts w:ascii="Garamond" w:hAnsi="Garamond"/>
          <w:sz w:val="24"/>
          <w:szCs w:val="24"/>
        </w:rPr>
        <w:t xml:space="preserve">, and strong integration with the formal curriculum. The ideology of rationalism and </w:t>
      </w:r>
      <w:r w:rsidRPr="00A85841">
        <w:rPr>
          <w:rFonts w:ascii="Garamond" w:hAnsi="Garamond"/>
          <w:sz w:val="24"/>
          <w:szCs w:val="24"/>
        </w:rPr>
        <w:lastRenderedPageBreak/>
        <w:t xml:space="preserve">purification of teachings is the common thread that </w:t>
      </w:r>
      <w:proofErr w:type="spellStart"/>
      <w:r w:rsidRPr="00A85841">
        <w:rPr>
          <w:rFonts w:ascii="Garamond" w:hAnsi="Garamond"/>
          <w:sz w:val="24"/>
          <w:szCs w:val="24"/>
        </w:rPr>
        <w:t>colors</w:t>
      </w:r>
      <w:proofErr w:type="spellEnd"/>
      <w:r w:rsidRPr="00A85841">
        <w:rPr>
          <w:rFonts w:ascii="Garamond" w:hAnsi="Garamond"/>
          <w:sz w:val="24"/>
          <w:szCs w:val="24"/>
        </w:rPr>
        <w:t xml:space="preserve"> the development of the curriculum, as articulated in the </w:t>
      </w:r>
      <w:proofErr w:type="spellStart"/>
      <w:r w:rsidRPr="00A85841">
        <w:rPr>
          <w:rFonts w:ascii="Garamond" w:hAnsi="Garamond"/>
          <w:sz w:val="24"/>
          <w:szCs w:val="24"/>
        </w:rPr>
        <w:t>Tarjih</w:t>
      </w:r>
      <w:proofErr w:type="spellEnd"/>
      <w:r w:rsidRPr="00A85841">
        <w:rPr>
          <w:rFonts w:ascii="Garamond" w:hAnsi="Garamond"/>
          <w:sz w:val="24"/>
          <w:szCs w:val="24"/>
        </w:rPr>
        <w:t xml:space="preserve"> system </w:t>
      </w:r>
      <w:r>
        <w:rPr>
          <w:rFonts w:ascii="Garamond" w:hAnsi="Garamond"/>
          <w:sz w:val="24"/>
          <w:szCs w:val="24"/>
        </w:rPr>
        <w:fldChar w:fldCharType="begin" w:fldLock="1"/>
      </w:r>
      <w:r>
        <w:rPr>
          <w:rFonts w:ascii="Garamond" w:hAnsi="Garamond"/>
          <w:sz w:val="24"/>
          <w:szCs w:val="24"/>
        </w:rPr>
        <w:instrText>ADDIN CSL_CITATION {"citationItems":[{"id":"ITEM-1","itemData":{"DOI":"10.22219/progresiva.v12i02.29596","ISSN":"2502-6038","abstract":"This article mainly explores the changing and development of thought that occurred in one of the largest modernist Islamic organizations in Indonesia, Muhammadiyah, regarding Islamic purification. Using intellectual history as an approach, this research concluded that even though Muhammadiyah had purification as its main characteristic, in fact it had its own reinterpretation being extended and expanded. By implementing Abdolkarim Soroush’s theory of contraction and expansion of religious knowledge, this research found that in the very early days of its inception, Muhammadiyah constructed its concept of purification from the spiritualization, rationalization, and functionalization of Islamic teachings. But after the inception of Tarjih division in 1927, the purification in Muhammadiyah had a narrower orientation from worships and creeds (puritanism) to the muamalah of world affairs (ultra-puritanism). Beginning in 1995, there was a wider scope in which the Tarjih division in Muhammadiyah expanded its issues of worship to include public and humanitarian issues; that era was called post-puritanism. Based on the core hypothesis that any changes in religious thought have implications for educational orientation, from George R. Knight’s perspective, several educational implications are obtained: (1) In the early days of its inception, Muhammadiyah’s education implemented a progressivism philosophy that’s inspired by religion, rationality, and life; (2) when it comes to the narrower aspect of purification only for faith, worship, and muamalah, Muhammadiyah shifted its educational philosophy to perennialism-essentialism; (3) when the purification's meaning and interpretation expanded, Muhammadiyah tended its education toward the philosophy of reconstructionism.","author":[{"dropping-particle":"","family":"Khoirudin","given":"Azaki","non-dropping-particle":"","parse-names":false,"suffix":""},{"dropping-particle":"","family":"Aulassyahied","given":"Qaem","non-dropping-particle":"","parse-names":false,"suffix":""}],"container-title":"Progresiva : Jurnal Pemikiran dan Pendidikan Islam","id":"ITEM-1","issue":"02","issued":{"date-parts":[["2023"]]},"page":"161-178","title":"Reinterpreting Muhammadiyah’s Purification and Its Implications for the Educational Philosophy","type":"article-journal","volume":"12"},"uris":["http://www.mendeley.com/documents/?uuid=b878e191-e45a-4481-9cac-0523919f2d40"]}],"mendeley":{"formattedCitation":"(Khoirudin &amp; Aulassyahied, 2023)","plainTextFormattedCitation":"(Khoirudin &amp; Aulassyahied, 2023)","previouslyFormattedCitation":"(Khoirudin &amp; Aulassyahied, 2023)"},"properties":{"noteIndex":0},"schema":"https://github.com/citation-style-language/schema/raw/master/csl-citation.json"}</w:instrText>
      </w:r>
      <w:r>
        <w:rPr>
          <w:rFonts w:ascii="Garamond" w:hAnsi="Garamond"/>
          <w:sz w:val="24"/>
          <w:szCs w:val="24"/>
        </w:rPr>
        <w:fldChar w:fldCharType="separate"/>
      </w:r>
      <w:r w:rsidRPr="00401092">
        <w:rPr>
          <w:rFonts w:ascii="Garamond" w:hAnsi="Garamond"/>
          <w:noProof/>
          <w:sz w:val="24"/>
          <w:szCs w:val="24"/>
        </w:rPr>
        <w:t>(Khoirudin &amp; Aulassyahied, 2023)</w:t>
      </w:r>
      <w:r>
        <w:rPr>
          <w:rFonts w:ascii="Garamond" w:hAnsi="Garamond"/>
          <w:sz w:val="24"/>
          <w:szCs w:val="24"/>
        </w:rPr>
        <w:fldChar w:fldCharType="end"/>
      </w:r>
      <w:r w:rsidRPr="00A85841">
        <w:rPr>
          <w:rFonts w:ascii="Garamond" w:hAnsi="Garamond"/>
          <w:sz w:val="24"/>
          <w:szCs w:val="24"/>
        </w:rPr>
        <w:t>.</w:t>
      </w:r>
    </w:p>
    <w:p w14:paraId="4300AA12" w14:textId="77777777" w:rsidR="00AF4385" w:rsidRPr="00A85841" w:rsidRDefault="00AF4385" w:rsidP="00AF4385">
      <w:pPr>
        <w:spacing w:before="240" w:after="40" w:line="240" w:lineRule="auto"/>
        <w:ind w:firstLine="567"/>
        <w:jc w:val="both"/>
        <w:rPr>
          <w:rFonts w:ascii="Garamond" w:hAnsi="Garamond"/>
          <w:sz w:val="24"/>
          <w:szCs w:val="24"/>
        </w:rPr>
      </w:pPr>
      <w:r w:rsidRPr="00A85841">
        <w:rPr>
          <w:rFonts w:ascii="Garamond" w:hAnsi="Garamond"/>
          <w:sz w:val="24"/>
          <w:szCs w:val="24"/>
        </w:rPr>
        <w:t xml:space="preserve">Syiah </w:t>
      </w:r>
      <w:proofErr w:type="spellStart"/>
      <w:r w:rsidRPr="00A85841">
        <w:rPr>
          <w:rFonts w:ascii="Garamond" w:hAnsi="Garamond"/>
          <w:sz w:val="24"/>
          <w:szCs w:val="24"/>
        </w:rPr>
        <w:t>memosisikan</w:t>
      </w:r>
      <w:proofErr w:type="spellEnd"/>
      <w:r w:rsidRPr="00A85841">
        <w:rPr>
          <w:rFonts w:ascii="Garamond" w:hAnsi="Garamond"/>
          <w:sz w:val="24"/>
          <w:szCs w:val="24"/>
        </w:rPr>
        <w:t xml:space="preserve"> </w:t>
      </w:r>
      <w:proofErr w:type="spellStart"/>
      <w:r w:rsidRPr="00A85841">
        <w:rPr>
          <w:rFonts w:ascii="Garamond" w:hAnsi="Garamond"/>
          <w:sz w:val="24"/>
          <w:szCs w:val="24"/>
        </w:rPr>
        <w:t>kurikulum</w:t>
      </w:r>
      <w:proofErr w:type="spellEnd"/>
      <w:r w:rsidRPr="00A85841">
        <w:rPr>
          <w:rFonts w:ascii="Garamond" w:hAnsi="Garamond"/>
          <w:sz w:val="24"/>
          <w:szCs w:val="24"/>
        </w:rPr>
        <w:t xml:space="preserve"> </w:t>
      </w:r>
      <w:proofErr w:type="spellStart"/>
      <w:r w:rsidRPr="00A85841">
        <w:rPr>
          <w:rFonts w:ascii="Garamond" w:hAnsi="Garamond"/>
          <w:sz w:val="24"/>
          <w:szCs w:val="24"/>
        </w:rPr>
        <w:t>sebagai</w:t>
      </w:r>
      <w:proofErr w:type="spellEnd"/>
      <w:r w:rsidRPr="00A85841">
        <w:rPr>
          <w:rFonts w:ascii="Garamond" w:hAnsi="Garamond"/>
          <w:sz w:val="24"/>
          <w:szCs w:val="24"/>
        </w:rPr>
        <w:t xml:space="preserve"> </w:t>
      </w:r>
      <w:proofErr w:type="spellStart"/>
      <w:r w:rsidRPr="00A85841">
        <w:rPr>
          <w:rFonts w:ascii="Garamond" w:hAnsi="Garamond"/>
          <w:sz w:val="24"/>
          <w:szCs w:val="24"/>
        </w:rPr>
        <w:t>instrumen</w:t>
      </w:r>
      <w:proofErr w:type="spellEnd"/>
      <w:r w:rsidRPr="00A85841">
        <w:rPr>
          <w:rFonts w:ascii="Garamond" w:hAnsi="Garamond"/>
          <w:sz w:val="24"/>
          <w:szCs w:val="24"/>
        </w:rPr>
        <w:t xml:space="preserve"> </w:t>
      </w:r>
      <w:proofErr w:type="spellStart"/>
      <w:r w:rsidRPr="00A85841">
        <w:rPr>
          <w:rFonts w:ascii="Garamond" w:hAnsi="Garamond"/>
          <w:sz w:val="24"/>
          <w:szCs w:val="24"/>
        </w:rPr>
        <w:t>transmisi</w:t>
      </w:r>
      <w:proofErr w:type="spellEnd"/>
      <w:r w:rsidRPr="00A85841">
        <w:rPr>
          <w:rFonts w:ascii="Garamond" w:hAnsi="Garamond"/>
          <w:sz w:val="24"/>
          <w:szCs w:val="24"/>
        </w:rPr>
        <w:t xml:space="preserve"> </w:t>
      </w:r>
      <w:proofErr w:type="spellStart"/>
      <w:r w:rsidRPr="00A85841">
        <w:rPr>
          <w:rFonts w:ascii="Garamond" w:hAnsi="Garamond"/>
          <w:sz w:val="24"/>
          <w:szCs w:val="24"/>
        </w:rPr>
        <w:t>ideologi</w:t>
      </w:r>
      <w:proofErr w:type="spellEnd"/>
      <w:r w:rsidRPr="00A85841">
        <w:rPr>
          <w:rFonts w:ascii="Garamond" w:hAnsi="Garamond"/>
          <w:sz w:val="24"/>
          <w:szCs w:val="24"/>
        </w:rPr>
        <w:t xml:space="preserve"> </w:t>
      </w:r>
      <w:proofErr w:type="spellStart"/>
      <w:r w:rsidRPr="00A85841">
        <w:rPr>
          <w:rFonts w:ascii="Garamond" w:hAnsi="Garamond"/>
          <w:sz w:val="24"/>
          <w:szCs w:val="24"/>
        </w:rPr>
        <w:t>imamah</w:t>
      </w:r>
      <w:proofErr w:type="spellEnd"/>
      <w:r w:rsidRPr="00A85841">
        <w:rPr>
          <w:rFonts w:ascii="Garamond" w:hAnsi="Garamond"/>
          <w:sz w:val="24"/>
          <w:szCs w:val="24"/>
        </w:rPr>
        <w:t xml:space="preserve"> dan </w:t>
      </w:r>
      <w:proofErr w:type="spellStart"/>
      <w:r w:rsidRPr="00A85841">
        <w:rPr>
          <w:rFonts w:ascii="Garamond" w:hAnsi="Garamond"/>
          <w:sz w:val="24"/>
          <w:szCs w:val="24"/>
        </w:rPr>
        <w:t>filsafat</w:t>
      </w:r>
      <w:proofErr w:type="spellEnd"/>
      <w:r w:rsidRPr="00A85841">
        <w:rPr>
          <w:rFonts w:ascii="Garamond" w:hAnsi="Garamond"/>
          <w:sz w:val="24"/>
          <w:szCs w:val="24"/>
        </w:rPr>
        <w:t xml:space="preserve"> </w:t>
      </w:r>
      <w:proofErr w:type="spellStart"/>
      <w:r w:rsidRPr="0087384A">
        <w:rPr>
          <w:rFonts w:ascii="Garamond" w:hAnsi="Garamond"/>
          <w:sz w:val="24"/>
          <w:szCs w:val="24"/>
        </w:rPr>
        <w:t>transsendental</w:t>
      </w:r>
      <w:proofErr w:type="spellEnd"/>
      <w:r w:rsidRPr="0087384A">
        <w:rPr>
          <w:rFonts w:ascii="Garamond" w:hAnsi="Garamond"/>
          <w:sz w:val="24"/>
          <w:szCs w:val="24"/>
        </w:rPr>
        <w:t xml:space="preserve"> </w:t>
      </w:r>
      <w:proofErr w:type="spellStart"/>
      <w:r w:rsidRPr="001418C8">
        <w:rPr>
          <w:rFonts w:ascii="Garamond" w:hAnsi="Garamond" w:cs="Times New Roman"/>
          <w:sz w:val="24"/>
          <w:szCs w:val="24"/>
        </w:rPr>
        <w:t>dari</w:t>
      </w:r>
      <w:proofErr w:type="spellEnd"/>
      <w:r w:rsidRPr="001418C8">
        <w:rPr>
          <w:rFonts w:ascii="Garamond" w:hAnsi="Garamond" w:cs="Times New Roman"/>
          <w:sz w:val="24"/>
          <w:szCs w:val="24"/>
        </w:rPr>
        <w:t xml:space="preserve"> Mulla Sadra, Muhammad Baqir al-Shadr, dan Ayatullah Taqi </w:t>
      </w:r>
      <w:proofErr w:type="spellStart"/>
      <w:r w:rsidRPr="001418C8">
        <w:rPr>
          <w:rFonts w:ascii="Garamond" w:hAnsi="Garamond" w:cs="Times New Roman"/>
          <w:sz w:val="24"/>
          <w:szCs w:val="24"/>
        </w:rPr>
        <w:t>Mishbah</w:t>
      </w:r>
      <w:proofErr w:type="spellEnd"/>
      <w:r w:rsidRPr="001418C8">
        <w:rPr>
          <w:rFonts w:ascii="Garamond" w:hAnsi="Garamond" w:cs="Times New Roman"/>
          <w:sz w:val="24"/>
          <w:szCs w:val="24"/>
        </w:rPr>
        <w:t xml:space="preserve"> Yazdi, yang </w:t>
      </w:r>
      <w:proofErr w:type="spellStart"/>
      <w:r w:rsidRPr="001418C8">
        <w:rPr>
          <w:rFonts w:ascii="Garamond" w:hAnsi="Garamond" w:cs="Times New Roman"/>
          <w:sz w:val="24"/>
          <w:szCs w:val="24"/>
        </w:rPr>
        <w:t>menegaskan</w:t>
      </w:r>
      <w:proofErr w:type="spellEnd"/>
      <w:r w:rsidRPr="001418C8">
        <w:rPr>
          <w:rFonts w:ascii="Garamond" w:hAnsi="Garamond" w:cs="Times New Roman"/>
          <w:sz w:val="24"/>
          <w:szCs w:val="24"/>
        </w:rPr>
        <w:t xml:space="preserve"> </w:t>
      </w:r>
      <w:proofErr w:type="spellStart"/>
      <w:r w:rsidRPr="001418C8">
        <w:rPr>
          <w:rFonts w:ascii="Garamond" w:hAnsi="Garamond" w:cs="Times New Roman"/>
          <w:sz w:val="24"/>
          <w:szCs w:val="24"/>
        </w:rPr>
        <w:t>otoritas</w:t>
      </w:r>
      <w:proofErr w:type="spellEnd"/>
      <w:r w:rsidRPr="001418C8">
        <w:rPr>
          <w:rFonts w:ascii="Garamond" w:hAnsi="Garamond" w:cs="Times New Roman"/>
          <w:sz w:val="24"/>
          <w:szCs w:val="24"/>
        </w:rPr>
        <w:t xml:space="preserve"> </w:t>
      </w:r>
      <w:proofErr w:type="spellStart"/>
      <w:r w:rsidRPr="001418C8">
        <w:rPr>
          <w:rFonts w:ascii="Garamond" w:hAnsi="Garamond" w:cs="Times New Roman"/>
          <w:sz w:val="24"/>
          <w:szCs w:val="24"/>
        </w:rPr>
        <w:t>Ahlul</w:t>
      </w:r>
      <w:proofErr w:type="spellEnd"/>
      <w:r w:rsidRPr="001418C8">
        <w:rPr>
          <w:rFonts w:ascii="Garamond" w:hAnsi="Garamond" w:cs="Times New Roman"/>
          <w:sz w:val="24"/>
          <w:szCs w:val="24"/>
        </w:rPr>
        <w:t xml:space="preserve"> Bait dan </w:t>
      </w:r>
      <w:proofErr w:type="spellStart"/>
      <w:r w:rsidRPr="001418C8">
        <w:rPr>
          <w:rFonts w:ascii="Garamond" w:hAnsi="Garamond" w:cs="Times New Roman"/>
          <w:sz w:val="24"/>
          <w:szCs w:val="24"/>
        </w:rPr>
        <w:t>doktrin</w:t>
      </w:r>
      <w:proofErr w:type="spellEnd"/>
      <w:r w:rsidRPr="001418C8">
        <w:rPr>
          <w:rFonts w:ascii="Garamond" w:hAnsi="Garamond" w:cs="Times New Roman"/>
          <w:sz w:val="24"/>
          <w:szCs w:val="24"/>
        </w:rPr>
        <w:t xml:space="preserve"> </w:t>
      </w:r>
      <w:proofErr w:type="spellStart"/>
      <w:r w:rsidRPr="001418C8">
        <w:rPr>
          <w:rFonts w:ascii="Garamond" w:hAnsi="Garamond" w:cs="Times New Roman"/>
          <w:sz w:val="24"/>
          <w:szCs w:val="24"/>
        </w:rPr>
        <w:t>Imamiyah</w:t>
      </w:r>
      <w:proofErr w:type="spellEnd"/>
      <w:r w:rsidRPr="001418C8">
        <w:rPr>
          <w:rFonts w:ascii="Garamond" w:hAnsi="Garamond" w:cs="Times New Roman"/>
          <w:sz w:val="24"/>
          <w:szCs w:val="24"/>
        </w:rPr>
        <w:t>.</w:t>
      </w:r>
      <w:r w:rsidRPr="0087384A">
        <w:rPr>
          <w:rFonts w:ascii="Garamond" w:hAnsi="Garamond"/>
          <w:sz w:val="24"/>
          <w:szCs w:val="24"/>
        </w:rPr>
        <w:t xml:space="preserve"> </w:t>
      </w:r>
      <w:proofErr w:type="spellStart"/>
      <w:r w:rsidRPr="00A85841">
        <w:rPr>
          <w:rFonts w:ascii="Garamond" w:hAnsi="Garamond"/>
          <w:sz w:val="24"/>
          <w:szCs w:val="24"/>
        </w:rPr>
        <w:t>Penguatan</w:t>
      </w:r>
      <w:proofErr w:type="spellEnd"/>
      <w:r w:rsidRPr="00A85841">
        <w:rPr>
          <w:rFonts w:ascii="Garamond" w:hAnsi="Garamond"/>
          <w:sz w:val="24"/>
          <w:szCs w:val="24"/>
        </w:rPr>
        <w:t xml:space="preserve"> </w:t>
      </w:r>
      <w:proofErr w:type="spellStart"/>
      <w:r w:rsidRPr="00A85841">
        <w:rPr>
          <w:rFonts w:ascii="Garamond" w:hAnsi="Garamond"/>
          <w:sz w:val="24"/>
          <w:szCs w:val="24"/>
        </w:rPr>
        <w:t>logika</w:t>
      </w:r>
      <w:proofErr w:type="spellEnd"/>
      <w:r w:rsidRPr="00A85841">
        <w:rPr>
          <w:rFonts w:ascii="Garamond" w:hAnsi="Garamond"/>
          <w:sz w:val="24"/>
          <w:szCs w:val="24"/>
        </w:rPr>
        <w:t xml:space="preserve"> dan </w:t>
      </w:r>
      <w:proofErr w:type="spellStart"/>
      <w:r w:rsidRPr="00A85841">
        <w:rPr>
          <w:rFonts w:ascii="Garamond" w:hAnsi="Garamond"/>
          <w:sz w:val="24"/>
          <w:szCs w:val="24"/>
        </w:rPr>
        <w:t>filsafat</w:t>
      </w:r>
      <w:proofErr w:type="spellEnd"/>
      <w:r w:rsidRPr="00A85841">
        <w:rPr>
          <w:rFonts w:ascii="Garamond" w:hAnsi="Garamond"/>
          <w:sz w:val="24"/>
          <w:szCs w:val="24"/>
        </w:rPr>
        <w:t xml:space="preserve"> </w:t>
      </w:r>
      <w:proofErr w:type="spellStart"/>
      <w:r w:rsidRPr="00A85841">
        <w:rPr>
          <w:rFonts w:ascii="Garamond" w:hAnsi="Garamond"/>
          <w:sz w:val="24"/>
          <w:szCs w:val="24"/>
        </w:rPr>
        <w:t>sejak</w:t>
      </w:r>
      <w:proofErr w:type="spellEnd"/>
      <w:r w:rsidRPr="00A85841">
        <w:rPr>
          <w:rFonts w:ascii="Garamond" w:hAnsi="Garamond"/>
          <w:sz w:val="24"/>
          <w:szCs w:val="24"/>
        </w:rPr>
        <w:t xml:space="preserve"> </w:t>
      </w:r>
      <w:proofErr w:type="spellStart"/>
      <w:r w:rsidRPr="00A85841">
        <w:rPr>
          <w:rFonts w:ascii="Garamond" w:hAnsi="Garamond"/>
          <w:sz w:val="24"/>
          <w:szCs w:val="24"/>
        </w:rPr>
        <w:t>dini</w:t>
      </w:r>
      <w:proofErr w:type="spellEnd"/>
      <w:r w:rsidRPr="00A85841">
        <w:rPr>
          <w:rFonts w:ascii="Garamond" w:hAnsi="Garamond"/>
          <w:sz w:val="24"/>
          <w:szCs w:val="24"/>
        </w:rPr>
        <w:t xml:space="preserve"> </w:t>
      </w:r>
      <w:proofErr w:type="spellStart"/>
      <w:r w:rsidRPr="00A85841">
        <w:rPr>
          <w:rFonts w:ascii="Garamond" w:hAnsi="Garamond"/>
          <w:sz w:val="24"/>
          <w:szCs w:val="24"/>
        </w:rPr>
        <w:t>bertujuan</w:t>
      </w:r>
      <w:proofErr w:type="spellEnd"/>
      <w:r w:rsidRPr="00A85841">
        <w:rPr>
          <w:rFonts w:ascii="Garamond" w:hAnsi="Garamond"/>
          <w:sz w:val="24"/>
          <w:szCs w:val="24"/>
        </w:rPr>
        <w:t xml:space="preserve"> </w:t>
      </w:r>
      <w:proofErr w:type="spellStart"/>
      <w:r w:rsidRPr="00A85841">
        <w:rPr>
          <w:rFonts w:ascii="Garamond" w:hAnsi="Garamond"/>
          <w:sz w:val="24"/>
          <w:szCs w:val="24"/>
        </w:rPr>
        <w:t>membentuk</w:t>
      </w:r>
      <w:proofErr w:type="spellEnd"/>
      <w:r w:rsidRPr="00A85841">
        <w:rPr>
          <w:rFonts w:ascii="Garamond" w:hAnsi="Garamond"/>
          <w:sz w:val="24"/>
          <w:szCs w:val="24"/>
        </w:rPr>
        <w:t xml:space="preserve"> </w:t>
      </w:r>
      <w:proofErr w:type="spellStart"/>
      <w:r w:rsidRPr="00A85841">
        <w:rPr>
          <w:rFonts w:ascii="Garamond" w:hAnsi="Garamond"/>
          <w:sz w:val="24"/>
          <w:szCs w:val="24"/>
        </w:rPr>
        <w:t>kader</w:t>
      </w:r>
      <w:proofErr w:type="spellEnd"/>
      <w:r w:rsidRPr="00A85841">
        <w:rPr>
          <w:rFonts w:ascii="Garamond" w:hAnsi="Garamond"/>
          <w:sz w:val="24"/>
          <w:szCs w:val="24"/>
        </w:rPr>
        <w:t xml:space="preserve"> yang </w:t>
      </w:r>
      <w:proofErr w:type="spellStart"/>
      <w:r w:rsidRPr="00A85841">
        <w:rPr>
          <w:rFonts w:ascii="Garamond" w:hAnsi="Garamond"/>
          <w:sz w:val="24"/>
          <w:szCs w:val="24"/>
        </w:rPr>
        <w:t>tidak</w:t>
      </w:r>
      <w:proofErr w:type="spellEnd"/>
      <w:r w:rsidRPr="00A85841">
        <w:rPr>
          <w:rFonts w:ascii="Garamond" w:hAnsi="Garamond"/>
          <w:sz w:val="24"/>
          <w:szCs w:val="24"/>
        </w:rPr>
        <w:t xml:space="preserve"> </w:t>
      </w:r>
      <w:proofErr w:type="spellStart"/>
      <w:r w:rsidRPr="00A85841">
        <w:rPr>
          <w:rFonts w:ascii="Garamond" w:hAnsi="Garamond"/>
          <w:sz w:val="24"/>
          <w:szCs w:val="24"/>
        </w:rPr>
        <w:t>hanya</w:t>
      </w:r>
      <w:proofErr w:type="spellEnd"/>
      <w:r w:rsidRPr="00A85841">
        <w:rPr>
          <w:rFonts w:ascii="Garamond" w:hAnsi="Garamond"/>
          <w:sz w:val="24"/>
          <w:szCs w:val="24"/>
        </w:rPr>
        <w:t xml:space="preserve"> </w:t>
      </w:r>
      <w:proofErr w:type="spellStart"/>
      <w:r w:rsidRPr="00A85841">
        <w:rPr>
          <w:rFonts w:ascii="Garamond" w:hAnsi="Garamond"/>
          <w:sz w:val="24"/>
          <w:szCs w:val="24"/>
        </w:rPr>
        <w:t>paham</w:t>
      </w:r>
      <w:proofErr w:type="spellEnd"/>
      <w:r w:rsidRPr="00A85841">
        <w:rPr>
          <w:rFonts w:ascii="Garamond" w:hAnsi="Garamond"/>
          <w:sz w:val="24"/>
          <w:szCs w:val="24"/>
        </w:rPr>
        <w:t xml:space="preserve"> agama, </w:t>
      </w:r>
      <w:proofErr w:type="spellStart"/>
      <w:r w:rsidRPr="00A85841">
        <w:rPr>
          <w:rFonts w:ascii="Garamond" w:hAnsi="Garamond"/>
          <w:sz w:val="24"/>
          <w:szCs w:val="24"/>
        </w:rPr>
        <w:t>tetapi</w:t>
      </w:r>
      <w:proofErr w:type="spellEnd"/>
      <w:r w:rsidRPr="00A85841">
        <w:rPr>
          <w:rFonts w:ascii="Garamond" w:hAnsi="Garamond"/>
          <w:sz w:val="24"/>
          <w:szCs w:val="24"/>
        </w:rPr>
        <w:t xml:space="preserve"> juga </w:t>
      </w:r>
      <w:proofErr w:type="spellStart"/>
      <w:r w:rsidRPr="00A85841">
        <w:rPr>
          <w:rFonts w:ascii="Garamond" w:hAnsi="Garamond"/>
          <w:sz w:val="24"/>
          <w:szCs w:val="24"/>
        </w:rPr>
        <w:t>mampu</w:t>
      </w:r>
      <w:proofErr w:type="spellEnd"/>
      <w:r w:rsidRPr="00A85841">
        <w:rPr>
          <w:rFonts w:ascii="Garamond" w:hAnsi="Garamond"/>
          <w:sz w:val="24"/>
          <w:szCs w:val="24"/>
        </w:rPr>
        <w:t xml:space="preserve"> </w:t>
      </w:r>
      <w:proofErr w:type="spellStart"/>
      <w:r w:rsidRPr="00A85841">
        <w:rPr>
          <w:rFonts w:ascii="Garamond" w:hAnsi="Garamond"/>
          <w:sz w:val="24"/>
          <w:szCs w:val="24"/>
        </w:rPr>
        <w:t>berpikir</w:t>
      </w:r>
      <w:proofErr w:type="spellEnd"/>
      <w:r w:rsidRPr="00A85841">
        <w:rPr>
          <w:rFonts w:ascii="Garamond" w:hAnsi="Garamond"/>
          <w:sz w:val="24"/>
          <w:szCs w:val="24"/>
        </w:rPr>
        <w:t xml:space="preserve"> </w:t>
      </w:r>
      <w:proofErr w:type="spellStart"/>
      <w:r w:rsidRPr="00A85841">
        <w:rPr>
          <w:rFonts w:ascii="Garamond" w:hAnsi="Garamond"/>
          <w:sz w:val="24"/>
          <w:szCs w:val="24"/>
        </w:rPr>
        <w:t>kritis</w:t>
      </w:r>
      <w:proofErr w:type="spellEnd"/>
      <w:r w:rsidRPr="00A85841">
        <w:rPr>
          <w:rFonts w:ascii="Garamond" w:hAnsi="Garamond"/>
          <w:sz w:val="24"/>
          <w:szCs w:val="24"/>
        </w:rPr>
        <w:t xml:space="preserve"> </w:t>
      </w:r>
      <w:proofErr w:type="spellStart"/>
      <w:r w:rsidRPr="00A85841">
        <w:rPr>
          <w:rFonts w:ascii="Garamond" w:hAnsi="Garamond"/>
          <w:sz w:val="24"/>
          <w:szCs w:val="24"/>
        </w:rPr>
        <w:t>dalam</w:t>
      </w:r>
      <w:proofErr w:type="spellEnd"/>
      <w:r w:rsidRPr="00A85841">
        <w:rPr>
          <w:rFonts w:ascii="Garamond" w:hAnsi="Garamond"/>
          <w:sz w:val="24"/>
          <w:szCs w:val="24"/>
        </w:rPr>
        <w:t xml:space="preserve"> </w:t>
      </w:r>
      <w:proofErr w:type="spellStart"/>
      <w:r w:rsidRPr="00A85841">
        <w:rPr>
          <w:rFonts w:ascii="Garamond" w:hAnsi="Garamond"/>
          <w:sz w:val="24"/>
          <w:szCs w:val="24"/>
        </w:rPr>
        <w:t>kerangka</w:t>
      </w:r>
      <w:proofErr w:type="spellEnd"/>
      <w:r w:rsidRPr="00A85841">
        <w:rPr>
          <w:rFonts w:ascii="Garamond" w:hAnsi="Garamond"/>
          <w:sz w:val="24"/>
          <w:szCs w:val="24"/>
        </w:rPr>
        <w:t xml:space="preserve"> </w:t>
      </w:r>
      <w:proofErr w:type="spellStart"/>
      <w:r w:rsidRPr="00A85841">
        <w:rPr>
          <w:rFonts w:ascii="Garamond" w:hAnsi="Garamond"/>
          <w:sz w:val="24"/>
          <w:szCs w:val="24"/>
        </w:rPr>
        <w:t>revolusi</w:t>
      </w:r>
      <w:proofErr w:type="spellEnd"/>
      <w:r w:rsidRPr="00A85841">
        <w:rPr>
          <w:rFonts w:ascii="Garamond" w:hAnsi="Garamond"/>
          <w:sz w:val="24"/>
          <w:szCs w:val="24"/>
        </w:rPr>
        <w:t xml:space="preserve"> </w:t>
      </w:r>
      <w:proofErr w:type="spellStart"/>
      <w:r w:rsidRPr="00A85841">
        <w:rPr>
          <w:rFonts w:ascii="Garamond" w:hAnsi="Garamond"/>
          <w:sz w:val="24"/>
          <w:szCs w:val="24"/>
        </w:rPr>
        <w:t>teologis-politik</w:t>
      </w:r>
      <w:proofErr w:type="spellEnd"/>
      <w:r w:rsidRPr="00A85841">
        <w:rPr>
          <w:rFonts w:ascii="Garamond" w:hAnsi="Garamond"/>
          <w:sz w:val="24"/>
          <w:szCs w:val="24"/>
        </w:rPr>
        <w:t xml:space="preserve">. Ini </w:t>
      </w:r>
      <w:proofErr w:type="spellStart"/>
      <w:r w:rsidRPr="00A85841">
        <w:rPr>
          <w:rFonts w:ascii="Garamond" w:hAnsi="Garamond"/>
          <w:sz w:val="24"/>
          <w:szCs w:val="24"/>
        </w:rPr>
        <w:t>selaras</w:t>
      </w:r>
      <w:proofErr w:type="spellEnd"/>
      <w:r w:rsidRPr="00A85841">
        <w:rPr>
          <w:rFonts w:ascii="Garamond" w:hAnsi="Garamond"/>
          <w:sz w:val="24"/>
          <w:szCs w:val="24"/>
        </w:rPr>
        <w:t xml:space="preserve"> </w:t>
      </w:r>
      <w:proofErr w:type="spellStart"/>
      <w:r w:rsidRPr="00A85841">
        <w:rPr>
          <w:rFonts w:ascii="Garamond" w:hAnsi="Garamond"/>
          <w:sz w:val="24"/>
          <w:szCs w:val="24"/>
        </w:rPr>
        <w:t>dengan</w:t>
      </w:r>
      <w:proofErr w:type="spellEnd"/>
      <w:r w:rsidRPr="00A85841">
        <w:rPr>
          <w:rFonts w:ascii="Garamond" w:hAnsi="Garamond"/>
          <w:sz w:val="24"/>
          <w:szCs w:val="24"/>
        </w:rPr>
        <w:t xml:space="preserve"> </w:t>
      </w:r>
      <w:proofErr w:type="spellStart"/>
      <w:r w:rsidRPr="00A85841">
        <w:rPr>
          <w:rFonts w:ascii="Garamond" w:hAnsi="Garamond"/>
          <w:sz w:val="24"/>
          <w:szCs w:val="24"/>
        </w:rPr>
        <w:t>pendekatan</w:t>
      </w:r>
      <w:proofErr w:type="spellEnd"/>
      <w:r w:rsidRPr="00A85841">
        <w:rPr>
          <w:rFonts w:ascii="Garamond" w:hAnsi="Garamond"/>
          <w:sz w:val="24"/>
          <w:szCs w:val="24"/>
        </w:rPr>
        <w:t xml:space="preserve"> </w:t>
      </w:r>
      <w:proofErr w:type="spellStart"/>
      <w:r w:rsidRPr="00A85841">
        <w:rPr>
          <w:rFonts w:ascii="Garamond" w:hAnsi="Garamond"/>
          <w:sz w:val="24"/>
          <w:szCs w:val="24"/>
        </w:rPr>
        <w:t>pendidikan</w:t>
      </w:r>
      <w:proofErr w:type="spellEnd"/>
      <w:r w:rsidRPr="00A85841">
        <w:rPr>
          <w:rFonts w:ascii="Garamond" w:hAnsi="Garamond"/>
          <w:sz w:val="24"/>
          <w:szCs w:val="24"/>
        </w:rPr>
        <w:t xml:space="preserve"> Islam di Iran </w:t>
      </w:r>
      <w:proofErr w:type="spellStart"/>
      <w:r w:rsidRPr="00A85841">
        <w:rPr>
          <w:rFonts w:ascii="Garamond" w:hAnsi="Garamond"/>
          <w:sz w:val="24"/>
          <w:szCs w:val="24"/>
        </w:rPr>
        <w:t>pasca</w:t>
      </w:r>
      <w:proofErr w:type="spellEnd"/>
      <w:r w:rsidRPr="00A85841">
        <w:rPr>
          <w:rFonts w:ascii="Garamond" w:hAnsi="Garamond"/>
          <w:sz w:val="24"/>
          <w:szCs w:val="24"/>
        </w:rPr>
        <w:t xml:space="preserve">-Khomeini </w:t>
      </w:r>
      <w:r>
        <w:rPr>
          <w:rFonts w:ascii="Garamond" w:hAnsi="Garamond"/>
          <w:sz w:val="24"/>
          <w:szCs w:val="24"/>
        </w:rPr>
        <w:fldChar w:fldCharType="begin" w:fldLock="1"/>
      </w:r>
      <w:r>
        <w:rPr>
          <w:rFonts w:ascii="Garamond" w:hAnsi="Garamond"/>
          <w:sz w:val="24"/>
          <w:szCs w:val="24"/>
        </w:rPr>
        <w:instrText>ADDIN CSL_CITATION {"citationItems":[{"id":"ITEM-1","itemData":{"DOI":"10.15408/sdi.v21i1.879","ISSN":"23556145","abstract":"This article seeks to explain the role of education in relation to identity formation and the problems of recognition among Indonesian Shi'i (Shi'a) educational institutions. Despite being relatively small in numbers, the existence of the Shi'i community in Indonesia has attracted great attention from the state and religious authorities, especially since the recent sectarian violence committed against minority groups. This article follows three basic arguments: first, the issue of recognition is essential for education; second social recognition is central to identity formation; and third, educational institution is a site of identity formation. This study shows that education is a very important vehicle for the Shi'i group to gain recognition from the Sunni majority. Education plays an important role, and the Shi'i school system adopted from Iran has provided recognitive process and recognitive space for the community to make Shi'ism a legitimate group in Indonesian Islam.","author":[{"dropping-particle":"","family":"Zulkifli","given":"","non-dropping-particle":"","parse-names":false,"suffix":""}],"container-title":"Studia Islamika","id":"ITEM-1","issue":"1","issued":{"date-parts":[["2014"]]},"page":"77-108","title":"Education, identity, and recognition: E Shi'i Islamic education in Indonesia","type":"article-journal","volume":"21"},"uris":["http://www.mendeley.com/documents/?uuid=1c3647df-13c0-4088-b72d-e07a310d6804"]}],"mendeley":{"formattedCitation":"(Zulkifli, 2014)","plainTextFormattedCitation":"(Zulkifli, 2014)","previouslyFormattedCitation":"(Zulkifli, 2014)"},"properties":{"noteIndex":0},"schema":"https://github.com/citation-style-language/schema/raw/master/csl-citation.json"}</w:instrText>
      </w:r>
      <w:r>
        <w:rPr>
          <w:rFonts w:ascii="Garamond" w:hAnsi="Garamond"/>
          <w:sz w:val="24"/>
          <w:szCs w:val="24"/>
        </w:rPr>
        <w:fldChar w:fldCharType="separate"/>
      </w:r>
      <w:r w:rsidRPr="008666E1">
        <w:rPr>
          <w:rFonts w:ascii="Garamond" w:hAnsi="Garamond"/>
          <w:noProof/>
          <w:sz w:val="24"/>
          <w:szCs w:val="24"/>
        </w:rPr>
        <w:t>(Zulkifli, 2014)</w:t>
      </w:r>
      <w:r>
        <w:rPr>
          <w:rFonts w:ascii="Garamond" w:hAnsi="Garamond"/>
          <w:sz w:val="24"/>
          <w:szCs w:val="24"/>
        </w:rPr>
        <w:fldChar w:fldCharType="end"/>
      </w:r>
      <w:r>
        <w:rPr>
          <w:rFonts w:ascii="Garamond" w:hAnsi="Garamond"/>
          <w:sz w:val="24"/>
          <w:szCs w:val="24"/>
        </w:rPr>
        <w:t>.</w:t>
      </w:r>
    </w:p>
    <w:p w14:paraId="0B894DDB" w14:textId="77777777" w:rsidR="00AF4385" w:rsidRPr="0087384A" w:rsidRDefault="00AF4385" w:rsidP="00AF4385">
      <w:pPr>
        <w:spacing w:before="240" w:after="40" w:line="240" w:lineRule="auto"/>
        <w:ind w:firstLine="567"/>
        <w:jc w:val="both"/>
        <w:rPr>
          <w:rFonts w:ascii="Garamond" w:hAnsi="Garamond"/>
          <w:sz w:val="24"/>
          <w:szCs w:val="24"/>
        </w:rPr>
      </w:pPr>
      <w:r w:rsidRPr="00A85841">
        <w:rPr>
          <w:rFonts w:ascii="Garamond" w:hAnsi="Garamond"/>
          <w:sz w:val="24"/>
          <w:szCs w:val="24"/>
        </w:rPr>
        <w:t xml:space="preserve">On the contrary, LDII constructs the curriculum as a mechanism to strengthen internal loyalty and reproduction of cadres. </w:t>
      </w:r>
      <w:r w:rsidRPr="001418C8">
        <w:rPr>
          <w:rFonts w:ascii="Garamond" w:hAnsi="Garamond" w:cs="Times New Roman"/>
          <w:sz w:val="24"/>
          <w:szCs w:val="24"/>
        </w:rPr>
        <w:t xml:space="preserve">LDII </w:t>
      </w:r>
      <w:proofErr w:type="spellStart"/>
      <w:r>
        <w:rPr>
          <w:rFonts w:ascii="Garamond" w:hAnsi="Garamond" w:cs="Times New Roman"/>
          <w:sz w:val="24"/>
          <w:szCs w:val="24"/>
        </w:rPr>
        <w:t>pesantren</w:t>
      </w:r>
      <w:proofErr w:type="spellEnd"/>
      <w:r w:rsidRPr="001418C8">
        <w:rPr>
          <w:rFonts w:ascii="Garamond" w:hAnsi="Garamond" w:cs="Times New Roman"/>
          <w:sz w:val="24"/>
          <w:szCs w:val="24"/>
        </w:rPr>
        <w:t xml:space="preserve"> builds a curriculum structure based on the tri of success (</w:t>
      </w:r>
      <w:r w:rsidRPr="001E58DA">
        <w:rPr>
          <w:rFonts w:ascii="Garamond" w:hAnsi="Garamond" w:cs="Times New Roman"/>
          <w:i/>
          <w:iCs/>
          <w:sz w:val="24"/>
          <w:szCs w:val="24"/>
        </w:rPr>
        <w:t>alim-faqih</w:t>
      </w:r>
      <w:r w:rsidRPr="001418C8">
        <w:rPr>
          <w:rFonts w:ascii="Garamond" w:hAnsi="Garamond" w:cs="Times New Roman"/>
          <w:sz w:val="24"/>
          <w:szCs w:val="24"/>
        </w:rPr>
        <w:t xml:space="preserve">, </w:t>
      </w:r>
      <w:proofErr w:type="spellStart"/>
      <w:r w:rsidRPr="001418C8">
        <w:rPr>
          <w:rFonts w:ascii="Garamond" w:hAnsi="Garamond" w:cs="Times New Roman"/>
          <w:sz w:val="24"/>
          <w:szCs w:val="24"/>
        </w:rPr>
        <w:t>akhlak</w:t>
      </w:r>
      <w:proofErr w:type="spellEnd"/>
      <w:r w:rsidRPr="001418C8">
        <w:rPr>
          <w:rFonts w:ascii="Garamond" w:hAnsi="Garamond" w:cs="Times New Roman"/>
          <w:sz w:val="24"/>
          <w:szCs w:val="24"/>
        </w:rPr>
        <w:t xml:space="preserve"> </w:t>
      </w:r>
      <w:proofErr w:type="spellStart"/>
      <w:r w:rsidRPr="001418C8">
        <w:rPr>
          <w:rFonts w:ascii="Garamond" w:hAnsi="Garamond" w:cs="Times New Roman"/>
          <w:sz w:val="24"/>
          <w:szCs w:val="24"/>
        </w:rPr>
        <w:t>karimah</w:t>
      </w:r>
      <w:proofErr w:type="spellEnd"/>
      <w:r w:rsidRPr="001418C8">
        <w:rPr>
          <w:rFonts w:ascii="Garamond" w:hAnsi="Garamond" w:cs="Times New Roman"/>
          <w:sz w:val="24"/>
          <w:szCs w:val="24"/>
        </w:rPr>
        <w:t xml:space="preserve">, independent) with an emphasis on understanding hadith and da'wah practice. </w:t>
      </w:r>
      <w:r w:rsidRPr="00A85841">
        <w:rPr>
          <w:rFonts w:ascii="Garamond" w:hAnsi="Garamond"/>
          <w:sz w:val="24"/>
          <w:szCs w:val="24"/>
        </w:rPr>
        <w:t xml:space="preserve"> The curriculum does not only teach religious knowledge, but at the same time disciplines doctrine, strengthens systems, and limits outside influences. In this context, </w:t>
      </w:r>
      <w:proofErr w:type="spellStart"/>
      <w:r w:rsidRPr="00A85841">
        <w:rPr>
          <w:rFonts w:ascii="Garamond" w:hAnsi="Garamond"/>
          <w:sz w:val="24"/>
          <w:szCs w:val="24"/>
        </w:rPr>
        <w:t>pesantren</w:t>
      </w:r>
      <w:proofErr w:type="spellEnd"/>
      <w:r w:rsidRPr="00A85841">
        <w:rPr>
          <w:rFonts w:ascii="Garamond" w:hAnsi="Garamond"/>
          <w:sz w:val="24"/>
          <w:szCs w:val="24"/>
        </w:rPr>
        <w:t xml:space="preserve"> are an important tool in forming a closed but well-organized LDII society </w:t>
      </w:r>
      <w:r>
        <w:rPr>
          <w:rFonts w:ascii="Garamond" w:hAnsi="Garamond"/>
          <w:sz w:val="24"/>
          <w:szCs w:val="24"/>
        </w:rPr>
        <w:fldChar w:fldCharType="begin" w:fldLock="1"/>
      </w:r>
      <w:r>
        <w:rPr>
          <w:rFonts w:ascii="Garamond" w:hAnsi="Garamond"/>
          <w:sz w:val="24"/>
          <w:szCs w:val="24"/>
        </w:rPr>
        <w:instrText>ADDIN CSL_CITATION {"citationItems":[{"id":"ITEM-1","itemData":{"DOI":"10.69896/modeling.v11i2.2493","ISSN":"2442-3661","abstract":"The Nurul Hakim Kaliawen Islamic Boarding School focuses on training LDII preachers to become professional and religious preachers. This study explores these training strategies, emphasizing how the institution equips students with religious knowledge, noble character, and independence. Using a qualitative approach and descriptive analysis, data was collected through interviews, observations, and document studies, and analyzed using the Miles and Huberman method. The results show that Nurul Hakim Kaliawen implements the manqul-musnad-muttasil method in teaching the Qur'an and Hadith, instills the application of 29 noble characters, and promotes the development of independence. Regular evaluations are conducted to assess students' progress. In conclusion, the implemented training strategies have proven effective in shaping quality preachers and contributing to the development of students' competencies, while also providing additional insights into the effectiveness of training strategies in the context of LDII preaching.\r Abstrak\r Pondok Pesantren Nurul Hakim Kaliawen memfokuskan diri pada kaderisasi mubaligh LDII untuk membentuk mubaligh yang profesional dan religius. Penelitian ini mengeksplorasi strategi kaderisasi tersebut dengan menekankan cara lembaga ini membekali santri dengan pengetahuan agama, akhlakul karimah, dan kemandirian. Menggunakan pendekatan kualitatif dan analisis deskriptif, data dikumpulkan melalui wawancara, observasi, dan studi dokumentasi, serta dianalisis dengan metode Miles dan Huberman. Hasil penelitian menunjukkan bahwa Ponpes Nurul Hakim Kaliawen menerapkan metode manqul-musnad-muttasil dalam pembelajaran Al-Qur'an dan Hadits, serta membiasakan penerapan 29 karakter luhur dan pengembangan kemandirian. Evaluasi berkala dilakukan untuk menilai kemajuan santri. Kesimpulannya, strategi kaderisasi yang diterapkan terbukti efektif dalam membentuk mubaligh berkualitas dan berkontribusi pada pengembangan kompetensi santri, serta memberikan wawasan tambahan tentang efektivitas strategi kaderisasi dalam konteks dakwah LDII.","author":[{"dropping-particle":"","family":"Aly","given":"Imam","non-dropping-particle":"","parse-names":false,"suffix":""},{"dropping-particle":"","family":"Romadlon","given":"Dzulfikar Akbar","non-dropping-particle":"","parse-names":false,"suffix":""}],"container-title":"MODELING: Jurnal Program Studi PGMI","id":"ITEM-1","issue":"2","issued":{"date-parts":[["2024"]]},"page":"394-412","title":"The Strategy for Mubaligh Cadre Development by LDII at Nurul Hakim Kaliawen Islamic Boarding School in Kediri [Strategi Kaderisasi Mubaligh LDII di Pondok Pesantren Nurul Hakim Kaliawen Kediri]","type":"article-journal","volume":"11"},"uris":["http://www.mendeley.com/documents/?uuid=701da914-df80-4a4e-9678-d07759f52522"]}],"mendeley":{"formattedCitation":"(Aly &amp; Romadlon, 2024)","plainTextFormattedCitation":"(Aly &amp; Romadlon, 2024)","previouslyFormattedCitation":"(Aly &amp; Romadlon, 2024)"},"properties":{"noteIndex":0},"schema":"https://github.com/citation-style-language/schema/raw/master/csl-citation.json"}</w:instrText>
      </w:r>
      <w:r>
        <w:rPr>
          <w:rFonts w:ascii="Garamond" w:hAnsi="Garamond"/>
          <w:sz w:val="24"/>
          <w:szCs w:val="24"/>
        </w:rPr>
        <w:fldChar w:fldCharType="separate"/>
      </w:r>
      <w:r w:rsidRPr="00507F30">
        <w:rPr>
          <w:rFonts w:ascii="Garamond" w:hAnsi="Garamond"/>
          <w:noProof/>
          <w:sz w:val="24"/>
          <w:szCs w:val="24"/>
        </w:rPr>
        <w:t>(Aly &amp; Romadlon, 2024)</w:t>
      </w:r>
      <w:r>
        <w:rPr>
          <w:rFonts w:ascii="Garamond" w:hAnsi="Garamond"/>
          <w:sz w:val="24"/>
          <w:szCs w:val="24"/>
        </w:rPr>
        <w:fldChar w:fldCharType="end"/>
      </w:r>
      <w:r w:rsidRPr="00A85841">
        <w:rPr>
          <w:rFonts w:ascii="Garamond" w:hAnsi="Garamond"/>
          <w:sz w:val="24"/>
          <w:szCs w:val="24"/>
        </w:rPr>
        <w:t>.</w:t>
      </w:r>
      <w:r w:rsidRPr="0087384A">
        <w:rPr>
          <w:rFonts w:ascii="Garamond" w:hAnsi="Garamond"/>
          <w:sz w:val="24"/>
          <w:szCs w:val="24"/>
        </w:rPr>
        <w:t xml:space="preserve"> </w:t>
      </w:r>
    </w:p>
    <w:p w14:paraId="2D7C91D1" w14:textId="77777777" w:rsidR="00AF4385" w:rsidRPr="0087384A" w:rsidRDefault="00AF4385" w:rsidP="00AF4385">
      <w:pPr>
        <w:spacing w:before="240" w:after="40" w:line="240" w:lineRule="auto"/>
        <w:ind w:firstLine="567"/>
        <w:jc w:val="both"/>
        <w:rPr>
          <w:rFonts w:ascii="Garamond" w:hAnsi="Garamond" w:cs="Times New Roman"/>
          <w:sz w:val="24"/>
          <w:szCs w:val="24"/>
        </w:rPr>
      </w:pPr>
      <w:r w:rsidRPr="001418C8">
        <w:rPr>
          <w:rFonts w:ascii="Garamond" w:hAnsi="Garamond" w:cs="Times New Roman"/>
          <w:sz w:val="24"/>
          <w:szCs w:val="24"/>
        </w:rPr>
        <w:t xml:space="preserve">As for Persis prioritizes the purification of monotheism from the elements of </w:t>
      </w:r>
      <w:proofErr w:type="spellStart"/>
      <w:r w:rsidRPr="001418C8">
        <w:rPr>
          <w:rFonts w:ascii="Garamond" w:hAnsi="Garamond" w:cs="Times New Roman"/>
          <w:sz w:val="24"/>
          <w:szCs w:val="24"/>
        </w:rPr>
        <w:t>bid'ah</w:t>
      </w:r>
      <w:proofErr w:type="spellEnd"/>
      <w:r w:rsidRPr="001418C8">
        <w:rPr>
          <w:rFonts w:ascii="Garamond" w:hAnsi="Garamond" w:cs="Times New Roman"/>
          <w:sz w:val="24"/>
          <w:szCs w:val="24"/>
        </w:rPr>
        <w:t xml:space="preserve"> and superstition. The Kitab </w:t>
      </w:r>
      <w:r w:rsidRPr="001418C8">
        <w:rPr>
          <w:rFonts w:ascii="Garamond" w:hAnsi="Garamond" w:cs="Times New Roman"/>
          <w:i/>
          <w:iCs/>
          <w:sz w:val="24"/>
          <w:szCs w:val="24"/>
        </w:rPr>
        <w:t>al-Tauhid</w:t>
      </w:r>
      <w:r w:rsidRPr="001418C8">
        <w:rPr>
          <w:rFonts w:ascii="Garamond" w:hAnsi="Garamond" w:cs="Times New Roman"/>
          <w:sz w:val="24"/>
          <w:szCs w:val="24"/>
        </w:rPr>
        <w:t xml:space="preserve">, </w:t>
      </w:r>
      <w:r w:rsidRPr="001418C8">
        <w:rPr>
          <w:rFonts w:ascii="Garamond" w:hAnsi="Garamond" w:cs="Times New Roman"/>
          <w:i/>
          <w:iCs/>
          <w:sz w:val="24"/>
          <w:szCs w:val="24"/>
        </w:rPr>
        <w:t>Tafsir al-Manar</w:t>
      </w:r>
      <w:r w:rsidRPr="001418C8">
        <w:rPr>
          <w:rFonts w:ascii="Garamond" w:hAnsi="Garamond" w:cs="Times New Roman"/>
          <w:sz w:val="24"/>
          <w:szCs w:val="24"/>
        </w:rPr>
        <w:t xml:space="preserve">, and </w:t>
      </w:r>
      <w:proofErr w:type="spellStart"/>
      <w:r w:rsidRPr="001418C8">
        <w:rPr>
          <w:rFonts w:ascii="Garamond" w:hAnsi="Garamond" w:cs="Times New Roman"/>
          <w:sz w:val="24"/>
          <w:szCs w:val="24"/>
        </w:rPr>
        <w:t>mantiq</w:t>
      </w:r>
      <w:proofErr w:type="spellEnd"/>
      <w:r w:rsidRPr="001418C8">
        <w:rPr>
          <w:rFonts w:ascii="Garamond" w:hAnsi="Garamond" w:cs="Times New Roman"/>
          <w:sz w:val="24"/>
          <w:szCs w:val="24"/>
        </w:rPr>
        <w:t xml:space="preserve"> training are tools for the formation of rational understanding and scientific arguments in defending beliefs </w:t>
      </w:r>
      <w:r>
        <w:rPr>
          <w:rFonts w:ascii="Garamond" w:hAnsi="Garamond" w:cs="Times New Roman"/>
          <w:sz w:val="24"/>
          <w:szCs w:val="24"/>
        </w:rPr>
        <w:fldChar w:fldCharType="begin" w:fldLock="1"/>
      </w:r>
      <w:r>
        <w:rPr>
          <w:rFonts w:ascii="Garamond" w:hAnsi="Garamond" w:cs="Times New Roman"/>
          <w:sz w:val="24"/>
          <w:szCs w:val="24"/>
        </w:rPr>
        <w:instrText>ADDIN CSL_CITATION {"citationItems":[{"id":"ITEM-1","itemData":{"abstract":"Abstrak Ilmu Tauhid merupakan ilmu fundamental dalam ajaran Islam yang harus disampaikan kepada seluruh umat Islam dan hukum mempelajarinya adalah fardhu ‘ain. Ilmu Tauhid di Pesantren Persis diberikan sejak Madrasah Ula hingga Mu’allimin, sehingga peserta didik di Pesantren Persis memahami dengan benar Ilmu Tauhid sejak belia hingga dewasa. Namun demikian, corak ajaran Tauhid di Pesantren Persis tidak seragam. Ada yang mengajarkan paham Asy’ari dan ada juga yang mengajarkan paham Salafi, bahkan ada yang memadukan keduanya. Karena itu, menarik untuk mengkaji lebih jauh mengenai pemahaman ilmu Tauhid di Pesantren Persis. Penelitian ini merupakan penelitian kualitatif dengan menggunakan pendekatan library research dan field research berupa wawancara ke narasumber yang dianggap penting. Hasil dari penelitian ini menunjukkan bahwa Pesantren Persis tidak memiliki pemahaman Tauhid yang seragam sehingga amat tergantung dari masing-masing pengajar dan sumber buku yang diajarkannya.","author":[{"dropping-particle":"","family":"Hidayat","given":"Syarif","non-dropping-particle":"","parse-names":false,"suffix":""}],"container-title":"JSIM: Jurnal Ilmu Sosial dan Pendidikan","id":"ITEM-1","issue":"3","issued":{"date-parts":[["2024"]]},"title":"Konsep Pendidikan Tauhid di Pesantren Persatuan Islam","type":"article-journal","volume":"5"},"uris":["http://www.mendeley.com/documents/?uuid=b652db90-3102-43c9-bfdf-92cafd9543b4"]}],"mendeley":{"formattedCitation":"(Hidayat, 2024)","plainTextFormattedCitation":"(Hidayat, 2024)","previouslyFormattedCitation":"(Hidayat, 2024)"},"properties":{"noteIndex":0},"schema":"https://github.com/citation-style-language/schema/raw/master/csl-citation.json"}</w:instrText>
      </w:r>
      <w:r>
        <w:rPr>
          <w:rFonts w:ascii="Garamond" w:hAnsi="Garamond" w:cs="Times New Roman"/>
          <w:sz w:val="24"/>
          <w:szCs w:val="24"/>
        </w:rPr>
        <w:fldChar w:fldCharType="separate"/>
      </w:r>
      <w:r w:rsidRPr="00507F30">
        <w:rPr>
          <w:rFonts w:ascii="Garamond" w:hAnsi="Garamond" w:cs="Times New Roman"/>
          <w:noProof/>
          <w:sz w:val="24"/>
          <w:szCs w:val="24"/>
        </w:rPr>
        <w:t>(Hidayat, 2024)</w:t>
      </w:r>
      <w:r>
        <w:rPr>
          <w:rFonts w:ascii="Garamond" w:hAnsi="Garamond" w:cs="Times New Roman"/>
          <w:sz w:val="24"/>
          <w:szCs w:val="24"/>
        </w:rPr>
        <w:fldChar w:fldCharType="end"/>
      </w:r>
      <w:r w:rsidRPr="001418C8">
        <w:rPr>
          <w:rFonts w:ascii="Garamond" w:hAnsi="Garamond" w:cs="Times New Roman"/>
          <w:sz w:val="24"/>
          <w:szCs w:val="24"/>
        </w:rPr>
        <w:t>.</w:t>
      </w:r>
    </w:p>
    <w:p w14:paraId="1EF2CECD" w14:textId="77777777" w:rsidR="00AF4385" w:rsidRPr="00A85841" w:rsidRDefault="00AF4385" w:rsidP="00AF4385">
      <w:pPr>
        <w:spacing w:before="240" w:after="40" w:line="240" w:lineRule="auto"/>
        <w:ind w:firstLine="567"/>
        <w:jc w:val="both"/>
        <w:rPr>
          <w:rFonts w:ascii="Garamond" w:hAnsi="Garamond" w:cs="Times New Roman"/>
          <w:sz w:val="24"/>
          <w:szCs w:val="24"/>
        </w:rPr>
      </w:pPr>
      <w:r w:rsidRPr="001418C8">
        <w:rPr>
          <w:rFonts w:ascii="Garamond" w:hAnsi="Garamond" w:cs="Times New Roman"/>
          <w:sz w:val="24"/>
          <w:szCs w:val="24"/>
        </w:rPr>
        <w:t>Thus, the ideological basis not only compiles a map of the content of the curriculum, but also shapes the way of thinking, learning strategies, and the direction of the regeneration of each Islamic boarding school. Ideology is an integrative factor as well as the main differentiator between Islamic boarding schools.</w:t>
      </w:r>
    </w:p>
    <w:p w14:paraId="63F45A13" w14:textId="77777777" w:rsidR="00AF4385" w:rsidRDefault="00AF4385" w:rsidP="00AF4385">
      <w:pPr>
        <w:spacing w:before="240" w:after="40" w:line="240" w:lineRule="auto"/>
        <w:jc w:val="both"/>
        <w:rPr>
          <w:rFonts w:ascii="Garamond" w:hAnsi="Garamond"/>
          <w:b/>
          <w:bCs/>
          <w:sz w:val="24"/>
          <w:szCs w:val="24"/>
        </w:rPr>
      </w:pPr>
    </w:p>
    <w:p w14:paraId="30306F4F" w14:textId="77777777" w:rsidR="00AF4385" w:rsidRPr="00A85841" w:rsidRDefault="00AF4385" w:rsidP="00AF4385">
      <w:pPr>
        <w:spacing w:before="240" w:after="40" w:line="240" w:lineRule="auto"/>
        <w:jc w:val="both"/>
        <w:rPr>
          <w:rFonts w:ascii="Garamond" w:hAnsi="Garamond"/>
          <w:b/>
          <w:bCs/>
          <w:sz w:val="24"/>
          <w:szCs w:val="24"/>
        </w:rPr>
      </w:pPr>
      <w:r w:rsidRPr="00A85841">
        <w:rPr>
          <w:rFonts w:ascii="Garamond" w:hAnsi="Garamond"/>
          <w:b/>
          <w:bCs/>
          <w:sz w:val="24"/>
          <w:szCs w:val="24"/>
        </w:rPr>
        <w:t>The Difference Between Pedagogical Approach and Curriculum Management</w:t>
      </w:r>
    </w:p>
    <w:p w14:paraId="4D2AEC76" w14:textId="77777777" w:rsidR="00AF4385" w:rsidRPr="00A85841" w:rsidRDefault="00AF4385" w:rsidP="00AF4385">
      <w:pPr>
        <w:spacing w:before="240" w:after="40" w:line="240" w:lineRule="auto"/>
        <w:ind w:firstLine="567"/>
        <w:jc w:val="both"/>
        <w:rPr>
          <w:rFonts w:ascii="Garamond" w:hAnsi="Garamond" w:cs="Times New Roman"/>
          <w:sz w:val="24"/>
          <w:szCs w:val="24"/>
        </w:rPr>
      </w:pPr>
      <w:r w:rsidRPr="00A85841">
        <w:rPr>
          <w:rFonts w:ascii="Garamond" w:hAnsi="Garamond"/>
          <w:sz w:val="24"/>
          <w:szCs w:val="24"/>
        </w:rPr>
        <w:t xml:space="preserve">The pedagogical approach has also experienced a striking differentiation. NU </w:t>
      </w:r>
      <w:proofErr w:type="spellStart"/>
      <w:r>
        <w:rPr>
          <w:rFonts w:ascii="Garamond" w:hAnsi="Garamond" w:cs="Times New Roman"/>
          <w:sz w:val="24"/>
          <w:szCs w:val="24"/>
        </w:rPr>
        <w:t>pesantrens</w:t>
      </w:r>
      <w:proofErr w:type="spellEnd"/>
      <w:r w:rsidRPr="00A85841">
        <w:rPr>
          <w:rFonts w:ascii="Garamond" w:hAnsi="Garamond"/>
          <w:sz w:val="24"/>
          <w:szCs w:val="24"/>
        </w:rPr>
        <w:t xml:space="preserve"> are generally flexible and informal. The learning process still relies on the emotional closeness between the students and the kiai, with classic recitation methods such as </w:t>
      </w:r>
      <w:proofErr w:type="spellStart"/>
      <w:r w:rsidRPr="00A85841">
        <w:rPr>
          <w:rFonts w:ascii="Garamond" w:hAnsi="Garamond"/>
          <w:i/>
          <w:iCs/>
          <w:sz w:val="24"/>
          <w:szCs w:val="24"/>
        </w:rPr>
        <w:t>bandongan</w:t>
      </w:r>
      <w:proofErr w:type="spellEnd"/>
      <w:r w:rsidRPr="00A85841">
        <w:rPr>
          <w:rFonts w:ascii="Garamond" w:hAnsi="Garamond"/>
          <w:sz w:val="24"/>
          <w:szCs w:val="24"/>
        </w:rPr>
        <w:t xml:space="preserve"> and </w:t>
      </w:r>
      <w:proofErr w:type="spellStart"/>
      <w:r w:rsidRPr="00A85841">
        <w:rPr>
          <w:rFonts w:ascii="Garamond" w:hAnsi="Garamond"/>
          <w:i/>
          <w:iCs/>
          <w:sz w:val="24"/>
          <w:szCs w:val="24"/>
        </w:rPr>
        <w:t>sorogan</w:t>
      </w:r>
      <w:proofErr w:type="spellEnd"/>
      <w:r w:rsidRPr="00A85841">
        <w:rPr>
          <w:rFonts w:ascii="Garamond" w:hAnsi="Garamond"/>
          <w:i/>
          <w:iCs/>
          <w:sz w:val="24"/>
          <w:szCs w:val="24"/>
        </w:rPr>
        <w:t xml:space="preserve"> </w:t>
      </w:r>
      <w:r w:rsidRPr="001418C8">
        <w:rPr>
          <w:rFonts w:ascii="Garamond" w:hAnsi="Garamond" w:cs="Times New Roman"/>
          <w:sz w:val="24"/>
          <w:szCs w:val="24"/>
        </w:rPr>
        <w:t>where the teacher-student relationship is charismatic and informal. The learning process is not always class-based, but more fluid and contextual according to the direction of the kiai</w:t>
      </w:r>
      <w:r w:rsidRPr="00A85841">
        <w:rPr>
          <w:rFonts w:ascii="Garamond" w:hAnsi="Garamond"/>
          <w:sz w:val="24"/>
          <w:szCs w:val="24"/>
        </w:rPr>
        <w:t xml:space="preserve">. This system emphasizes </w:t>
      </w:r>
      <w:r w:rsidRPr="00A85841">
        <w:rPr>
          <w:rFonts w:ascii="Garamond" w:hAnsi="Garamond"/>
          <w:i/>
          <w:iCs/>
          <w:sz w:val="24"/>
          <w:szCs w:val="24"/>
        </w:rPr>
        <w:t>scientific manners</w:t>
      </w:r>
      <w:r w:rsidRPr="00A85841">
        <w:rPr>
          <w:rFonts w:ascii="Garamond" w:hAnsi="Garamond"/>
          <w:sz w:val="24"/>
          <w:szCs w:val="24"/>
        </w:rPr>
        <w:t xml:space="preserve"> and </w:t>
      </w:r>
      <w:proofErr w:type="spellStart"/>
      <w:r w:rsidRPr="00A85841">
        <w:rPr>
          <w:rFonts w:ascii="Garamond" w:hAnsi="Garamond"/>
          <w:i/>
          <w:iCs/>
          <w:sz w:val="24"/>
          <w:szCs w:val="24"/>
        </w:rPr>
        <w:t>sanad</w:t>
      </w:r>
      <w:proofErr w:type="spellEnd"/>
      <w:r w:rsidRPr="00A85841">
        <w:rPr>
          <w:rFonts w:ascii="Garamond" w:hAnsi="Garamond"/>
          <w:sz w:val="24"/>
          <w:szCs w:val="24"/>
        </w:rPr>
        <w:t xml:space="preserve"> as the central value of education </w:t>
      </w:r>
      <w:r>
        <w:rPr>
          <w:rFonts w:ascii="Garamond" w:hAnsi="Garamond"/>
          <w:sz w:val="24"/>
          <w:szCs w:val="24"/>
        </w:rPr>
        <w:fldChar w:fldCharType="begin" w:fldLock="1"/>
      </w:r>
      <w:r>
        <w:rPr>
          <w:rFonts w:ascii="Garamond" w:hAnsi="Garamond"/>
          <w:sz w:val="24"/>
          <w:szCs w:val="24"/>
        </w:rPr>
        <w:instrText>ADDIN CSL_CITATION {"citationItems":[{"id":"ITEM-1","itemData":{"author":[{"dropping-particle":"","family":"Dhofier","given":"Zamakhsyari","non-dropping-particle":"","parse-names":false,"suffix":""}],"id":"ITEM-1","issued":{"date-parts":[["1982"]]},"publisher":"LP3ES","publisher-place":"Jakarta","title":"Tradisi Pesantren: Studi Pandangan Hidup Kiyai dan Visinya Mengenai Masa Depan Indonesia","type":"book"},"uris":["http://www.mendeley.com/documents/?uuid=e0844cfb-7ac6-4cdb-9f96-52a626348bda"]}],"mendeley":{"formattedCitation":"(Dhofier, 1982)","plainTextFormattedCitation":"(Dhofier, 1982)","previouslyFormattedCitation":"(Dhofier, 1982)"},"properties":{"noteIndex":0},"schema":"https://github.com/citation-style-language/schema/raw/master/csl-citation.json"}</w:instrText>
      </w:r>
      <w:r>
        <w:rPr>
          <w:rFonts w:ascii="Garamond" w:hAnsi="Garamond"/>
          <w:sz w:val="24"/>
          <w:szCs w:val="24"/>
        </w:rPr>
        <w:fldChar w:fldCharType="separate"/>
      </w:r>
      <w:r w:rsidRPr="00507F30">
        <w:rPr>
          <w:rFonts w:ascii="Garamond" w:hAnsi="Garamond"/>
          <w:noProof/>
          <w:sz w:val="24"/>
          <w:szCs w:val="24"/>
        </w:rPr>
        <w:t>(Dhofier, 1982)</w:t>
      </w:r>
      <w:r>
        <w:rPr>
          <w:rFonts w:ascii="Garamond" w:hAnsi="Garamond"/>
          <w:sz w:val="24"/>
          <w:szCs w:val="24"/>
        </w:rPr>
        <w:fldChar w:fldCharType="end"/>
      </w:r>
    </w:p>
    <w:p w14:paraId="02BE3EA4" w14:textId="77777777" w:rsidR="00AF4385" w:rsidRPr="00A85841" w:rsidRDefault="00AF4385" w:rsidP="00AF4385">
      <w:pPr>
        <w:spacing w:before="240" w:after="40" w:line="240" w:lineRule="auto"/>
        <w:ind w:firstLine="567"/>
        <w:jc w:val="both"/>
        <w:rPr>
          <w:rFonts w:ascii="Garamond" w:hAnsi="Garamond"/>
          <w:sz w:val="24"/>
          <w:szCs w:val="24"/>
        </w:rPr>
      </w:pPr>
      <w:r w:rsidRPr="00A85841">
        <w:rPr>
          <w:rFonts w:ascii="Garamond" w:hAnsi="Garamond"/>
          <w:sz w:val="24"/>
          <w:szCs w:val="24"/>
        </w:rPr>
        <w:t xml:space="preserve">Muhammadiyah, on the other hand, adopts a modern classical approach with a top-down managerial system by the </w:t>
      </w:r>
      <w:proofErr w:type="spellStart"/>
      <w:r w:rsidRPr="00A85841">
        <w:rPr>
          <w:rFonts w:ascii="Garamond" w:hAnsi="Garamond"/>
          <w:sz w:val="24"/>
          <w:szCs w:val="24"/>
        </w:rPr>
        <w:t>center</w:t>
      </w:r>
      <w:proofErr w:type="spellEnd"/>
      <w:r w:rsidRPr="00A85841">
        <w:rPr>
          <w:rFonts w:ascii="Garamond" w:hAnsi="Garamond"/>
          <w:sz w:val="24"/>
          <w:szCs w:val="24"/>
        </w:rPr>
        <w:t xml:space="preserve">. </w:t>
      </w:r>
      <w:r w:rsidRPr="001418C8">
        <w:rPr>
          <w:rFonts w:ascii="Garamond" w:hAnsi="Garamond" w:cs="Times New Roman"/>
          <w:sz w:val="24"/>
          <w:szCs w:val="24"/>
        </w:rPr>
        <w:t xml:space="preserve">with the head of the </w:t>
      </w:r>
      <w:proofErr w:type="spellStart"/>
      <w:r>
        <w:rPr>
          <w:rFonts w:ascii="Garamond" w:hAnsi="Garamond" w:cs="Times New Roman"/>
          <w:sz w:val="24"/>
          <w:szCs w:val="24"/>
        </w:rPr>
        <w:t>pesantren</w:t>
      </w:r>
      <w:proofErr w:type="spellEnd"/>
      <w:r w:rsidRPr="001418C8">
        <w:rPr>
          <w:rFonts w:ascii="Garamond" w:hAnsi="Garamond" w:cs="Times New Roman"/>
          <w:sz w:val="24"/>
          <w:szCs w:val="24"/>
        </w:rPr>
        <w:t xml:space="preserve"> being selected periodically. This system ensures uniformity of curriculum and managerial discipline, but reduces cultural flexibility.</w:t>
      </w:r>
      <w:r w:rsidRPr="00A85841">
        <w:rPr>
          <w:rFonts w:ascii="Garamond" w:hAnsi="Garamond"/>
          <w:sz w:val="24"/>
          <w:szCs w:val="24"/>
        </w:rPr>
        <w:t xml:space="preserve"> The duties of </w:t>
      </w:r>
      <w:proofErr w:type="spellStart"/>
      <w:r w:rsidRPr="00A85841">
        <w:rPr>
          <w:rFonts w:ascii="Garamond" w:hAnsi="Garamond"/>
          <w:sz w:val="24"/>
          <w:szCs w:val="24"/>
        </w:rPr>
        <w:t>pesantren</w:t>
      </w:r>
      <w:proofErr w:type="spellEnd"/>
      <w:r w:rsidRPr="00A85841">
        <w:rPr>
          <w:rFonts w:ascii="Garamond" w:hAnsi="Garamond"/>
          <w:sz w:val="24"/>
          <w:szCs w:val="24"/>
        </w:rPr>
        <w:t xml:space="preserve"> caregivers are limited by the structural role of the organization, including in the selection of curriculum and teaching staff. This shows the </w:t>
      </w:r>
      <w:proofErr w:type="spellStart"/>
      <w:r w:rsidRPr="00A85841">
        <w:rPr>
          <w:rFonts w:ascii="Garamond" w:hAnsi="Garamond"/>
          <w:sz w:val="24"/>
          <w:szCs w:val="24"/>
        </w:rPr>
        <w:t>decralization</w:t>
      </w:r>
      <w:proofErr w:type="spellEnd"/>
      <w:r w:rsidRPr="00A85841">
        <w:rPr>
          <w:rFonts w:ascii="Garamond" w:hAnsi="Garamond"/>
          <w:sz w:val="24"/>
          <w:szCs w:val="24"/>
        </w:rPr>
        <w:t xml:space="preserve"> of the position of the kiai, who functions more as an institutional manager than a charismatic figure </w:t>
      </w:r>
      <w:r>
        <w:rPr>
          <w:rFonts w:ascii="Garamond" w:hAnsi="Garamond"/>
          <w:sz w:val="24"/>
          <w:szCs w:val="24"/>
        </w:rPr>
        <w:fldChar w:fldCharType="begin" w:fldLock="1"/>
      </w:r>
      <w:r>
        <w:rPr>
          <w:rFonts w:ascii="Garamond" w:hAnsi="Garamond"/>
          <w:sz w:val="24"/>
          <w:szCs w:val="24"/>
        </w:rPr>
        <w:instrText>ADDIN CSL_CITATION {"citationItems":[{"id":"ITEM-1","itemData":{"author":[{"dropping-particle":"","family":"Kompri","given":"","non-dropping-particle":"","parse-names":false,"suffix":""}],"id":"ITEM-1","issued":{"date-parts":[["2019"]]},"publisher":"Pramedia Grup","publisher-place":"Jakarta","title":"Manajemen dan Kepemimpinan Pondok Pesantren","type":"book"},"uris":["http://www.mendeley.com/documents/?uuid=0454f17d-007e-4d94-bbe5-fd4b148c3a49"]}],"mendeley":{"formattedCitation":"(Kompri, 2019)","plainTextFormattedCitation":"(Kompri, 2019)","previouslyFormattedCitation":"(Kompri, 2019)"},"properties":{"noteIndex":0},"schema":"https://github.com/citation-style-language/schema/raw/master/csl-citation.json"}</w:instrText>
      </w:r>
      <w:r>
        <w:rPr>
          <w:rFonts w:ascii="Garamond" w:hAnsi="Garamond"/>
          <w:sz w:val="24"/>
          <w:szCs w:val="24"/>
        </w:rPr>
        <w:fldChar w:fldCharType="separate"/>
      </w:r>
      <w:r w:rsidRPr="00507F30">
        <w:rPr>
          <w:rFonts w:ascii="Garamond" w:hAnsi="Garamond"/>
          <w:noProof/>
          <w:sz w:val="24"/>
          <w:szCs w:val="24"/>
        </w:rPr>
        <w:t>(Kompri, 2019)</w:t>
      </w:r>
      <w:r>
        <w:rPr>
          <w:rFonts w:ascii="Garamond" w:hAnsi="Garamond"/>
          <w:sz w:val="24"/>
          <w:szCs w:val="24"/>
        </w:rPr>
        <w:fldChar w:fldCharType="end"/>
      </w:r>
      <w:r>
        <w:rPr>
          <w:rFonts w:ascii="Garamond" w:hAnsi="Garamond"/>
          <w:sz w:val="24"/>
          <w:szCs w:val="24"/>
        </w:rPr>
        <w:t>.</w:t>
      </w:r>
    </w:p>
    <w:p w14:paraId="5775CFE6" w14:textId="77777777" w:rsidR="00AF4385" w:rsidRPr="0087384A" w:rsidRDefault="00AF4385" w:rsidP="00AF4385">
      <w:pPr>
        <w:spacing w:before="240" w:after="40" w:line="240" w:lineRule="auto"/>
        <w:ind w:firstLine="567"/>
        <w:jc w:val="both"/>
        <w:rPr>
          <w:rFonts w:ascii="Garamond" w:hAnsi="Garamond"/>
          <w:sz w:val="24"/>
          <w:szCs w:val="24"/>
        </w:rPr>
      </w:pPr>
      <w:r w:rsidRPr="00A85841">
        <w:rPr>
          <w:rFonts w:ascii="Garamond" w:hAnsi="Garamond"/>
          <w:sz w:val="24"/>
          <w:szCs w:val="24"/>
        </w:rPr>
        <w:lastRenderedPageBreak/>
        <w:t>LDII features a structured learning system based on classes and stages. Each student is required to follow the curriculum in order and meet the internal graduation requirements. In this case</w:t>
      </w:r>
      <w:r w:rsidRPr="001418C8">
        <w:rPr>
          <w:rFonts w:ascii="Garamond" w:hAnsi="Garamond" w:cs="Times New Roman"/>
          <w:sz w:val="24"/>
          <w:szCs w:val="24"/>
        </w:rPr>
        <w:t xml:space="preserve">, LDII is more pragmatic by emphasizing the stages of systematic regeneration from the basics to field deployments. Learning is designed to be outcome-based and focuses on mastering practical worship practices and practical da'wah. </w:t>
      </w:r>
      <w:r w:rsidRPr="00A85841">
        <w:rPr>
          <w:rFonts w:ascii="Garamond" w:hAnsi="Garamond"/>
          <w:sz w:val="24"/>
          <w:szCs w:val="24"/>
        </w:rPr>
        <w:t xml:space="preserve"> This system tends to be rigid and exclusive, but it is able to guarantee doctrinal homogeneity in the long run </w:t>
      </w:r>
      <w:r>
        <w:rPr>
          <w:rFonts w:ascii="Garamond" w:hAnsi="Garamond"/>
          <w:sz w:val="24"/>
          <w:szCs w:val="24"/>
        </w:rPr>
        <w:fldChar w:fldCharType="begin" w:fldLock="1"/>
      </w:r>
      <w:r>
        <w:rPr>
          <w:rFonts w:ascii="Garamond" w:hAnsi="Garamond"/>
          <w:sz w:val="24"/>
          <w:szCs w:val="24"/>
        </w:rPr>
        <w:instrText>ADDIN CSL_CITATION {"citationItems":[{"id":"ITEM-1","itemData":{"author":[{"dropping-particle":"","family":"Asrori","given":"","non-dropping-particle":"","parse-names":false,"suffix":""},{"dropping-particle":"","family":"Tobroni","given":"","non-dropping-particle":"","parse-names":false,"suffix":""},{"dropping-particle":"","family":"Yazid","given":"Syamsurizal","non-dropping-particle":"","parse-names":false,"suffix":""},{"dropping-particle":"","family":"Hadi","given":"Abd.","non-dropping-particle":"","parse-names":false,"suffix":""}],"id":"ITEM-1","issued":{"date-parts":[["2024"]]},"publisher":"Bildung","publisher-place":"Yogyakarta","title":"Kurikulum Pesantren LDII dalam Membentuk Karakter Muslim Sejati di Pondok Pesantren Wali Barokah Kediri","type":"book"},"uris":["http://www.mendeley.com/documents/?uuid=97a7f569-e23c-4b44-9c09-4747744642d3"]}],"mendeley":{"formattedCitation":"(Asrori et al., 2024)","plainTextFormattedCitation":"(Asrori et al., 2024)","previouslyFormattedCitation":"(Asrori et al., 2024)"},"properties":{"noteIndex":0},"schema":"https://github.com/citation-style-language/schema/raw/master/csl-citation.json"}</w:instrText>
      </w:r>
      <w:r>
        <w:rPr>
          <w:rFonts w:ascii="Garamond" w:hAnsi="Garamond"/>
          <w:sz w:val="24"/>
          <w:szCs w:val="24"/>
        </w:rPr>
        <w:fldChar w:fldCharType="separate"/>
      </w:r>
      <w:r w:rsidRPr="00507F30">
        <w:rPr>
          <w:rFonts w:ascii="Garamond" w:hAnsi="Garamond"/>
          <w:noProof/>
          <w:sz w:val="24"/>
          <w:szCs w:val="24"/>
        </w:rPr>
        <w:t>(Asrori et al., 2024)</w:t>
      </w:r>
      <w:r>
        <w:rPr>
          <w:rFonts w:ascii="Garamond" w:hAnsi="Garamond"/>
          <w:sz w:val="24"/>
          <w:szCs w:val="24"/>
        </w:rPr>
        <w:fldChar w:fldCharType="end"/>
      </w:r>
      <w:r w:rsidRPr="00A85841">
        <w:rPr>
          <w:rFonts w:ascii="Garamond" w:hAnsi="Garamond"/>
          <w:sz w:val="24"/>
          <w:szCs w:val="24"/>
        </w:rPr>
        <w:t>.</w:t>
      </w:r>
    </w:p>
    <w:p w14:paraId="5DB59ED8" w14:textId="77777777" w:rsidR="00AF4385" w:rsidRPr="00A85841" w:rsidRDefault="00AF4385" w:rsidP="00AF4385">
      <w:pPr>
        <w:spacing w:before="240" w:after="40" w:line="240" w:lineRule="auto"/>
        <w:ind w:firstLine="567"/>
        <w:jc w:val="both"/>
        <w:rPr>
          <w:rFonts w:ascii="Garamond" w:hAnsi="Garamond"/>
          <w:sz w:val="24"/>
          <w:szCs w:val="24"/>
        </w:rPr>
      </w:pPr>
    </w:p>
    <w:p w14:paraId="1B9BB1B7" w14:textId="77777777" w:rsidR="00AF4385" w:rsidRPr="00A85841" w:rsidRDefault="00AF4385" w:rsidP="00AF4385">
      <w:pPr>
        <w:spacing w:before="240" w:after="40" w:line="240" w:lineRule="auto"/>
        <w:ind w:firstLine="567"/>
        <w:jc w:val="both"/>
        <w:rPr>
          <w:rFonts w:ascii="Garamond" w:hAnsi="Garamond" w:cs="Times New Roman"/>
          <w:sz w:val="24"/>
          <w:szCs w:val="24"/>
        </w:rPr>
      </w:pPr>
      <w:r w:rsidRPr="00A85841">
        <w:rPr>
          <w:rFonts w:ascii="Garamond" w:hAnsi="Garamond"/>
          <w:sz w:val="24"/>
          <w:szCs w:val="24"/>
        </w:rPr>
        <w:t xml:space="preserve">Meanwhile, Shia </w:t>
      </w:r>
      <w:proofErr w:type="spellStart"/>
      <w:r>
        <w:rPr>
          <w:rFonts w:ascii="Garamond" w:hAnsi="Garamond" w:cs="Times New Roman"/>
          <w:sz w:val="24"/>
          <w:szCs w:val="24"/>
        </w:rPr>
        <w:t>pesantrens</w:t>
      </w:r>
      <w:proofErr w:type="spellEnd"/>
      <w:r>
        <w:rPr>
          <w:rFonts w:ascii="Garamond" w:hAnsi="Garamond" w:cs="Times New Roman"/>
          <w:sz w:val="24"/>
          <w:szCs w:val="24"/>
        </w:rPr>
        <w:t xml:space="preserve"> </w:t>
      </w:r>
      <w:r w:rsidRPr="00A85841">
        <w:rPr>
          <w:rFonts w:ascii="Garamond" w:hAnsi="Garamond"/>
          <w:sz w:val="24"/>
          <w:szCs w:val="24"/>
        </w:rPr>
        <w:t xml:space="preserve">combine a classical approach with an academic system. The curriculum structure is divided based on scientific stages and philosophical scientific logic, which allows students to understand methodologically and historically their teachings. This approach reflects the philosophical and ideological </w:t>
      </w:r>
      <w:proofErr w:type="spellStart"/>
      <w:r w:rsidRPr="00A85841">
        <w:rPr>
          <w:rFonts w:ascii="Garamond" w:hAnsi="Garamond"/>
          <w:sz w:val="24"/>
          <w:szCs w:val="24"/>
        </w:rPr>
        <w:t>hauzah</w:t>
      </w:r>
      <w:proofErr w:type="spellEnd"/>
      <w:r w:rsidRPr="00A85841">
        <w:rPr>
          <w:rFonts w:ascii="Garamond" w:hAnsi="Garamond"/>
          <w:sz w:val="24"/>
          <w:szCs w:val="24"/>
        </w:rPr>
        <w:t xml:space="preserve"> tradition that </w:t>
      </w:r>
      <w:r w:rsidRPr="001418C8">
        <w:rPr>
          <w:rFonts w:ascii="Garamond" w:hAnsi="Garamond" w:cs="Times New Roman"/>
          <w:sz w:val="24"/>
          <w:szCs w:val="24"/>
        </w:rPr>
        <w:t xml:space="preserve">integrates the classical approach with the systematics of the </w:t>
      </w:r>
      <w:proofErr w:type="spellStart"/>
      <w:r w:rsidRPr="001418C8">
        <w:rPr>
          <w:rFonts w:ascii="Garamond" w:hAnsi="Garamond" w:cs="Times New Roman"/>
          <w:sz w:val="24"/>
          <w:szCs w:val="24"/>
        </w:rPr>
        <w:t>Ja'fari</w:t>
      </w:r>
      <w:proofErr w:type="spellEnd"/>
      <w:r w:rsidRPr="001418C8">
        <w:rPr>
          <w:rFonts w:ascii="Garamond" w:hAnsi="Garamond" w:cs="Times New Roman"/>
          <w:sz w:val="24"/>
          <w:szCs w:val="24"/>
        </w:rPr>
        <w:t xml:space="preserve"> school, where philosophy, </w:t>
      </w:r>
      <w:proofErr w:type="spellStart"/>
      <w:r w:rsidRPr="001418C8">
        <w:rPr>
          <w:rFonts w:ascii="Garamond" w:hAnsi="Garamond" w:cs="Times New Roman"/>
          <w:sz w:val="24"/>
          <w:szCs w:val="24"/>
        </w:rPr>
        <w:t>ushul</w:t>
      </w:r>
      <w:proofErr w:type="spellEnd"/>
      <w:r w:rsidRPr="001418C8">
        <w:rPr>
          <w:rFonts w:ascii="Garamond" w:hAnsi="Garamond" w:cs="Times New Roman"/>
          <w:sz w:val="24"/>
          <w:szCs w:val="24"/>
        </w:rPr>
        <w:t xml:space="preserve"> </w:t>
      </w:r>
      <w:proofErr w:type="spellStart"/>
      <w:r w:rsidRPr="001418C8">
        <w:rPr>
          <w:rFonts w:ascii="Garamond" w:hAnsi="Garamond" w:cs="Times New Roman"/>
          <w:sz w:val="24"/>
          <w:szCs w:val="24"/>
        </w:rPr>
        <w:t>fiqh</w:t>
      </w:r>
      <w:proofErr w:type="spellEnd"/>
      <w:r w:rsidRPr="001418C8">
        <w:rPr>
          <w:rFonts w:ascii="Garamond" w:hAnsi="Garamond" w:cs="Times New Roman"/>
          <w:sz w:val="24"/>
          <w:szCs w:val="24"/>
        </w:rPr>
        <w:t xml:space="preserve">, and theology are presented in a gradual and argumentative manner. </w:t>
      </w:r>
      <w:r>
        <w:rPr>
          <w:rFonts w:ascii="Garamond" w:hAnsi="Garamond" w:cs="Times New Roman"/>
          <w:sz w:val="24"/>
          <w:szCs w:val="24"/>
        </w:rPr>
        <w:fldChar w:fldCharType="begin" w:fldLock="1"/>
      </w:r>
      <w:r>
        <w:rPr>
          <w:rFonts w:ascii="Garamond" w:hAnsi="Garamond" w:cs="Times New Roman"/>
          <w:sz w:val="24"/>
          <w:szCs w:val="24"/>
        </w:rPr>
        <w:instrText>ADDIN CSL_CITATION {"citationItems":[{"id":"ITEM-1","itemData":{"DOI":"10.14421/rejusta.2020.1601-06","ISSN":"1412-2634","abstract":"Tulisan ini bertujuan untuk membahas tentang tradisi Syiah di Pekalongan. Selama ini, tradisi Syiah di Indonesia jarang diketahui oleh publik. Hal ini bisa dikarenakan adanya anggapan bahwa Syiah adalah ajaran yang sesat. Anggapan seperti ini yang mendasari lahirnya pesantren Syiah di Pekalongan. Pondok Pesantren Al Hadi adalah salah satu lembaga pendidikan Syiah di Indonesia. Di dalam Pondok pesantren ini, orang-orang tidak hanya diajarkan tentang pemikiran Syiah saja, melainkan juga melakukan ritual-ritual keagmaan Syiah yang jarang diketahui oleh publik. Penelitian ini merupakan penelitian lapangan (field research) dengan metode pencarian data wawancara dan observasi. Hasil penelitian ini menunjukkan bahwa corak Syiah yang berkembang di Pekalongan adalah Syiah Isna ‘Asyariyah. Sementara tradisi yang biasa dilakukan sebagai berikut: perayaan Asyuro, perayaan Arbain, Perayaan Maulud Perayaan Ghadīr Khumm, Rabu Wekasan, Peringatan Quds.","author":[{"dropping-particle":"","family":"Rahman","given":"Kholilul","non-dropping-particle":"","parse-names":false,"suffix":""}],"container-title":"Religi: Jurnal Studi Agama-agama","id":"ITEM-1","issue":"1","issued":{"date-parts":[["2020"]]},"page":"97-112","title":"Syiah Di Pekalongan: Studi Atas Tradisi Syiah Pondok Pesantren Al Hadi Pekalongan Jawa Tengah","type":"article-journal","volume":"16"},"uris":["http://www.mendeley.com/documents/?uuid=e815ae1a-d58a-4794-a807-84b2acc7ea69"]},{"id":"ITEM-2","itemData":{"DOI":"10.21111/tsaqafah.v10i1.64","ISSN":"1411-0334","abstract":"Although acknowledged that Greek philosophy gave great influence on the development of Islamic philosophy, but philosophy of Islam are not based on it, because; (1) to learn does not necessarily reflect a repetition, (2) every thought is not separated from their cultural context, (3) the real fact shows that Islamic rational thinking has established before the arrival of Greek philosophy. If so, where Islamic philosophical thought come from? The answer is from the Islamic tradition itself, from scientists who attempt to explain the teachings of the Muslim holy book. There are three measures relevant to philosophical reasoning: ta'wil method, explanation of musytarak meaning, and qiyâs. In addition, the demands on theological issues, to harmonize the views that seem contradictory and complex, for further systematized it in an integral metaphysical idea. From there developed methods and philosophical thought in Islam, long before the arrival of Greek philosophy through the process of translation. First of all it was accepted because it is needed to answer new problems which require rational thinking, then it was declined at the time of Ibn Hanbal because there are certain cases which considered deviant, it was developed again in the time of al-Farabi and Ibn Sina, then rejected and considered to cause disbelief in the al-Ghazali era, and it was developed again at the Ibn Rushd, then change lanes to work together with Sufism in the time of Suhrawardi and Ibn Arabi. Finally, tradition of philosophical thought in the Sunni world does not grow up but remains develop well within the Shiite community.","author":[{"dropping-particle":"","family":"Soleh","given":"A. Khudori","non-dropping-particle":"","parse-names":false,"suffix":""}],"container-title":"Tsaqafah","id":"ITEM-2","issue":"1","issued":{"date-parts":[["2014"]]},"page":"63","title":"Mencermati Sejarah Perkembangan Filsafat Islam","type":"article-journal","volume":"10"},"uris":["http://www.mendeley.com/documents/?uuid=83a7408d-bdc0-4c55-86ab-69da1d482e13"]}],"mendeley":{"formattedCitation":"(Rahman, 2020; Soleh, 2014)","plainTextFormattedCitation":"(Rahman, 2020; Soleh, 2014)","previouslyFormattedCitation":"(Rahman, 2020; Soleh, 2014)"},"properties":{"noteIndex":0},"schema":"https://github.com/citation-style-language/schema/raw/master/csl-citation.json"}</w:instrText>
      </w:r>
      <w:r>
        <w:rPr>
          <w:rFonts w:ascii="Garamond" w:hAnsi="Garamond" w:cs="Times New Roman"/>
          <w:sz w:val="24"/>
          <w:szCs w:val="24"/>
        </w:rPr>
        <w:fldChar w:fldCharType="separate"/>
      </w:r>
      <w:r w:rsidRPr="00507F30">
        <w:rPr>
          <w:rFonts w:ascii="Garamond" w:hAnsi="Garamond" w:cs="Times New Roman"/>
          <w:noProof/>
          <w:sz w:val="24"/>
          <w:szCs w:val="24"/>
        </w:rPr>
        <w:t>(Rahman, 2020; Soleh, 2014)</w:t>
      </w:r>
      <w:r>
        <w:rPr>
          <w:rFonts w:ascii="Garamond" w:hAnsi="Garamond" w:cs="Times New Roman"/>
          <w:sz w:val="24"/>
          <w:szCs w:val="24"/>
        </w:rPr>
        <w:fldChar w:fldCharType="end"/>
      </w:r>
      <w:r w:rsidRPr="00A85841">
        <w:rPr>
          <w:rFonts w:ascii="Garamond" w:hAnsi="Garamond"/>
          <w:sz w:val="24"/>
          <w:szCs w:val="24"/>
        </w:rPr>
        <w:t>.</w:t>
      </w:r>
    </w:p>
    <w:p w14:paraId="3EFD8CE0" w14:textId="77777777" w:rsidR="00AF4385" w:rsidRPr="00A85841" w:rsidRDefault="00AF4385" w:rsidP="00AF4385">
      <w:pPr>
        <w:spacing w:before="240" w:after="40" w:line="240" w:lineRule="auto"/>
        <w:ind w:firstLine="567"/>
        <w:jc w:val="both"/>
        <w:rPr>
          <w:rFonts w:ascii="Garamond" w:hAnsi="Garamond" w:cs="Times New Roman"/>
          <w:sz w:val="24"/>
          <w:szCs w:val="24"/>
        </w:rPr>
      </w:pPr>
      <w:r w:rsidRPr="0087384A">
        <w:rPr>
          <w:rFonts w:ascii="Garamond" w:hAnsi="Garamond"/>
          <w:sz w:val="24"/>
          <w:szCs w:val="24"/>
        </w:rPr>
        <w:t xml:space="preserve">Persis </w:t>
      </w:r>
      <w:r w:rsidRPr="001418C8">
        <w:rPr>
          <w:rFonts w:ascii="Garamond" w:hAnsi="Garamond" w:cs="Times New Roman"/>
          <w:sz w:val="24"/>
          <w:szCs w:val="24"/>
        </w:rPr>
        <w:t>encourages dialogical methods, scientific debate, and rhetorical strengthening as the main approaches. This is designed to form students who are able to think logically, critically, and are able to face da'wah challenges argumentatively.</w:t>
      </w:r>
    </w:p>
    <w:p w14:paraId="20124D96" w14:textId="77777777" w:rsidR="00AF4385" w:rsidRDefault="00AF4385" w:rsidP="00AF4385">
      <w:pPr>
        <w:spacing w:before="240" w:after="40" w:line="240" w:lineRule="auto"/>
        <w:jc w:val="both"/>
        <w:rPr>
          <w:rFonts w:ascii="Garamond" w:hAnsi="Garamond"/>
          <w:b/>
          <w:bCs/>
          <w:sz w:val="24"/>
          <w:szCs w:val="24"/>
        </w:rPr>
      </w:pPr>
    </w:p>
    <w:p w14:paraId="79372FA8" w14:textId="77777777" w:rsidR="00AF4385" w:rsidRPr="00A85841" w:rsidRDefault="00AF4385" w:rsidP="00AF4385">
      <w:pPr>
        <w:spacing w:before="240" w:after="40" w:line="240" w:lineRule="auto"/>
        <w:jc w:val="both"/>
        <w:rPr>
          <w:rFonts w:ascii="Garamond" w:hAnsi="Garamond"/>
          <w:b/>
          <w:bCs/>
          <w:sz w:val="24"/>
          <w:szCs w:val="24"/>
        </w:rPr>
      </w:pPr>
      <w:r w:rsidRPr="00A85841">
        <w:rPr>
          <w:rFonts w:ascii="Garamond" w:hAnsi="Garamond"/>
          <w:b/>
          <w:bCs/>
          <w:sz w:val="24"/>
          <w:szCs w:val="24"/>
        </w:rPr>
        <w:t xml:space="preserve">Implications for the Construction of a New Typology of </w:t>
      </w:r>
      <w:proofErr w:type="spellStart"/>
      <w:r>
        <w:rPr>
          <w:rFonts w:ascii="Garamond" w:hAnsi="Garamond" w:cs="Times New Roman"/>
          <w:b/>
          <w:bCs/>
          <w:sz w:val="24"/>
          <w:szCs w:val="24"/>
        </w:rPr>
        <w:t>P</w:t>
      </w:r>
      <w:r w:rsidRPr="001E58DA">
        <w:rPr>
          <w:rFonts w:ascii="Garamond" w:hAnsi="Garamond" w:cs="Times New Roman"/>
          <w:b/>
          <w:bCs/>
          <w:sz w:val="24"/>
          <w:szCs w:val="24"/>
        </w:rPr>
        <w:t>esantren</w:t>
      </w:r>
      <w:r w:rsidRPr="00A85841">
        <w:rPr>
          <w:rFonts w:ascii="Garamond" w:hAnsi="Garamond"/>
          <w:b/>
          <w:bCs/>
          <w:sz w:val="24"/>
          <w:szCs w:val="24"/>
        </w:rPr>
        <w:t>s</w:t>
      </w:r>
      <w:proofErr w:type="spellEnd"/>
    </w:p>
    <w:p w14:paraId="552C3AC3" w14:textId="77777777" w:rsidR="00AF4385" w:rsidRPr="0087384A" w:rsidRDefault="00AF4385" w:rsidP="00AF4385">
      <w:pPr>
        <w:spacing w:before="240" w:after="40" w:line="240" w:lineRule="auto"/>
        <w:ind w:firstLine="567"/>
        <w:jc w:val="both"/>
        <w:rPr>
          <w:rFonts w:ascii="Garamond" w:hAnsi="Garamond"/>
          <w:sz w:val="24"/>
          <w:szCs w:val="24"/>
        </w:rPr>
      </w:pPr>
      <w:r w:rsidRPr="00A85841">
        <w:rPr>
          <w:rFonts w:ascii="Garamond" w:hAnsi="Garamond"/>
          <w:sz w:val="24"/>
          <w:szCs w:val="24"/>
        </w:rPr>
        <w:t xml:space="preserve">From the various findings above, it can be concluded that the typology of Islamic boarding schools based on the affiliation of Islamic organizations presents a more representative framework in understanding the diversity of contemporary Islamic boarding schools. Classical typologies such as </w:t>
      </w:r>
      <w:proofErr w:type="spellStart"/>
      <w:r w:rsidRPr="00A85841">
        <w:rPr>
          <w:rFonts w:ascii="Garamond" w:hAnsi="Garamond"/>
          <w:sz w:val="24"/>
          <w:szCs w:val="24"/>
        </w:rPr>
        <w:t>salaf</w:t>
      </w:r>
      <w:proofErr w:type="spellEnd"/>
      <w:r w:rsidRPr="00A85841">
        <w:rPr>
          <w:rFonts w:ascii="Garamond" w:hAnsi="Garamond"/>
          <w:sz w:val="24"/>
          <w:szCs w:val="24"/>
        </w:rPr>
        <w:t>–</w:t>
      </w:r>
      <w:proofErr w:type="spellStart"/>
      <w:r w:rsidRPr="00A85841">
        <w:rPr>
          <w:rFonts w:ascii="Garamond" w:hAnsi="Garamond"/>
          <w:sz w:val="24"/>
          <w:szCs w:val="24"/>
        </w:rPr>
        <w:t>khalaf</w:t>
      </w:r>
      <w:proofErr w:type="spellEnd"/>
      <w:r w:rsidRPr="00A85841">
        <w:rPr>
          <w:rFonts w:ascii="Garamond" w:hAnsi="Garamond"/>
          <w:sz w:val="24"/>
          <w:szCs w:val="24"/>
        </w:rPr>
        <w:t xml:space="preserve"> or </w:t>
      </w:r>
      <w:proofErr w:type="spellStart"/>
      <w:r w:rsidRPr="00A85841">
        <w:rPr>
          <w:rFonts w:ascii="Garamond" w:hAnsi="Garamond"/>
          <w:sz w:val="24"/>
          <w:szCs w:val="24"/>
        </w:rPr>
        <w:t>salaf</w:t>
      </w:r>
      <w:proofErr w:type="spellEnd"/>
      <w:r w:rsidRPr="00A85841">
        <w:rPr>
          <w:rFonts w:ascii="Garamond" w:hAnsi="Garamond"/>
          <w:sz w:val="24"/>
          <w:szCs w:val="24"/>
        </w:rPr>
        <w:t xml:space="preserve">–modern are not enough to accommodate this dynamic. On the other hand, ideological-pedagogical typologies that emphasize affiliations, teaching resources, learning methods, and educational orientation have become more relevant to the current context </w:t>
      </w:r>
      <w:r>
        <w:rPr>
          <w:rFonts w:ascii="Garamond" w:hAnsi="Garamond"/>
          <w:sz w:val="24"/>
          <w:szCs w:val="24"/>
        </w:rPr>
        <w:fldChar w:fldCharType="begin" w:fldLock="1"/>
      </w:r>
      <w:r>
        <w:rPr>
          <w:rFonts w:ascii="Garamond" w:hAnsi="Garamond"/>
          <w:sz w:val="24"/>
          <w:szCs w:val="24"/>
        </w:rPr>
        <w:instrText>ADDIN CSL_CITATION {"citationItems":[{"id":"ITEM-1","itemData":{"ISSN":"2775-4855","abstract":"Muhammadiyah and NU are mainstream Islamic social organizations in Indonesia that were established before Indonesia's independence. These two organizations drive the renewal of Islamic thought, da'wah, social, health and education. KH. Ahmad Dahlan is a founder of Muhammadiyah. In the field of education, Muhammadiyah is modernizing Islamic education in Indonesia. By perfecting the Islamic education curriculum by incorporating Islamic religious education into public schools and secular knowledge into religious schools. The rise of Islam in Indonesia was also colored by the thoughts of KH. Hasyim Asy'ari, the founder of NU, which was different from KH. Ahmad Dahlan. The rise of KH.Hasyim Asy'ari's thinking is to want to maintain traditionalism, but also want changes for the better in Indonesian Islamic education. The objectives of this study are 1) to examine the thoughts of KH. Ahmad Dahlan in the field of","author":[{"dropping-particle":"","family":"Fitri","given":"Riskal","non-dropping-particle":"","parse-names":false,"suffix":""},{"dropping-particle":"","family":"Ondeng","given":"Syarifuddin","non-dropping-particle":"","parse-names":false,"suffix":""}],"container-title":"Al Urwatul Wutsqa: Kajian Pendidikan Islam","id":"ITEM-1","issue":"1","issued":{"date-parts":[["2022"]]},"page":"42-54","title":"Pesantren Di Indonesia: Lembaga Pembentukan Karakter","type":"article-journal","volume":"2"},"uris":["http://www.mendeley.com/documents/?uuid=7992a1d7-4af5-40f3-95d7-09770e16fcc8"]}],"mendeley":{"formattedCitation":"(Fitri &amp; Ondeng, 2022)","plainTextFormattedCitation":"(Fitri &amp; Ondeng, 2022)","previouslyFormattedCitation":"(Fitri &amp; Ondeng, 2022)"},"properties":{"noteIndex":0},"schema":"https://github.com/citation-style-language/schema/raw/master/csl-citation.json"}</w:instrText>
      </w:r>
      <w:r>
        <w:rPr>
          <w:rFonts w:ascii="Garamond" w:hAnsi="Garamond"/>
          <w:sz w:val="24"/>
          <w:szCs w:val="24"/>
        </w:rPr>
        <w:fldChar w:fldCharType="separate"/>
      </w:r>
      <w:r w:rsidRPr="00507F30">
        <w:rPr>
          <w:rFonts w:ascii="Garamond" w:hAnsi="Garamond"/>
          <w:noProof/>
          <w:sz w:val="24"/>
          <w:szCs w:val="24"/>
        </w:rPr>
        <w:t>(Fitri &amp; Ondeng, 2022)</w:t>
      </w:r>
      <w:r>
        <w:rPr>
          <w:rFonts w:ascii="Garamond" w:hAnsi="Garamond"/>
          <w:sz w:val="24"/>
          <w:szCs w:val="24"/>
        </w:rPr>
        <w:fldChar w:fldCharType="end"/>
      </w:r>
      <w:r w:rsidRPr="00A85841">
        <w:rPr>
          <w:rFonts w:ascii="Garamond" w:hAnsi="Garamond"/>
          <w:sz w:val="24"/>
          <w:szCs w:val="24"/>
        </w:rPr>
        <w:t>.</w:t>
      </w:r>
    </w:p>
    <w:p w14:paraId="1CD73910" w14:textId="77777777" w:rsidR="00AF4385" w:rsidRPr="00A85841" w:rsidRDefault="00AF4385" w:rsidP="00AF4385">
      <w:pPr>
        <w:spacing w:before="240" w:after="40" w:line="240" w:lineRule="auto"/>
        <w:ind w:firstLine="567"/>
        <w:jc w:val="both"/>
        <w:rPr>
          <w:rFonts w:ascii="Garamond" w:hAnsi="Garamond"/>
          <w:sz w:val="24"/>
          <w:szCs w:val="24"/>
        </w:rPr>
      </w:pPr>
      <w:r w:rsidRPr="001418C8">
        <w:rPr>
          <w:rFonts w:ascii="Garamond" w:hAnsi="Garamond" w:cs="Times New Roman"/>
          <w:sz w:val="24"/>
          <w:szCs w:val="24"/>
        </w:rPr>
        <w:t xml:space="preserve">This research suggests that the new typology of </w:t>
      </w:r>
      <w:proofErr w:type="spellStart"/>
      <w:r w:rsidRPr="001418C8">
        <w:rPr>
          <w:rFonts w:ascii="Garamond" w:hAnsi="Garamond" w:cs="Times New Roman"/>
          <w:sz w:val="24"/>
          <w:szCs w:val="24"/>
        </w:rPr>
        <w:t>pesantren</w:t>
      </w:r>
      <w:proofErr w:type="spellEnd"/>
      <w:r w:rsidRPr="001418C8">
        <w:rPr>
          <w:rFonts w:ascii="Garamond" w:hAnsi="Garamond" w:cs="Times New Roman"/>
          <w:sz w:val="24"/>
          <w:szCs w:val="24"/>
        </w:rPr>
        <w:t xml:space="preserve"> should consider the dimension of affiliation and epistemology as the basis for classification. This means that the preparation of typologies is not enough based on institutional structures or learning methods, but must pay attention to the source of scientific authority, ideological base, and long-term educational strategies. In this way, the </w:t>
      </w:r>
      <w:proofErr w:type="spellStart"/>
      <w:r w:rsidRPr="001418C8">
        <w:rPr>
          <w:rFonts w:ascii="Garamond" w:hAnsi="Garamond" w:cs="Times New Roman"/>
          <w:sz w:val="24"/>
          <w:szCs w:val="24"/>
        </w:rPr>
        <w:t>pesantren</w:t>
      </w:r>
      <w:proofErr w:type="spellEnd"/>
      <w:r w:rsidRPr="001418C8">
        <w:rPr>
          <w:rFonts w:ascii="Garamond" w:hAnsi="Garamond" w:cs="Times New Roman"/>
          <w:sz w:val="24"/>
          <w:szCs w:val="24"/>
        </w:rPr>
        <w:t xml:space="preserve"> typology model can be a more accurate analytical tool in understanding the diversity and dynamics of Islamic education in Indonesia</w:t>
      </w:r>
    </w:p>
    <w:p w14:paraId="07B4D5B6" w14:textId="77777777" w:rsidR="00AF4385" w:rsidRPr="0087384A" w:rsidRDefault="00AF4385" w:rsidP="00AF4385">
      <w:pPr>
        <w:spacing w:before="240" w:after="40" w:line="240" w:lineRule="auto"/>
        <w:ind w:firstLine="567"/>
        <w:jc w:val="both"/>
        <w:rPr>
          <w:rFonts w:ascii="Garamond" w:hAnsi="Garamond" w:cs="Times New Roman"/>
          <w:sz w:val="24"/>
          <w:szCs w:val="24"/>
        </w:rPr>
      </w:pPr>
      <w:r w:rsidRPr="00A85841">
        <w:rPr>
          <w:rFonts w:ascii="Garamond" w:hAnsi="Garamond"/>
          <w:sz w:val="24"/>
          <w:szCs w:val="24"/>
        </w:rPr>
        <w:t xml:space="preserve">This typology is also useful practically for the community in choosing </w:t>
      </w:r>
      <w:proofErr w:type="spellStart"/>
      <w:r w:rsidRPr="00A85841">
        <w:rPr>
          <w:rFonts w:ascii="Garamond" w:hAnsi="Garamond"/>
          <w:sz w:val="24"/>
          <w:szCs w:val="24"/>
        </w:rPr>
        <w:t>pesantren</w:t>
      </w:r>
      <w:proofErr w:type="spellEnd"/>
      <w:r w:rsidRPr="00A85841">
        <w:rPr>
          <w:rFonts w:ascii="Garamond" w:hAnsi="Garamond"/>
          <w:sz w:val="24"/>
          <w:szCs w:val="24"/>
        </w:rPr>
        <w:t xml:space="preserve"> according to the values and educational needs of children. For example, families who want a classical-based education can choose the NU </w:t>
      </w:r>
      <w:proofErr w:type="spellStart"/>
      <w:r w:rsidRPr="00A85841">
        <w:rPr>
          <w:rFonts w:ascii="Garamond" w:hAnsi="Garamond"/>
          <w:sz w:val="24"/>
          <w:szCs w:val="24"/>
        </w:rPr>
        <w:t>pesantren</w:t>
      </w:r>
      <w:proofErr w:type="spellEnd"/>
      <w:r w:rsidRPr="00A85841">
        <w:rPr>
          <w:rFonts w:ascii="Garamond" w:hAnsi="Garamond"/>
          <w:sz w:val="24"/>
          <w:szCs w:val="24"/>
        </w:rPr>
        <w:t xml:space="preserve"> while those who want a modern approach can choose the Muhammadiyah </w:t>
      </w:r>
      <w:proofErr w:type="spellStart"/>
      <w:r w:rsidRPr="00A85841">
        <w:rPr>
          <w:rFonts w:ascii="Garamond" w:hAnsi="Garamond"/>
          <w:sz w:val="24"/>
          <w:szCs w:val="24"/>
        </w:rPr>
        <w:t>pesantren</w:t>
      </w:r>
      <w:proofErr w:type="spellEnd"/>
      <w:r w:rsidRPr="00A85841">
        <w:rPr>
          <w:rFonts w:ascii="Garamond" w:hAnsi="Garamond"/>
          <w:sz w:val="24"/>
          <w:szCs w:val="24"/>
        </w:rPr>
        <w:t xml:space="preserve">. Those who want to delve into philosophy and spirituality can choose a Shia </w:t>
      </w:r>
      <w:proofErr w:type="spellStart"/>
      <w:r w:rsidRPr="00A85841">
        <w:rPr>
          <w:rFonts w:ascii="Garamond" w:hAnsi="Garamond"/>
          <w:sz w:val="24"/>
          <w:szCs w:val="24"/>
        </w:rPr>
        <w:t>pesantren</w:t>
      </w:r>
      <w:proofErr w:type="spellEnd"/>
      <w:r w:rsidRPr="00A85841">
        <w:rPr>
          <w:rFonts w:ascii="Garamond" w:hAnsi="Garamond"/>
          <w:sz w:val="24"/>
          <w:szCs w:val="24"/>
        </w:rPr>
        <w:t xml:space="preserve">, and those who want an </w:t>
      </w:r>
      <w:proofErr w:type="spellStart"/>
      <w:r w:rsidRPr="00A85841">
        <w:rPr>
          <w:rFonts w:ascii="Garamond" w:hAnsi="Garamond"/>
          <w:sz w:val="24"/>
          <w:szCs w:val="24"/>
        </w:rPr>
        <w:t>internalistic</w:t>
      </w:r>
      <w:proofErr w:type="spellEnd"/>
      <w:r w:rsidRPr="00A85841">
        <w:rPr>
          <w:rFonts w:ascii="Garamond" w:hAnsi="Garamond"/>
          <w:sz w:val="24"/>
          <w:szCs w:val="24"/>
        </w:rPr>
        <w:t xml:space="preserve"> curriculum can access the LDII </w:t>
      </w:r>
      <w:proofErr w:type="spellStart"/>
      <w:r w:rsidRPr="00A85841">
        <w:rPr>
          <w:rFonts w:ascii="Garamond" w:hAnsi="Garamond"/>
          <w:sz w:val="24"/>
          <w:szCs w:val="24"/>
        </w:rPr>
        <w:t>pesantren</w:t>
      </w:r>
      <w:proofErr w:type="spellEnd"/>
      <w:r w:rsidRPr="00A85841">
        <w:rPr>
          <w:rFonts w:ascii="Garamond" w:hAnsi="Garamond"/>
          <w:sz w:val="24"/>
          <w:szCs w:val="24"/>
        </w:rPr>
        <w:t xml:space="preserve">. Meanwhile, people who want dialogical science can choose the Persis Islamic boarding school. </w:t>
      </w:r>
      <w:r w:rsidRPr="001418C8">
        <w:rPr>
          <w:rFonts w:ascii="Garamond" w:hAnsi="Garamond" w:cs="Times New Roman"/>
          <w:sz w:val="24"/>
          <w:szCs w:val="24"/>
        </w:rPr>
        <w:t xml:space="preserve">In addition, for researchers, mapping like this </w:t>
      </w:r>
      <w:r w:rsidRPr="001418C8">
        <w:rPr>
          <w:rFonts w:ascii="Garamond" w:hAnsi="Garamond" w:cs="Times New Roman"/>
          <w:sz w:val="24"/>
          <w:szCs w:val="24"/>
        </w:rPr>
        <w:lastRenderedPageBreak/>
        <w:t>opens up space for the development of cross-disciplinary studies between education, sociology, and Islamic theology.</w:t>
      </w:r>
    </w:p>
    <w:p w14:paraId="3F7751C0" w14:textId="77777777" w:rsidR="00AF4385" w:rsidRDefault="00AF4385" w:rsidP="00AF4385">
      <w:pPr>
        <w:spacing w:before="240" w:after="40" w:line="240" w:lineRule="auto"/>
        <w:ind w:firstLine="567"/>
        <w:jc w:val="both"/>
        <w:rPr>
          <w:rFonts w:ascii="Garamond" w:hAnsi="Garamond"/>
          <w:sz w:val="24"/>
          <w:szCs w:val="24"/>
        </w:rPr>
      </w:pPr>
      <w:r w:rsidRPr="0087384A">
        <w:rPr>
          <w:rFonts w:ascii="Garamond" w:hAnsi="Garamond"/>
          <w:sz w:val="24"/>
          <w:szCs w:val="24"/>
        </w:rPr>
        <w:t xml:space="preserve">If made in a matrix, the comparison between the </w:t>
      </w:r>
      <w:proofErr w:type="spellStart"/>
      <w:r w:rsidRPr="0087384A">
        <w:rPr>
          <w:rFonts w:ascii="Garamond" w:hAnsi="Garamond"/>
          <w:sz w:val="24"/>
          <w:szCs w:val="24"/>
        </w:rPr>
        <w:t>pesantren</w:t>
      </w:r>
      <w:r>
        <w:rPr>
          <w:rFonts w:ascii="Garamond" w:hAnsi="Garamond"/>
          <w:sz w:val="24"/>
          <w:szCs w:val="24"/>
        </w:rPr>
        <w:t>s</w:t>
      </w:r>
      <w:proofErr w:type="spellEnd"/>
      <w:r w:rsidRPr="0087384A">
        <w:rPr>
          <w:rFonts w:ascii="Garamond" w:hAnsi="Garamond"/>
          <w:sz w:val="24"/>
          <w:szCs w:val="24"/>
        </w:rPr>
        <w:t xml:space="preserve"> above is illustrated in the following table:</w:t>
      </w:r>
    </w:p>
    <w:p w14:paraId="5F881A26" w14:textId="77777777" w:rsidR="00AF4385" w:rsidRPr="005A3CDE" w:rsidRDefault="00AF4385" w:rsidP="00AF4385">
      <w:pPr>
        <w:pStyle w:val="ListParagraph"/>
        <w:spacing w:before="240" w:after="40" w:line="240" w:lineRule="auto"/>
        <w:ind w:left="0"/>
        <w:jc w:val="center"/>
        <w:rPr>
          <w:rFonts w:ascii="Garamond" w:hAnsi="Garamond" w:cs="Times New Roman"/>
          <w:sz w:val="24"/>
          <w:szCs w:val="24"/>
        </w:rPr>
      </w:pPr>
      <w:r w:rsidRPr="0087384A">
        <w:rPr>
          <w:rFonts w:ascii="Garamond" w:hAnsi="Garamond" w:cs="Times New Roman"/>
          <w:sz w:val="24"/>
          <w:szCs w:val="24"/>
        </w:rPr>
        <w:t xml:space="preserve">Table </w:t>
      </w:r>
      <w:r>
        <w:rPr>
          <w:rFonts w:ascii="Garamond" w:hAnsi="Garamond" w:cs="Times New Roman"/>
          <w:sz w:val="24"/>
          <w:szCs w:val="24"/>
        </w:rPr>
        <w:t>3</w:t>
      </w:r>
      <w:r w:rsidRPr="0087384A">
        <w:rPr>
          <w:rFonts w:ascii="Garamond" w:hAnsi="Garamond" w:cs="Times New Roman"/>
          <w:sz w:val="24"/>
          <w:szCs w:val="24"/>
        </w:rPr>
        <w:t xml:space="preserve">. </w:t>
      </w:r>
      <w:r>
        <w:rPr>
          <w:rFonts w:ascii="Garamond" w:hAnsi="Garamond" w:cs="Times New Roman"/>
          <w:sz w:val="24"/>
          <w:szCs w:val="24"/>
        </w:rPr>
        <w:t xml:space="preserve">Comparison between </w:t>
      </w:r>
      <w:proofErr w:type="spellStart"/>
      <w:r>
        <w:rPr>
          <w:rFonts w:ascii="Garamond" w:hAnsi="Garamond" w:cs="Times New Roman"/>
          <w:sz w:val="24"/>
          <w:szCs w:val="24"/>
        </w:rPr>
        <w:t>Pesantrens</w:t>
      </w:r>
      <w:proofErr w:type="spellEnd"/>
    </w:p>
    <w:tbl>
      <w:tblPr>
        <w:tblW w:w="9266" w:type="dxa"/>
        <w:tblCellSpacing w:w="15" w:type="dxa"/>
        <w:tblCellMar>
          <w:top w:w="15" w:type="dxa"/>
          <w:left w:w="15" w:type="dxa"/>
          <w:bottom w:w="15" w:type="dxa"/>
          <w:right w:w="15" w:type="dxa"/>
        </w:tblCellMar>
        <w:tblLook w:val="04A0" w:firstRow="1" w:lastRow="0" w:firstColumn="1" w:lastColumn="0" w:noHBand="0" w:noVBand="1"/>
      </w:tblPr>
      <w:tblGrid>
        <w:gridCol w:w="1529"/>
        <w:gridCol w:w="1301"/>
        <w:gridCol w:w="1783"/>
        <w:gridCol w:w="1625"/>
        <w:gridCol w:w="1570"/>
        <w:gridCol w:w="1458"/>
      </w:tblGrid>
      <w:tr w:rsidR="00AF4385" w:rsidRPr="005A3CDE" w14:paraId="389111E0" w14:textId="77777777" w:rsidTr="00214B0A">
        <w:trPr>
          <w:tblCellSpacing w:w="15" w:type="dxa"/>
        </w:trPr>
        <w:tc>
          <w:tcPr>
            <w:tcW w:w="0" w:type="auto"/>
            <w:vAlign w:val="center"/>
            <w:hideMark/>
          </w:tcPr>
          <w:p w14:paraId="03601720" w14:textId="77777777" w:rsidR="00AF4385" w:rsidRPr="005A3CDE" w:rsidRDefault="00AF4385" w:rsidP="00214B0A">
            <w:pPr>
              <w:spacing w:before="240" w:after="40" w:line="240" w:lineRule="auto"/>
              <w:ind w:left="235" w:right="51"/>
              <w:jc w:val="center"/>
              <w:rPr>
                <w:rFonts w:ascii="Garamond" w:hAnsi="Garamond" w:cs="Times New Roman"/>
                <w:b/>
                <w:bCs/>
                <w:sz w:val="20"/>
                <w:szCs w:val="20"/>
              </w:rPr>
            </w:pPr>
            <w:r w:rsidRPr="005A3CDE">
              <w:rPr>
                <w:rFonts w:ascii="Garamond" w:hAnsi="Garamond" w:cs="Times New Roman"/>
                <w:b/>
                <w:bCs/>
                <w:sz w:val="20"/>
                <w:szCs w:val="20"/>
              </w:rPr>
              <w:t>Aspects</w:t>
            </w:r>
          </w:p>
        </w:tc>
        <w:tc>
          <w:tcPr>
            <w:tcW w:w="0" w:type="auto"/>
            <w:vAlign w:val="center"/>
            <w:hideMark/>
          </w:tcPr>
          <w:p w14:paraId="1863C8A5" w14:textId="77777777" w:rsidR="00AF4385" w:rsidRPr="005A3CDE" w:rsidRDefault="00AF4385" w:rsidP="00214B0A">
            <w:pPr>
              <w:spacing w:before="240" w:after="40" w:line="240" w:lineRule="auto"/>
              <w:jc w:val="center"/>
              <w:rPr>
                <w:rFonts w:ascii="Garamond" w:hAnsi="Garamond" w:cs="Times New Roman"/>
                <w:b/>
                <w:bCs/>
                <w:sz w:val="20"/>
                <w:szCs w:val="20"/>
              </w:rPr>
            </w:pPr>
            <w:r w:rsidRPr="005A3CDE">
              <w:rPr>
                <w:rFonts w:ascii="Garamond" w:hAnsi="Garamond" w:cs="Times New Roman"/>
                <w:b/>
                <w:bCs/>
                <w:sz w:val="20"/>
                <w:szCs w:val="20"/>
              </w:rPr>
              <w:t>NU</w:t>
            </w:r>
          </w:p>
        </w:tc>
        <w:tc>
          <w:tcPr>
            <w:tcW w:w="0" w:type="auto"/>
            <w:vAlign w:val="center"/>
            <w:hideMark/>
          </w:tcPr>
          <w:p w14:paraId="47152740" w14:textId="77777777" w:rsidR="00AF4385" w:rsidRPr="005A3CDE" w:rsidRDefault="00AF4385" w:rsidP="00214B0A">
            <w:pPr>
              <w:spacing w:before="240" w:after="40" w:line="240" w:lineRule="auto"/>
              <w:ind w:right="260"/>
              <w:jc w:val="center"/>
              <w:rPr>
                <w:rFonts w:ascii="Garamond" w:hAnsi="Garamond" w:cs="Times New Roman"/>
                <w:b/>
                <w:bCs/>
                <w:sz w:val="20"/>
                <w:szCs w:val="20"/>
              </w:rPr>
            </w:pPr>
            <w:r w:rsidRPr="005A3CDE">
              <w:rPr>
                <w:rFonts w:ascii="Garamond" w:hAnsi="Garamond" w:cs="Times New Roman"/>
                <w:b/>
                <w:bCs/>
                <w:sz w:val="20"/>
                <w:szCs w:val="20"/>
              </w:rPr>
              <w:t>Muhammadiyah</w:t>
            </w:r>
          </w:p>
        </w:tc>
        <w:tc>
          <w:tcPr>
            <w:tcW w:w="0" w:type="auto"/>
            <w:vAlign w:val="center"/>
            <w:hideMark/>
          </w:tcPr>
          <w:p w14:paraId="118F9CC4" w14:textId="77777777" w:rsidR="00AF4385" w:rsidRPr="005A3CDE" w:rsidRDefault="00AF4385" w:rsidP="00214B0A">
            <w:pPr>
              <w:spacing w:before="240" w:after="40" w:line="240" w:lineRule="auto"/>
              <w:ind w:left="157" w:right="146"/>
              <w:jc w:val="center"/>
              <w:rPr>
                <w:rFonts w:ascii="Garamond" w:hAnsi="Garamond" w:cs="Times New Roman"/>
                <w:b/>
                <w:bCs/>
                <w:sz w:val="20"/>
                <w:szCs w:val="20"/>
              </w:rPr>
            </w:pPr>
            <w:r w:rsidRPr="005A3CDE">
              <w:rPr>
                <w:rFonts w:ascii="Garamond" w:hAnsi="Garamond" w:cs="Times New Roman"/>
                <w:b/>
                <w:bCs/>
                <w:sz w:val="20"/>
                <w:szCs w:val="20"/>
              </w:rPr>
              <w:t>Syiah (YAPI)</w:t>
            </w:r>
          </w:p>
        </w:tc>
        <w:tc>
          <w:tcPr>
            <w:tcW w:w="1540" w:type="dxa"/>
            <w:vAlign w:val="center"/>
            <w:hideMark/>
          </w:tcPr>
          <w:p w14:paraId="4D7DCEDD" w14:textId="77777777" w:rsidR="00AF4385" w:rsidRPr="005A3CDE" w:rsidRDefault="00AF4385" w:rsidP="00214B0A">
            <w:pPr>
              <w:spacing w:before="240" w:after="40" w:line="240" w:lineRule="auto"/>
              <w:ind w:left="56" w:right="99"/>
              <w:jc w:val="center"/>
              <w:rPr>
                <w:rFonts w:ascii="Garamond" w:hAnsi="Garamond" w:cs="Times New Roman"/>
                <w:b/>
                <w:bCs/>
                <w:sz w:val="20"/>
                <w:szCs w:val="20"/>
              </w:rPr>
            </w:pPr>
            <w:r w:rsidRPr="005A3CDE">
              <w:rPr>
                <w:rFonts w:ascii="Garamond" w:hAnsi="Garamond" w:cs="Times New Roman"/>
                <w:b/>
                <w:bCs/>
                <w:sz w:val="20"/>
                <w:szCs w:val="20"/>
              </w:rPr>
              <w:t>LDII</w:t>
            </w:r>
          </w:p>
        </w:tc>
        <w:tc>
          <w:tcPr>
            <w:tcW w:w="0" w:type="auto"/>
            <w:vAlign w:val="center"/>
            <w:hideMark/>
          </w:tcPr>
          <w:p w14:paraId="6E75CEF2" w14:textId="77777777" w:rsidR="00AF4385" w:rsidRPr="005A3CDE" w:rsidRDefault="00AF4385" w:rsidP="00214B0A">
            <w:pPr>
              <w:spacing w:before="240" w:after="40" w:line="240" w:lineRule="auto"/>
              <w:jc w:val="center"/>
              <w:rPr>
                <w:rFonts w:ascii="Garamond" w:hAnsi="Garamond" w:cs="Times New Roman"/>
                <w:b/>
                <w:bCs/>
                <w:sz w:val="20"/>
                <w:szCs w:val="20"/>
              </w:rPr>
            </w:pPr>
            <w:r w:rsidRPr="005A3CDE">
              <w:rPr>
                <w:rFonts w:ascii="Garamond" w:hAnsi="Garamond" w:cs="Times New Roman"/>
                <w:b/>
                <w:bCs/>
                <w:sz w:val="20"/>
                <w:szCs w:val="20"/>
              </w:rPr>
              <w:t>Persis</w:t>
            </w:r>
          </w:p>
        </w:tc>
      </w:tr>
      <w:tr w:rsidR="00AF4385" w:rsidRPr="005A3CDE" w14:paraId="5C41E659" w14:textId="77777777" w:rsidTr="00214B0A">
        <w:trPr>
          <w:tblCellSpacing w:w="15" w:type="dxa"/>
        </w:trPr>
        <w:tc>
          <w:tcPr>
            <w:tcW w:w="0" w:type="auto"/>
            <w:vAlign w:val="center"/>
            <w:hideMark/>
          </w:tcPr>
          <w:p w14:paraId="306790DF" w14:textId="77777777" w:rsidR="00AF4385" w:rsidRPr="005A3CDE" w:rsidRDefault="00AF4385" w:rsidP="00214B0A">
            <w:pPr>
              <w:spacing w:before="240" w:after="40" w:line="240" w:lineRule="auto"/>
              <w:ind w:left="235" w:right="51"/>
              <w:jc w:val="both"/>
              <w:rPr>
                <w:rFonts w:ascii="Garamond" w:hAnsi="Garamond" w:cs="Times New Roman"/>
                <w:sz w:val="20"/>
                <w:szCs w:val="20"/>
              </w:rPr>
            </w:pPr>
            <w:r w:rsidRPr="005A3CDE">
              <w:rPr>
                <w:rFonts w:ascii="Garamond" w:hAnsi="Garamond" w:cs="Times New Roman"/>
                <w:b/>
                <w:bCs/>
                <w:sz w:val="20"/>
                <w:szCs w:val="20"/>
              </w:rPr>
              <w:t>Ideological Foundations</w:t>
            </w:r>
          </w:p>
        </w:tc>
        <w:tc>
          <w:tcPr>
            <w:tcW w:w="0" w:type="auto"/>
            <w:vAlign w:val="center"/>
            <w:hideMark/>
          </w:tcPr>
          <w:p w14:paraId="102D9454" w14:textId="77777777" w:rsidR="00AF4385" w:rsidRPr="005A3CDE" w:rsidRDefault="00AF4385" w:rsidP="00214B0A">
            <w:pPr>
              <w:spacing w:before="240" w:after="40" w:line="240" w:lineRule="auto"/>
              <w:ind w:left="123" w:right="131"/>
              <w:jc w:val="both"/>
              <w:rPr>
                <w:rFonts w:ascii="Garamond" w:hAnsi="Garamond" w:cs="Times New Roman"/>
                <w:sz w:val="20"/>
                <w:szCs w:val="20"/>
              </w:rPr>
            </w:pPr>
            <w:proofErr w:type="spellStart"/>
            <w:r w:rsidRPr="005A3CDE">
              <w:rPr>
                <w:rFonts w:ascii="Garamond" w:hAnsi="Garamond" w:cs="Times New Roman"/>
                <w:sz w:val="20"/>
                <w:szCs w:val="20"/>
              </w:rPr>
              <w:t>Asy’ariyah-Syafi’iyyah-Tasawuf</w:t>
            </w:r>
            <w:proofErr w:type="spellEnd"/>
          </w:p>
        </w:tc>
        <w:tc>
          <w:tcPr>
            <w:tcW w:w="0" w:type="auto"/>
            <w:vAlign w:val="center"/>
            <w:hideMark/>
          </w:tcPr>
          <w:p w14:paraId="3FA021C6" w14:textId="77777777" w:rsidR="00AF4385" w:rsidRPr="005A3CDE" w:rsidRDefault="00AF4385" w:rsidP="00214B0A">
            <w:pPr>
              <w:spacing w:before="240" w:after="40" w:line="240" w:lineRule="auto"/>
              <w:ind w:right="260"/>
              <w:jc w:val="both"/>
              <w:rPr>
                <w:rFonts w:ascii="Garamond" w:hAnsi="Garamond" w:cs="Times New Roman"/>
                <w:sz w:val="20"/>
                <w:szCs w:val="20"/>
              </w:rPr>
            </w:pPr>
            <w:proofErr w:type="spellStart"/>
            <w:r w:rsidRPr="005A3CDE">
              <w:rPr>
                <w:rFonts w:ascii="Garamond" w:hAnsi="Garamond" w:cs="Times New Roman"/>
                <w:sz w:val="20"/>
                <w:szCs w:val="20"/>
              </w:rPr>
              <w:t>Tajdid</w:t>
            </w:r>
            <w:proofErr w:type="spellEnd"/>
            <w:r w:rsidRPr="005A3CDE">
              <w:rPr>
                <w:rFonts w:ascii="Garamond" w:hAnsi="Garamond" w:cs="Times New Roman"/>
                <w:sz w:val="20"/>
                <w:szCs w:val="20"/>
              </w:rPr>
              <w:t>–</w:t>
            </w:r>
            <w:proofErr w:type="gramStart"/>
            <w:r w:rsidRPr="005A3CDE">
              <w:rPr>
                <w:rFonts w:ascii="Garamond" w:hAnsi="Garamond" w:cs="Times New Roman"/>
                <w:sz w:val="20"/>
                <w:szCs w:val="20"/>
              </w:rPr>
              <w:t>Non-</w:t>
            </w:r>
            <w:proofErr w:type="spellStart"/>
            <w:r w:rsidRPr="005A3CDE">
              <w:rPr>
                <w:rFonts w:ascii="Garamond" w:hAnsi="Garamond" w:cs="Times New Roman"/>
                <w:sz w:val="20"/>
                <w:szCs w:val="20"/>
              </w:rPr>
              <w:t>Mazhab</w:t>
            </w:r>
            <w:proofErr w:type="spellEnd"/>
            <w:proofErr w:type="gramEnd"/>
          </w:p>
        </w:tc>
        <w:tc>
          <w:tcPr>
            <w:tcW w:w="0" w:type="auto"/>
            <w:vAlign w:val="center"/>
            <w:hideMark/>
          </w:tcPr>
          <w:p w14:paraId="7D3C78CD" w14:textId="77777777" w:rsidR="00AF4385" w:rsidRPr="005A3CDE" w:rsidRDefault="00AF4385" w:rsidP="00214B0A">
            <w:pPr>
              <w:spacing w:before="240" w:after="40" w:line="240" w:lineRule="auto"/>
              <w:ind w:left="157" w:right="146"/>
              <w:jc w:val="both"/>
              <w:rPr>
                <w:rFonts w:ascii="Garamond" w:hAnsi="Garamond" w:cs="Times New Roman"/>
                <w:sz w:val="20"/>
                <w:szCs w:val="20"/>
              </w:rPr>
            </w:pPr>
            <w:proofErr w:type="spellStart"/>
            <w:r w:rsidRPr="005A3CDE">
              <w:rPr>
                <w:rFonts w:ascii="Garamond" w:hAnsi="Garamond" w:cs="Times New Roman"/>
                <w:sz w:val="20"/>
                <w:szCs w:val="20"/>
              </w:rPr>
              <w:t>Imamiyah</w:t>
            </w:r>
            <w:proofErr w:type="spellEnd"/>
            <w:r w:rsidRPr="005A3CDE">
              <w:rPr>
                <w:rFonts w:ascii="Garamond" w:hAnsi="Garamond" w:cs="Times New Roman"/>
                <w:sz w:val="20"/>
                <w:szCs w:val="20"/>
              </w:rPr>
              <w:t>–</w:t>
            </w:r>
            <w:proofErr w:type="spellStart"/>
            <w:r w:rsidRPr="005A3CDE">
              <w:rPr>
                <w:rFonts w:ascii="Garamond" w:hAnsi="Garamond" w:cs="Times New Roman"/>
                <w:sz w:val="20"/>
                <w:szCs w:val="20"/>
              </w:rPr>
              <w:t>Ja’fariyah</w:t>
            </w:r>
            <w:proofErr w:type="spellEnd"/>
            <w:r w:rsidRPr="005A3CDE">
              <w:rPr>
                <w:rFonts w:ascii="Garamond" w:hAnsi="Garamond" w:cs="Times New Roman"/>
                <w:sz w:val="20"/>
                <w:szCs w:val="20"/>
              </w:rPr>
              <w:t>–Wilayat Faqih</w:t>
            </w:r>
          </w:p>
        </w:tc>
        <w:tc>
          <w:tcPr>
            <w:tcW w:w="1540" w:type="dxa"/>
            <w:vAlign w:val="center"/>
            <w:hideMark/>
          </w:tcPr>
          <w:p w14:paraId="13F34271" w14:textId="77777777" w:rsidR="00AF4385" w:rsidRPr="005A3CDE" w:rsidRDefault="00AF4385" w:rsidP="00214B0A">
            <w:pPr>
              <w:spacing w:before="240" w:after="40" w:line="240" w:lineRule="auto"/>
              <w:ind w:left="56" w:right="99"/>
              <w:jc w:val="both"/>
              <w:rPr>
                <w:rFonts w:ascii="Garamond" w:hAnsi="Garamond" w:cs="Times New Roman"/>
                <w:sz w:val="20"/>
                <w:szCs w:val="20"/>
              </w:rPr>
            </w:pPr>
            <w:r w:rsidRPr="005A3CDE">
              <w:rPr>
                <w:rFonts w:ascii="Garamond" w:hAnsi="Garamond" w:cs="Times New Roman"/>
                <w:sz w:val="20"/>
                <w:szCs w:val="20"/>
              </w:rPr>
              <w:t xml:space="preserve">Sunni, </w:t>
            </w:r>
            <w:proofErr w:type="spellStart"/>
            <w:r w:rsidRPr="005A3CDE">
              <w:rPr>
                <w:rFonts w:ascii="Garamond" w:hAnsi="Garamond" w:cs="Times New Roman"/>
                <w:sz w:val="20"/>
                <w:szCs w:val="20"/>
              </w:rPr>
              <w:t>Fokus</w:t>
            </w:r>
            <w:proofErr w:type="spellEnd"/>
            <w:r w:rsidRPr="005A3CDE">
              <w:rPr>
                <w:rFonts w:ascii="Garamond" w:hAnsi="Garamond" w:cs="Times New Roman"/>
                <w:sz w:val="20"/>
                <w:szCs w:val="20"/>
              </w:rPr>
              <w:t xml:space="preserve"> Hadis &amp; </w:t>
            </w:r>
            <w:proofErr w:type="spellStart"/>
            <w:r w:rsidRPr="005A3CDE">
              <w:rPr>
                <w:rFonts w:ascii="Garamond" w:hAnsi="Garamond" w:cs="Times New Roman"/>
                <w:sz w:val="20"/>
                <w:szCs w:val="20"/>
              </w:rPr>
              <w:t>Fikih</w:t>
            </w:r>
            <w:proofErr w:type="spellEnd"/>
            <w:r w:rsidRPr="005A3CDE">
              <w:rPr>
                <w:rFonts w:ascii="Garamond" w:hAnsi="Garamond" w:cs="Times New Roman"/>
                <w:sz w:val="20"/>
                <w:szCs w:val="20"/>
              </w:rPr>
              <w:t xml:space="preserve"> </w:t>
            </w:r>
            <w:proofErr w:type="spellStart"/>
            <w:r w:rsidRPr="005A3CDE">
              <w:rPr>
                <w:rFonts w:ascii="Garamond" w:hAnsi="Garamond" w:cs="Times New Roman"/>
                <w:sz w:val="20"/>
                <w:szCs w:val="20"/>
              </w:rPr>
              <w:t>Praktis</w:t>
            </w:r>
            <w:proofErr w:type="spellEnd"/>
          </w:p>
        </w:tc>
        <w:tc>
          <w:tcPr>
            <w:tcW w:w="0" w:type="auto"/>
            <w:vAlign w:val="center"/>
            <w:hideMark/>
          </w:tcPr>
          <w:p w14:paraId="7648A72A" w14:textId="77777777" w:rsidR="00AF4385" w:rsidRPr="005A3CDE" w:rsidRDefault="00AF4385" w:rsidP="00214B0A">
            <w:pPr>
              <w:spacing w:before="240" w:after="40" w:line="240" w:lineRule="auto"/>
              <w:ind w:left="107"/>
              <w:jc w:val="both"/>
              <w:rPr>
                <w:rFonts w:ascii="Garamond" w:hAnsi="Garamond" w:cs="Times New Roman"/>
                <w:sz w:val="20"/>
                <w:szCs w:val="20"/>
              </w:rPr>
            </w:pPr>
            <w:r w:rsidRPr="005A3CDE">
              <w:rPr>
                <w:rFonts w:ascii="Garamond" w:hAnsi="Garamond" w:cs="Times New Roman"/>
                <w:sz w:val="20"/>
                <w:szCs w:val="20"/>
              </w:rPr>
              <w:t>Pure tauhid, Anti-Taqlid</w:t>
            </w:r>
          </w:p>
        </w:tc>
      </w:tr>
      <w:tr w:rsidR="00AF4385" w:rsidRPr="005A3CDE" w14:paraId="5D3D949E" w14:textId="77777777" w:rsidTr="00214B0A">
        <w:trPr>
          <w:tblCellSpacing w:w="15" w:type="dxa"/>
        </w:trPr>
        <w:tc>
          <w:tcPr>
            <w:tcW w:w="0" w:type="auto"/>
            <w:vAlign w:val="center"/>
            <w:hideMark/>
          </w:tcPr>
          <w:p w14:paraId="672EDA58" w14:textId="77777777" w:rsidR="00AF4385" w:rsidRPr="005A3CDE" w:rsidRDefault="00AF4385" w:rsidP="00214B0A">
            <w:pPr>
              <w:spacing w:before="240" w:after="40" w:line="240" w:lineRule="auto"/>
              <w:ind w:left="235" w:right="51"/>
              <w:jc w:val="both"/>
              <w:rPr>
                <w:rFonts w:ascii="Garamond" w:hAnsi="Garamond" w:cs="Times New Roman"/>
                <w:sz w:val="20"/>
                <w:szCs w:val="20"/>
              </w:rPr>
            </w:pPr>
            <w:r>
              <w:rPr>
                <w:rFonts w:ascii="Garamond" w:hAnsi="Garamond" w:cs="Times New Roman"/>
                <w:b/>
                <w:bCs/>
                <w:sz w:val="20"/>
                <w:szCs w:val="20"/>
              </w:rPr>
              <w:t>Main Book</w:t>
            </w:r>
          </w:p>
        </w:tc>
        <w:tc>
          <w:tcPr>
            <w:tcW w:w="0" w:type="auto"/>
            <w:vAlign w:val="center"/>
            <w:hideMark/>
          </w:tcPr>
          <w:p w14:paraId="0B7B3F09" w14:textId="77777777" w:rsidR="00AF4385" w:rsidRPr="005A3CDE" w:rsidRDefault="00AF4385" w:rsidP="00214B0A">
            <w:pPr>
              <w:spacing w:before="240" w:after="40" w:line="240" w:lineRule="auto"/>
              <w:ind w:left="123" w:right="131"/>
              <w:jc w:val="both"/>
              <w:rPr>
                <w:rFonts w:ascii="Garamond" w:hAnsi="Garamond" w:cs="Times New Roman"/>
                <w:sz w:val="20"/>
                <w:szCs w:val="20"/>
              </w:rPr>
            </w:pPr>
            <w:r w:rsidRPr="005A3CDE">
              <w:rPr>
                <w:rFonts w:ascii="Garamond" w:hAnsi="Garamond" w:cs="Times New Roman"/>
                <w:i/>
                <w:iCs/>
                <w:sz w:val="20"/>
                <w:szCs w:val="20"/>
              </w:rPr>
              <w:t xml:space="preserve">Kitab </w:t>
            </w:r>
            <w:proofErr w:type="spellStart"/>
            <w:r w:rsidRPr="005A3CDE">
              <w:rPr>
                <w:rFonts w:ascii="Garamond" w:hAnsi="Garamond" w:cs="Times New Roman"/>
                <w:i/>
                <w:iCs/>
                <w:sz w:val="20"/>
                <w:szCs w:val="20"/>
              </w:rPr>
              <w:t>kuning</w:t>
            </w:r>
            <w:proofErr w:type="spellEnd"/>
            <w:r w:rsidRPr="005A3CDE">
              <w:rPr>
                <w:rFonts w:ascii="Garamond" w:hAnsi="Garamond" w:cs="Times New Roman"/>
                <w:sz w:val="20"/>
                <w:szCs w:val="20"/>
              </w:rPr>
              <w:t xml:space="preserve"> (Fath al-</w:t>
            </w:r>
            <w:proofErr w:type="spellStart"/>
            <w:r w:rsidRPr="005A3CDE">
              <w:rPr>
                <w:rFonts w:ascii="Garamond" w:hAnsi="Garamond" w:cs="Times New Roman"/>
                <w:sz w:val="20"/>
                <w:szCs w:val="20"/>
              </w:rPr>
              <w:t>Mu’in</w:t>
            </w:r>
            <w:proofErr w:type="spellEnd"/>
            <w:r w:rsidRPr="005A3CDE">
              <w:rPr>
                <w:rFonts w:ascii="Garamond" w:hAnsi="Garamond" w:cs="Times New Roman"/>
                <w:sz w:val="20"/>
                <w:szCs w:val="20"/>
              </w:rPr>
              <w:t xml:space="preserve">, </w:t>
            </w:r>
            <w:proofErr w:type="spellStart"/>
            <w:r w:rsidRPr="005A3CDE">
              <w:rPr>
                <w:rFonts w:ascii="Garamond" w:hAnsi="Garamond" w:cs="Times New Roman"/>
                <w:sz w:val="20"/>
                <w:szCs w:val="20"/>
              </w:rPr>
              <w:t>Hikam</w:t>
            </w:r>
            <w:proofErr w:type="spellEnd"/>
            <w:r w:rsidRPr="005A3CDE">
              <w:rPr>
                <w:rFonts w:ascii="Garamond" w:hAnsi="Garamond" w:cs="Times New Roman"/>
                <w:sz w:val="20"/>
                <w:szCs w:val="20"/>
              </w:rPr>
              <w:t>)</w:t>
            </w:r>
          </w:p>
        </w:tc>
        <w:tc>
          <w:tcPr>
            <w:tcW w:w="0" w:type="auto"/>
            <w:vAlign w:val="center"/>
            <w:hideMark/>
          </w:tcPr>
          <w:p w14:paraId="122DE050" w14:textId="77777777" w:rsidR="00AF4385" w:rsidRPr="005A3CDE" w:rsidRDefault="00AF4385" w:rsidP="00214B0A">
            <w:pPr>
              <w:spacing w:before="240" w:after="40" w:line="240" w:lineRule="auto"/>
              <w:ind w:right="260"/>
              <w:jc w:val="both"/>
              <w:rPr>
                <w:rFonts w:ascii="Garamond" w:hAnsi="Garamond" w:cs="Times New Roman"/>
                <w:sz w:val="20"/>
                <w:szCs w:val="20"/>
              </w:rPr>
            </w:pPr>
            <w:r w:rsidRPr="005A3CDE">
              <w:rPr>
                <w:rFonts w:ascii="Garamond" w:hAnsi="Garamond" w:cs="Times New Roman"/>
                <w:sz w:val="20"/>
                <w:szCs w:val="20"/>
              </w:rPr>
              <w:t xml:space="preserve">Tafsir Ibnu Katsir, </w:t>
            </w:r>
            <w:proofErr w:type="spellStart"/>
            <w:r w:rsidRPr="005A3CDE">
              <w:rPr>
                <w:rFonts w:ascii="Garamond" w:hAnsi="Garamond" w:cs="Times New Roman"/>
                <w:sz w:val="20"/>
                <w:szCs w:val="20"/>
              </w:rPr>
              <w:t>Arba’in</w:t>
            </w:r>
            <w:proofErr w:type="spellEnd"/>
            <w:r w:rsidRPr="005A3CDE">
              <w:rPr>
                <w:rFonts w:ascii="Garamond" w:hAnsi="Garamond" w:cs="Times New Roman"/>
                <w:sz w:val="20"/>
                <w:szCs w:val="20"/>
              </w:rPr>
              <w:t xml:space="preserve"> Nawawi</w:t>
            </w:r>
          </w:p>
        </w:tc>
        <w:tc>
          <w:tcPr>
            <w:tcW w:w="0" w:type="auto"/>
            <w:vAlign w:val="center"/>
            <w:hideMark/>
          </w:tcPr>
          <w:p w14:paraId="05031EB4" w14:textId="77777777" w:rsidR="00AF4385" w:rsidRPr="005A3CDE" w:rsidRDefault="00AF4385" w:rsidP="00214B0A">
            <w:pPr>
              <w:spacing w:before="240" w:after="40" w:line="240" w:lineRule="auto"/>
              <w:ind w:left="157" w:right="146"/>
              <w:jc w:val="both"/>
              <w:rPr>
                <w:rFonts w:ascii="Garamond" w:hAnsi="Garamond" w:cs="Times New Roman"/>
                <w:sz w:val="20"/>
                <w:szCs w:val="20"/>
              </w:rPr>
            </w:pPr>
            <w:r w:rsidRPr="005A3CDE">
              <w:rPr>
                <w:rFonts w:ascii="Garamond" w:hAnsi="Garamond" w:cs="Times New Roman"/>
                <w:sz w:val="20"/>
                <w:szCs w:val="20"/>
              </w:rPr>
              <w:t>Al-</w:t>
            </w:r>
            <w:proofErr w:type="spellStart"/>
            <w:r w:rsidRPr="005A3CDE">
              <w:rPr>
                <w:rFonts w:ascii="Garamond" w:hAnsi="Garamond" w:cs="Times New Roman"/>
                <w:sz w:val="20"/>
                <w:szCs w:val="20"/>
              </w:rPr>
              <w:t>Halaqat</w:t>
            </w:r>
            <w:proofErr w:type="spellEnd"/>
            <w:r w:rsidRPr="005A3CDE">
              <w:rPr>
                <w:rFonts w:ascii="Garamond" w:hAnsi="Garamond" w:cs="Times New Roman"/>
                <w:sz w:val="20"/>
                <w:szCs w:val="20"/>
              </w:rPr>
              <w:t>, Bidayah al-Hikmah</w:t>
            </w:r>
          </w:p>
        </w:tc>
        <w:tc>
          <w:tcPr>
            <w:tcW w:w="1540" w:type="dxa"/>
            <w:vAlign w:val="center"/>
            <w:hideMark/>
          </w:tcPr>
          <w:p w14:paraId="63BD975C" w14:textId="77777777" w:rsidR="00AF4385" w:rsidRPr="005A3CDE" w:rsidRDefault="00AF4385" w:rsidP="00214B0A">
            <w:pPr>
              <w:spacing w:before="240" w:after="40" w:line="240" w:lineRule="auto"/>
              <w:ind w:left="56" w:right="99"/>
              <w:jc w:val="both"/>
              <w:rPr>
                <w:rFonts w:ascii="Garamond" w:hAnsi="Garamond" w:cs="Times New Roman"/>
                <w:sz w:val="20"/>
                <w:szCs w:val="20"/>
              </w:rPr>
            </w:pPr>
            <w:proofErr w:type="spellStart"/>
            <w:r w:rsidRPr="005A3CDE">
              <w:rPr>
                <w:rFonts w:ascii="Garamond" w:hAnsi="Garamond" w:cs="Times New Roman"/>
                <w:sz w:val="20"/>
                <w:szCs w:val="20"/>
              </w:rPr>
              <w:t>Kutub</w:t>
            </w:r>
            <w:proofErr w:type="spellEnd"/>
            <w:r w:rsidRPr="005A3CDE">
              <w:rPr>
                <w:rFonts w:ascii="Garamond" w:hAnsi="Garamond" w:cs="Times New Roman"/>
                <w:sz w:val="20"/>
                <w:szCs w:val="20"/>
              </w:rPr>
              <w:t xml:space="preserve"> al-</w:t>
            </w:r>
            <w:proofErr w:type="spellStart"/>
            <w:r w:rsidRPr="005A3CDE">
              <w:rPr>
                <w:rFonts w:ascii="Garamond" w:hAnsi="Garamond" w:cs="Times New Roman"/>
                <w:sz w:val="20"/>
                <w:szCs w:val="20"/>
              </w:rPr>
              <w:t>Sittah</w:t>
            </w:r>
            <w:proofErr w:type="spellEnd"/>
            <w:r w:rsidRPr="005A3CDE">
              <w:rPr>
                <w:rFonts w:ascii="Garamond" w:hAnsi="Garamond" w:cs="Times New Roman"/>
                <w:sz w:val="20"/>
                <w:szCs w:val="20"/>
              </w:rPr>
              <w:t xml:space="preserve">, Hadis </w:t>
            </w:r>
            <w:proofErr w:type="spellStart"/>
            <w:r w:rsidRPr="005A3CDE">
              <w:rPr>
                <w:rFonts w:ascii="Garamond" w:hAnsi="Garamond" w:cs="Times New Roman"/>
                <w:sz w:val="20"/>
                <w:szCs w:val="20"/>
              </w:rPr>
              <w:t>Praktis</w:t>
            </w:r>
            <w:proofErr w:type="spellEnd"/>
          </w:p>
        </w:tc>
        <w:tc>
          <w:tcPr>
            <w:tcW w:w="0" w:type="auto"/>
            <w:vAlign w:val="center"/>
            <w:hideMark/>
          </w:tcPr>
          <w:p w14:paraId="7B64988F" w14:textId="77777777" w:rsidR="00AF4385" w:rsidRPr="005A3CDE" w:rsidRDefault="00AF4385" w:rsidP="00214B0A">
            <w:pPr>
              <w:spacing w:before="240" w:after="40" w:line="240" w:lineRule="auto"/>
              <w:ind w:left="107"/>
              <w:jc w:val="both"/>
              <w:rPr>
                <w:rFonts w:ascii="Garamond" w:hAnsi="Garamond" w:cs="Times New Roman"/>
                <w:sz w:val="20"/>
                <w:szCs w:val="20"/>
              </w:rPr>
            </w:pPr>
            <w:proofErr w:type="spellStart"/>
            <w:r w:rsidRPr="005A3CDE">
              <w:rPr>
                <w:rFonts w:ascii="Garamond" w:hAnsi="Garamond" w:cs="Times New Roman"/>
                <w:sz w:val="20"/>
                <w:szCs w:val="20"/>
              </w:rPr>
              <w:t>Bulugh</w:t>
            </w:r>
            <w:proofErr w:type="spellEnd"/>
            <w:r w:rsidRPr="005A3CDE">
              <w:rPr>
                <w:rFonts w:ascii="Garamond" w:hAnsi="Garamond" w:cs="Times New Roman"/>
                <w:sz w:val="20"/>
                <w:szCs w:val="20"/>
              </w:rPr>
              <w:t xml:space="preserve"> al-Maram, Tafsir al-Manar</w:t>
            </w:r>
          </w:p>
        </w:tc>
      </w:tr>
      <w:tr w:rsidR="00AF4385" w:rsidRPr="005A3CDE" w14:paraId="3E44223F" w14:textId="77777777" w:rsidTr="00214B0A">
        <w:trPr>
          <w:tblCellSpacing w:w="15" w:type="dxa"/>
        </w:trPr>
        <w:tc>
          <w:tcPr>
            <w:tcW w:w="0" w:type="auto"/>
            <w:vAlign w:val="center"/>
            <w:hideMark/>
          </w:tcPr>
          <w:p w14:paraId="1E7B562E" w14:textId="77777777" w:rsidR="00AF4385" w:rsidRPr="005A3CDE" w:rsidRDefault="00AF4385" w:rsidP="00214B0A">
            <w:pPr>
              <w:spacing w:before="240" w:after="40" w:line="240" w:lineRule="auto"/>
              <w:ind w:left="235" w:right="51"/>
              <w:jc w:val="both"/>
              <w:rPr>
                <w:rFonts w:ascii="Garamond" w:hAnsi="Garamond" w:cs="Times New Roman"/>
                <w:sz w:val="20"/>
                <w:szCs w:val="20"/>
              </w:rPr>
            </w:pPr>
            <w:r>
              <w:rPr>
                <w:rFonts w:ascii="Garamond" w:hAnsi="Garamond" w:cs="Times New Roman"/>
                <w:b/>
                <w:bCs/>
                <w:sz w:val="20"/>
                <w:szCs w:val="20"/>
              </w:rPr>
              <w:t>Approach</w:t>
            </w:r>
          </w:p>
        </w:tc>
        <w:tc>
          <w:tcPr>
            <w:tcW w:w="0" w:type="auto"/>
            <w:vAlign w:val="center"/>
            <w:hideMark/>
          </w:tcPr>
          <w:p w14:paraId="7CA5E1F2" w14:textId="77777777" w:rsidR="00AF4385" w:rsidRPr="005A3CDE" w:rsidRDefault="00AF4385" w:rsidP="00214B0A">
            <w:pPr>
              <w:spacing w:before="240" w:after="40" w:line="240" w:lineRule="auto"/>
              <w:ind w:left="123" w:right="131"/>
              <w:jc w:val="both"/>
              <w:rPr>
                <w:rFonts w:ascii="Garamond" w:hAnsi="Garamond" w:cs="Times New Roman"/>
                <w:sz w:val="20"/>
                <w:szCs w:val="20"/>
              </w:rPr>
            </w:pPr>
            <w:r w:rsidRPr="005A3CDE">
              <w:rPr>
                <w:rFonts w:ascii="Garamond" w:hAnsi="Garamond" w:cs="Times New Roman"/>
                <w:sz w:val="20"/>
                <w:szCs w:val="20"/>
              </w:rPr>
              <w:t xml:space="preserve">Traditional, </w:t>
            </w:r>
            <w:proofErr w:type="spellStart"/>
            <w:r w:rsidRPr="005A3CDE">
              <w:rPr>
                <w:rFonts w:ascii="Garamond" w:hAnsi="Garamond" w:cs="Times New Roman"/>
                <w:sz w:val="20"/>
                <w:szCs w:val="20"/>
              </w:rPr>
              <w:t>bandongan</w:t>
            </w:r>
            <w:proofErr w:type="spellEnd"/>
            <w:r w:rsidRPr="005A3CDE">
              <w:rPr>
                <w:rFonts w:ascii="Garamond" w:hAnsi="Garamond" w:cs="Times New Roman"/>
                <w:sz w:val="20"/>
                <w:szCs w:val="20"/>
              </w:rPr>
              <w:t xml:space="preserve">, </w:t>
            </w:r>
            <w:proofErr w:type="spellStart"/>
            <w:r w:rsidRPr="005A3CDE">
              <w:rPr>
                <w:rFonts w:ascii="Garamond" w:hAnsi="Garamond" w:cs="Times New Roman"/>
                <w:sz w:val="20"/>
                <w:szCs w:val="20"/>
              </w:rPr>
              <w:t>sorogan</w:t>
            </w:r>
            <w:proofErr w:type="spellEnd"/>
          </w:p>
        </w:tc>
        <w:tc>
          <w:tcPr>
            <w:tcW w:w="0" w:type="auto"/>
            <w:vAlign w:val="center"/>
            <w:hideMark/>
          </w:tcPr>
          <w:p w14:paraId="02DA0CCF" w14:textId="77777777" w:rsidR="00AF4385" w:rsidRPr="005A3CDE" w:rsidRDefault="00AF4385" w:rsidP="00214B0A">
            <w:pPr>
              <w:spacing w:before="240" w:after="40" w:line="240" w:lineRule="auto"/>
              <w:ind w:right="260"/>
              <w:jc w:val="both"/>
              <w:rPr>
                <w:rFonts w:ascii="Garamond" w:hAnsi="Garamond" w:cs="Times New Roman"/>
                <w:sz w:val="20"/>
                <w:szCs w:val="20"/>
              </w:rPr>
            </w:pPr>
            <w:r w:rsidRPr="005A3CDE">
              <w:rPr>
                <w:rFonts w:ascii="Garamond" w:hAnsi="Garamond" w:cs="Times New Roman"/>
                <w:sz w:val="20"/>
                <w:szCs w:val="20"/>
              </w:rPr>
              <w:t>Modern, classic</w:t>
            </w:r>
          </w:p>
        </w:tc>
        <w:tc>
          <w:tcPr>
            <w:tcW w:w="0" w:type="auto"/>
            <w:vAlign w:val="center"/>
            <w:hideMark/>
          </w:tcPr>
          <w:p w14:paraId="022A1979" w14:textId="77777777" w:rsidR="00AF4385" w:rsidRPr="005A3CDE" w:rsidRDefault="00AF4385" w:rsidP="00214B0A">
            <w:pPr>
              <w:spacing w:before="240" w:after="40" w:line="240" w:lineRule="auto"/>
              <w:ind w:left="157" w:right="146"/>
              <w:jc w:val="both"/>
              <w:rPr>
                <w:rFonts w:ascii="Garamond" w:hAnsi="Garamond" w:cs="Times New Roman"/>
                <w:sz w:val="20"/>
                <w:szCs w:val="20"/>
              </w:rPr>
            </w:pPr>
            <w:r w:rsidRPr="005A3CDE">
              <w:rPr>
                <w:rFonts w:ascii="Garamond" w:hAnsi="Garamond" w:cs="Times New Roman"/>
                <w:sz w:val="20"/>
                <w:szCs w:val="20"/>
              </w:rPr>
              <w:t>Argumentative, Islamic Philosophy</w:t>
            </w:r>
          </w:p>
        </w:tc>
        <w:tc>
          <w:tcPr>
            <w:tcW w:w="1540" w:type="dxa"/>
            <w:vAlign w:val="center"/>
            <w:hideMark/>
          </w:tcPr>
          <w:p w14:paraId="241FFA3F" w14:textId="77777777" w:rsidR="00AF4385" w:rsidRPr="005A3CDE" w:rsidRDefault="00AF4385" w:rsidP="00214B0A">
            <w:pPr>
              <w:spacing w:before="240" w:after="40" w:line="240" w:lineRule="auto"/>
              <w:ind w:left="56" w:right="99"/>
              <w:jc w:val="both"/>
              <w:rPr>
                <w:rFonts w:ascii="Garamond" w:hAnsi="Garamond" w:cs="Times New Roman"/>
                <w:sz w:val="20"/>
                <w:szCs w:val="20"/>
              </w:rPr>
            </w:pPr>
            <w:r w:rsidRPr="005A3CDE">
              <w:rPr>
                <w:rFonts w:ascii="Garamond" w:hAnsi="Garamond" w:cs="Times New Roman"/>
                <w:sz w:val="20"/>
                <w:szCs w:val="20"/>
              </w:rPr>
              <w:t>Tiered, regeneration</w:t>
            </w:r>
          </w:p>
        </w:tc>
        <w:tc>
          <w:tcPr>
            <w:tcW w:w="0" w:type="auto"/>
            <w:vAlign w:val="center"/>
            <w:hideMark/>
          </w:tcPr>
          <w:p w14:paraId="79D011B4" w14:textId="77777777" w:rsidR="00AF4385" w:rsidRPr="005A3CDE" w:rsidRDefault="00AF4385" w:rsidP="00214B0A">
            <w:pPr>
              <w:spacing w:before="240" w:after="40" w:line="240" w:lineRule="auto"/>
              <w:ind w:left="107"/>
              <w:jc w:val="both"/>
              <w:rPr>
                <w:rFonts w:ascii="Garamond" w:hAnsi="Garamond" w:cs="Times New Roman"/>
                <w:sz w:val="20"/>
                <w:szCs w:val="20"/>
              </w:rPr>
            </w:pPr>
            <w:r w:rsidRPr="005A3CDE">
              <w:rPr>
                <w:rFonts w:ascii="Garamond" w:hAnsi="Garamond" w:cs="Times New Roman"/>
                <w:sz w:val="20"/>
                <w:szCs w:val="20"/>
              </w:rPr>
              <w:t xml:space="preserve">Argumentative, rational, </w:t>
            </w:r>
            <w:proofErr w:type="spellStart"/>
            <w:r w:rsidRPr="005A3CDE">
              <w:rPr>
                <w:rFonts w:ascii="Garamond" w:hAnsi="Garamond" w:cs="Times New Roman"/>
                <w:sz w:val="20"/>
                <w:szCs w:val="20"/>
              </w:rPr>
              <w:t>tahqiq</w:t>
            </w:r>
            <w:proofErr w:type="spellEnd"/>
          </w:p>
        </w:tc>
      </w:tr>
      <w:tr w:rsidR="00AF4385" w:rsidRPr="005A3CDE" w14:paraId="1AF7D27E" w14:textId="77777777" w:rsidTr="00214B0A">
        <w:trPr>
          <w:tblCellSpacing w:w="15" w:type="dxa"/>
        </w:trPr>
        <w:tc>
          <w:tcPr>
            <w:tcW w:w="0" w:type="auto"/>
            <w:vAlign w:val="center"/>
            <w:hideMark/>
          </w:tcPr>
          <w:p w14:paraId="56E2AE77" w14:textId="77777777" w:rsidR="00AF4385" w:rsidRPr="005A3CDE" w:rsidRDefault="00AF4385" w:rsidP="00214B0A">
            <w:pPr>
              <w:spacing w:before="240" w:after="40" w:line="240" w:lineRule="auto"/>
              <w:ind w:left="235" w:right="51"/>
              <w:jc w:val="both"/>
              <w:rPr>
                <w:rFonts w:ascii="Garamond" w:hAnsi="Garamond" w:cs="Times New Roman"/>
                <w:sz w:val="20"/>
                <w:szCs w:val="20"/>
              </w:rPr>
            </w:pPr>
            <w:r w:rsidRPr="005A3CDE">
              <w:rPr>
                <w:rFonts w:ascii="Garamond" w:hAnsi="Garamond" w:cs="Times New Roman"/>
                <w:b/>
                <w:bCs/>
                <w:sz w:val="20"/>
                <w:szCs w:val="20"/>
              </w:rPr>
              <w:t>Curriculum Management</w:t>
            </w:r>
          </w:p>
        </w:tc>
        <w:tc>
          <w:tcPr>
            <w:tcW w:w="0" w:type="auto"/>
            <w:vAlign w:val="center"/>
            <w:hideMark/>
          </w:tcPr>
          <w:p w14:paraId="514BF46E" w14:textId="77777777" w:rsidR="00AF4385" w:rsidRPr="005A3CDE" w:rsidRDefault="00AF4385" w:rsidP="00214B0A">
            <w:pPr>
              <w:spacing w:before="240" w:after="40" w:line="240" w:lineRule="auto"/>
              <w:ind w:left="123" w:right="131"/>
              <w:jc w:val="both"/>
              <w:rPr>
                <w:rFonts w:ascii="Garamond" w:hAnsi="Garamond" w:cs="Times New Roman"/>
                <w:sz w:val="20"/>
                <w:szCs w:val="20"/>
              </w:rPr>
            </w:pPr>
            <w:r>
              <w:rPr>
                <w:rFonts w:ascii="Garamond" w:hAnsi="Garamond" w:cs="Times New Roman"/>
                <w:sz w:val="20"/>
                <w:szCs w:val="20"/>
              </w:rPr>
              <w:t xml:space="preserve">Kiyai </w:t>
            </w:r>
            <w:r w:rsidRPr="005A3CDE">
              <w:rPr>
                <w:rFonts w:ascii="Garamond" w:hAnsi="Garamond" w:cs="Times New Roman"/>
                <w:sz w:val="20"/>
                <w:szCs w:val="20"/>
              </w:rPr>
              <w:t>Autonomy</w:t>
            </w:r>
          </w:p>
        </w:tc>
        <w:tc>
          <w:tcPr>
            <w:tcW w:w="0" w:type="auto"/>
            <w:vAlign w:val="center"/>
            <w:hideMark/>
          </w:tcPr>
          <w:p w14:paraId="69ECFAB2" w14:textId="77777777" w:rsidR="00AF4385" w:rsidRPr="005A3CDE" w:rsidRDefault="00AF4385" w:rsidP="00214B0A">
            <w:pPr>
              <w:spacing w:before="240" w:after="40" w:line="240" w:lineRule="auto"/>
              <w:ind w:right="260"/>
              <w:jc w:val="both"/>
              <w:rPr>
                <w:rFonts w:ascii="Garamond" w:hAnsi="Garamond" w:cs="Times New Roman"/>
                <w:sz w:val="20"/>
                <w:szCs w:val="20"/>
              </w:rPr>
            </w:pPr>
            <w:r w:rsidRPr="005A3CDE">
              <w:rPr>
                <w:rFonts w:ascii="Garamond" w:hAnsi="Garamond" w:cs="Times New Roman"/>
                <w:sz w:val="20"/>
                <w:szCs w:val="20"/>
              </w:rPr>
              <w:t>Top-down (</w:t>
            </w:r>
            <w:proofErr w:type="spellStart"/>
            <w:r w:rsidRPr="005A3CDE">
              <w:rPr>
                <w:rFonts w:ascii="Garamond" w:hAnsi="Garamond" w:cs="Times New Roman"/>
                <w:sz w:val="20"/>
                <w:szCs w:val="20"/>
              </w:rPr>
              <w:t>center</w:t>
            </w:r>
            <w:proofErr w:type="spellEnd"/>
            <w:r w:rsidRPr="005A3CDE">
              <w:rPr>
                <w:rFonts w:ascii="Garamond" w:hAnsi="Garamond" w:cs="Times New Roman"/>
                <w:sz w:val="20"/>
                <w:szCs w:val="20"/>
              </w:rPr>
              <w:t>-to-branch)</w:t>
            </w:r>
          </w:p>
        </w:tc>
        <w:tc>
          <w:tcPr>
            <w:tcW w:w="0" w:type="auto"/>
            <w:vAlign w:val="center"/>
            <w:hideMark/>
          </w:tcPr>
          <w:p w14:paraId="435A7D98" w14:textId="77777777" w:rsidR="00AF4385" w:rsidRPr="005A3CDE" w:rsidRDefault="00AF4385" w:rsidP="00214B0A">
            <w:pPr>
              <w:spacing w:before="240" w:after="40" w:line="240" w:lineRule="auto"/>
              <w:ind w:left="157" w:right="146"/>
              <w:jc w:val="both"/>
              <w:rPr>
                <w:rFonts w:ascii="Garamond" w:hAnsi="Garamond" w:cs="Times New Roman"/>
                <w:sz w:val="20"/>
                <w:szCs w:val="20"/>
              </w:rPr>
            </w:pPr>
            <w:r w:rsidRPr="005A3CDE">
              <w:rPr>
                <w:rFonts w:ascii="Garamond" w:hAnsi="Garamond" w:cs="Times New Roman"/>
                <w:sz w:val="20"/>
                <w:szCs w:val="20"/>
              </w:rPr>
              <w:t>Centralized and ideological</w:t>
            </w:r>
          </w:p>
        </w:tc>
        <w:tc>
          <w:tcPr>
            <w:tcW w:w="1540" w:type="dxa"/>
            <w:vAlign w:val="center"/>
            <w:hideMark/>
          </w:tcPr>
          <w:p w14:paraId="0190FE86" w14:textId="77777777" w:rsidR="00AF4385" w:rsidRPr="005A3CDE" w:rsidRDefault="00AF4385" w:rsidP="00214B0A">
            <w:pPr>
              <w:spacing w:before="240" w:after="40" w:line="240" w:lineRule="auto"/>
              <w:ind w:left="56" w:right="99"/>
              <w:jc w:val="both"/>
              <w:rPr>
                <w:rFonts w:ascii="Garamond" w:hAnsi="Garamond" w:cs="Times New Roman"/>
                <w:sz w:val="20"/>
                <w:szCs w:val="20"/>
              </w:rPr>
            </w:pPr>
            <w:r w:rsidRPr="005A3CDE">
              <w:rPr>
                <w:rFonts w:ascii="Garamond" w:hAnsi="Garamond" w:cs="Times New Roman"/>
                <w:sz w:val="20"/>
                <w:szCs w:val="20"/>
              </w:rPr>
              <w:t xml:space="preserve">Ideology of Shia </w:t>
            </w:r>
            <w:proofErr w:type="spellStart"/>
            <w:r w:rsidRPr="005A3CDE">
              <w:rPr>
                <w:rFonts w:ascii="Garamond" w:hAnsi="Garamond" w:cs="Times New Roman"/>
                <w:sz w:val="20"/>
                <w:szCs w:val="20"/>
              </w:rPr>
              <w:t>Imamiyah</w:t>
            </w:r>
            <w:proofErr w:type="spellEnd"/>
          </w:p>
        </w:tc>
        <w:tc>
          <w:tcPr>
            <w:tcW w:w="0" w:type="auto"/>
            <w:vAlign w:val="center"/>
            <w:hideMark/>
          </w:tcPr>
          <w:p w14:paraId="3281070A" w14:textId="77777777" w:rsidR="00AF4385" w:rsidRPr="005A3CDE" w:rsidRDefault="00AF4385" w:rsidP="00214B0A">
            <w:pPr>
              <w:spacing w:before="240" w:after="40" w:line="240" w:lineRule="auto"/>
              <w:jc w:val="both"/>
              <w:rPr>
                <w:rFonts w:ascii="Garamond" w:hAnsi="Garamond" w:cs="Times New Roman"/>
                <w:sz w:val="20"/>
                <w:szCs w:val="20"/>
              </w:rPr>
            </w:pPr>
            <w:r w:rsidRPr="005A3CDE">
              <w:rPr>
                <w:rFonts w:ascii="Garamond" w:hAnsi="Garamond" w:cs="Times New Roman"/>
                <w:sz w:val="20"/>
                <w:szCs w:val="20"/>
              </w:rPr>
              <w:t xml:space="preserve">Systematic, </w:t>
            </w:r>
            <w:proofErr w:type="spellStart"/>
            <w:r w:rsidRPr="005A3CDE">
              <w:rPr>
                <w:rFonts w:ascii="Garamond" w:hAnsi="Garamond" w:cs="Times New Roman"/>
                <w:sz w:val="20"/>
                <w:szCs w:val="20"/>
              </w:rPr>
              <w:t>intracurricular</w:t>
            </w:r>
            <w:proofErr w:type="spellEnd"/>
            <w:r w:rsidRPr="005A3CDE">
              <w:rPr>
                <w:rFonts w:ascii="Garamond" w:hAnsi="Garamond" w:cs="Times New Roman"/>
                <w:sz w:val="20"/>
                <w:szCs w:val="20"/>
              </w:rPr>
              <w:t>-extracurricular</w:t>
            </w:r>
          </w:p>
        </w:tc>
      </w:tr>
      <w:tr w:rsidR="00AF4385" w:rsidRPr="005A3CDE" w14:paraId="5D2C84AC" w14:textId="77777777" w:rsidTr="00214B0A">
        <w:trPr>
          <w:tblCellSpacing w:w="15" w:type="dxa"/>
        </w:trPr>
        <w:tc>
          <w:tcPr>
            <w:tcW w:w="0" w:type="auto"/>
            <w:vAlign w:val="center"/>
            <w:hideMark/>
          </w:tcPr>
          <w:p w14:paraId="3052F22B" w14:textId="77777777" w:rsidR="00AF4385" w:rsidRPr="005A3CDE" w:rsidRDefault="00AF4385" w:rsidP="00214B0A">
            <w:pPr>
              <w:spacing w:before="240" w:after="40" w:line="240" w:lineRule="auto"/>
              <w:ind w:left="235" w:right="51"/>
              <w:jc w:val="both"/>
              <w:rPr>
                <w:rFonts w:ascii="Garamond" w:hAnsi="Garamond" w:cs="Times New Roman"/>
                <w:sz w:val="20"/>
                <w:szCs w:val="20"/>
              </w:rPr>
            </w:pPr>
            <w:r w:rsidRPr="005A3CDE">
              <w:rPr>
                <w:rFonts w:ascii="Garamond" w:hAnsi="Garamond" w:cs="Times New Roman"/>
                <w:b/>
                <w:bCs/>
                <w:sz w:val="20"/>
                <w:szCs w:val="20"/>
              </w:rPr>
              <w:t>Educational Objectives</w:t>
            </w:r>
          </w:p>
        </w:tc>
        <w:tc>
          <w:tcPr>
            <w:tcW w:w="0" w:type="auto"/>
            <w:vAlign w:val="center"/>
            <w:hideMark/>
          </w:tcPr>
          <w:p w14:paraId="79213B44" w14:textId="77777777" w:rsidR="00AF4385" w:rsidRPr="005A3CDE" w:rsidRDefault="00AF4385" w:rsidP="00214B0A">
            <w:pPr>
              <w:spacing w:before="240" w:after="40" w:line="240" w:lineRule="auto"/>
              <w:ind w:left="123" w:right="131"/>
              <w:jc w:val="both"/>
              <w:rPr>
                <w:rFonts w:ascii="Garamond" w:hAnsi="Garamond" w:cs="Times New Roman"/>
                <w:sz w:val="20"/>
                <w:szCs w:val="20"/>
              </w:rPr>
            </w:pPr>
            <w:proofErr w:type="spellStart"/>
            <w:r w:rsidRPr="005A3CDE">
              <w:rPr>
                <w:rFonts w:ascii="Garamond" w:hAnsi="Garamond" w:cs="Times New Roman"/>
                <w:sz w:val="20"/>
                <w:szCs w:val="20"/>
              </w:rPr>
              <w:t>Tafaquh</w:t>
            </w:r>
            <w:proofErr w:type="spellEnd"/>
            <w:r w:rsidRPr="005A3CDE">
              <w:rPr>
                <w:rFonts w:ascii="Garamond" w:hAnsi="Garamond" w:cs="Times New Roman"/>
                <w:sz w:val="20"/>
                <w:szCs w:val="20"/>
              </w:rPr>
              <w:t>, social service</w:t>
            </w:r>
          </w:p>
        </w:tc>
        <w:tc>
          <w:tcPr>
            <w:tcW w:w="0" w:type="auto"/>
            <w:vAlign w:val="center"/>
            <w:hideMark/>
          </w:tcPr>
          <w:p w14:paraId="0AEB8785" w14:textId="77777777" w:rsidR="00AF4385" w:rsidRPr="005A3CDE" w:rsidRDefault="00AF4385" w:rsidP="00214B0A">
            <w:pPr>
              <w:spacing w:before="240" w:after="40" w:line="240" w:lineRule="auto"/>
              <w:ind w:right="260"/>
              <w:jc w:val="both"/>
              <w:rPr>
                <w:rFonts w:ascii="Garamond" w:hAnsi="Garamond" w:cs="Times New Roman"/>
                <w:sz w:val="20"/>
                <w:szCs w:val="20"/>
              </w:rPr>
            </w:pPr>
            <w:r w:rsidRPr="005A3CDE">
              <w:rPr>
                <w:rFonts w:ascii="Garamond" w:hAnsi="Garamond" w:cs="Times New Roman"/>
                <w:sz w:val="20"/>
                <w:szCs w:val="20"/>
              </w:rPr>
              <w:t>Muhammadiyah Cadre Regeneration</w:t>
            </w:r>
          </w:p>
        </w:tc>
        <w:tc>
          <w:tcPr>
            <w:tcW w:w="0" w:type="auto"/>
            <w:vAlign w:val="center"/>
            <w:hideMark/>
          </w:tcPr>
          <w:p w14:paraId="08BAB317" w14:textId="77777777" w:rsidR="00AF4385" w:rsidRPr="005A3CDE" w:rsidRDefault="00AF4385" w:rsidP="00214B0A">
            <w:pPr>
              <w:spacing w:before="240" w:after="40" w:line="240" w:lineRule="auto"/>
              <w:ind w:left="157" w:right="146"/>
              <w:jc w:val="both"/>
              <w:rPr>
                <w:rFonts w:ascii="Garamond" w:hAnsi="Garamond" w:cs="Times New Roman"/>
                <w:sz w:val="20"/>
                <w:szCs w:val="20"/>
              </w:rPr>
            </w:pPr>
            <w:proofErr w:type="spellStart"/>
            <w:r w:rsidRPr="005A3CDE">
              <w:rPr>
                <w:rFonts w:ascii="Garamond" w:hAnsi="Garamond" w:cs="Times New Roman"/>
                <w:sz w:val="20"/>
                <w:szCs w:val="20"/>
              </w:rPr>
              <w:t>Ideologisasi</w:t>
            </w:r>
            <w:proofErr w:type="spellEnd"/>
            <w:r w:rsidRPr="005A3CDE">
              <w:rPr>
                <w:rFonts w:ascii="Garamond" w:hAnsi="Garamond" w:cs="Times New Roman"/>
                <w:sz w:val="20"/>
                <w:szCs w:val="20"/>
              </w:rPr>
              <w:t xml:space="preserve"> Syiah </w:t>
            </w:r>
            <w:proofErr w:type="spellStart"/>
            <w:r w:rsidRPr="005A3CDE">
              <w:rPr>
                <w:rFonts w:ascii="Garamond" w:hAnsi="Garamond" w:cs="Times New Roman"/>
                <w:sz w:val="20"/>
                <w:szCs w:val="20"/>
              </w:rPr>
              <w:t>Imamiyah</w:t>
            </w:r>
            <w:proofErr w:type="spellEnd"/>
          </w:p>
        </w:tc>
        <w:tc>
          <w:tcPr>
            <w:tcW w:w="1540" w:type="dxa"/>
            <w:vAlign w:val="center"/>
            <w:hideMark/>
          </w:tcPr>
          <w:p w14:paraId="7D752E8D" w14:textId="77777777" w:rsidR="00AF4385" w:rsidRPr="005A3CDE" w:rsidRDefault="00AF4385" w:rsidP="00214B0A">
            <w:pPr>
              <w:spacing w:before="240" w:after="40" w:line="240" w:lineRule="auto"/>
              <w:ind w:left="56" w:right="99"/>
              <w:jc w:val="both"/>
              <w:rPr>
                <w:rFonts w:ascii="Garamond" w:hAnsi="Garamond" w:cs="Times New Roman"/>
                <w:sz w:val="20"/>
                <w:szCs w:val="20"/>
              </w:rPr>
            </w:pPr>
            <w:r w:rsidRPr="005A3CDE">
              <w:rPr>
                <w:rFonts w:ascii="Garamond" w:hAnsi="Garamond" w:cs="Times New Roman"/>
                <w:sz w:val="20"/>
                <w:szCs w:val="20"/>
              </w:rPr>
              <w:t xml:space="preserve">Three Successes (Alim, </w:t>
            </w:r>
            <w:proofErr w:type="spellStart"/>
            <w:r w:rsidRPr="005A3CDE">
              <w:rPr>
                <w:rFonts w:ascii="Garamond" w:hAnsi="Garamond" w:cs="Times New Roman"/>
                <w:sz w:val="20"/>
                <w:szCs w:val="20"/>
              </w:rPr>
              <w:t>Akhlak</w:t>
            </w:r>
            <w:proofErr w:type="spellEnd"/>
            <w:r w:rsidRPr="005A3CDE">
              <w:rPr>
                <w:rFonts w:ascii="Garamond" w:hAnsi="Garamond" w:cs="Times New Roman"/>
                <w:sz w:val="20"/>
                <w:szCs w:val="20"/>
              </w:rPr>
              <w:t>, Independent)</w:t>
            </w:r>
          </w:p>
        </w:tc>
        <w:tc>
          <w:tcPr>
            <w:tcW w:w="0" w:type="auto"/>
            <w:vAlign w:val="center"/>
            <w:hideMark/>
          </w:tcPr>
          <w:p w14:paraId="1387D614" w14:textId="77777777" w:rsidR="00AF4385" w:rsidRPr="005A3CDE" w:rsidRDefault="00AF4385" w:rsidP="00214B0A">
            <w:pPr>
              <w:spacing w:before="240" w:after="40" w:line="240" w:lineRule="auto"/>
              <w:jc w:val="both"/>
              <w:rPr>
                <w:rFonts w:ascii="Garamond" w:hAnsi="Garamond" w:cs="Times New Roman"/>
                <w:sz w:val="20"/>
                <w:szCs w:val="20"/>
              </w:rPr>
            </w:pPr>
            <w:r w:rsidRPr="005A3CDE">
              <w:rPr>
                <w:rFonts w:ascii="Garamond" w:hAnsi="Garamond" w:cs="Times New Roman"/>
                <w:sz w:val="20"/>
                <w:szCs w:val="20"/>
              </w:rPr>
              <w:t>Rational, anti-heretical da'wah cadres</w:t>
            </w:r>
          </w:p>
        </w:tc>
      </w:tr>
    </w:tbl>
    <w:p w14:paraId="696D5950" w14:textId="77777777" w:rsidR="005E297E" w:rsidRDefault="005E297E" w:rsidP="00AF4385">
      <w:pPr>
        <w:pBdr>
          <w:top w:val="nil"/>
          <w:left w:val="nil"/>
          <w:bottom w:val="nil"/>
          <w:right w:val="nil"/>
          <w:between w:val="nil"/>
        </w:pBdr>
        <w:spacing w:before="96" w:after="0" w:line="330" w:lineRule="auto"/>
        <w:jc w:val="both"/>
        <w:rPr>
          <w:rFonts w:ascii="Garamond" w:eastAsia="Garamond" w:hAnsi="Garamond" w:cs="Garamond"/>
          <w:sz w:val="30"/>
          <w:szCs w:val="30"/>
        </w:rPr>
      </w:pPr>
    </w:p>
    <w:p w14:paraId="23083E43" w14:textId="05202A8A" w:rsidR="005E297E" w:rsidRDefault="00000000">
      <w:pPr>
        <w:pBdr>
          <w:top w:val="nil"/>
          <w:left w:val="nil"/>
          <w:bottom w:val="nil"/>
          <w:right w:val="nil"/>
          <w:between w:val="nil"/>
        </w:pBdr>
        <w:spacing w:before="85" w:after="0" w:line="240" w:lineRule="auto"/>
        <w:rPr>
          <w:rFonts w:ascii="Arial" w:eastAsia="Arial" w:hAnsi="Arial" w:cs="Arial"/>
          <w:b/>
          <w:sz w:val="32"/>
          <w:szCs w:val="32"/>
        </w:rPr>
      </w:pPr>
      <w:r>
        <w:rPr>
          <w:rFonts w:ascii="Arial" w:eastAsia="Arial" w:hAnsi="Arial" w:cs="Arial"/>
          <w:b/>
          <w:sz w:val="32"/>
          <w:szCs w:val="32"/>
        </w:rPr>
        <w:t xml:space="preserve">Conclusion </w:t>
      </w:r>
    </w:p>
    <w:p w14:paraId="2536F861" w14:textId="77777777" w:rsidR="00AF4385" w:rsidRPr="00A80463" w:rsidRDefault="00AF4385" w:rsidP="00AF4385">
      <w:pPr>
        <w:spacing w:before="240" w:after="40" w:line="240" w:lineRule="auto"/>
        <w:ind w:firstLine="567"/>
        <w:jc w:val="both"/>
        <w:rPr>
          <w:rFonts w:ascii="Garamond" w:hAnsi="Garamond"/>
          <w:sz w:val="24"/>
          <w:szCs w:val="24"/>
        </w:rPr>
      </w:pPr>
      <w:r w:rsidRPr="00A80463">
        <w:rPr>
          <w:rFonts w:ascii="Garamond" w:hAnsi="Garamond"/>
          <w:sz w:val="24"/>
          <w:szCs w:val="24"/>
        </w:rPr>
        <w:t xml:space="preserve">This study confirms that the typology of Islamic boarding schools in Indonesia is no longer relevant if it only uses classic categories such as </w:t>
      </w:r>
      <w:proofErr w:type="spellStart"/>
      <w:r w:rsidRPr="00A80463">
        <w:rPr>
          <w:rFonts w:ascii="Garamond" w:hAnsi="Garamond"/>
          <w:sz w:val="24"/>
          <w:szCs w:val="24"/>
        </w:rPr>
        <w:t>salaf</w:t>
      </w:r>
      <w:proofErr w:type="spellEnd"/>
      <w:r w:rsidRPr="00A80463">
        <w:rPr>
          <w:rFonts w:ascii="Garamond" w:hAnsi="Garamond"/>
          <w:sz w:val="24"/>
          <w:szCs w:val="24"/>
        </w:rPr>
        <w:t xml:space="preserve">, </w:t>
      </w:r>
      <w:proofErr w:type="spellStart"/>
      <w:r w:rsidRPr="00A80463">
        <w:rPr>
          <w:rFonts w:ascii="Garamond" w:hAnsi="Garamond"/>
          <w:sz w:val="24"/>
          <w:szCs w:val="24"/>
        </w:rPr>
        <w:t>khalaf</w:t>
      </w:r>
      <w:proofErr w:type="spellEnd"/>
      <w:r w:rsidRPr="00A80463">
        <w:rPr>
          <w:rFonts w:ascii="Garamond" w:hAnsi="Garamond"/>
          <w:sz w:val="24"/>
          <w:szCs w:val="24"/>
        </w:rPr>
        <w:t>, or a combination. Contemporary realities show that the affiliation of religious organizations plays a significant role in shaping the structure, content, pedagogical approach, and curriculum orientation of Islamic boarding schools. The curriculum in this case is not only an educational instrument, but also a reflection of the ideology, regeneration strategy, and value system of the managing organization.</w:t>
      </w:r>
    </w:p>
    <w:p w14:paraId="48E36B58" w14:textId="77777777" w:rsidR="00AF4385" w:rsidRPr="00A80463" w:rsidRDefault="00AF4385" w:rsidP="00AF4385">
      <w:pPr>
        <w:spacing w:before="240" w:after="40" w:line="240" w:lineRule="auto"/>
        <w:ind w:firstLine="567"/>
        <w:jc w:val="both"/>
        <w:rPr>
          <w:rFonts w:ascii="Garamond" w:hAnsi="Garamond"/>
          <w:sz w:val="24"/>
          <w:szCs w:val="24"/>
        </w:rPr>
      </w:pPr>
      <w:r w:rsidRPr="00A80463">
        <w:rPr>
          <w:rFonts w:ascii="Garamond" w:hAnsi="Garamond"/>
          <w:sz w:val="24"/>
          <w:szCs w:val="24"/>
        </w:rPr>
        <w:t xml:space="preserve">The affiliated Islamic boarding school of </w:t>
      </w:r>
      <w:proofErr w:type="spellStart"/>
      <w:r w:rsidRPr="00A80463">
        <w:rPr>
          <w:rFonts w:ascii="Garamond" w:hAnsi="Garamond"/>
          <w:sz w:val="24"/>
          <w:szCs w:val="24"/>
        </w:rPr>
        <w:t>Nahdlatul</w:t>
      </w:r>
      <w:proofErr w:type="spellEnd"/>
      <w:r w:rsidRPr="00A80463">
        <w:rPr>
          <w:rFonts w:ascii="Garamond" w:hAnsi="Garamond"/>
          <w:sz w:val="24"/>
          <w:szCs w:val="24"/>
        </w:rPr>
        <w:t xml:space="preserve"> Ulama (NU) features a curriculum system based on the yellow book with a strong </w:t>
      </w:r>
      <w:proofErr w:type="spellStart"/>
      <w:r w:rsidRPr="00A80463">
        <w:rPr>
          <w:rFonts w:ascii="Garamond" w:hAnsi="Garamond"/>
          <w:sz w:val="24"/>
          <w:szCs w:val="24"/>
        </w:rPr>
        <w:t>sufistic</w:t>
      </w:r>
      <w:proofErr w:type="spellEnd"/>
      <w:r w:rsidRPr="00A80463">
        <w:rPr>
          <w:rFonts w:ascii="Garamond" w:hAnsi="Garamond"/>
          <w:sz w:val="24"/>
          <w:szCs w:val="24"/>
        </w:rPr>
        <w:t xml:space="preserve"> and legalistic approach, emphasizing the authority of </w:t>
      </w:r>
      <w:proofErr w:type="spellStart"/>
      <w:r w:rsidRPr="00A80463">
        <w:rPr>
          <w:rFonts w:ascii="Garamond" w:hAnsi="Garamond"/>
          <w:sz w:val="24"/>
          <w:szCs w:val="24"/>
        </w:rPr>
        <w:t>salaf</w:t>
      </w:r>
      <w:proofErr w:type="spellEnd"/>
      <w:r w:rsidRPr="00A80463">
        <w:rPr>
          <w:rFonts w:ascii="Garamond" w:hAnsi="Garamond"/>
          <w:sz w:val="24"/>
          <w:szCs w:val="24"/>
        </w:rPr>
        <w:t xml:space="preserve"> scholars and scientific </w:t>
      </w:r>
      <w:proofErr w:type="spellStart"/>
      <w:r w:rsidRPr="00A80463">
        <w:rPr>
          <w:rFonts w:ascii="Garamond" w:hAnsi="Garamond"/>
          <w:sz w:val="24"/>
          <w:szCs w:val="24"/>
        </w:rPr>
        <w:t>sanad</w:t>
      </w:r>
      <w:proofErr w:type="spellEnd"/>
      <w:r w:rsidRPr="00A80463">
        <w:rPr>
          <w:rFonts w:ascii="Garamond" w:hAnsi="Garamond"/>
          <w:sz w:val="24"/>
          <w:szCs w:val="24"/>
        </w:rPr>
        <w:t xml:space="preserve">. On the other hand, Muhammadiyah Islamic boarding schools developed a curriculum model that integrated national formal education with progressive and rational Islamic values. Shia Islamic boarding schools, such as YAPI </w:t>
      </w:r>
      <w:proofErr w:type="spellStart"/>
      <w:r w:rsidRPr="00A80463">
        <w:rPr>
          <w:rFonts w:ascii="Garamond" w:hAnsi="Garamond"/>
          <w:sz w:val="24"/>
          <w:szCs w:val="24"/>
        </w:rPr>
        <w:t>Bangil</w:t>
      </w:r>
      <w:proofErr w:type="spellEnd"/>
      <w:r w:rsidRPr="00A80463">
        <w:rPr>
          <w:rFonts w:ascii="Garamond" w:hAnsi="Garamond"/>
          <w:sz w:val="24"/>
          <w:szCs w:val="24"/>
        </w:rPr>
        <w:t xml:space="preserve">, implement a curriculum system oriented towards transcendental philosophy </w:t>
      </w:r>
      <w:r w:rsidRPr="00A80463">
        <w:rPr>
          <w:rFonts w:ascii="Garamond" w:hAnsi="Garamond"/>
          <w:sz w:val="24"/>
          <w:szCs w:val="24"/>
        </w:rPr>
        <w:lastRenderedPageBreak/>
        <w:t xml:space="preserve">and logic, in harmony with the </w:t>
      </w:r>
      <w:proofErr w:type="spellStart"/>
      <w:r w:rsidRPr="00A80463">
        <w:rPr>
          <w:rFonts w:ascii="Garamond" w:hAnsi="Garamond"/>
          <w:sz w:val="24"/>
          <w:szCs w:val="24"/>
        </w:rPr>
        <w:t>hauzah</w:t>
      </w:r>
      <w:proofErr w:type="spellEnd"/>
      <w:r w:rsidRPr="00A80463">
        <w:rPr>
          <w:rFonts w:ascii="Garamond" w:hAnsi="Garamond"/>
          <w:sz w:val="24"/>
          <w:szCs w:val="24"/>
        </w:rPr>
        <w:t xml:space="preserve"> tradition. The LDII </w:t>
      </w:r>
      <w:proofErr w:type="spellStart"/>
      <w:r w:rsidRPr="00A80463">
        <w:rPr>
          <w:rFonts w:ascii="Garamond" w:hAnsi="Garamond"/>
          <w:sz w:val="24"/>
          <w:szCs w:val="24"/>
        </w:rPr>
        <w:t>pesantren</w:t>
      </w:r>
      <w:proofErr w:type="spellEnd"/>
      <w:r w:rsidRPr="00A80463">
        <w:rPr>
          <w:rFonts w:ascii="Garamond" w:hAnsi="Garamond"/>
          <w:sz w:val="24"/>
          <w:szCs w:val="24"/>
        </w:rPr>
        <w:t xml:space="preserve"> forms an </w:t>
      </w:r>
      <w:proofErr w:type="spellStart"/>
      <w:r w:rsidRPr="00A80463">
        <w:rPr>
          <w:rFonts w:ascii="Garamond" w:hAnsi="Garamond"/>
          <w:sz w:val="24"/>
          <w:szCs w:val="24"/>
        </w:rPr>
        <w:t>internalistic</w:t>
      </w:r>
      <w:proofErr w:type="spellEnd"/>
      <w:r w:rsidRPr="00A80463">
        <w:rPr>
          <w:rFonts w:ascii="Garamond" w:hAnsi="Garamond"/>
          <w:sz w:val="24"/>
          <w:szCs w:val="24"/>
        </w:rPr>
        <w:t xml:space="preserve"> and tiered curriculum structure that is oriented towards closed regeneration with the main focus on hadith and practical practice. The Persis Islamic Boarding School prioritizes a rational and argumentative approach through learning </w:t>
      </w:r>
      <w:proofErr w:type="spellStart"/>
      <w:r w:rsidRPr="00A80463">
        <w:rPr>
          <w:rFonts w:ascii="Garamond" w:hAnsi="Garamond"/>
          <w:sz w:val="24"/>
          <w:szCs w:val="24"/>
        </w:rPr>
        <w:t>mantiq</w:t>
      </w:r>
      <w:proofErr w:type="spellEnd"/>
      <w:r w:rsidRPr="00A80463">
        <w:rPr>
          <w:rFonts w:ascii="Garamond" w:hAnsi="Garamond"/>
          <w:sz w:val="24"/>
          <w:szCs w:val="24"/>
        </w:rPr>
        <w:t xml:space="preserve">, tafsir, and purification of </w:t>
      </w:r>
      <w:proofErr w:type="spellStart"/>
      <w:r w:rsidRPr="00A80463">
        <w:rPr>
          <w:rFonts w:ascii="Garamond" w:hAnsi="Garamond"/>
          <w:sz w:val="24"/>
          <w:szCs w:val="24"/>
        </w:rPr>
        <w:t>aqidah</w:t>
      </w:r>
      <w:proofErr w:type="spellEnd"/>
      <w:r w:rsidRPr="00A80463">
        <w:rPr>
          <w:rFonts w:ascii="Garamond" w:hAnsi="Garamond"/>
          <w:sz w:val="24"/>
          <w:szCs w:val="24"/>
        </w:rPr>
        <w:t>.</w:t>
      </w:r>
    </w:p>
    <w:p w14:paraId="5799DB18" w14:textId="77777777" w:rsidR="00AF4385" w:rsidRPr="00A80463" w:rsidRDefault="00AF4385" w:rsidP="00AF4385">
      <w:pPr>
        <w:spacing w:before="240" w:after="40" w:line="240" w:lineRule="auto"/>
        <w:ind w:firstLine="567"/>
        <w:jc w:val="both"/>
        <w:rPr>
          <w:rFonts w:ascii="Garamond" w:hAnsi="Garamond"/>
          <w:sz w:val="24"/>
          <w:szCs w:val="24"/>
        </w:rPr>
      </w:pPr>
      <w:r w:rsidRPr="00A80463">
        <w:rPr>
          <w:rFonts w:ascii="Garamond" w:hAnsi="Garamond"/>
          <w:sz w:val="24"/>
          <w:szCs w:val="24"/>
        </w:rPr>
        <w:t xml:space="preserve">This difference in approach shows that the affiliation of religious organizations has direct implications for the design and goals of education in the </w:t>
      </w:r>
      <w:proofErr w:type="spellStart"/>
      <w:r w:rsidRPr="00A80463">
        <w:rPr>
          <w:rFonts w:ascii="Garamond" w:hAnsi="Garamond"/>
          <w:sz w:val="24"/>
          <w:szCs w:val="24"/>
        </w:rPr>
        <w:t>pesantren</w:t>
      </w:r>
      <w:proofErr w:type="spellEnd"/>
      <w:r w:rsidRPr="00A80463">
        <w:rPr>
          <w:rFonts w:ascii="Garamond" w:hAnsi="Garamond"/>
          <w:sz w:val="24"/>
          <w:szCs w:val="24"/>
        </w:rPr>
        <w:t xml:space="preserve"> environment. Therefore, this study proposes the construction of a new typology of </w:t>
      </w:r>
      <w:proofErr w:type="spellStart"/>
      <w:r w:rsidRPr="00A80463">
        <w:rPr>
          <w:rFonts w:ascii="Garamond" w:hAnsi="Garamond"/>
          <w:sz w:val="24"/>
          <w:szCs w:val="24"/>
        </w:rPr>
        <w:t>pesantren</w:t>
      </w:r>
      <w:proofErr w:type="spellEnd"/>
      <w:r w:rsidRPr="00A80463">
        <w:rPr>
          <w:rFonts w:ascii="Garamond" w:hAnsi="Garamond"/>
          <w:sz w:val="24"/>
          <w:szCs w:val="24"/>
        </w:rPr>
        <w:t xml:space="preserve"> based on ideological-pedagogical methods. This typology not only considers the educational system and institutional management, but also the source of scientific authority, ideological values, and the da'wah orientation of each Islamic boarding school.</w:t>
      </w:r>
    </w:p>
    <w:p w14:paraId="4477168A" w14:textId="77777777" w:rsidR="00AF4385" w:rsidRPr="00A80463" w:rsidRDefault="00AF4385" w:rsidP="00AF4385">
      <w:pPr>
        <w:spacing w:before="240" w:after="40" w:line="240" w:lineRule="auto"/>
        <w:ind w:firstLine="567"/>
        <w:jc w:val="both"/>
        <w:rPr>
          <w:rFonts w:ascii="Garamond" w:hAnsi="Garamond"/>
          <w:sz w:val="24"/>
          <w:szCs w:val="24"/>
        </w:rPr>
      </w:pPr>
      <w:r w:rsidRPr="00A80463">
        <w:rPr>
          <w:rFonts w:ascii="Garamond" w:hAnsi="Garamond"/>
          <w:sz w:val="24"/>
          <w:szCs w:val="24"/>
        </w:rPr>
        <w:t xml:space="preserve">With this affiliation-based typology model, </w:t>
      </w:r>
      <w:proofErr w:type="spellStart"/>
      <w:r w:rsidRPr="00A80463">
        <w:rPr>
          <w:rFonts w:ascii="Garamond" w:hAnsi="Garamond"/>
          <w:sz w:val="24"/>
          <w:szCs w:val="24"/>
        </w:rPr>
        <w:t>pesantren</w:t>
      </w:r>
      <w:proofErr w:type="spellEnd"/>
      <w:r w:rsidRPr="00A80463">
        <w:rPr>
          <w:rFonts w:ascii="Garamond" w:hAnsi="Garamond"/>
          <w:sz w:val="24"/>
          <w:szCs w:val="24"/>
        </w:rPr>
        <w:t xml:space="preserve"> mapping can be carried out in a more representative and contextual manner, so that it is useful not only for academic purposes, but also for the public in determining value-based education choices, as well as for policymakers in designing national Islamic education programs that are inclusive and responsive to Indonesia's socio-religious diversity.</w:t>
      </w:r>
    </w:p>
    <w:p w14:paraId="6929E7B8" w14:textId="77777777" w:rsidR="005E297E" w:rsidRDefault="005E297E" w:rsidP="00AF4385">
      <w:pPr>
        <w:pBdr>
          <w:top w:val="nil"/>
          <w:left w:val="nil"/>
          <w:bottom w:val="nil"/>
          <w:right w:val="nil"/>
          <w:between w:val="nil"/>
        </w:pBdr>
        <w:tabs>
          <w:tab w:val="left" w:pos="720"/>
        </w:tabs>
        <w:spacing w:after="0" w:line="432" w:lineRule="auto"/>
        <w:jc w:val="both"/>
        <w:rPr>
          <w:rFonts w:ascii="Garamond" w:eastAsia="Garamond" w:hAnsi="Garamond" w:cs="Garamond"/>
          <w:sz w:val="30"/>
          <w:szCs w:val="30"/>
        </w:rPr>
      </w:pPr>
    </w:p>
    <w:p w14:paraId="07AB6E64" w14:textId="3E0CB42B" w:rsidR="005E297E" w:rsidRDefault="00000000">
      <w:pPr>
        <w:pBdr>
          <w:top w:val="nil"/>
          <w:left w:val="nil"/>
          <w:bottom w:val="nil"/>
          <w:right w:val="nil"/>
          <w:between w:val="nil"/>
        </w:pBdr>
        <w:spacing w:before="85" w:after="0" w:line="240" w:lineRule="auto"/>
        <w:rPr>
          <w:rFonts w:ascii="Arial" w:eastAsia="Arial" w:hAnsi="Arial" w:cs="Arial"/>
          <w:b/>
          <w:sz w:val="32"/>
          <w:szCs w:val="32"/>
        </w:rPr>
      </w:pPr>
      <w:r>
        <w:rPr>
          <w:rFonts w:ascii="Arial" w:eastAsia="Arial" w:hAnsi="Arial" w:cs="Arial"/>
          <w:b/>
          <w:sz w:val="32"/>
          <w:szCs w:val="32"/>
        </w:rPr>
        <w:t xml:space="preserve">References </w:t>
      </w:r>
    </w:p>
    <w:p w14:paraId="225BF606"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Pr>
          <w:rFonts w:ascii="Garamond" w:hAnsi="Garamond"/>
          <w:b/>
          <w:bCs/>
          <w:sz w:val="24"/>
          <w:szCs w:val="24"/>
        </w:rPr>
        <w:fldChar w:fldCharType="begin" w:fldLock="1"/>
      </w:r>
      <w:r>
        <w:rPr>
          <w:rFonts w:ascii="Garamond" w:hAnsi="Garamond"/>
          <w:b/>
          <w:bCs/>
          <w:sz w:val="24"/>
          <w:szCs w:val="24"/>
        </w:rPr>
        <w:instrText xml:space="preserve">ADDIN Mendeley Bibliography CSL_BIBLIOGRAPHY </w:instrText>
      </w:r>
      <w:r>
        <w:rPr>
          <w:rFonts w:ascii="Garamond" w:hAnsi="Garamond"/>
          <w:b/>
          <w:bCs/>
          <w:sz w:val="24"/>
          <w:szCs w:val="24"/>
        </w:rPr>
        <w:fldChar w:fldCharType="separate"/>
      </w:r>
      <w:r w:rsidRPr="005A3CDE">
        <w:rPr>
          <w:rFonts w:ascii="Garamond" w:hAnsi="Garamond" w:cs="Times New Roman"/>
          <w:noProof/>
          <w:sz w:val="24"/>
        </w:rPr>
        <w:t xml:space="preserve">Abdul Muid, H. (2021). Pengembangan Kurikulum Pendidikan Islam di Pondok Modern Muhammadiyah Paciran Lamongan. </w:t>
      </w:r>
      <w:r w:rsidRPr="005A3CDE">
        <w:rPr>
          <w:rFonts w:ascii="Garamond" w:hAnsi="Garamond" w:cs="Times New Roman"/>
          <w:i/>
          <w:iCs/>
          <w:noProof/>
          <w:sz w:val="24"/>
        </w:rPr>
        <w:t>Jurnal Ilmu Pengetahuan Dan Pendidikan</w:t>
      </w:r>
      <w:r w:rsidRPr="005A3CDE">
        <w:rPr>
          <w:rFonts w:ascii="Garamond" w:hAnsi="Garamond" w:cs="Times New Roman"/>
          <w:noProof/>
          <w:sz w:val="24"/>
        </w:rPr>
        <w:t xml:space="preserve">, </w:t>
      </w:r>
      <w:r w:rsidRPr="005A3CDE">
        <w:rPr>
          <w:rFonts w:ascii="Garamond" w:hAnsi="Garamond" w:cs="Times New Roman"/>
          <w:i/>
          <w:iCs/>
          <w:noProof/>
          <w:sz w:val="24"/>
        </w:rPr>
        <w:t>8</w:t>
      </w:r>
      <w:r w:rsidRPr="005A3CDE">
        <w:rPr>
          <w:rFonts w:ascii="Garamond" w:hAnsi="Garamond" w:cs="Times New Roman"/>
          <w:noProof/>
          <w:sz w:val="24"/>
        </w:rPr>
        <w:t>(8).</w:t>
      </w:r>
    </w:p>
    <w:p w14:paraId="3CF9FEA0"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Ahwarumi, B., &amp; Sawarjuwono, T. (2017). Enhancing Innovation Roles of Pesantren Business Incubator in Pondok Pesantren Sunan Drajat. </w:t>
      </w:r>
      <w:r w:rsidRPr="005A3CDE">
        <w:rPr>
          <w:rFonts w:ascii="Garamond" w:hAnsi="Garamond" w:cs="Times New Roman"/>
          <w:i/>
          <w:iCs/>
          <w:noProof/>
          <w:sz w:val="24"/>
        </w:rPr>
        <w:t>Journal of Innovation in Business and Economics</w:t>
      </w:r>
      <w:r w:rsidRPr="005A3CDE">
        <w:rPr>
          <w:rFonts w:ascii="Garamond" w:hAnsi="Garamond" w:cs="Times New Roman"/>
          <w:noProof/>
          <w:sz w:val="24"/>
        </w:rPr>
        <w:t xml:space="preserve">, </w:t>
      </w:r>
      <w:r w:rsidRPr="005A3CDE">
        <w:rPr>
          <w:rFonts w:ascii="Garamond" w:hAnsi="Garamond" w:cs="Times New Roman"/>
          <w:i/>
          <w:iCs/>
          <w:noProof/>
          <w:sz w:val="24"/>
        </w:rPr>
        <w:t>1</w:t>
      </w:r>
      <w:r w:rsidRPr="005A3CDE">
        <w:rPr>
          <w:rFonts w:ascii="Garamond" w:hAnsi="Garamond" w:cs="Times New Roman"/>
          <w:noProof/>
          <w:sz w:val="24"/>
        </w:rPr>
        <w:t>(02), 71. https://doi.org/10.22219/jibe.vol1.no02.71-82</w:t>
      </w:r>
    </w:p>
    <w:p w14:paraId="5DAA0DAD"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Akbar, S., Nafis, A., Sukiman, S., &amp; Suryani, I. (2023). Pemikiran Al-Fudholi dalam Kitab Kifayatul Awam Mengenai Sifat Allah. </w:t>
      </w:r>
      <w:r w:rsidRPr="005A3CDE">
        <w:rPr>
          <w:rFonts w:ascii="Garamond" w:hAnsi="Garamond" w:cs="Times New Roman"/>
          <w:i/>
          <w:iCs/>
          <w:noProof/>
          <w:sz w:val="24"/>
        </w:rPr>
        <w:t>Islam &amp; Contemporary Issues</w:t>
      </w:r>
      <w:r w:rsidRPr="005A3CDE">
        <w:rPr>
          <w:rFonts w:ascii="Garamond" w:hAnsi="Garamond" w:cs="Times New Roman"/>
          <w:noProof/>
          <w:sz w:val="24"/>
        </w:rPr>
        <w:t xml:space="preserve">, </w:t>
      </w:r>
      <w:r w:rsidRPr="005A3CDE">
        <w:rPr>
          <w:rFonts w:ascii="Garamond" w:hAnsi="Garamond" w:cs="Times New Roman"/>
          <w:i/>
          <w:iCs/>
          <w:noProof/>
          <w:sz w:val="24"/>
        </w:rPr>
        <w:t>3</w:t>
      </w:r>
      <w:r w:rsidRPr="005A3CDE">
        <w:rPr>
          <w:rFonts w:ascii="Garamond" w:hAnsi="Garamond" w:cs="Times New Roman"/>
          <w:noProof/>
          <w:sz w:val="24"/>
        </w:rPr>
        <w:t>(2), 52–59. https://doi.org/10.57251/ici.v3i2.1113</w:t>
      </w:r>
    </w:p>
    <w:p w14:paraId="5FDB7F9C"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Al-Syahrastani. (1997). </w:t>
      </w:r>
      <w:r w:rsidRPr="005A3CDE">
        <w:rPr>
          <w:rFonts w:ascii="Garamond" w:hAnsi="Garamond" w:cs="Times New Roman"/>
          <w:i/>
          <w:iCs/>
          <w:noProof/>
          <w:sz w:val="24"/>
        </w:rPr>
        <w:t>Al-Milal wa al-Nihal</w:t>
      </w:r>
      <w:r w:rsidRPr="005A3CDE">
        <w:rPr>
          <w:rFonts w:ascii="Garamond" w:hAnsi="Garamond" w:cs="Times New Roman"/>
          <w:noProof/>
          <w:sz w:val="24"/>
        </w:rPr>
        <w:t>. Beirut: Dar al-Fikr.</w:t>
      </w:r>
    </w:p>
    <w:p w14:paraId="02BB74BE"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Aly, I., &amp; Romadlon, D. A. (2024). The Strategy for Mubaligh Cadre Development by LDII at Nurul Hakim Kaliawen Islamic Boarding School in Kediri [Strategi Kaderisasi Mubaligh LDII di Pondok Pesantren Nurul Hakim Kaliawen Kediri]. </w:t>
      </w:r>
      <w:r w:rsidRPr="005A3CDE">
        <w:rPr>
          <w:rFonts w:ascii="Garamond" w:hAnsi="Garamond" w:cs="Times New Roman"/>
          <w:i/>
          <w:iCs/>
          <w:noProof/>
          <w:sz w:val="24"/>
        </w:rPr>
        <w:t>MODELING: Jurnal Program Studi PGMI</w:t>
      </w:r>
      <w:r w:rsidRPr="005A3CDE">
        <w:rPr>
          <w:rFonts w:ascii="Garamond" w:hAnsi="Garamond" w:cs="Times New Roman"/>
          <w:noProof/>
          <w:sz w:val="24"/>
        </w:rPr>
        <w:t xml:space="preserve">, </w:t>
      </w:r>
      <w:r w:rsidRPr="005A3CDE">
        <w:rPr>
          <w:rFonts w:ascii="Garamond" w:hAnsi="Garamond" w:cs="Times New Roman"/>
          <w:i/>
          <w:iCs/>
          <w:noProof/>
          <w:sz w:val="24"/>
        </w:rPr>
        <w:t>11</w:t>
      </w:r>
      <w:r w:rsidRPr="005A3CDE">
        <w:rPr>
          <w:rFonts w:ascii="Garamond" w:hAnsi="Garamond" w:cs="Times New Roman"/>
          <w:noProof/>
          <w:sz w:val="24"/>
        </w:rPr>
        <w:t>(2), 394–412. https://doi.org/10.69896/modeling.v11i2.2493</w:t>
      </w:r>
    </w:p>
    <w:p w14:paraId="6C7A542B"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Anshori, I. (2020). </w:t>
      </w:r>
      <w:r w:rsidRPr="005A3CDE">
        <w:rPr>
          <w:rFonts w:ascii="Garamond" w:hAnsi="Garamond" w:cs="Times New Roman"/>
          <w:i/>
          <w:iCs/>
          <w:noProof/>
          <w:sz w:val="24"/>
        </w:rPr>
        <w:t>Dinamika Pesantren</w:t>
      </w:r>
      <w:r w:rsidRPr="005A3CDE">
        <w:rPr>
          <w:rFonts w:ascii="Garamond" w:hAnsi="Garamond" w:cs="Times New Roman"/>
          <w:noProof/>
          <w:sz w:val="24"/>
        </w:rPr>
        <w:t>. Retrieved from www.nizamiacenter.net%0ACetakan</w:t>
      </w:r>
    </w:p>
    <w:p w14:paraId="2BFBE9D7"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Ashari, R., Sukrisna, C., Budiman, A., Zarkasyi, A., &amp; Wajdi, M. B. N. (2022). The Integrative Curriculum Management with a Boarding System in High Schools. </w:t>
      </w:r>
      <w:r w:rsidRPr="005A3CDE">
        <w:rPr>
          <w:rFonts w:ascii="Garamond" w:hAnsi="Garamond" w:cs="Times New Roman"/>
          <w:i/>
          <w:iCs/>
          <w:noProof/>
          <w:sz w:val="24"/>
        </w:rPr>
        <w:t>QALAMUNA: Jurnal Pendidikan, Sosial, Dan Agama</w:t>
      </w:r>
      <w:r w:rsidRPr="005A3CDE">
        <w:rPr>
          <w:rFonts w:ascii="Garamond" w:hAnsi="Garamond" w:cs="Times New Roman"/>
          <w:noProof/>
          <w:sz w:val="24"/>
        </w:rPr>
        <w:t xml:space="preserve">, </w:t>
      </w:r>
      <w:r w:rsidRPr="005A3CDE">
        <w:rPr>
          <w:rFonts w:ascii="Garamond" w:hAnsi="Garamond" w:cs="Times New Roman"/>
          <w:i/>
          <w:iCs/>
          <w:noProof/>
          <w:sz w:val="24"/>
        </w:rPr>
        <w:t>14</w:t>
      </w:r>
      <w:r w:rsidRPr="005A3CDE">
        <w:rPr>
          <w:rFonts w:ascii="Garamond" w:hAnsi="Garamond" w:cs="Times New Roman"/>
          <w:noProof/>
          <w:sz w:val="24"/>
        </w:rPr>
        <w:t>(1), 483–496. https://doi.org/10.37680/qalamuna.v14i1.4398</w:t>
      </w:r>
    </w:p>
    <w:p w14:paraId="7A469D04"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lastRenderedPageBreak/>
        <w:t xml:space="preserve">Asrori, Tobroni, Yazid, S., &amp; Hadi, A. (2024). </w:t>
      </w:r>
      <w:r w:rsidRPr="005A3CDE">
        <w:rPr>
          <w:rFonts w:ascii="Garamond" w:hAnsi="Garamond" w:cs="Times New Roman"/>
          <w:i/>
          <w:iCs/>
          <w:noProof/>
          <w:sz w:val="24"/>
        </w:rPr>
        <w:t>Kurikulum Pesantren LDII dalam Membentuk Karakter Muslim Sejati di Pondok Pesantren Wali Barokah Kediri</w:t>
      </w:r>
      <w:r w:rsidRPr="005A3CDE">
        <w:rPr>
          <w:rFonts w:ascii="Garamond" w:hAnsi="Garamond" w:cs="Times New Roman"/>
          <w:noProof/>
          <w:sz w:val="24"/>
        </w:rPr>
        <w:t>. Yogyakarta: Bildung.</w:t>
      </w:r>
    </w:p>
    <w:p w14:paraId="0202A056"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Aulia, R. N., Abbas, H., Nurhattati, Jasin, F. M., &amp; Mushlihin. (2024). Eco-pesantren modeling for environmentally friendly behavior: new lessons from Indonesia. </w:t>
      </w:r>
      <w:r w:rsidRPr="005A3CDE">
        <w:rPr>
          <w:rFonts w:ascii="Garamond" w:hAnsi="Garamond" w:cs="Times New Roman"/>
          <w:i/>
          <w:iCs/>
          <w:noProof/>
          <w:sz w:val="24"/>
        </w:rPr>
        <w:t xml:space="preserve">International Journal of Evaluation and Research in Education </w:t>
      </w:r>
      <w:r w:rsidRPr="005A3CDE">
        <w:rPr>
          <w:rFonts w:ascii="Garamond" w:hAnsi="Garamond" w:cs="Times New Roman"/>
          <w:noProof/>
          <w:sz w:val="24"/>
        </w:rPr>
        <w:t xml:space="preserve">, </w:t>
      </w:r>
      <w:r w:rsidRPr="005A3CDE">
        <w:rPr>
          <w:rFonts w:ascii="Garamond" w:hAnsi="Garamond" w:cs="Times New Roman"/>
          <w:i/>
          <w:iCs/>
          <w:noProof/>
          <w:sz w:val="24"/>
        </w:rPr>
        <w:t>13</w:t>
      </w:r>
      <w:r w:rsidRPr="005A3CDE">
        <w:rPr>
          <w:rFonts w:ascii="Garamond" w:hAnsi="Garamond" w:cs="Times New Roman"/>
          <w:noProof/>
          <w:sz w:val="24"/>
        </w:rPr>
        <w:t>(1), 223–229. https://doi.org/10.11591/ijere.v13i1.25930</w:t>
      </w:r>
    </w:p>
    <w:p w14:paraId="39CDBCB7"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Azaki Khoirudin, Abdul Munip, Imam Machali, &amp; Hamzah Fansuri. (2022). Trensains: The New Pesantren and Shifting Orientation of Islamic Education in Indonesia. </w:t>
      </w:r>
      <w:r w:rsidRPr="005A3CDE">
        <w:rPr>
          <w:rFonts w:ascii="Garamond" w:hAnsi="Garamond" w:cs="Times New Roman"/>
          <w:i/>
          <w:iCs/>
          <w:noProof/>
          <w:sz w:val="24"/>
        </w:rPr>
        <w:t>Jurnal Pendidikan Islam</w:t>
      </w:r>
      <w:r w:rsidRPr="005A3CDE">
        <w:rPr>
          <w:rFonts w:ascii="Garamond" w:hAnsi="Garamond" w:cs="Times New Roman"/>
          <w:noProof/>
          <w:sz w:val="24"/>
        </w:rPr>
        <w:t xml:space="preserve">, </w:t>
      </w:r>
      <w:r w:rsidRPr="005A3CDE">
        <w:rPr>
          <w:rFonts w:ascii="Garamond" w:hAnsi="Garamond" w:cs="Times New Roman"/>
          <w:i/>
          <w:iCs/>
          <w:noProof/>
          <w:sz w:val="24"/>
        </w:rPr>
        <w:t>11</w:t>
      </w:r>
      <w:r w:rsidRPr="005A3CDE">
        <w:rPr>
          <w:rFonts w:ascii="Garamond" w:hAnsi="Garamond" w:cs="Times New Roman"/>
          <w:noProof/>
          <w:sz w:val="24"/>
        </w:rPr>
        <w:t>(2), 121–135. https://doi.org/10.14421/jpi.2022.112.121-135</w:t>
      </w:r>
    </w:p>
    <w:p w14:paraId="24CD782D"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Aziz, A. A., Budiyanti, N., Ahmad, N., &amp; Suhartini, A. (2021). The Potential of Islamic Boarding Schools and Their Effort of Development and Fostering at Pesantren Persatuan Islam 1-2 Bandung). </w:t>
      </w:r>
      <w:r w:rsidRPr="005A3CDE">
        <w:rPr>
          <w:rFonts w:ascii="Garamond" w:hAnsi="Garamond" w:cs="Times New Roman"/>
          <w:i/>
          <w:iCs/>
          <w:noProof/>
          <w:sz w:val="24"/>
        </w:rPr>
        <w:t>JMKSP (Jurnal Manajemen, Kepemimpinan, Dan Supervisi Pendidikan)</w:t>
      </w:r>
      <w:r w:rsidRPr="005A3CDE">
        <w:rPr>
          <w:rFonts w:ascii="Garamond" w:hAnsi="Garamond" w:cs="Times New Roman"/>
          <w:noProof/>
          <w:sz w:val="24"/>
        </w:rPr>
        <w:t xml:space="preserve">, </w:t>
      </w:r>
      <w:r w:rsidRPr="005A3CDE">
        <w:rPr>
          <w:rFonts w:ascii="Garamond" w:hAnsi="Garamond" w:cs="Times New Roman"/>
          <w:i/>
          <w:iCs/>
          <w:noProof/>
          <w:sz w:val="24"/>
        </w:rPr>
        <w:t>6</w:t>
      </w:r>
      <w:r w:rsidRPr="005A3CDE">
        <w:rPr>
          <w:rFonts w:ascii="Garamond" w:hAnsi="Garamond" w:cs="Times New Roman"/>
          <w:noProof/>
          <w:sz w:val="24"/>
        </w:rPr>
        <w:t>(2), 352. https://doi.org/10.31851/jmksp.v6i2.5721</w:t>
      </w:r>
    </w:p>
    <w:p w14:paraId="79880998"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Azra, A. (2002). </w:t>
      </w:r>
      <w:r w:rsidRPr="005A3CDE">
        <w:rPr>
          <w:rFonts w:ascii="Garamond" w:hAnsi="Garamond" w:cs="Times New Roman"/>
          <w:i/>
          <w:iCs/>
          <w:noProof/>
          <w:sz w:val="24"/>
        </w:rPr>
        <w:t>Pendidikan Islam, Tradsi dan Modernisasi Menuju Milenium Baru</w:t>
      </w:r>
      <w:r w:rsidRPr="005A3CDE">
        <w:rPr>
          <w:rFonts w:ascii="Garamond" w:hAnsi="Garamond" w:cs="Times New Roman"/>
          <w:noProof/>
          <w:sz w:val="24"/>
        </w:rPr>
        <w:t>. Jakarta: Logos.</w:t>
      </w:r>
    </w:p>
    <w:p w14:paraId="72E515B6"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Azzahra, N. F. (2020). Dampak Undang-Undang Pesantren Terhadap Sistem Pendidikan Indonesia – Sebuah Proyeksi. </w:t>
      </w:r>
      <w:r w:rsidRPr="005A3CDE">
        <w:rPr>
          <w:rFonts w:ascii="Garamond" w:hAnsi="Garamond" w:cs="Times New Roman"/>
          <w:i/>
          <w:iCs/>
          <w:noProof/>
          <w:sz w:val="24"/>
        </w:rPr>
        <w:t>Centerfor Indonesian Policy Studies</w:t>
      </w:r>
      <w:r w:rsidRPr="005A3CDE">
        <w:rPr>
          <w:rFonts w:ascii="Garamond" w:hAnsi="Garamond" w:cs="Times New Roman"/>
          <w:noProof/>
          <w:sz w:val="24"/>
        </w:rPr>
        <w:t>, (9), 30.</w:t>
      </w:r>
    </w:p>
    <w:p w14:paraId="597ECCF2"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Bakri, M. (2021). ECO-Pesantren assessment study of Islamic Boarding School in Banda Aceh, Indonesia. </w:t>
      </w:r>
      <w:r w:rsidRPr="005A3CDE">
        <w:rPr>
          <w:rFonts w:ascii="Garamond" w:hAnsi="Garamond" w:cs="Times New Roman"/>
          <w:i/>
          <w:iCs/>
          <w:noProof/>
          <w:sz w:val="24"/>
        </w:rPr>
        <w:t>Journal of Islamic Architecture</w:t>
      </w:r>
      <w:r w:rsidRPr="005A3CDE">
        <w:rPr>
          <w:rFonts w:ascii="Garamond" w:hAnsi="Garamond" w:cs="Times New Roman"/>
          <w:noProof/>
          <w:sz w:val="24"/>
        </w:rPr>
        <w:t xml:space="preserve">, </w:t>
      </w:r>
      <w:r w:rsidRPr="005A3CDE">
        <w:rPr>
          <w:rFonts w:ascii="Garamond" w:hAnsi="Garamond" w:cs="Times New Roman"/>
          <w:i/>
          <w:iCs/>
          <w:noProof/>
          <w:sz w:val="24"/>
        </w:rPr>
        <w:t>6</w:t>
      </w:r>
      <w:r w:rsidRPr="005A3CDE">
        <w:rPr>
          <w:rFonts w:ascii="Garamond" w:hAnsi="Garamond" w:cs="Times New Roman"/>
          <w:noProof/>
          <w:sz w:val="24"/>
        </w:rPr>
        <w:t>(3), 143–150. https://doi.org/10.18860/JIA.V6I3.7967</w:t>
      </w:r>
    </w:p>
    <w:p w14:paraId="7089340E"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Bawani, I. (1993). </w:t>
      </w:r>
      <w:r w:rsidRPr="005A3CDE">
        <w:rPr>
          <w:rFonts w:ascii="Garamond" w:hAnsi="Garamond" w:cs="Times New Roman"/>
          <w:i/>
          <w:iCs/>
          <w:noProof/>
          <w:sz w:val="24"/>
        </w:rPr>
        <w:t>Tradisionalisme dalam Pendidikan Islam; Studi Atas Daya Tahan Pesantren Tradisional</w:t>
      </w:r>
      <w:r w:rsidRPr="005A3CDE">
        <w:rPr>
          <w:rFonts w:ascii="Garamond" w:hAnsi="Garamond" w:cs="Times New Roman"/>
          <w:noProof/>
          <w:sz w:val="24"/>
        </w:rPr>
        <w:t>. Surabaya: Al-Ikhlas.</w:t>
      </w:r>
    </w:p>
    <w:p w14:paraId="5A9EFC9D"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Bowen, G. A. (2009). Document Analysis as a Qualitative Research Method. </w:t>
      </w:r>
      <w:r w:rsidRPr="005A3CDE">
        <w:rPr>
          <w:rFonts w:ascii="Garamond" w:hAnsi="Garamond" w:cs="Times New Roman"/>
          <w:i/>
          <w:iCs/>
          <w:noProof/>
          <w:sz w:val="24"/>
        </w:rPr>
        <w:t>Qualitative Research Journal</w:t>
      </w:r>
      <w:r w:rsidRPr="005A3CDE">
        <w:rPr>
          <w:rFonts w:ascii="Garamond" w:hAnsi="Garamond" w:cs="Times New Roman"/>
          <w:noProof/>
          <w:sz w:val="24"/>
        </w:rPr>
        <w:t xml:space="preserve">, </w:t>
      </w:r>
      <w:r w:rsidRPr="005A3CDE">
        <w:rPr>
          <w:rFonts w:ascii="Garamond" w:hAnsi="Garamond" w:cs="Times New Roman"/>
          <w:i/>
          <w:iCs/>
          <w:noProof/>
          <w:sz w:val="24"/>
        </w:rPr>
        <w:t>9</w:t>
      </w:r>
      <w:r w:rsidRPr="005A3CDE">
        <w:rPr>
          <w:rFonts w:ascii="Garamond" w:hAnsi="Garamond" w:cs="Times New Roman"/>
          <w:noProof/>
          <w:sz w:val="24"/>
        </w:rPr>
        <w:t>(2), 27–40. https://doi.org/10.3316/QRJ0902027</w:t>
      </w:r>
    </w:p>
    <w:p w14:paraId="204DF2DF"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Creswell, J. W. (2007). </w:t>
      </w:r>
      <w:r w:rsidRPr="005A3CDE">
        <w:rPr>
          <w:rFonts w:ascii="Garamond" w:hAnsi="Garamond" w:cs="Times New Roman"/>
          <w:i/>
          <w:iCs/>
          <w:noProof/>
          <w:sz w:val="24"/>
        </w:rPr>
        <w:t>Qualitative Inquiry and Research Design Choosing among Five Approaches</w:t>
      </w:r>
      <w:r w:rsidRPr="005A3CDE">
        <w:rPr>
          <w:rFonts w:ascii="Garamond" w:hAnsi="Garamond" w:cs="Times New Roman"/>
          <w:noProof/>
          <w:sz w:val="24"/>
        </w:rPr>
        <w:t>. Thousand Oaks: SAGE Publications Inc.</w:t>
      </w:r>
    </w:p>
    <w:p w14:paraId="696B14B3"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DADAN WILDAN ANAS, BADRI KHAERUMAN, M. TAUFIK RAHMAN, L. A. (2018). ANATOMI GERAKAN DAKWAH PERSATUAN ISLAM. In </w:t>
      </w:r>
      <w:r w:rsidRPr="005A3CDE">
        <w:rPr>
          <w:rFonts w:ascii="Garamond" w:hAnsi="Garamond" w:cs="Times New Roman"/>
          <w:i/>
          <w:iCs/>
          <w:noProof/>
          <w:sz w:val="24"/>
        </w:rPr>
        <w:t>Anomali</w:t>
      </w:r>
      <w:r w:rsidRPr="005A3CDE">
        <w:rPr>
          <w:rFonts w:ascii="Garamond" w:hAnsi="Garamond" w:cs="Times New Roman"/>
          <w:noProof/>
          <w:sz w:val="24"/>
        </w:rPr>
        <w:t xml:space="preserve"> (Vol. 1).</w:t>
      </w:r>
    </w:p>
    <w:p w14:paraId="4C060000"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Damanhuri, A., Mujahidin, E., &amp; Hafidhuddin, D. (2013). Inovasi Pengelolaan Pesantren dalam Menghadapi Persaingan di Era Globalisasi. </w:t>
      </w:r>
      <w:r w:rsidRPr="005A3CDE">
        <w:rPr>
          <w:rFonts w:ascii="Garamond" w:hAnsi="Garamond" w:cs="Times New Roman"/>
          <w:i/>
          <w:iCs/>
          <w:noProof/>
          <w:sz w:val="24"/>
        </w:rPr>
        <w:t>Ta’dibuna: Jurnal Pendidikan Islam</w:t>
      </w:r>
      <w:r w:rsidRPr="005A3CDE">
        <w:rPr>
          <w:rFonts w:ascii="Garamond" w:hAnsi="Garamond" w:cs="Times New Roman"/>
          <w:noProof/>
          <w:sz w:val="24"/>
        </w:rPr>
        <w:t xml:space="preserve">, </w:t>
      </w:r>
      <w:r w:rsidRPr="005A3CDE">
        <w:rPr>
          <w:rFonts w:ascii="Garamond" w:hAnsi="Garamond" w:cs="Times New Roman"/>
          <w:i/>
          <w:iCs/>
          <w:noProof/>
          <w:sz w:val="24"/>
        </w:rPr>
        <w:t>2</w:t>
      </w:r>
      <w:r w:rsidRPr="005A3CDE">
        <w:rPr>
          <w:rFonts w:ascii="Garamond" w:hAnsi="Garamond" w:cs="Times New Roman"/>
          <w:noProof/>
          <w:sz w:val="24"/>
        </w:rPr>
        <w:t>(1), 17. https://doi.org/10.32832/tadibuna.v2i1.547</w:t>
      </w:r>
    </w:p>
    <w:p w14:paraId="1D3AEC33"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Darat, K. S. (2022). </w:t>
      </w:r>
      <w:r w:rsidRPr="005A3CDE">
        <w:rPr>
          <w:rFonts w:ascii="Garamond" w:hAnsi="Garamond" w:cs="Times New Roman"/>
          <w:i/>
          <w:iCs/>
          <w:noProof/>
          <w:sz w:val="24"/>
        </w:rPr>
        <w:t>Syarah al-Hikam (terj.) Kitab al-Hikam</w:t>
      </w:r>
      <w:r w:rsidRPr="005A3CDE">
        <w:rPr>
          <w:rFonts w:ascii="Garamond" w:hAnsi="Garamond" w:cs="Times New Roman"/>
          <w:noProof/>
          <w:sz w:val="24"/>
        </w:rPr>
        <w:t>. Depok: Penerbit Shahifa.</w:t>
      </w:r>
    </w:p>
    <w:p w14:paraId="78841F17"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Dhofier, Z. (1982). </w:t>
      </w:r>
      <w:r w:rsidRPr="005A3CDE">
        <w:rPr>
          <w:rFonts w:ascii="Garamond" w:hAnsi="Garamond" w:cs="Times New Roman"/>
          <w:i/>
          <w:iCs/>
          <w:noProof/>
          <w:sz w:val="24"/>
        </w:rPr>
        <w:t>Tradisi Pesantren: Studi Pandangan Hidup Kiyai dan Visinya Mengenai Masa Depan Indonesia</w:t>
      </w:r>
      <w:r w:rsidRPr="005A3CDE">
        <w:rPr>
          <w:rFonts w:ascii="Garamond" w:hAnsi="Garamond" w:cs="Times New Roman"/>
          <w:noProof/>
          <w:sz w:val="24"/>
        </w:rPr>
        <w:t>. Jakarta: LP3ES.</w:t>
      </w:r>
    </w:p>
    <w:p w14:paraId="7FA9A8E4"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Fitri, R., &amp; Ondeng, S. (2022). Pesantren Di Indonesia: Lembaga Pembentukan Karakter. </w:t>
      </w:r>
      <w:r w:rsidRPr="005A3CDE">
        <w:rPr>
          <w:rFonts w:ascii="Garamond" w:hAnsi="Garamond" w:cs="Times New Roman"/>
          <w:i/>
          <w:iCs/>
          <w:noProof/>
          <w:sz w:val="24"/>
        </w:rPr>
        <w:t xml:space="preserve">Al </w:t>
      </w:r>
      <w:r w:rsidRPr="005A3CDE">
        <w:rPr>
          <w:rFonts w:ascii="Garamond" w:hAnsi="Garamond" w:cs="Times New Roman"/>
          <w:i/>
          <w:iCs/>
          <w:noProof/>
          <w:sz w:val="24"/>
        </w:rPr>
        <w:lastRenderedPageBreak/>
        <w:t>Urwatul Wutsqa: Kajian Pendidikan Islam</w:t>
      </w:r>
      <w:r w:rsidRPr="005A3CDE">
        <w:rPr>
          <w:rFonts w:ascii="Garamond" w:hAnsi="Garamond" w:cs="Times New Roman"/>
          <w:noProof/>
          <w:sz w:val="24"/>
        </w:rPr>
        <w:t xml:space="preserve">, </w:t>
      </w:r>
      <w:r w:rsidRPr="005A3CDE">
        <w:rPr>
          <w:rFonts w:ascii="Garamond" w:hAnsi="Garamond" w:cs="Times New Roman"/>
          <w:i/>
          <w:iCs/>
          <w:noProof/>
          <w:sz w:val="24"/>
        </w:rPr>
        <w:t>2</w:t>
      </w:r>
      <w:r w:rsidRPr="005A3CDE">
        <w:rPr>
          <w:rFonts w:ascii="Garamond" w:hAnsi="Garamond" w:cs="Times New Roman"/>
          <w:noProof/>
          <w:sz w:val="24"/>
        </w:rPr>
        <w:t>(1), 42–54. Retrieved from https://journal.unismuh.ac.id/index.php/alurwatul</w:t>
      </w:r>
    </w:p>
    <w:p w14:paraId="2AC136A1"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George, M. W. (2008). </w:t>
      </w:r>
      <w:r w:rsidRPr="005A3CDE">
        <w:rPr>
          <w:rFonts w:ascii="Garamond" w:hAnsi="Garamond" w:cs="Times New Roman"/>
          <w:i/>
          <w:iCs/>
          <w:noProof/>
          <w:sz w:val="24"/>
        </w:rPr>
        <w:t>The Elements of Library Research: What Every Student Needs to Know</w:t>
      </w:r>
      <w:r w:rsidRPr="005A3CDE">
        <w:rPr>
          <w:rFonts w:ascii="Garamond" w:hAnsi="Garamond" w:cs="Times New Roman"/>
          <w:noProof/>
          <w:sz w:val="24"/>
        </w:rPr>
        <w:t>. Princeton University Press. Retrieved from https://books.google.co.cr/books?id=p0LcZvyrquEC</w:t>
      </w:r>
    </w:p>
    <w:p w14:paraId="51598572"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Hidayat, S. (2024). Konsep Pendidikan Tauhid di Pesantren Persatuan Islam. </w:t>
      </w:r>
      <w:r w:rsidRPr="005A3CDE">
        <w:rPr>
          <w:rFonts w:ascii="Garamond" w:hAnsi="Garamond" w:cs="Times New Roman"/>
          <w:i/>
          <w:iCs/>
          <w:noProof/>
          <w:sz w:val="24"/>
        </w:rPr>
        <w:t>JSIM: Jurnal Ilmu Sosial Dan Pendidikan</w:t>
      </w:r>
      <w:r w:rsidRPr="005A3CDE">
        <w:rPr>
          <w:rFonts w:ascii="Garamond" w:hAnsi="Garamond" w:cs="Times New Roman"/>
          <w:noProof/>
          <w:sz w:val="24"/>
        </w:rPr>
        <w:t xml:space="preserve">, </w:t>
      </w:r>
      <w:r w:rsidRPr="005A3CDE">
        <w:rPr>
          <w:rFonts w:ascii="Garamond" w:hAnsi="Garamond" w:cs="Times New Roman"/>
          <w:i/>
          <w:iCs/>
          <w:noProof/>
          <w:sz w:val="24"/>
        </w:rPr>
        <w:t>5</w:t>
      </w:r>
      <w:r w:rsidRPr="005A3CDE">
        <w:rPr>
          <w:rFonts w:ascii="Garamond" w:hAnsi="Garamond" w:cs="Times New Roman"/>
          <w:noProof/>
          <w:sz w:val="24"/>
        </w:rPr>
        <w:t>(3).</w:t>
      </w:r>
    </w:p>
    <w:p w14:paraId="726140C6"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Karel Steenbrink. (1986). </w:t>
      </w:r>
      <w:r w:rsidRPr="005A3CDE">
        <w:rPr>
          <w:rFonts w:ascii="Garamond" w:hAnsi="Garamond" w:cs="Times New Roman"/>
          <w:i/>
          <w:iCs/>
          <w:noProof/>
          <w:sz w:val="24"/>
        </w:rPr>
        <w:t>Pesantren Madrasah Sekolah: Pendidikan Islam dalam Kurun Modern (terj.)</w:t>
      </w:r>
      <w:r w:rsidRPr="005A3CDE">
        <w:rPr>
          <w:rFonts w:ascii="Garamond" w:hAnsi="Garamond" w:cs="Times New Roman"/>
          <w:noProof/>
          <w:sz w:val="24"/>
        </w:rPr>
        <w:t>. Jakarta: LP3ES.</w:t>
      </w:r>
    </w:p>
    <w:p w14:paraId="17FEEE62"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Kawakip, A. N. (2020). Globalization and islamic educational challenges: Views from east javanese pesantren. </w:t>
      </w:r>
      <w:r w:rsidRPr="005A3CDE">
        <w:rPr>
          <w:rFonts w:ascii="Garamond" w:hAnsi="Garamond" w:cs="Times New Roman"/>
          <w:i/>
          <w:iCs/>
          <w:noProof/>
          <w:sz w:val="24"/>
        </w:rPr>
        <w:t>Ulumuna</w:t>
      </w:r>
      <w:r w:rsidRPr="005A3CDE">
        <w:rPr>
          <w:rFonts w:ascii="Garamond" w:hAnsi="Garamond" w:cs="Times New Roman"/>
          <w:noProof/>
          <w:sz w:val="24"/>
        </w:rPr>
        <w:t xml:space="preserve">, </w:t>
      </w:r>
      <w:r w:rsidRPr="005A3CDE">
        <w:rPr>
          <w:rFonts w:ascii="Garamond" w:hAnsi="Garamond" w:cs="Times New Roman"/>
          <w:i/>
          <w:iCs/>
          <w:noProof/>
          <w:sz w:val="24"/>
        </w:rPr>
        <w:t>24</w:t>
      </w:r>
      <w:r w:rsidRPr="005A3CDE">
        <w:rPr>
          <w:rFonts w:ascii="Garamond" w:hAnsi="Garamond" w:cs="Times New Roman"/>
          <w:noProof/>
          <w:sz w:val="24"/>
        </w:rPr>
        <w:t>(1), 105–131. https://doi.org/10.20414/ujis.v24i1.385</w:t>
      </w:r>
    </w:p>
    <w:p w14:paraId="2A0BE238"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Khoirudin, A., &amp; Aulassyahied, Q. (2023). Reinterpreting Muhammadiyah’s Purification and Its Implications for the Educational Philosophy. </w:t>
      </w:r>
      <w:r w:rsidRPr="005A3CDE">
        <w:rPr>
          <w:rFonts w:ascii="Garamond" w:hAnsi="Garamond" w:cs="Times New Roman"/>
          <w:i/>
          <w:iCs/>
          <w:noProof/>
          <w:sz w:val="24"/>
        </w:rPr>
        <w:t>Progresiva</w:t>
      </w:r>
      <w:r w:rsidRPr="005A3CDE">
        <w:rPr>
          <w:rFonts w:ascii="Times New Roman" w:hAnsi="Times New Roman" w:cs="Times New Roman"/>
          <w:i/>
          <w:iCs/>
          <w:noProof/>
          <w:sz w:val="24"/>
        </w:rPr>
        <w:t> </w:t>
      </w:r>
      <w:r w:rsidRPr="005A3CDE">
        <w:rPr>
          <w:rFonts w:ascii="Garamond" w:hAnsi="Garamond" w:cs="Times New Roman"/>
          <w:i/>
          <w:iCs/>
          <w:noProof/>
          <w:sz w:val="24"/>
        </w:rPr>
        <w:t>: Jurnal Pemikiran Dan Pendidikan Islam</w:t>
      </w:r>
      <w:r w:rsidRPr="005A3CDE">
        <w:rPr>
          <w:rFonts w:ascii="Garamond" w:hAnsi="Garamond" w:cs="Times New Roman"/>
          <w:noProof/>
          <w:sz w:val="24"/>
        </w:rPr>
        <w:t xml:space="preserve">, </w:t>
      </w:r>
      <w:r w:rsidRPr="005A3CDE">
        <w:rPr>
          <w:rFonts w:ascii="Garamond" w:hAnsi="Garamond" w:cs="Times New Roman"/>
          <w:i/>
          <w:iCs/>
          <w:noProof/>
          <w:sz w:val="24"/>
        </w:rPr>
        <w:t>12</w:t>
      </w:r>
      <w:r w:rsidRPr="005A3CDE">
        <w:rPr>
          <w:rFonts w:ascii="Garamond" w:hAnsi="Garamond" w:cs="Times New Roman"/>
          <w:noProof/>
          <w:sz w:val="24"/>
        </w:rPr>
        <w:t>(02), 161–178. https://doi.org/10.22219/progresiva.v12i02.29596</w:t>
      </w:r>
    </w:p>
    <w:p w14:paraId="24F25629"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Kompri. (2019). </w:t>
      </w:r>
      <w:r w:rsidRPr="005A3CDE">
        <w:rPr>
          <w:rFonts w:ascii="Garamond" w:hAnsi="Garamond" w:cs="Times New Roman"/>
          <w:i/>
          <w:iCs/>
          <w:noProof/>
          <w:sz w:val="24"/>
        </w:rPr>
        <w:t>Manajemen dan Kepemimpinan Pondok Pesantren</w:t>
      </w:r>
      <w:r w:rsidRPr="005A3CDE">
        <w:rPr>
          <w:rFonts w:ascii="Garamond" w:hAnsi="Garamond" w:cs="Times New Roman"/>
          <w:noProof/>
          <w:sz w:val="24"/>
        </w:rPr>
        <w:t>. Jakarta: Pramedia Grup.</w:t>
      </w:r>
    </w:p>
    <w:p w14:paraId="7FE0383C"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Lutfauziah, A., Al-Muhdhar, M. H. I., Suhadi, &amp; Rohman, F. (2024). Does Environmental Education Curriculum Affect Student’S Environmental Culture in Islamic Boarding School? </w:t>
      </w:r>
      <w:r w:rsidRPr="005A3CDE">
        <w:rPr>
          <w:rFonts w:ascii="Garamond" w:hAnsi="Garamond" w:cs="Times New Roman"/>
          <w:i/>
          <w:iCs/>
          <w:noProof/>
          <w:sz w:val="24"/>
        </w:rPr>
        <w:t>Revista de Gestao Social e Ambiental</w:t>
      </w:r>
      <w:r w:rsidRPr="005A3CDE">
        <w:rPr>
          <w:rFonts w:ascii="Garamond" w:hAnsi="Garamond" w:cs="Times New Roman"/>
          <w:noProof/>
          <w:sz w:val="24"/>
        </w:rPr>
        <w:t xml:space="preserve">, </w:t>
      </w:r>
      <w:r w:rsidRPr="005A3CDE">
        <w:rPr>
          <w:rFonts w:ascii="Garamond" w:hAnsi="Garamond" w:cs="Times New Roman"/>
          <w:i/>
          <w:iCs/>
          <w:noProof/>
          <w:sz w:val="24"/>
        </w:rPr>
        <w:t>18</w:t>
      </w:r>
      <w:r w:rsidRPr="005A3CDE">
        <w:rPr>
          <w:rFonts w:ascii="Garamond" w:hAnsi="Garamond" w:cs="Times New Roman"/>
          <w:noProof/>
          <w:sz w:val="24"/>
        </w:rPr>
        <w:t>(5), 1–16. https://doi.org/10.24857/rgsa.v18n5-079</w:t>
      </w:r>
    </w:p>
    <w:p w14:paraId="57DA51BA"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Lutfauziah, A., Al Muhdhar, M. H. I., Suhadi, &amp; Rohman, F. (2023). Curriculum development for environmental education at an Islamic boarding school. </w:t>
      </w:r>
      <w:r w:rsidRPr="005A3CDE">
        <w:rPr>
          <w:rFonts w:ascii="Garamond" w:hAnsi="Garamond" w:cs="Times New Roman"/>
          <w:i/>
          <w:iCs/>
          <w:noProof/>
          <w:sz w:val="24"/>
        </w:rPr>
        <w:t>Journal of Turkish Science Education</w:t>
      </w:r>
      <w:r w:rsidRPr="005A3CDE">
        <w:rPr>
          <w:rFonts w:ascii="Garamond" w:hAnsi="Garamond" w:cs="Times New Roman"/>
          <w:noProof/>
          <w:sz w:val="24"/>
        </w:rPr>
        <w:t xml:space="preserve">, </w:t>
      </w:r>
      <w:r w:rsidRPr="005A3CDE">
        <w:rPr>
          <w:rFonts w:ascii="Garamond" w:hAnsi="Garamond" w:cs="Times New Roman"/>
          <w:i/>
          <w:iCs/>
          <w:noProof/>
          <w:sz w:val="24"/>
        </w:rPr>
        <w:t>20</w:t>
      </w:r>
      <w:r w:rsidRPr="005A3CDE">
        <w:rPr>
          <w:rFonts w:ascii="Garamond" w:hAnsi="Garamond" w:cs="Times New Roman"/>
          <w:noProof/>
          <w:sz w:val="24"/>
        </w:rPr>
        <w:t>(3), 490–503. https://doi.org/10.36681/tused.2023.028</w:t>
      </w:r>
    </w:p>
    <w:p w14:paraId="6D7E3731"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Malik, A. (2023). The Resilience of Literacy Culture in Salafi Jihadis Pesantren; Study on Traditional Islamic Boarding School in Indonesia. </w:t>
      </w:r>
      <w:r w:rsidRPr="005A3CDE">
        <w:rPr>
          <w:rFonts w:ascii="Garamond" w:hAnsi="Garamond" w:cs="Times New Roman"/>
          <w:i/>
          <w:iCs/>
          <w:noProof/>
          <w:sz w:val="24"/>
        </w:rPr>
        <w:t>Journal on Education</w:t>
      </w:r>
      <w:r w:rsidRPr="005A3CDE">
        <w:rPr>
          <w:rFonts w:ascii="Garamond" w:hAnsi="Garamond" w:cs="Times New Roman"/>
          <w:noProof/>
          <w:sz w:val="24"/>
        </w:rPr>
        <w:t xml:space="preserve">, </w:t>
      </w:r>
      <w:r w:rsidRPr="005A3CDE">
        <w:rPr>
          <w:rFonts w:ascii="Garamond" w:hAnsi="Garamond" w:cs="Times New Roman"/>
          <w:i/>
          <w:iCs/>
          <w:noProof/>
          <w:sz w:val="24"/>
        </w:rPr>
        <w:t>6</w:t>
      </w:r>
      <w:r w:rsidRPr="005A3CDE">
        <w:rPr>
          <w:rFonts w:ascii="Garamond" w:hAnsi="Garamond" w:cs="Times New Roman"/>
          <w:noProof/>
          <w:sz w:val="24"/>
        </w:rPr>
        <w:t>(1), 121–137. https://doi.org/10.31004/joe.v6i1.2925</w:t>
      </w:r>
    </w:p>
    <w:p w14:paraId="1E183EDA"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Rahman, K. (2020). Syiah Di Pekalongan: Studi Atas Tradisi Syiah Pondok Pesantren Al Hadi Pekalongan Jawa Tengah. </w:t>
      </w:r>
      <w:r w:rsidRPr="005A3CDE">
        <w:rPr>
          <w:rFonts w:ascii="Garamond" w:hAnsi="Garamond" w:cs="Times New Roman"/>
          <w:i/>
          <w:iCs/>
          <w:noProof/>
          <w:sz w:val="24"/>
        </w:rPr>
        <w:t>Religi: Jurnal Studi Agama-Agama</w:t>
      </w:r>
      <w:r w:rsidRPr="005A3CDE">
        <w:rPr>
          <w:rFonts w:ascii="Garamond" w:hAnsi="Garamond" w:cs="Times New Roman"/>
          <w:noProof/>
          <w:sz w:val="24"/>
        </w:rPr>
        <w:t xml:space="preserve">, </w:t>
      </w:r>
      <w:r w:rsidRPr="005A3CDE">
        <w:rPr>
          <w:rFonts w:ascii="Garamond" w:hAnsi="Garamond" w:cs="Times New Roman"/>
          <w:i/>
          <w:iCs/>
          <w:noProof/>
          <w:sz w:val="24"/>
        </w:rPr>
        <w:t>16</w:t>
      </w:r>
      <w:r w:rsidRPr="005A3CDE">
        <w:rPr>
          <w:rFonts w:ascii="Garamond" w:hAnsi="Garamond" w:cs="Times New Roman"/>
          <w:noProof/>
          <w:sz w:val="24"/>
        </w:rPr>
        <w:t>(1), 97–112. https://doi.org/10.14421/rejusta.2020.1601-06</w:t>
      </w:r>
    </w:p>
    <w:p w14:paraId="232FE1FA"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Ridwan, T., Ibrahim, N., &amp; Sumantri, M. S. (2019). Islamic boarding school learning organization: Analysis of learning dynamic, organizational transformation and application of technology. </w:t>
      </w:r>
      <w:r w:rsidRPr="005A3CDE">
        <w:rPr>
          <w:rFonts w:ascii="Garamond" w:hAnsi="Garamond" w:cs="Times New Roman"/>
          <w:i/>
          <w:iCs/>
          <w:noProof/>
          <w:sz w:val="24"/>
        </w:rPr>
        <w:t>International Journal of Engineering and Advanced Technology</w:t>
      </w:r>
      <w:r w:rsidRPr="005A3CDE">
        <w:rPr>
          <w:rFonts w:ascii="Garamond" w:hAnsi="Garamond" w:cs="Times New Roman"/>
          <w:noProof/>
          <w:sz w:val="24"/>
        </w:rPr>
        <w:t xml:space="preserve">, </w:t>
      </w:r>
      <w:r w:rsidRPr="005A3CDE">
        <w:rPr>
          <w:rFonts w:ascii="Garamond" w:hAnsi="Garamond" w:cs="Times New Roman"/>
          <w:i/>
          <w:iCs/>
          <w:noProof/>
          <w:sz w:val="24"/>
        </w:rPr>
        <w:t>8</w:t>
      </w:r>
      <w:r w:rsidRPr="005A3CDE">
        <w:rPr>
          <w:rFonts w:ascii="Garamond" w:hAnsi="Garamond" w:cs="Times New Roman"/>
          <w:noProof/>
          <w:sz w:val="24"/>
        </w:rPr>
        <w:t>(5), 1054–1056. https://doi.org/10.35940/ijeat.E1149.0585C19</w:t>
      </w:r>
    </w:p>
    <w:p w14:paraId="7EFCF0CF"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Saefudin Zuhri, A. S. (2023). Integration of Salaf Islamic Boarding School Education with Modern School Curriculum. </w:t>
      </w:r>
      <w:r w:rsidRPr="005A3CDE">
        <w:rPr>
          <w:rFonts w:ascii="Garamond" w:hAnsi="Garamond" w:cs="Times New Roman"/>
          <w:i/>
          <w:iCs/>
          <w:noProof/>
          <w:sz w:val="24"/>
        </w:rPr>
        <w:t>TARBIYA: Journal of Education in Muslim Society</w:t>
      </w:r>
      <w:r w:rsidRPr="005A3CDE">
        <w:rPr>
          <w:rFonts w:ascii="Garamond" w:hAnsi="Garamond" w:cs="Times New Roman"/>
          <w:noProof/>
          <w:sz w:val="24"/>
        </w:rPr>
        <w:t xml:space="preserve">, </w:t>
      </w:r>
      <w:r w:rsidRPr="005A3CDE">
        <w:rPr>
          <w:rFonts w:ascii="Garamond" w:hAnsi="Garamond" w:cs="Times New Roman"/>
          <w:i/>
          <w:iCs/>
          <w:noProof/>
          <w:sz w:val="24"/>
        </w:rPr>
        <w:t>10</w:t>
      </w:r>
      <w:r w:rsidRPr="005A3CDE">
        <w:rPr>
          <w:rFonts w:ascii="Garamond" w:hAnsi="Garamond" w:cs="Times New Roman"/>
          <w:noProof/>
          <w:sz w:val="24"/>
        </w:rPr>
        <w:t>(1), 35–50.</w:t>
      </w:r>
    </w:p>
    <w:p w14:paraId="48AF2FDB"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Sahri, I. K. (2021a). </w:t>
      </w:r>
      <w:r w:rsidRPr="005A3CDE">
        <w:rPr>
          <w:rFonts w:ascii="Garamond" w:hAnsi="Garamond" w:cs="Times New Roman"/>
          <w:i/>
          <w:iCs/>
          <w:noProof/>
          <w:sz w:val="24"/>
        </w:rPr>
        <w:t>Pesantren, Kiai, dan Kitab Kuning</w:t>
      </w:r>
      <w:r w:rsidRPr="005A3CDE">
        <w:rPr>
          <w:rFonts w:ascii="Garamond" w:hAnsi="Garamond" w:cs="Times New Roman"/>
          <w:noProof/>
          <w:sz w:val="24"/>
        </w:rPr>
        <w:t>. Yogyakarta: Cantrik Pustaka.</w:t>
      </w:r>
    </w:p>
    <w:p w14:paraId="03CBCBBD"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lastRenderedPageBreak/>
        <w:t xml:space="preserve">Sahri, I. K. (2021b). </w:t>
      </w:r>
      <w:r w:rsidRPr="005A3CDE">
        <w:rPr>
          <w:rFonts w:ascii="Garamond" w:hAnsi="Garamond" w:cs="Times New Roman"/>
          <w:i/>
          <w:iCs/>
          <w:noProof/>
          <w:sz w:val="24"/>
        </w:rPr>
        <w:t>Pesantren, Kiyai, dan Kitab Kuning: Respons Pesantren Tradisional terhadap Agenda Pembaruan Pendidikan Islam di Indonesia</w:t>
      </w:r>
      <w:r w:rsidRPr="005A3CDE">
        <w:rPr>
          <w:rFonts w:ascii="Garamond" w:hAnsi="Garamond" w:cs="Times New Roman"/>
          <w:noProof/>
          <w:sz w:val="24"/>
        </w:rPr>
        <w:t>. Yogyakarta: Cantrik Pustaka.</w:t>
      </w:r>
    </w:p>
    <w:p w14:paraId="3C53C9B5"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Salamuddin, S. (2019). MENEGUHKAN ISLAM NUSANTARA: Nahdlatul Ulama dan Falsafah Pendidikan Pesantren Musthafawiyah. </w:t>
      </w:r>
      <w:r w:rsidRPr="005A3CDE">
        <w:rPr>
          <w:rFonts w:ascii="Garamond" w:hAnsi="Garamond" w:cs="Times New Roman"/>
          <w:i/>
          <w:iCs/>
          <w:noProof/>
          <w:sz w:val="24"/>
        </w:rPr>
        <w:t>Journal of Contemporary Islam and Muslim Societies</w:t>
      </w:r>
      <w:r w:rsidRPr="005A3CDE">
        <w:rPr>
          <w:rFonts w:ascii="Garamond" w:hAnsi="Garamond" w:cs="Times New Roman"/>
          <w:noProof/>
          <w:sz w:val="24"/>
        </w:rPr>
        <w:t xml:space="preserve">, </w:t>
      </w:r>
      <w:r w:rsidRPr="005A3CDE">
        <w:rPr>
          <w:rFonts w:ascii="Garamond" w:hAnsi="Garamond" w:cs="Times New Roman"/>
          <w:i/>
          <w:iCs/>
          <w:noProof/>
          <w:sz w:val="24"/>
        </w:rPr>
        <w:t>3</w:t>
      </w:r>
      <w:r w:rsidRPr="005A3CDE">
        <w:rPr>
          <w:rFonts w:ascii="Garamond" w:hAnsi="Garamond" w:cs="Times New Roman"/>
          <w:noProof/>
          <w:sz w:val="24"/>
        </w:rPr>
        <w:t>(1), 36. https://doi.org/10.30821/jcims.v3i1.2001</w:t>
      </w:r>
    </w:p>
    <w:p w14:paraId="756DF97F"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Schiro, M. S. (2013). </w:t>
      </w:r>
      <w:r w:rsidRPr="005A3CDE">
        <w:rPr>
          <w:rFonts w:ascii="Garamond" w:hAnsi="Garamond" w:cs="Times New Roman"/>
          <w:i/>
          <w:iCs/>
          <w:noProof/>
          <w:sz w:val="24"/>
        </w:rPr>
        <w:t>Curriculum Theory: Conflicting Visions and Enduring Concerns, 2nd Edition</w:t>
      </w:r>
      <w:r w:rsidRPr="005A3CDE">
        <w:rPr>
          <w:rFonts w:ascii="Garamond" w:hAnsi="Garamond" w:cs="Times New Roman"/>
          <w:noProof/>
          <w:sz w:val="24"/>
        </w:rPr>
        <w:t>. 320. Retrieved from http://www.curriculum-theory-conflicting-enduring</w:t>
      </w:r>
    </w:p>
    <w:p w14:paraId="170967B0"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Soleh, A. K. (2014). Mencermati Sejarah Perkembangan Filsafat Islam. </w:t>
      </w:r>
      <w:r w:rsidRPr="005A3CDE">
        <w:rPr>
          <w:rFonts w:ascii="Garamond" w:hAnsi="Garamond" w:cs="Times New Roman"/>
          <w:i/>
          <w:iCs/>
          <w:noProof/>
          <w:sz w:val="24"/>
        </w:rPr>
        <w:t>Tsaqafah</w:t>
      </w:r>
      <w:r w:rsidRPr="005A3CDE">
        <w:rPr>
          <w:rFonts w:ascii="Garamond" w:hAnsi="Garamond" w:cs="Times New Roman"/>
          <w:noProof/>
          <w:sz w:val="24"/>
        </w:rPr>
        <w:t xml:space="preserve">, </w:t>
      </w:r>
      <w:r w:rsidRPr="005A3CDE">
        <w:rPr>
          <w:rFonts w:ascii="Garamond" w:hAnsi="Garamond" w:cs="Times New Roman"/>
          <w:i/>
          <w:iCs/>
          <w:noProof/>
          <w:sz w:val="24"/>
        </w:rPr>
        <w:t>10</w:t>
      </w:r>
      <w:r w:rsidRPr="005A3CDE">
        <w:rPr>
          <w:rFonts w:ascii="Garamond" w:hAnsi="Garamond" w:cs="Times New Roman"/>
          <w:noProof/>
          <w:sz w:val="24"/>
        </w:rPr>
        <w:t>(1), 63. https://doi.org/10.21111/tsaqafah.v10i1.64</w:t>
      </w:r>
    </w:p>
    <w:p w14:paraId="5EDB89CD"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Suharto, T. (2011). Kontribusi Pesantren Persatuan Islam Bagi Penguatan Pendidikan Islam Di Indonesia. </w:t>
      </w:r>
      <w:r w:rsidRPr="005A3CDE">
        <w:rPr>
          <w:rFonts w:ascii="Garamond" w:hAnsi="Garamond" w:cs="Times New Roman"/>
          <w:i/>
          <w:iCs/>
          <w:noProof/>
          <w:sz w:val="24"/>
        </w:rPr>
        <w:t>Millah</w:t>
      </w:r>
      <w:r w:rsidRPr="005A3CDE">
        <w:rPr>
          <w:rFonts w:ascii="Garamond" w:hAnsi="Garamond" w:cs="Times New Roman"/>
          <w:noProof/>
          <w:sz w:val="24"/>
        </w:rPr>
        <w:t xml:space="preserve">, </w:t>
      </w:r>
      <w:r w:rsidRPr="005A3CDE">
        <w:rPr>
          <w:rFonts w:ascii="Garamond" w:hAnsi="Garamond" w:cs="Times New Roman"/>
          <w:i/>
          <w:iCs/>
          <w:noProof/>
          <w:sz w:val="24"/>
        </w:rPr>
        <w:t>11</w:t>
      </w:r>
      <w:r w:rsidRPr="005A3CDE">
        <w:rPr>
          <w:rFonts w:ascii="Garamond" w:hAnsi="Garamond" w:cs="Times New Roman"/>
          <w:noProof/>
          <w:sz w:val="24"/>
        </w:rPr>
        <w:t>(1), 109–133. https://doi.org/10.20885/millah.vol11.iss1.art5</w:t>
      </w:r>
    </w:p>
    <w:p w14:paraId="27426686"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Tampubolon, I. (2019). Trilogi Sistem Pendidikan Pesantren Muhammadiyah: Suatu Pengantar. </w:t>
      </w:r>
      <w:r w:rsidRPr="005A3CDE">
        <w:rPr>
          <w:rFonts w:ascii="Garamond" w:hAnsi="Garamond" w:cs="Times New Roman"/>
          <w:i/>
          <w:iCs/>
          <w:noProof/>
          <w:sz w:val="24"/>
        </w:rPr>
        <w:t>Al-Muaddib</w:t>
      </w:r>
      <w:r w:rsidRPr="005A3CDE">
        <w:rPr>
          <w:rFonts w:ascii="Times New Roman" w:hAnsi="Times New Roman" w:cs="Times New Roman"/>
          <w:i/>
          <w:iCs/>
          <w:noProof/>
          <w:sz w:val="24"/>
        </w:rPr>
        <w:t> </w:t>
      </w:r>
      <w:r w:rsidRPr="005A3CDE">
        <w:rPr>
          <w:rFonts w:ascii="Garamond" w:hAnsi="Garamond" w:cs="Times New Roman"/>
          <w:i/>
          <w:iCs/>
          <w:noProof/>
          <w:sz w:val="24"/>
        </w:rPr>
        <w:t>: Jurnal Ilmu-Ilmu Sosial &amp; Keislaman</w:t>
      </w:r>
      <w:r w:rsidRPr="005A3CDE">
        <w:rPr>
          <w:rFonts w:ascii="Garamond" w:hAnsi="Garamond" w:cs="Times New Roman"/>
          <w:noProof/>
          <w:sz w:val="24"/>
        </w:rPr>
        <w:t xml:space="preserve">, </w:t>
      </w:r>
      <w:r w:rsidRPr="005A3CDE">
        <w:rPr>
          <w:rFonts w:ascii="Garamond" w:hAnsi="Garamond" w:cs="Times New Roman"/>
          <w:i/>
          <w:iCs/>
          <w:noProof/>
          <w:sz w:val="24"/>
        </w:rPr>
        <w:t>4</w:t>
      </w:r>
      <w:r w:rsidRPr="005A3CDE">
        <w:rPr>
          <w:rFonts w:ascii="Garamond" w:hAnsi="Garamond" w:cs="Times New Roman"/>
          <w:noProof/>
          <w:sz w:val="24"/>
        </w:rPr>
        <w:t>(1), 116. https://doi.org/10.31604/muaddib.v1i1.797</w:t>
      </w:r>
    </w:p>
    <w:p w14:paraId="3963EF7B"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Wahid, M., Triastari, S. K., Amirah, S., &amp; Zhuhra, R. T. (2025). Exploring the Adaptation Processes of First-Year Medical Students: A Mixed-Method Study. </w:t>
      </w:r>
      <w:r w:rsidRPr="005A3CDE">
        <w:rPr>
          <w:rFonts w:ascii="Garamond" w:hAnsi="Garamond" w:cs="Times New Roman"/>
          <w:i/>
          <w:iCs/>
          <w:noProof/>
          <w:sz w:val="24"/>
        </w:rPr>
        <w:t>Education in Medicine Journal</w:t>
      </w:r>
      <w:r w:rsidRPr="005A3CDE">
        <w:rPr>
          <w:rFonts w:ascii="Garamond" w:hAnsi="Garamond" w:cs="Times New Roman"/>
          <w:noProof/>
          <w:sz w:val="24"/>
        </w:rPr>
        <w:t xml:space="preserve">, </w:t>
      </w:r>
      <w:r w:rsidRPr="005A3CDE">
        <w:rPr>
          <w:rFonts w:ascii="Garamond" w:hAnsi="Garamond" w:cs="Times New Roman"/>
          <w:i/>
          <w:iCs/>
          <w:noProof/>
          <w:sz w:val="24"/>
        </w:rPr>
        <w:t>17</w:t>
      </w:r>
      <w:r w:rsidRPr="005A3CDE">
        <w:rPr>
          <w:rFonts w:ascii="Garamond" w:hAnsi="Garamond" w:cs="Times New Roman"/>
          <w:noProof/>
          <w:sz w:val="24"/>
        </w:rPr>
        <w:t>(1), 129 – 148. https://doi.org/10.21315/eimj2025.17.1.10</w:t>
      </w:r>
    </w:p>
    <w:p w14:paraId="49E7227E"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Yusuf, M. Y. (2015). Pesantren Sains: Epistemology of Islamic Science in Teaching System. </w:t>
      </w:r>
      <w:r w:rsidRPr="005A3CDE">
        <w:rPr>
          <w:rFonts w:ascii="Garamond" w:hAnsi="Garamond" w:cs="Times New Roman"/>
          <w:i/>
          <w:iCs/>
          <w:noProof/>
          <w:sz w:val="24"/>
        </w:rPr>
        <w:t>Walisongo: Jurnal Penelitian Sosial Keagamaan</w:t>
      </w:r>
      <w:r w:rsidRPr="005A3CDE">
        <w:rPr>
          <w:rFonts w:ascii="Garamond" w:hAnsi="Garamond" w:cs="Times New Roman"/>
          <w:noProof/>
          <w:sz w:val="24"/>
        </w:rPr>
        <w:t xml:space="preserve">, </w:t>
      </w:r>
      <w:r w:rsidRPr="005A3CDE">
        <w:rPr>
          <w:rFonts w:ascii="Garamond" w:hAnsi="Garamond" w:cs="Times New Roman"/>
          <w:i/>
          <w:iCs/>
          <w:noProof/>
          <w:sz w:val="24"/>
        </w:rPr>
        <w:t>23</w:t>
      </w:r>
      <w:r w:rsidRPr="005A3CDE">
        <w:rPr>
          <w:rFonts w:ascii="Garamond" w:hAnsi="Garamond" w:cs="Times New Roman"/>
          <w:noProof/>
          <w:sz w:val="24"/>
        </w:rPr>
        <w:t>(2), 283. https://doi.org/10.21580/ws.23.2.280</w:t>
      </w:r>
    </w:p>
    <w:p w14:paraId="43230953"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Zafi, A. A., Jamaluddin, D., Partono, Fuadi, S. I., &amp; Chamadi, M. R. (2021). The Existence of Pesantren Based Technology: Digitalization of Learning in Pondok Pesantren Darul Ulum Kudus. </w:t>
      </w:r>
      <w:r w:rsidRPr="005A3CDE">
        <w:rPr>
          <w:rFonts w:ascii="Garamond" w:hAnsi="Garamond" w:cs="Times New Roman"/>
          <w:i/>
          <w:iCs/>
          <w:noProof/>
          <w:sz w:val="24"/>
        </w:rPr>
        <w:t>Jurnal Pendidikan Agama Islam</w:t>
      </w:r>
      <w:r w:rsidRPr="005A3CDE">
        <w:rPr>
          <w:rFonts w:ascii="Garamond" w:hAnsi="Garamond" w:cs="Times New Roman"/>
          <w:noProof/>
          <w:sz w:val="24"/>
        </w:rPr>
        <w:t xml:space="preserve">, </w:t>
      </w:r>
      <w:r w:rsidRPr="005A3CDE">
        <w:rPr>
          <w:rFonts w:ascii="Garamond" w:hAnsi="Garamond" w:cs="Times New Roman"/>
          <w:i/>
          <w:iCs/>
          <w:noProof/>
          <w:sz w:val="24"/>
        </w:rPr>
        <w:t>18</w:t>
      </w:r>
      <w:r w:rsidRPr="005A3CDE">
        <w:rPr>
          <w:rFonts w:ascii="Garamond" w:hAnsi="Garamond" w:cs="Times New Roman"/>
          <w:noProof/>
          <w:sz w:val="24"/>
        </w:rPr>
        <w:t>(2), 493–510. https://doi.org/10.14421/jpai.2021.182-15</w:t>
      </w:r>
    </w:p>
    <w:p w14:paraId="32298EEB"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cs="Times New Roman"/>
          <w:noProof/>
          <w:sz w:val="24"/>
        </w:rPr>
      </w:pPr>
      <w:r w:rsidRPr="005A3CDE">
        <w:rPr>
          <w:rFonts w:ascii="Garamond" w:hAnsi="Garamond" w:cs="Times New Roman"/>
          <w:noProof/>
          <w:sz w:val="24"/>
        </w:rPr>
        <w:t xml:space="preserve">Ziemek, M. (1986). </w:t>
      </w:r>
      <w:r w:rsidRPr="005A3CDE">
        <w:rPr>
          <w:rFonts w:ascii="Garamond" w:hAnsi="Garamond" w:cs="Times New Roman"/>
          <w:i/>
          <w:iCs/>
          <w:noProof/>
          <w:sz w:val="24"/>
        </w:rPr>
        <w:t>Pesantren Islamische Bildung in Sozialen Wandel (terj.) Buetche B. Soendjojo</w:t>
      </w:r>
      <w:r w:rsidRPr="005A3CDE">
        <w:rPr>
          <w:rFonts w:ascii="Garamond" w:hAnsi="Garamond" w:cs="Times New Roman"/>
          <w:noProof/>
          <w:sz w:val="24"/>
        </w:rPr>
        <w:t>. Jakarta: P3M.</w:t>
      </w:r>
    </w:p>
    <w:p w14:paraId="7F5C9812" w14:textId="77777777" w:rsidR="00AF4385" w:rsidRPr="005A3CDE" w:rsidRDefault="00AF4385" w:rsidP="00AF4385">
      <w:pPr>
        <w:widowControl w:val="0"/>
        <w:autoSpaceDE w:val="0"/>
        <w:autoSpaceDN w:val="0"/>
        <w:adjustRightInd w:val="0"/>
        <w:spacing w:before="240" w:after="40" w:line="240" w:lineRule="auto"/>
        <w:ind w:left="480" w:hanging="480"/>
        <w:jc w:val="both"/>
        <w:rPr>
          <w:rFonts w:ascii="Garamond" w:hAnsi="Garamond"/>
          <w:noProof/>
          <w:sz w:val="24"/>
        </w:rPr>
      </w:pPr>
      <w:r w:rsidRPr="005A3CDE">
        <w:rPr>
          <w:rFonts w:ascii="Garamond" w:hAnsi="Garamond" w:cs="Times New Roman"/>
          <w:noProof/>
          <w:sz w:val="24"/>
        </w:rPr>
        <w:t xml:space="preserve">Zulkifli. (2014). Education, identity, and recognition: E Shi’i Islamic education in Indonesia. </w:t>
      </w:r>
      <w:r w:rsidRPr="005A3CDE">
        <w:rPr>
          <w:rFonts w:ascii="Garamond" w:hAnsi="Garamond" w:cs="Times New Roman"/>
          <w:i/>
          <w:iCs/>
          <w:noProof/>
          <w:sz w:val="24"/>
        </w:rPr>
        <w:t>Studia Islamika</w:t>
      </w:r>
      <w:r w:rsidRPr="005A3CDE">
        <w:rPr>
          <w:rFonts w:ascii="Garamond" w:hAnsi="Garamond" w:cs="Times New Roman"/>
          <w:noProof/>
          <w:sz w:val="24"/>
        </w:rPr>
        <w:t xml:space="preserve">, </w:t>
      </w:r>
      <w:r w:rsidRPr="005A3CDE">
        <w:rPr>
          <w:rFonts w:ascii="Garamond" w:hAnsi="Garamond" w:cs="Times New Roman"/>
          <w:i/>
          <w:iCs/>
          <w:noProof/>
          <w:sz w:val="24"/>
        </w:rPr>
        <w:t>21</w:t>
      </w:r>
      <w:r w:rsidRPr="005A3CDE">
        <w:rPr>
          <w:rFonts w:ascii="Garamond" w:hAnsi="Garamond" w:cs="Times New Roman"/>
          <w:noProof/>
          <w:sz w:val="24"/>
        </w:rPr>
        <w:t>(1), 77–108. https://doi.org/10.15408/sdi.v21i1.879</w:t>
      </w:r>
    </w:p>
    <w:p w14:paraId="1E42EE6A" w14:textId="77777777" w:rsidR="00AF4385" w:rsidRDefault="00AF4385" w:rsidP="00AF4385">
      <w:pPr>
        <w:spacing w:before="240" w:after="40" w:line="240" w:lineRule="auto"/>
        <w:jc w:val="both"/>
        <w:rPr>
          <w:rFonts w:ascii="Garamond" w:hAnsi="Garamond"/>
          <w:b/>
          <w:bCs/>
          <w:sz w:val="24"/>
          <w:szCs w:val="24"/>
        </w:rPr>
      </w:pPr>
      <w:r>
        <w:rPr>
          <w:rFonts w:ascii="Garamond" w:hAnsi="Garamond"/>
          <w:b/>
          <w:bCs/>
          <w:sz w:val="24"/>
          <w:szCs w:val="24"/>
        </w:rPr>
        <w:fldChar w:fldCharType="end"/>
      </w:r>
    </w:p>
    <w:p w14:paraId="55938E39" w14:textId="378FCA98" w:rsidR="005E297E" w:rsidRDefault="005E297E" w:rsidP="00AF4385">
      <w:pPr>
        <w:pBdr>
          <w:top w:val="nil"/>
          <w:left w:val="nil"/>
          <w:bottom w:val="nil"/>
          <w:right w:val="nil"/>
          <w:between w:val="nil"/>
        </w:pBdr>
        <w:spacing w:before="120" w:after="0" w:line="360" w:lineRule="auto"/>
        <w:ind w:firstLine="720"/>
        <w:jc w:val="both"/>
        <w:rPr>
          <w:rFonts w:ascii="Garamond" w:eastAsia="Garamond" w:hAnsi="Garamond" w:cs="Garamond"/>
          <w:sz w:val="30"/>
          <w:szCs w:val="30"/>
        </w:rPr>
      </w:pPr>
    </w:p>
    <w:sectPr w:rsidR="005E297E">
      <w:headerReference w:type="default" r:id="rId15"/>
      <w:footerReference w:type="default" r:id="rId16"/>
      <w:pgSz w:w="11907" w:h="16840"/>
      <w:pgMar w:top="2268" w:right="1699" w:bottom="1699" w:left="1699" w:header="86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5C19A" w14:textId="77777777" w:rsidR="00F2020D" w:rsidRDefault="00F2020D">
      <w:pPr>
        <w:spacing w:after="0" w:line="240" w:lineRule="auto"/>
      </w:pPr>
      <w:r>
        <w:separator/>
      </w:r>
    </w:p>
  </w:endnote>
  <w:endnote w:type="continuationSeparator" w:id="0">
    <w:p w14:paraId="5462CBB5" w14:textId="77777777" w:rsidR="00F2020D" w:rsidRDefault="00F20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1DFD0C0-F7CE-4403-921A-1329712A2F1C}"/>
    <w:embedBold r:id="rId2" w:fontKey="{358BD1BD-DDA0-42B8-A337-29B61B2E0799}"/>
    <w:embedItalic r:id="rId3" w:fontKey="{19BCC0E6-B591-4F17-AC23-2D9CD1D985DD}"/>
    <w:embedBoldItalic r:id="rId4" w:fontKey="{53C8370F-D317-470E-8AD3-B36130A4E1D3}"/>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embedRegular r:id="rId5" w:fontKey="{D71144DC-EFA9-4FEC-A1EF-F334B2D9B283}"/>
  </w:font>
  <w:font w:name="Cambria">
    <w:panose1 w:val="02040503050406030204"/>
    <w:charset w:val="00"/>
    <w:family w:val="roman"/>
    <w:pitch w:val="variable"/>
    <w:sig w:usb0="E00006FF" w:usb1="420024FF" w:usb2="02000000" w:usb3="00000000" w:csb0="0000019F" w:csb1="00000000"/>
    <w:embedRegular r:id="rId6" w:fontKey="{6EE0C0D8-C694-4A3B-898A-C699168D29F0}"/>
    <w:embedBold r:id="rId7" w:fontKey="{8B90D4E6-E667-4036-B11D-8679DEFD4C8E}"/>
    <w:embedItalic r:id="rId8" w:fontKey="{914FAAF9-AA66-4ED2-8FCE-2436E82E4256}"/>
  </w:font>
  <w:font w:name="Garamond">
    <w:panose1 w:val="02020404030301010803"/>
    <w:charset w:val="00"/>
    <w:family w:val="roman"/>
    <w:pitch w:val="variable"/>
    <w:sig w:usb0="00000287" w:usb1="00000000" w:usb2="00000000" w:usb3="00000000" w:csb0="0000009F" w:csb1="00000000"/>
    <w:embedRegular r:id="rId9" w:fontKey="{CB969B5D-487E-4C66-8DD5-2F289B778785}"/>
    <w:embedBold r:id="rId10" w:fontKey="{DD36110E-F487-43A2-B181-D613548EE6EB}"/>
    <w:embedItalic r:id="rId11" w:fontKey="{52467D84-DAF7-4B5E-8BAE-D7910B478F04}"/>
  </w:font>
  <w:font w:name="Cambria Math">
    <w:panose1 w:val="02040503050406030204"/>
    <w:charset w:val="00"/>
    <w:family w:val="roman"/>
    <w:pitch w:val="variable"/>
    <w:sig w:usb0="E00006FF" w:usb1="420024FF" w:usb2="02000000" w:usb3="00000000" w:csb0="0000019F" w:csb1="00000000"/>
    <w:embedRegular r:id="rId12" w:fontKey="{66E4FB71-FA89-441D-B022-CC421955FF0B}"/>
  </w:font>
  <w:font w:name="Bodoni">
    <w:charset w:val="00"/>
    <w:family w:val="auto"/>
    <w:pitch w:val="default"/>
    <w:embedRegular r:id="rId13" w:fontKey="{DABD0BA3-B7F5-464E-B233-0EDDB464A1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2380" w14:textId="77777777" w:rsidR="005E297E" w:rsidRDefault="00000000">
    <w:pPr>
      <w:pBdr>
        <w:top w:val="nil"/>
        <w:left w:val="nil"/>
        <w:bottom w:val="nil"/>
        <w:right w:val="nil"/>
        <w:between w:val="nil"/>
      </w:pBdr>
      <w:tabs>
        <w:tab w:val="center" w:pos="4513"/>
        <w:tab w:val="right" w:pos="9026"/>
      </w:tabs>
      <w:spacing w:after="0" w:line="240" w:lineRule="auto"/>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62751A">
      <w:rPr>
        <w:rFonts w:ascii="Arial" w:eastAsia="Arial" w:hAnsi="Arial" w:cs="Arial"/>
        <w:noProof/>
        <w:color w:val="000000"/>
      </w:rPr>
      <w:t>1</w:t>
    </w:r>
    <w:r>
      <w:rPr>
        <w:rFonts w:ascii="Arial" w:eastAsia="Arial" w:hAnsi="Arial" w:cs="Arial"/>
        <w:color w:val="000000"/>
      </w:rPr>
      <w:fldChar w:fldCharType="end"/>
    </w:r>
  </w:p>
  <w:p w14:paraId="52BBE2DB" w14:textId="77777777" w:rsidR="005E297E" w:rsidRDefault="005E297E">
    <w:pPr>
      <w:pBdr>
        <w:top w:val="nil"/>
        <w:left w:val="nil"/>
        <w:bottom w:val="nil"/>
        <w:right w:val="nil"/>
        <w:between w:val="nil"/>
      </w:pBdr>
      <w:tabs>
        <w:tab w:val="center" w:pos="4513"/>
        <w:tab w:val="right" w:pos="9026"/>
      </w:tabs>
      <w:spacing w:after="0" w:line="240" w:lineRule="auto"/>
      <w:jc w:val="center"/>
      <w:rPr>
        <w:rFonts w:ascii="Arial" w:eastAsia="Arial" w:hAnsi="Arial" w:cs="Arial"/>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3B15E" w14:textId="77777777" w:rsidR="00F2020D" w:rsidRDefault="00F2020D">
      <w:pPr>
        <w:spacing w:after="0" w:line="240" w:lineRule="auto"/>
      </w:pPr>
      <w:r>
        <w:separator/>
      </w:r>
    </w:p>
  </w:footnote>
  <w:footnote w:type="continuationSeparator" w:id="0">
    <w:p w14:paraId="060453FC" w14:textId="77777777" w:rsidR="00F2020D" w:rsidRDefault="00F2020D">
      <w:pPr>
        <w:spacing w:after="0" w:line="240" w:lineRule="auto"/>
      </w:pPr>
      <w:r>
        <w:continuationSeparator/>
      </w:r>
    </w:p>
  </w:footnote>
  <w:footnote w:id="1">
    <w:p w14:paraId="739BDA4C" w14:textId="63C30880" w:rsidR="005E297E" w:rsidRDefault="00000000">
      <w:pPr>
        <w:spacing w:after="0" w:line="240" w:lineRule="auto"/>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w:t>
      </w:r>
      <w:r w:rsidR="00AF4385">
        <w:rPr>
          <w:rFonts w:ascii="Garamond" w:eastAsia="Garamond" w:hAnsi="Garamond" w:cs="Garamond"/>
          <w:sz w:val="24"/>
          <w:szCs w:val="24"/>
        </w:rPr>
        <w:t>Zuhriyyah Hidayati</w:t>
      </w:r>
    </w:p>
    <w:p w14:paraId="3D129AD5" w14:textId="77777777" w:rsidR="005E297E" w:rsidRDefault="00000000">
      <w:pPr>
        <w:spacing w:after="0" w:line="240" w:lineRule="auto"/>
        <w:rPr>
          <w:rFonts w:ascii="Garamond" w:eastAsia="Garamond" w:hAnsi="Garamond" w:cs="Garamond"/>
          <w:sz w:val="24"/>
          <w:szCs w:val="24"/>
        </w:rPr>
      </w:pPr>
      <w:r>
        <w:rPr>
          <w:rFonts w:ascii="Arial" w:eastAsia="Arial" w:hAnsi="Arial" w:cs="Arial"/>
          <w:sz w:val="18"/>
          <w:szCs w:val="18"/>
          <w:highlight w:val="white"/>
        </w:rPr>
        <w:t xml:space="preserve">Submitted:  </w:t>
      </w:r>
      <w:proofErr w:type="gramStart"/>
      <w:r>
        <w:rPr>
          <w:rFonts w:ascii="Arial" w:eastAsia="Arial" w:hAnsi="Arial" w:cs="Arial"/>
          <w:sz w:val="18"/>
          <w:szCs w:val="18"/>
          <w:highlight w:val="white"/>
        </w:rPr>
        <w:t>August  22,  2023</w:t>
      </w:r>
      <w:proofErr w:type="gramEnd"/>
      <w:r>
        <w:rPr>
          <w:rFonts w:ascii="Arial" w:eastAsia="Arial" w:hAnsi="Arial" w:cs="Arial"/>
          <w:sz w:val="18"/>
          <w:szCs w:val="18"/>
          <w:highlight w:val="white"/>
        </w:rPr>
        <w:t xml:space="preserve">          Accepted:  </w:t>
      </w:r>
      <w:proofErr w:type="spellStart"/>
      <w:proofErr w:type="gramStart"/>
      <w:r>
        <w:rPr>
          <w:rFonts w:ascii="Arial" w:eastAsia="Arial" w:hAnsi="Arial" w:cs="Arial"/>
          <w:sz w:val="18"/>
          <w:szCs w:val="18"/>
          <w:highlight w:val="white"/>
        </w:rPr>
        <w:t>Desember</w:t>
      </w:r>
      <w:proofErr w:type="spellEnd"/>
      <w:r>
        <w:rPr>
          <w:rFonts w:ascii="Arial" w:eastAsia="Arial" w:hAnsi="Arial" w:cs="Arial"/>
          <w:sz w:val="18"/>
          <w:szCs w:val="18"/>
          <w:highlight w:val="white"/>
        </w:rPr>
        <w:t xml:space="preserve">  22,  2023</w:t>
      </w:r>
      <w:proofErr w:type="gramEnd"/>
      <w:r>
        <w:rPr>
          <w:rFonts w:ascii="Arial" w:eastAsia="Arial" w:hAnsi="Arial" w:cs="Arial"/>
          <w:sz w:val="18"/>
          <w:szCs w:val="18"/>
          <w:highlight w:val="white"/>
        </w:rPr>
        <w:t xml:space="preserve">        Published:  </w:t>
      </w:r>
      <w:proofErr w:type="spellStart"/>
      <w:proofErr w:type="gramStart"/>
      <w:r>
        <w:rPr>
          <w:rFonts w:ascii="Arial" w:eastAsia="Arial" w:hAnsi="Arial" w:cs="Arial"/>
          <w:sz w:val="18"/>
          <w:szCs w:val="18"/>
          <w:highlight w:val="white"/>
        </w:rPr>
        <w:t>Desember</w:t>
      </w:r>
      <w:proofErr w:type="spellEnd"/>
      <w:r>
        <w:rPr>
          <w:rFonts w:ascii="Arial" w:eastAsia="Arial" w:hAnsi="Arial" w:cs="Arial"/>
          <w:sz w:val="18"/>
          <w:szCs w:val="18"/>
          <w:highlight w:val="white"/>
        </w:rPr>
        <w:t xml:space="preserve">  30,  2023</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7F2C4" w14:textId="77777777" w:rsidR="005E297E" w:rsidRDefault="00000000">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16"/>
        <w:szCs w:val="16"/>
        <w:highlight w:val="white"/>
      </w:rPr>
    </w:pPr>
    <w:r>
      <w:rPr>
        <w:rFonts w:ascii="Bodoni" w:eastAsia="Bodoni" w:hAnsi="Bodoni" w:cs="Bodoni"/>
        <w:color w:val="000000"/>
      </w:rPr>
      <w:t>JOURNAL OF CONTEMPORARY ISLAM AND MUSLIM SOCIETIES</w:t>
    </w:r>
    <w:r>
      <w:rPr>
        <w:rFonts w:ascii="Bodoni" w:eastAsia="Bodoni" w:hAnsi="Bodoni" w:cs="Bodoni"/>
        <w:color w:val="000000"/>
      </w:rPr>
      <w:tab/>
      <w:t xml:space="preserve">                                 </w:t>
    </w:r>
    <w:r>
      <w:rPr>
        <w:rFonts w:ascii="Arial" w:eastAsia="Arial" w:hAnsi="Arial" w:cs="Arial"/>
        <w:color w:val="000000"/>
        <w:sz w:val="16"/>
        <w:szCs w:val="16"/>
        <w:highlight w:val="white"/>
      </w:rPr>
      <w:t>VOL. 7 NO. 2 JULY-DECEMBER 2023</w:t>
    </w:r>
  </w:p>
  <w:p w14:paraId="3EC94523" w14:textId="77777777" w:rsidR="005E297E" w:rsidRDefault="00000000">
    <w:pPr>
      <w:pBdr>
        <w:top w:val="nil"/>
        <w:left w:val="nil"/>
        <w:bottom w:val="nil"/>
        <w:right w:val="nil"/>
        <w:between w:val="nil"/>
      </w:pBdr>
      <w:tabs>
        <w:tab w:val="center" w:pos="4513"/>
        <w:tab w:val="right" w:pos="9026"/>
      </w:tabs>
      <w:spacing w:after="0" w:line="240" w:lineRule="auto"/>
      <w:rPr>
        <w:rFonts w:ascii="Bodoni" w:eastAsia="Bodoni" w:hAnsi="Bodoni" w:cs="Bodoni"/>
        <w:color w:val="000000"/>
      </w:rPr>
    </w:pPr>
    <w:r>
      <w:rPr>
        <w:rFonts w:ascii="Arial" w:eastAsia="Arial" w:hAnsi="Arial" w:cs="Arial"/>
        <w:color w:val="000000"/>
        <w:sz w:val="16"/>
        <w:szCs w:val="16"/>
        <w:highlight w:val="white"/>
      </w:rPr>
      <w:tab/>
      <w:t xml:space="preserve">                                                                                                            DOI: </w:t>
    </w:r>
    <w:hyperlink r:id="rId1">
      <w:r>
        <w:rPr>
          <w:rFonts w:ascii="Arial" w:eastAsia="Arial" w:hAnsi="Arial" w:cs="Arial"/>
          <w:color w:val="000000"/>
          <w:sz w:val="16"/>
          <w:szCs w:val="16"/>
          <w:highlight w:val="white"/>
        </w:rPr>
        <w:t>http://dx.doi.org/10.30821/jcims.v7i2.17177</w:t>
      </w:r>
    </w:hyperlink>
    <w:r>
      <w:rPr>
        <w:rFonts w:ascii="Arial" w:eastAsia="Arial" w:hAnsi="Arial" w:cs="Arial"/>
        <w:color w:val="000000"/>
        <w:sz w:val="16"/>
        <w:szCs w:val="16"/>
        <w:highlight w:val="whit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E6ACE"/>
    <w:multiLevelType w:val="multilevel"/>
    <w:tmpl w:val="4476F0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4364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97E"/>
    <w:rsid w:val="005E297E"/>
    <w:rsid w:val="00611593"/>
    <w:rsid w:val="0062751A"/>
    <w:rsid w:val="00AF4385"/>
    <w:rsid w:val="00F2020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A7A09"/>
  <w15:docId w15:val="{5AC057D3-7C6E-4D59-ADCE-DD01A4A16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pBdr>
        <w:top w:val="nil"/>
        <w:left w:val="nil"/>
        <w:bottom w:val="nil"/>
        <w:right w:val="nil"/>
        <w:between w:val="nil"/>
      </w:pBdr>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pBdr>
        <w:top w:val="nil"/>
        <w:left w:val="nil"/>
        <w:bottom w:val="nil"/>
        <w:right w:val="nil"/>
        <w:between w:val="nil"/>
      </w:pBdr>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pBdr>
        <w:top w:val="nil"/>
        <w:left w:val="nil"/>
        <w:bottom w:val="nil"/>
        <w:right w:val="nil"/>
        <w:between w:val="nil"/>
      </w:pBdr>
      <w:spacing w:before="240" w:after="60"/>
      <w:outlineLvl w:val="3"/>
    </w:pPr>
    <w:rPr>
      <w:b/>
      <w:sz w:val="28"/>
      <w:szCs w:val="28"/>
    </w:rPr>
  </w:style>
  <w:style w:type="paragraph" w:styleId="Heading5">
    <w:name w:val="heading 5"/>
    <w:basedOn w:val="Normal"/>
    <w:next w:val="Normal"/>
    <w:uiPriority w:val="9"/>
    <w:semiHidden/>
    <w:unhideWhenUsed/>
    <w:qFormat/>
    <w:pPr>
      <w:pBdr>
        <w:top w:val="nil"/>
        <w:left w:val="nil"/>
        <w:bottom w:val="nil"/>
        <w:right w:val="nil"/>
        <w:between w:val="nil"/>
      </w:pBdr>
      <w:spacing w:before="240" w:after="60"/>
      <w:outlineLvl w:val="4"/>
    </w:pPr>
    <w:rPr>
      <w:b/>
      <w:i/>
      <w:sz w:val="26"/>
      <w:szCs w:val="26"/>
    </w:rPr>
  </w:style>
  <w:style w:type="paragraph" w:styleId="Heading6">
    <w:name w:val="heading 6"/>
    <w:basedOn w:val="Normal"/>
    <w:next w:val="Normal"/>
    <w:uiPriority w:val="9"/>
    <w:semiHidden/>
    <w:unhideWhenUsed/>
    <w:qFormat/>
    <w:pPr>
      <w:pBdr>
        <w:top w:val="nil"/>
        <w:left w:val="nil"/>
        <w:bottom w:val="nil"/>
        <w:right w:val="nil"/>
        <w:between w:val="nil"/>
      </w:pBdr>
      <w:spacing w:before="240" w:after="6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before="240" w:after="60"/>
      <w:jc w:val="center"/>
    </w:pPr>
    <w:rPr>
      <w:rFonts w:ascii="Arial" w:eastAsia="Arial" w:hAnsi="Arial" w:cs="Arial"/>
      <w:b/>
      <w:sz w:val="32"/>
      <w:szCs w:val="32"/>
    </w:rPr>
  </w:style>
  <w:style w:type="paragraph" w:styleId="Subtitle">
    <w:name w:val="Subtitle"/>
    <w:basedOn w:val="Normal"/>
    <w:next w:val="Normal"/>
    <w:uiPriority w:val="11"/>
    <w:qFormat/>
    <w:pPr>
      <w:pBdr>
        <w:top w:val="nil"/>
        <w:left w:val="nil"/>
        <w:bottom w:val="nil"/>
        <w:right w:val="nil"/>
        <w:between w:val="nil"/>
      </w:pBdr>
      <w:spacing w:after="60"/>
      <w:jc w:val="center"/>
    </w:pPr>
    <w:rPr>
      <w:rFonts w:ascii="Arial" w:eastAsia="Arial" w:hAnsi="Arial" w:cs="Arial"/>
    </w:rPr>
  </w:style>
  <w:style w:type="paragraph" w:styleId="Header">
    <w:name w:val="header"/>
    <w:basedOn w:val="Normal"/>
    <w:link w:val="HeaderChar"/>
    <w:uiPriority w:val="99"/>
    <w:unhideWhenUsed/>
    <w:rsid w:val="00550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00BD"/>
  </w:style>
  <w:style w:type="paragraph" w:styleId="Footer">
    <w:name w:val="footer"/>
    <w:basedOn w:val="Normal"/>
    <w:link w:val="FooterChar"/>
    <w:uiPriority w:val="99"/>
    <w:unhideWhenUsed/>
    <w:rsid w:val="00550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00BD"/>
  </w:style>
  <w:style w:type="character" w:styleId="Hyperlink">
    <w:name w:val="Hyperlink"/>
    <w:basedOn w:val="DefaultParagraphFont"/>
    <w:uiPriority w:val="99"/>
    <w:unhideWhenUsed/>
    <w:rsid w:val="00CF521E"/>
    <w:rPr>
      <w:color w:val="0000FF" w:themeColor="hyperlink"/>
      <w:u w:val="single"/>
    </w:rPr>
  </w:style>
  <w:style w:type="character" w:styleId="UnresolvedMention">
    <w:name w:val="Unresolved Mention"/>
    <w:basedOn w:val="DefaultParagraphFont"/>
    <w:uiPriority w:val="99"/>
    <w:semiHidden/>
    <w:unhideWhenUsed/>
    <w:rsid w:val="00CF521E"/>
    <w:rPr>
      <w:color w:val="605E5C"/>
      <w:shd w:val="clear" w:color="auto" w:fill="E1DFDD"/>
    </w:rPr>
  </w:style>
  <w:style w:type="character" w:styleId="FootnoteReference">
    <w:name w:val="footnote reference"/>
    <w:basedOn w:val="DefaultParagraphFont"/>
    <w:uiPriority w:val="99"/>
    <w:semiHidden/>
    <w:unhideWhenUsed/>
    <w:rsid w:val="00AF4385"/>
    <w:rPr>
      <w:vertAlign w:val="superscript"/>
    </w:rPr>
  </w:style>
  <w:style w:type="paragraph" w:customStyle="1" w:styleId="Para1">
    <w:name w:val="Para 1"/>
    <w:basedOn w:val="Normal"/>
    <w:link w:val="Para1Char"/>
    <w:autoRedefine/>
    <w:qFormat/>
    <w:rsid w:val="00AF4385"/>
    <w:pPr>
      <w:spacing w:after="0" w:line="360" w:lineRule="auto"/>
      <w:ind w:left="357" w:firstLine="567"/>
      <w:jc w:val="both"/>
    </w:pPr>
    <w:rPr>
      <w:rFonts w:ascii="Californian FB" w:eastAsiaTheme="minorHAnsi" w:hAnsi="Californian FB" w:cs="Times New Roman"/>
      <w:sz w:val="24"/>
      <w:szCs w:val="24"/>
      <w:lang w:val="en-US" w:eastAsia="en-US"/>
    </w:rPr>
  </w:style>
  <w:style w:type="character" w:customStyle="1" w:styleId="Para1Char">
    <w:name w:val="Para 1 Char"/>
    <w:basedOn w:val="DefaultParagraphFont"/>
    <w:link w:val="Para1"/>
    <w:rsid w:val="00AF4385"/>
    <w:rPr>
      <w:rFonts w:ascii="Californian FB" w:eastAsiaTheme="minorHAnsi" w:hAnsi="Californian FB" w:cs="Times New Roman"/>
      <w:sz w:val="24"/>
      <w:szCs w:val="24"/>
      <w:lang w:val="en-US" w:eastAsia="en-US"/>
    </w:rPr>
  </w:style>
  <w:style w:type="paragraph" w:styleId="ListParagraph">
    <w:name w:val="List Paragraph"/>
    <w:basedOn w:val="Normal"/>
    <w:uiPriority w:val="34"/>
    <w:qFormat/>
    <w:rsid w:val="00AF4385"/>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table" w:styleId="TableGrid">
    <w:name w:val="Table Grid"/>
    <w:basedOn w:val="TableNormal"/>
    <w:uiPriority w:val="39"/>
    <w:rsid w:val="00AF4385"/>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zuhriyyahhidayati@gmail.com" TargetMode="External"/><Relationship Id="rId13" Type="http://schemas.openxmlformats.org/officeDocument/2006/relationships/hyperlink" Target="https://persis.or.i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rboyo.net/pelajaran-aliya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falahploso.net/pendidikan/misri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sidogiri.net/staging/madrasah/" TargetMode="External"/><Relationship Id="rId4" Type="http://schemas.openxmlformats.org/officeDocument/2006/relationships/settings" Target="settings.xml"/><Relationship Id="rId9" Type="http://schemas.openxmlformats.org/officeDocument/2006/relationships/hyperlink" Target="mailto:achmadmaulidi@unia.ac.id" TargetMode="External"/><Relationship Id="rId14" Type="http://schemas.openxmlformats.org/officeDocument/2006/relationships/hyperlink" Target="https://pesantrenpersis27.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hyperlink" Target="http://dx.doi.org/10.30821/jcims.v7i2.171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WD2ONfFBN7nwl3TqZJRjmbmxiw==">CgMxLjAyCGguZ2pkZ3hzOAByITFaQXVHVlhWaGZlaTQxelRlU0lJTjNGdjdhd2N6aXhWRw==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19</Pages>
  <Words>25751</Words>
  <Characters>146781</Characters>
  <Application>Microsoft Office Word</Application>
  <DocSecurity>0</DocSecurity>
  <Lines>1223</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Zuhriyyah Hidayati</cp:lastModifiedBy>
  <cp:revision>2</cp:revision>
  <dcterms:created xsi:type="dcterms:W3CDTF">2024-02-13T03:55:00Z</dcterms:created>
  <dcterms:modified xsi:type="dcterms:W3CDTF">2025-06-09T12:44:00Z</dcterms:modified>
</cp:coreProperties>
</file>