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EEF" w:rsidRDefault="003C36B1">
      <w:pPr>
        <w:spacing w:after="0"/>
        <w:jc w:val="center"/>
        <w:rPr>
          <w:rFonts w:ascii="Garamond" w:eastAsia="Garamond" w:hAnsi="Garamond" w:cs="Garamond"/>
          <w:b/>
          <w:bCs/>
          <w:sz w:val="28"/>
          <w:szCs w:val="28"/>
        </w:rPr>
      </w:pPr>
      <w:bookmarkStart w:id="0" w:name="_GoBack"/>
      <w:bookmarkEnd w:id="0"/>
      <w:r>
        <w:rPr>
          <w:rFonts w:ascii="Garamond" w:eastAsia="Garamond" w:hAnsi="Garamond" w:cs="Garamond"/>
          <w:b/>
          <w:bCs/>
          <w:sz w:val="28"/>
          <w:szCs w:val="28"/>
        </w:rPr>
        <w:t>CONTINUITY AND TRANSFORMATION OF PESANTREN TRADITIONS:</w:t>
      </w:r>
    </w:p>
    <w:p w:rsidR="00A24EEF" w:rsidRDefault="003C36B1">
      <w:pPr>
        <w:spacing w:before="240" w:after="0"/>
        <w:jc w:val="center"/>
        <w:rPr>
          <w:rFonts w:ascii="Garamond" w:eastAsia="Garamond" w:hAnsi="Garamond" w:cs="Garamond"/>
          <w:b/>
          <w:bCs/>
          <w:sz w:val="28"/>
          <w:szCs w:val="28"/>
        </w:rPr>
      </w:pPr>
      <w:r>
        <w:rPr>
          <w:rFonts w:ascii="Garamond" w:eastAsia="Garamond" w:hAnsi="Garamond" w:cs="Garamond"/>
          <w:b/>
          <w:bCs/>
          <w:sz w:val="28"/>
          <w:szCs w:val="28"/>
        </w:rPr>
        <w:t xml:space="preserve">Negotiating Tradition and Modernity in Musthafawiyah Alumni Network of Southern Tapanuli  </w:t>
      </w:r>
    </w:p>
    <w:p w:rsidR="00A24EEF" w:rsidRDefault="003C36B1">
      <w:pPr>
        <w:spacing w:before="240" w:after="0"/>
        <w:jc w:val="both"/>
        <w:rPr>
          <w:rFonts w:ascii="Garamond" w:eastAsia="Garamond" w:hAnsi="Garamond" w:cs="Garamond"/>
          <w:b/>
          <w:bCs/>
          <w:sz w:val="28"/>
          <w:szCs w:val="28"/>
        </w:rPr>
      </w:pPr>
      <w:r>
        <w:rPr>
          <w:rFonts w:ascii="Garamond" w:eastAsia="Garamond" w:hAnsi="Garamond" w:cs="Garamond"/>
          <w:b/>
          <w:bCs/>
          <w:sz w:val="28"/>
          <w:szCs w:val="28"/>
        </w:rPr>
        <w:t xml:space="preserve"> </w:t>
      </w:r>
    </w:p>
    <w:p w:rsidR="00A24EEF" w:rsidRDefault="003C36B1">
      <w:pPr>
        <w:spacing w:after="0"/>
        <w:jc w:val="center"/>
        <w:rPr>
          <w:rFonts w:ascii="Garamond" w:eastAsia="Garamond" w:hAnsi="Garamond" w:cs="Garamond"/>
          <w:b/>
          <w:bCs/>
          <w:sz w:val="28"/>
          <w:szCs w:val="28"/>
        </w:rPr>
      </w:pPr>
      <w:r>
        <w:rPr>
          <w:rFonts w:ascii="Garamond" w:eastAsia="Garamond" w:hAnsi="Garamond" w:cs="Garamond"/>
          <w:b/>
          <w:bCs/>
          <w:sz w:val="28"/>
          <w:szCs w:val="28"/>
        </w:rPr>
        <w:t>Faisal Musa</w:t>
      </w:r>
    </w:p>
    <w:p w:rsidR="00A24EEF" w:rsidRDefault="003C36B1">
      <w:pPr>
        <w:spacing w:after="0"/>
        <w:jc w:val="center"/>
        <w:rPr>
          <w:rFonts w:ascii="Garamond" w:eastAsia="Garamond" w:hAnsi="Garamond" w:cs="Garamond"/>
          <w:b/>
          <w:bCs/>
          <w:sz w:val="24"/>
          <w:szCs w:val="24"/>
        </w:rPr>
      </w:pPr>
      <w:r>
        <w:rPr>
          <w:rFonts w:ascii="Garamond" w:eastAsia="Garamond" w:hAnsi="Garamond" w:cs="Garamond"/>
          <w:b/>
          <w:bCs/>
          <w:sz w:val="24"/>
          <w:szCs w:val="24"/>
        </w:rPr>
        <w:t>Sekolah Tinggi Agama Islam Negeri Mandailing Natal</w:t>
      </w:r>
    </w:p>
    <w:p w:rsidR="00A24EEF" w:rsidRDefault="003C36B1">
      <w:pPr>
        <w:spacing w:after="0"/>
        <w:jc w:val="center"/>
        <w:rPr>
          <w:rFonts w:ascii="Garamond" w:eastAsia="Garamond" w:hAnsi="Garamond" w:cs="Garamond"/>
          <w:b/>
          <w:bCs/>
          <w:sz w:val="24"/>
          <w:szCs w:val="24"/>
        </w:rPr>
      </w:pPr>
      <w:r>
        <w:rPr>
          <w:rFonts w:ascii="Garamond" w:eastAsia="Garamond" w:hAnsi="Garamond" w:cs="Garamond"/>
          <w:b/>
          <w:bCs/>
          <w:sz w:val="24"/>
          <w:szCs w:val="24"/>
        </w:rPr>
        <w:t>Hutatonga, Mandailing Natal, Sumatera Utara, 22919</w:t>
      </w:r>
    </w:p>
    <w:p w:rsidR="00A24EEF" w:rsidRDefault="003C36B1">
      <w:pPr>
        <w:spacing w:before="240" w:after="120"/>
        <w:jc w:val="center"/>
        <w:rPr>
          <w:rFonts w:ascii="Garamond" w:eastAsia="Garamond" w:hAnsi="Garamond" w:cs="Garamond"/>
          <w:b/>
          <w:bCs/>
          <w:sz w:val="28"/>
          <w:szCs w:val="28"/>
        </w:rPr>
      </w:pPr>
      <w:r>
        <w:rPr>
          <w:rFonts w:ascii="Garamond" w:eastAsia="Garamond" w:hAnsi="Garamond" w:cs="Garamond"/>
          <w:b/>
          <w:bCs/>
          <w:sz w:val="24"/>
          <w:szCs w:val="24"/>
        </w:rPr>
        <w:t xml:space="preserve">e-mail: faisalmusa@stain-madina.ac.id </w:t>
      </w:r>
    </w:p>
    <w:p w:rsidR="00A24EEF" w:rsidRDefault="003C36B1">
      <w:pPr>
        <w:spacing w:after="0"/>
        <w:jc w:val="center"/>
        <w:rPr>
          <w:rFonts w:ascii="Garamond" w:eastAsia="Garamond" w:hAnsi="Garamond" w:cs="Garamond"/>
          <w:b/>
          <w:bCs/>
          <w:sz w:val="28"/>
          <w:szCs w:val="28"/>
        </w:rPr>
      </w:pPr>
      <w:r>
        <w:rPr>
          <w:rFonts w:ascii="Garamond" w:eastAsia="Garamond" w:hAnsi="Garamond" w:cs="Garamond"/>
          <w:b/>
          <w:bCs/>
          <w:sz w:val="28"/>
          <w:szCs w:val="28"/>
        </w:rPr>
        <w:t>Saidatul Khairiyah</w:t>
      </w:r>
    </w:p>
    <w:p w:rsidR="00A24EEF" w:rsidRDefault="003C36B1">
      <w:pPr>
        <w:spacing w:after="0"/>
        <w:jc w:val="center"/>
        <w:rPr>
          <w:rFonts w:ascii="Garamond" w:eastAsia="Garamond" w:hAnsi="Garamond" w:cs="Garamond"/>
          <w:b/>
          <w:bCs/>
          <w:sz w:val="24"/>
          <w:szCs w:val="24"/>
        </w:rPr>
      </w:pPr>
      <w:r>
        <w:rPr>
          <w:rFonts w:ascii="Garamond" w:eastAsia="Garamond" w:hAnsi="Garamond" w:cs="Garamond"/>
          <w:b/>
          <w:bCs/>
          <w:sz w:val="24"/>
          <w:szCs w:val="24"/>
        </w:rPr>
        <w:t>Universitas Islam Negeri Sumatera Utara</w:t>
      </w:r>
    </w:p>
    <w:p w:rsidR="00A24EEF" w:rsidRDefault="003C36B1">
      <w:pPr>
        <w:spacing w:after="0"/>
        <w:jc w:val="center"/>
        <w:rPr>
          <w:rFonts w:ascii="Garamond" w:eastAsia="Garamond" w:hAnsi="Garamond" w:cs="Garamond"/>
          <w:b/>
          <w:bCs/>
          <w:sz w:val="24"/>
          <w:szCs w:val="24"/>
        </w:rPr>
      </w:pPr>
      <w:r>
        <w:rPr>
          <w:rFonts w:ascii="Garamond" w:eastAsia="Garamond" w:hAnsi="Garamond" w:cs="Garamond"/>
          <w:b/>
          <w:bCs/>
          <w:sz w:val="24"/>
          <w:szCs w:val="24"/>
        </w:rPr>
        <w:t>Medan, Sumatera Utara, Indonesia</w:t>
      </w:r>
    </w:p>
    <w:p w:rsidR="00A24EEF" w:rsidRDefault="003C36B1">
      <w:pPr>
        <w:spacing w:before="240" w:after="0"/>
        <w:jc w:val="center"/>
        <w:rPr>
          <w:rFonts w:ascii="Garamond" w:eastAsia="Garamond" w:hAnsi="Garamond" w:cs="Garamond"/>
          <w:b/>
          <w:bCs/>
          <w:sz w:val="28"/>
          <w:szCs w:val="28"/>
        </w:rPr>
      </w:pPr>
      <w:r>
        <w:rPr>
          <w:rFonts w:ascii="Garamond" w:eastAsia="Garamond" w:hAnsi="Garamond" w:cs="Garamond"/>
          <w:b/>
          <w:bCs/>
          <w:sz w:val="24"/>
          <w:szCs w:val="24"/>
        </w:rPr>
        <w:t xml:space="preserve">e-mail: saidatul@uinsu.ac.id </w:t>
      </w:r>
    </w:p>
    <w:p w:rsidR="00A24EEF" w:rsidRDefault="00A24EEF">
      <w:pPr>
        <w:spacing w:before="240" w:after="0"/>
        <w:jc w:val="center"/>
        <w:rPr>
          <w:rFonts w:ascii="Garamond" w:eastAsia="Garamond" w:hAnsi="Garamond" w:cs="Garamond"/>
          <w:b/>
          <w:bCs/>
          <w:sz w:val="24"/>
          <w:szCs w:val="24"/>
        </w:rPr>
      </w:pPr>
    </w:p>
    <w:p w:rsidR="00A24EEF" w:rsidRDefault="003C36B1">
      <w:pPr>
        <w:spacing w:before="240" w:after="0"/>
        <w:jc w:val="center"/>
        <w:rPr>
          <w:rFonts w:ascii="Garamond" w:eastAsia="Garamond" w:hAnsi="Garamond" w:cs="Garamond"/>
          <w:b/>
          <w:bCs/>
          <w:sz w:val="28"/>
          <w:szCs w:val="28"/>
        </w:rPr>
      </w:pPr>
      <w:r>
        <w:rPr>
          <w:rFonts w:ascii="Garamond" w:eastAsia="Garamond" w:hAnsi="Garamond" w:cs="Garamond"/>
          <w:b/>
          <w:bCs/>
          <w:sz w:val="28"/>
          <w:szCs w:val="28"/>
        </w:rPr>
        <w:t xml:space="preserve"> </w:t>
      </w:r>
    </w:p>
    <w:p w:rsidR="00A24EEF" w:rsidRDefault="003C36B1">
      <w:pPr>
        <w:spacing w:before="240" w:after="0"/>
        <w:jc w:val="center"/>
        <w:rPr>
          <w:rFonts w:ascii="Garamond" w:eastAsia="Garamond" w:hAnsi="Garamond" w:cs="Garamond"/>
          <w:b/>
          <w:bCs/>
          <w:sz w:val="28"/>
          <w:szCs w:val="28"/>
        </w:rPr>
      </w:pPr>
      <w:r>
        <w:rPr>
          <w:rFonts w:ascii="Garamond" w:eastAsia="Garamond" w:hAnsi="Garamond" w:cs="Garamond"/>
          <w:b/>
          <w:bCs/>
          <w:sz w:val="28"/>
          <w:szCs w:val="28"/>
        </w:rPr>
        <w:t xml:space="preserve"> </w:t>
      </w:r>
    </w:p>
    <w:p w:rsidR="00A24EEF" w:rsidRDefault="003C36B1">
      <w:pPr>
        <w:spacing w:before="360" w:after="0"/>
        <w:jc w:val="both"/>
        <w:rPr>
          <w:rFonts w:ascii="Garamond" w:eastAsia="Garamond" w:hAnsi="Garamond" w:cs="Garamond"/>
          <w:b/>
          <w:bCs/>
          <w:sz w:val="28"/>
          <w:szCs w:val="28"/>
        </w:rPr>
      </w:pPr>
      <w:r>
        <w:rPr>
          <w:rFonts w:ascii="Garamond" w:eastAsia="Garamond" w:hAnsi="Garamond" w:cs="Garamond"/>
          <w:b/>
          <w:bCs/>
          <w:sz w:val="28"/>
          <w:szCs w:val="28"/>
        </w:rPr>
        <w:t>Abstract: This study aims to examine th</w:t>
      </w:r>
      <w:r>
        <w:rPr>
          <w:rFonts w:ascii="Garamond" w:eastAsia="Garamond" w:hAnsi="Garamond" w:cs="Garamond"/>
          <w:b/>
          <w:bCs/>
          <w:sz w:val="28"/>
          <w:szCs w:val="28"/>
        </w:rPr>
        <w:t>e continuity and transformation of pesantren traditions through the alumni network of Musthafawiyah Islamic boarding school in Southern Tapanuli. This research employs a qualitative case study approach. Data were collected through document analysis, interv</w:t>
      </w:r>
      <w:r>
        <w:rPr>
          <w:rFonts w:ascii="Garamond" w:eastAsia="Garamond" w:hAnsi="Garamond" w:cs="Garamond"/>
          <w:b/>
          <w:bCs/>
          <w:sz w:val="28"/>
          <w:szCs w:val="28"/>
        </w:rPr>
        <w:t xml:space="preserve">iews, and field observations in several pesantren established by Musthafawiyah alumni. The data were analyzed using thematic analysis to identify patterns of transmission, reproduction, and adaptation of pesantren traditions within the alumni network. The </w:t>
      </w:r>
      <w:r>
        <w:rPr>
          <w:rFonts w:ascii="Garamond" w:eastAsia="Garamond" w:hAnsi="Garamond" w:cs="Garamond"/>
          <w:b/>
          <w:bCs/>
          <w:sz w:val="28"/>
          <w:szCs w:val="28"/>
        </w:rPr>
        <w:t>findings reveal that the alumni network of Musthafawiyah plays a crucial role in sustaining the educational traditions of the pesantren. Through the establishment of new pesantren, alumni reproduce key elements of Musthafawiyah’s educational system, includ</w:t>
      </w:r>
      <w:r>
        <w:rPr>
          <w:rFonts w:ascii="Garamond" w:eastAsia="Garamond" w:hAnsi="Garamond" w:cs="Garamond"/>
          <w:b/>
          <w:bCs/>
          <w:sz w:val="28"/>
          <w:szCs w:val="28"/>
        </w:rPr>
        <w:t xml:space="preserve">ing the study of classical Islamic texts, the authority of the kiai, and the moral formation of santri. At the same time, alumni-founded pesantren </w:t>
      </w:r>
      <w:r>
        <w:rPr>
          <w:rFonts w:ascii="Garamond" w:eastAsia="Garamond" w:hAnsi="Garamond" w:cs="Garamond"/>
          <w:b/>
          <w:bCs/>
          <w:sz w:val="28"/>
          <w:szCs w:val="28"/>
        </w:rPr>
        <w:lastRenderedPageBreak/>
        <w:t>demonstrate various forms of institutional adaptation, such as the integration of formal schooling systems, c</w:t>
      </w:r>
      <w:r>
        <w:rPr>
          <w:rFonts w:ascii="Garamond" w:eastAsia="Garamond" w:hAnsi="Garamond" w:cs="Garamond"/>
          <w:b/>
          <w:bCs/>
          <w:sz w:val="28"/>
          <w:szCs w:val="28"/>
        </w:rPr>
        <w:t>urriculum development, and organizational modernization. This study argues that the continuity of pesantren traditions is closely linked to the role of alumni networks as agents of social and educational reproduction. The findings contribute to the broader</w:t>
      </w:r>
      <w:r>
        <w:rPr>
          <w:rFonts w:ascii="Garamond" w:eastAsia="Garamond" w:hAnsi="Garamond" w:cs="Garamond"/>
          <w:b/>
          <w:bCs/>
          <w:sz w:val="28"/>
          <w:szCs w:val="28"/>
        </w:rPr>
        <w:t xml:space="preserve"> scholarship on Islamic education by highlighting how pesantren traditions persist and evolve through networks of religious scholars and educational institutions beyond the Javanese context.  </w:t>
      </w:r>
    </w:p>
    <w:p w:rsidR="00A24EEF" w:rsidRDefault="003C36B1">
      <w:pPr>
        <w:spacing w:before="120" w:after="120"/>
        <w:ind w:right="-40"/>
        <w:jc w:val="both"/>
        <w:rPr>
          <w:rFonts w:ascii="Garamond" w:eastAsia="Garamond" w:hAnsi="Garamond" w:cs="Garamond"/>
          <w:b/>
          <w:bCs/>
          <w:i/>
          <w:iCs/>
          <w:sz w:val="28"/>
          <w:szCs w:val="28"/>
        </w:rPr>
      </w:pPr>
      <w:r>
        <w:rPr>
          <w:rFonts w:ascii="Garamond" w:eastAsia="Garamond" w:hAnsi="Garamond" w:cs="Garamond"/>
          <w:b/>
          <w:bCs/>
          <w:i/>
          <w:iCs/>
          <w:sz w:val="28"/>
          <w:szCs w:val="28"/>
        </w:rPr>
        <w:t>Keywords: Continuity, Transformation, Pesantren Tradition, Alum</w:t>
      </w:r>
      <w:r>
        <w:rPr>
          <w:rFonts w:ascii="Garamond" w:eastAsia="Garamond" w:hAnsi="Garamond" w:cs="Garamond"/>
          <w:b/>
          <w:bCs/>
          <w:i/>
          <w:iCs/>
          <w:sz w:val="28"/>
          <w:szCs w:val="28"/>
        </w:rPr>
        <w:t xml:space="preserve">ni Network, Musthafawiyah, Southern Tapanuli.  </w:t>
      </w:r>
    </w:p>
    <w:p w:rsidR="00A24EEF" w:rsidRDefault="003C36B1">
      <w:pPr>
        <w:spacing w:before="120" w:after="120"/>
        <w:ind w:right="-40"/>
        <w:jc w:val="both"/>
        <w:rPr>
          <w:rFonts w:ascii="Garamond" w:eastAsia="Garamond" w:hAnsi="Garamond" w:cs="Garamond"/>
          <w:b/>
          <w:bCs/>
          <w:sz w:val="28"/>
          <w:szCs w:val="28"/>
        </w:rPr>
      </w:pPr>
      <w:r>
        <w:rPr>
          <w:rFonts w:ascii="Garamond" w:eastAsia="Garamond" w:hAnsi="Garamond" w:cs="Garamond"/>
          <w:b/>
          <w:bCs/>
          <w:sz w:val="28"/>
          <w:szCs w:val="28"/>
        </w:rPr>
        <w:t xml:space="preserve"> </w:t>
      </w:r>
    </w:p>
    <w:p w:rsidR="00A24EEF" w:rsidRDefault="003C36B1">
      <w:pPr>
        <w:spacing w:before="120" w:after="120"/>
        <w:ind w:right="-40"/>
        <w:jc w:val="both"/>
        <w:rPr>
          <w:rFonts w:ascii="Garamond" w:eastAsia="Garamond" w:hAnsi="Garamond" w:cs="Garamond"/>
          <w:b/>
          <w:bCs/>
          <w:sz w:val="28"/>
          <w:szCs w:val="28"/>
        </w:rPr>
      </w:pPr>
      <w:r>
        <w:rPr>
          <w:rFonts w:ascii="Garamond" w:eastAsia="Garamond" w:hAnsi="Garamond" w:cs="Garamond"/>
          <w:b/>
          <w:bCs/>
          <w:sz w:val="28"/>
          <w:szCs w:val="28"/>
        </w:rPr>
        <w:t xml:space="preserve"> </w:t>
      </w:r>
    </w:p>
    <w:p w:rsidR="00A24EEF" w:rsidRDefault="003C36B1">
      <w:pPr>
        <w:spacing w:before="80" w:after="0"/>
        <w:jc w:val="both"/>
        <w:rPr>
          <w:rFonts w:ascii="Garamond" w:eastAsia="Garamond" w:hAnsi="Garamond" w:cs="Garamond"/>
          <w:b/>
          <w:bCs/>
          <w:sz w:val="28"/>
          <w:szCs w:val="28"/>
        </w:rPr>
      </w:pPr>
      <w:r>
        <w:rPr>
          <w:rFonts w:ascii="Garamond" w:eastAsia="Garamond" w:hAnsi="Garamond" w:cs="Garamond"/>
          <w:b/>
          <w:bCs/>
          <w:sz w:val="28"/>
          <w:szCs w:val="28"/>
        </w:rPr>
        <w:t>Introduction</w:t>
      </w:r>
    </w:p>
    <w:p w:rsidR="00A24EEF" w:rsidRDefault="003C36B1">
      <w:pPr>
        <w:spacing w:after="0" w:line="240" w:lineRule="auto"/>
        <w:ind w:firstLine="360"/>
        <w:jc w:val="both"/>
        <w:rPr>
          <w:rFonts w:ascii="Garamond" w:eastAsia="Garamond" w:hAnsi="Garamond" w:cs="Garamond"/>
          <w:b/>
          <w:bCs/>
          <w:sz w:val="28"/>
          <w:szCs w:val="28"/>
        </w:rPr>
      </w:pPr>
      <w:r>
        <w:rPr>
          <w:rFonts w:ascii="Garamond" w:eastAsia="Garamond" w:hAnsi="Garamond" w:cs="Garamond"/>
          <w:b/>
          <w:bCs/>
          <w:i/>
          <w:iCs/>
          <w:sz w:val="28"/>
          <w:szCs w:val="28"/>
        </w:rPr>
        <w:t>Pesantren</w:t>
      </w:r>
      <w:r>
        <w:rPr>
          <w:rFonts w:ascii="Garamond" w:eastAsia="Garamond" w:hAnsi="Garamond" w:cs="Garamond"/>
          <w:b/>
          <w:bCs/>
          <w:sz w:val="28"/>
          <w:szCs w:val="28"/>
        </w:rPr>
        <w:t xml:space="preserve"> or traditional Islamic boarding schools, represent one of the oldest and most influential institutions of Islamic education in Indonesia. Historically, pesantren have functioned not</w:t>
      </w:r>
      <w:r>
        <w:rPr>
          <w:rFonts w:ascii="Garamond" w:eastAsia="Garamond" w:hAnsi="Garamond" w:cs="Garamond"/>
          <w:b/>
          <w:bCs/>
          <w:sz w:val="28"/>
          <w:szCs w:val="28"/>
        </w:rPr>
        <w:t xml:space="preserve"> only as centers for the transmission of Islamic knowledge but also as socio-cultural institutions that shape religious authority, moral values, and community leadership. Through the leadership of the </w:t>
      </w:r>
      <w:r>
        <w:rPr>
          <w:rFonts w:ascii="Garamond" w:eastAsia="Garamond" w:hAnsi="Garamond" w:cs="Garamond"/>
          <w:b/>
          <w:bCs/>
          <w:i/>
          <w:iCs/>
          <w:sz w:val="28"/>
          <w:szCs w:val="28"/>
        </w:rPr>
        <w:t>kiai</w:t>
      </w:r>
      <w:r>
        <w:rPr>
          <w:rFonts w:ascii="Garamond" w:eastAsia="Garamond" w:hAnsi="Garamond" w:cs="Garamond"/>
          <w:b/>
          <w:bCs/>
          <w:sz w:val="28"/>
          <w:szCs w:val="28"/>
        </w:rPr>
        <w:t xml:space="preserve"> and the study of classical Islamic texts </w:t>
      </w:r>
      <w:r>
        <w:rPr>
          <w:rFonts w:ascii="Garamond" w:eastAsia="Garamond" w:hAnsi="Garamond" w:cs="Garamond"/>
          <w:b/>
          <w:bCs/>
          <w:i/>
          <w:iCs/>
          <w:sz w:val="28"/>
          <w:szCs w:val="28"/>
        </w:rPr>
        <w:t>(kitab ku</w:t>
      </w:r>
      <w:r>
        <w:rPr>
          <w:rFonts w:ascii="Garamond" w:eastAsia="Garamond" w:hAnsi="Garamond" w:cs="Garamond"/>
          <w:b/>
          <w:bCs/>
          <w:i/>
          <w:iCs/>
          <w:sz w:val="28"/>
          <w:szCs w:val="28"/>
        </w:rPr>
        <w:t>ning)</w:t>
      </w:r>
      <w:r>
        <w:rPr>
          <w:rFonts w:ascii="Garamond" w:eastAsia="Garamond" w:hAnsi="Garamond" w:cs="Garamond"/>
          <w:b/>
          <w:bCs/>
          <w:sz w:val="28"/>
          <w:szCs w:val="28"/>
        </w:rPr>
        <w:t xml:space="preserve">, pesantren have maintained a distinctive educational tradition that integrates intellectual, spiritual, and ethical formation of students (Dhofier, 1999; Azra, 2015). This educational model has enabled </w:t>
      </w:r>
      <w:r>
        <w:rPr>
          <w:rFonts w:ascii="Garamond" w:eastAsia="Garamond" w:hAnsi="Garamond" w:cs="Garamond"/>
          <w:b/>
          <w:bCs/>
          <w:i/>
          <w:iCs/>
          <w:sz w:val="28"/>
          <w:szCs w:val="28"/>
        </w:rPr>
        <w:t>pesantren</w:t>
      </w:r>
      <w:r>
        <w:rPr>
          <w:rFonts w:ascii="Garamond" w:eastAsia="Garamond" w:hAnsi="Garamond" w:cs="Garamond"/>
          <w:b/>
          <w:bCs/>
          <w:sz w:val="28"/>
          <w:szCs w:val="28"/>
        </w:rPr>
        <w:t xml:space="preserve"> to sustain their institutional existen</w:t>
      </w:r>
      <w:r>
        <w:rPr>
          <w:rFonts w:ascii="Garamond" w:eastAsia="Garamond" w:hAnsi="Garamond" w:cs="Garamond"/>
          <w:b/>
          <w:bCs/>
          <w:sz w:val="28"/>
          <w:szCs w:val="28"/>
        </w:rPr>
        <w:t>ce for centuries while preserving their identity as guardians of Islamic scholarly traditions within Indonesian Muslim society.</w:t>
      </w:r>
    </w:p>
    <w:p w:rsidR="00A24EEF" w:rsidRDefault="003C36B1">
      <w:pPr>
        <w:spacing w:after="0" w:line="240" w:lineRule="auto"/>
        <w:ind w:firstLine="360"/>
        <w:jc w:val="both"/>
        <w:rPr>
          <w:rFonts w:ascii="Garamond" w:eastAsia="Garamond" w:hAnsi="Garamond" w:cs="Garamond"/>
          <w:b/>
          <w:bCs/>
          <w:sz w:val="28"/>
          <w:szCs w:val="28"/>
        </w:rPr>
      </w:pPr>
      <w:r>
        <w:rPr>
          <w:rFonts w:ascii="Garamond" w:eastAsia="Garamond" w:hAnsi="Garamond" w:cs="Garamond"/>
          <w:b/>
          <w:bCs/>
          <w:sz w:val="28"/>
          <w:szCs w:val="28"/>
        </w:rPr>
        <w:t xml:space="preserve">Despite their strong traditional roots, </w:t>
      </w:r>
      <w:r>
        <w:rPr>
          <w:rFonts w:ascii="Garamond" w:eastAsia="Garamond" w:hAnsi="Garamond" w:cs="Garamond"/>
          <w:b/>
          <w:bCs/>
          <w:i/>
          <w:iCs/>
          <w:sz w:val="28"/>
          <w:szCs w:val="28"/>
        </w:rPr>
        <w:t>pesantren</w:t>
      </w:r>
      <w:r>
        <w:rPr>
          <w:rFonts w:ascii="Garamond" w:eastAsia="Garamond" w:hAnsi="Garamond" w:cs="Garamond"/>
          <w:b/>
          <w:bCs/>
          <w:sz w:val="28"/>
          <w:szCs w:val="28"/>
        </w:rPr>
        <w:t xml:space="preserve"> are not static institutions. In the contemporary era, </w:t>
      </w:r>
      <w:r>
        <w:rPr>
          <w:rFonts w:ascii="Garamond" w:eastAsia="Garamond" w:hAnsi="Garamond" w:cs="Garamond"/>
          <w:b/>
          <w:bCs/>
          <w:i/>
          <w:iCs/>
          <w:sz w:val="28"/>
          <w:szCs w:val="28"/>
        </w:rPr>
        <w:t>pesantren</w:t>
      </w:r>
      <w:r>
        <w:rPr>
          <w:rFonts w:ascii="Garamond" w:eastAsia="Garamond" w:hAnsi="Garamond" w:cs="Garamond"/>
          <w:b/>
          <w:bCs/>
          <w:sz w:val="28"/>
          <w:szCs w:val="28"/>
        </w:rPr>
        <w:t xml:space="preserve"> or Islamic boarding schools increasingly face pressures arising from modernization, globalization, and the expansion of national education systems. These developments require </w:t>
      </w:r>
      <w:r>
        <w:rPr>
          <w:rFonts w:ascii="Garamond" w:eastAsia="Garamond" w:hAnsi="Garamond" w:cs="Garamond"/>
          <w:b/>
          <w:bCs/>
          <w:i/>
          <w:iCs/>
          <w:sz w:val="28"/>
          <w:szCs w:val="28"/>
        </w:rPr>
        <w:t>pesantren</w:t>
      </w:r>
      <w:r>
        <w:rPr>
          <w:rFonts w:ascii="Garamond" w:eastAsia="Garamond" w:hAnsi="Garamond" w:cs="Garamond"/>
          <w:b/>
          <w:bCs/>
          <w:sz w:val="28"/>
          <w:szCs w:val="28"/>
        </w:rPr>
        <w:t xml:space="preserve"> to respond to new social demands such as curriculum standardization, i</w:t>
      </w:r>
      <w:r>
        <w:rPr>
          <w:rFonts w:ascii="Garamond" w:eastAsia="Garamond" w:hAnsi="Garamond" w:cs="Garamond"/>
          <w:b/>
          <w:bCs/>
          <w:sz w:val="28"/>
          <w:szCs w:val="28"/>
        </w:rPr>
        <w:t xml:space="preserve">nstitutional accreditation, and the integration of modern knowledge and digital technology into learning processes (Lateh et al., 2025). Consequently, </w:t>
      </w:r>
      <w:r>
        <w:rPr>
          <w:rFonts w:ascii="Garamond" w:eastAsia="Garamond" w:hAnsi="Garamond" w:cs="Garamond"/>
          <w:b/>
          <w:bCs/>
          <w:i/>
          <w:iCs/>
          <w:sz w:val="28"/>
          <w:szCs w:val="28"/>
        </w:rPr>
        <w:t>pesantren</w:t>
      </w:r>
      <w:r>
        <w:rPr>
          <w:rFonts w:ascii="Garamond" w:eastAsia="Garamond" w:hAnsi="Garamond" w:cs="Garamond"/>
          <w:b/>
          <w:bCs/>
          <w:sz w:val="28"/>
          <w:szCs w:val="28"/>
        </w:rPr>
        <w:t xml:space="preserve"> must balance the preservation of their traditional educational values with the need to adapt to</w:t>
      </w:r>
      <w:r>
        <w:rPr>
          <w:rFonts w:ascii="Garamond" w:eastAsia="Garamond" w:hAnsi="Garamond" w:cs="Garamond"/>
          <w:b/>
          <w:bCs/>
          <w:sz w:val="28"/>
          <w:szCs w:val="28"/>
        </w:rPr>
        <w:t xml:space="preserve"> changing socio-educational environments (Hefner, 2009; Wahid, 2007).  In many cases, pesantren have demonstrated remarkable adaptability by integrating formal education systems, modern curricula, </w:t>
      </w:r>
      <w:r>
        <w:rPr>
          <w:rFonts w:ascii="Garamond" w:eastAsia="Garamond" w:hAnsi="Garamond" w:cs="Garamond"/>
          <w:b/>
          <w:bCs/>
          <w:sz w:val="28"/>
          <w:szCs w:val="28"/>
        </w:rPr>
        <w:lastRenderedPageBreak/>
        <w:t>and innovative learning methods into their traditional educ</w:t>
      </w:r>
      <w:r>
        <w:rPr>
          <w:rFonts w:ascii="Garamond" w:eastAsia="Garamond" w:hAnsi="Garamond" w:cs="Garamond"/>
          <w:b/>
          <w:bCs/>
          <w:sz w:val="28"/>
          <w:szCs w:val="28"/>
        </w:rPr>
        <w:t>ational framework (Suresman et al., 2025).</w:t>
      </w:r>
    </w:p>
    <w:p w:rsidR="00A24EEF" w:rsidRDefault="003C36B1">
      <w:pPr>
        <w:spacing w:after="0" w:line="240" w:lineRule="auto"/>
        <w:ind w:firstLine="360"/>
        <w:jc w:val="both"/>
        <w:rPr>
          <w:rFonts w:ascii="Garamond" w:eastAsia="Garamond" w:hAnsi="Garamond" w:cs="Garamond"/>
          <w:b/>
          <w:bCs/>
          <w:sz w:val="28"/>
          <w:szCs w:val="28"/>
        </w:rPr>
      </w:pPr>
      <w:r>
        <w:rPr>
          <w:rFonts w:ascii="Garamond" w:eastAsia="Garamond" w:hAnsi="Garamond" w:cs="Garamond"/>
          <w:b/>
          <w:bCs/>
          <w:sz w:val="28"/>
          <w:szCs w:val="28"/>
        </w:rPr>
        <w:t xml:space="preserve">Scholarly discussions on </w:t>
      </w:r>
      <w:r>
        <w:rPr>
          <w:rFonts w:ascii="Garamond" w:eastAsia="Garamond" w:hAnsi="Garamond" w:cs="Garamond"/>
          <w:b/>
          <w:bCs/>
          <w:i/>
          <w:iCs/>
          <w:sz w:val="28"/>
          <w:szCs w:val="28"/>
        </w:rPr>
        <w:t>pesantren</w:t>
      </w:r>
      <w:r>
        <w:rPr>
          <w:rFonts w:ascii="Garamond" w:eastAsia="Garamond" w:hAnsi="Garamond" w:cs="Garamond"/>
          <w:b/>
          <w:bCs/>
          <w:sz w:val="28"/>
          <w:szCs w:val="28"/>
        </w:rPr>
        <w:t xml:space="preserve"> have extensively examined their historical development, institutional structure, and responses to modernity. Classical studies by Dhofier  (1999) and Bruinessen (1994) emphasize the central role of the </w:t>
      </w:r>
      <w:r>
        <w:rPr>
          <w:rFonts w:ascii="Garamond" w:eastAsia="Garamond" w:hAnsi="Garamond" w:cs="Garamond"/>
          <w:b/>
          <w:bCs/>
          <w:i/>
          <w:iCs/>
          <w:sz w:val="28"/>
          <w:szCs w:val="28"/>
        </w:rPr>
        <w:t>kiai</w:t>
      </w:r>
      <w:r>
        <w:rPr>
          <w:rFonts w:ascii="Garamond" w:eastAsia="Garamond" w:hAnsi="Garamond" w:cs="Garamond"/>
          <w:b/>
          <w:bCs/>
          <w:sz w:val="28"/>
          <w:szCs w:val="28"/>
        </w:rPr>
        <w:t xml:space="preserve"> and the tradition of classical Islamic scholarsh</w:t>
      </w:r>
      <w:r>
        <w:rPr>
          <w:rFonts w:ascii="Garamond" w:eastAsia="Garamond" w:hAnsi="Garamond" w:cs="Garamond"/>
          <w:b/>
          <w:bCs/>
          <w:sz w:val="28"/>
          <w:szCs w:val="28"/>
        </w:rPr>
        <w:t xml:space="preserve">ip in sustaining </w:t>
      </w:r>
      <w:r>
        <w:rPr>
          <w:rFonts w:ascii="Garamond" w:eastAsia="Garamond" w:hAnsi="Garamond" w:cs="Garamond"/>
          <w:b/>
          <w:bCs/>
          <w:i/>
          <w:iCs/>
          <w:sz w:val="28"/>
          <w:szCs w:val="28"/>
        </w:rPr>
        <w:t>pesantren</w:t>
      </w:r>
      <w:r>
        <w:rPr>
          <w:rFonts w:ascii="Garamond" w:eastAsia="Garamond" w:hAnsi="Garamond" w:cs="Garamond"/>
          <w:b/>
          <w:bCs/>
          <w:sz w:val="28"/>
          <w:szCs w:val="28"/>
        </w:rPr>
        <w:t xml:space="preserve"> education. Meanwhile, contemporary studies highlight the capacity of pesantren to adapt to social transformation and modern educational challenges while maintaining their religious identity (Alif et al. 2025; Hefner; 2009). These</w:t>
      </w:r>
      <w:r>
        <w:rPr>
          <w:rFonts w:ascii="Garamond" w:eastAsia="Garamond" w:hAnsi="Garamond" w:cs="Garamond"/>
          <w:b/>
          <w:bCs/>
          <w:sz w:val="28"/>
          <w:szCs w:val="28"/>
        </w:rPr>
        <w:t xml:space="preserve"> studies demonstrate that </w:t>
      </w:r>
      <w:r>
        <w:rPr>
          <w:rFonts w:ascii="Garamond" w:eastAsia="Garamond" w:hAnsi="Garamond" w:cs="Garamond"/>
          <w:b/>
          <w:bCs/>
          <w:i/>
          <w:iCs/>
          <w:sz w:val="28"/>
          <w:szCs w:val="28"/>
        </w:rPr>
        <w:t>pesantren</w:t>
      </w:r>
      <w:r>
        <w:rPr>
          <w:rFonts w:ascii="Garamond" w:eastAsia="Garamond" w:hAnsi="Garamond" w:cs="Garamond"/>
          <w:b/>
          <w:bCs/>
          <w:sz w:val="28"/>
          <w:szCs w:val="28"/>
        </w:rPr>
        <w:t xml:space="preserve"> traditions are not merely preserved but continuously negotiated and reconstructed in response to changing socio-cultural contexts.</w:t>
      </w:r>
    </w:p>
    <w:p w:rsidR="00A24EEF" w:rsidRDefault="003C36B1">
      <w:pPr>
        <w:spacing w:after="0" w:line="240" w:lineRule="auto"/>
        <w:ind w:firstLine="360"/>
        <w:jc w:val="both"/>
        <w:rPr>
          <w:rFonts w:ascii="Garamond" w:eastAsia="Garamond" w:hAnsi="Garamond" w:cs="Garamond"/>
          <w:b/>
          <w:bCs/>
          <w:sz w:val="28"/>
          <w:szCs w:val="28"/>
        </w:rPr>
      </w:pPr>
      <w:r>
        <w:rPr>
          <w:rFonts w:ascii="Garamond" w:eastAsia="Garamond" w:hAnsi="Garamond" w:cs="Garamond"/>
          <w:b/>
          <w:bCs/>
          <w:sz w:val="28"/>
          <w:szCs w:val="28"/>
        </w:rPr>
        <w:t>However, most existing studies on pesantren primarily focus on institutions located in Ja</w:t>
      </w:r>
      <w:r>
        <w:rPr>
          <w:rFonts w:ascii="Garamond" w:eastAsia="Garamond" w:hAnsi="Garamond" w:cs="Garamond"/>
          <w:b/>
          <w:bCs/>
          <w:sz w:val="28"/>
          <w:szCs w:val="28"/>
        </w:rPr>
        <w:t xml:space="preserve">va, which has historically been considered the main center of </w:t>
      </w:r>
      <w:r>
        <w:rPr>
          <w:rFonts w:ascii="Garamond" w:eastAsia="Garamond" w:hAnsi="Garamond" w:cs="Garamond"/>
          <w:b/>
          <w:bCs/>
          <w:i/>
          <w:iCs/>
          <w:sz w:val="28"/>
          <w:szCs w:val="28"/>
        </w:rPr>
        <w:t>pesantren</w:t>
      </w:r>
      <w:r>
        <w:rPr>
          <w:rFonts w:ascii="Garamond" w:eastAsia="Garamond" w:hAnsi="Garamond" w:cs="Garamond"/>
          <w:b/>
          <w:bCs/>
          <w:sz w:val="28"/>
          <w:szCs w:val="28"/>
        </w:rPr>
        <w:t xml:space="preserve"> development in Indonesia. Consequently, scholarly attention to </w:t>
      </w:r>
      <w:r>
        <w:rPr>
          <w:rFonts w:ascii="Garamond" w:eastAsia="Garamond" w:hAnsi="Garamond" w:cs="Garamond"/>
          <w:b/>
          <w:bCs/>
          <w:i/>
          <w:iCs/>
          <w:sz w:val="28"/>
          <w:szCs w:val="28"/>
        </w:rPr>
        <w:t>pesantren</w:t>
      </w:r>
      <w:r>
        <w:rPr>
          <w:rFonts w:ascii="Garamond" w:eastAsia="Garamond" w:hAnsi="Garamond" w:cs="Garamond"/>
          <w:b/>
          <w:bCs/>
          <w:sz w:val="28"/>
          <w:szCs w:val="28"/>
        </w:rPr>
        <w:t xml:space="preserve"> traditions in other regions—particularly in Sumatra—remains relatively limited. This imbalance is significant b</w:t>
      </w:r>
      <w:r>
        <w:rPr>
          <w:rFonts w:ascii="Garamond" w:eastAsia="Garamond" w:hAnsi="Garamond" w:cs="Garamond"/>
          <w:b/>
          <w:bCs/>
          <w:sz w:val="28"/>
          <w:szCs w:val="28"/>
        </w:rPr>
        <w:t xml:space="preserve">ecause </w:t>
      </w:r>
      <w:r>
        <w:rPr>
          <w:rFonts w:ascii="Garamond" w:eastAsia="Garamond" w:hAnsi="Garamond" w:cs="Garamond"/>
          <w:b/>
          <w:bCs/>
          <w:i/>
          <w:iCs/>
          <w:sz w:val="28"/>
          <w:szCs w:val="28"/>
        </w:rPr>
        <w:t>pesantren</w:t>
      </w:r>
      <w:r>
        <w:rPr>
          <w:rFonts w:ascii="Garamond" w:eastAsia="Garamond" w:hAnsi="Garamond" w:cs="Garamond"/>
          <w:b/>
          <w:bCs/>
          <w:sz w:val="28"/>
          <w:szCs w:val="28"/>
        </w:rPr>
        <w:t xml:space="preserve"> outside Java have played important roles in shaping regional Islamic educational landscapes and networks of religious authority (Burhanuddin, 2014).</w:t>
      </w:r>
    </w:p>
    <w:p w:rsidR="00A24EEF" w:rsidRDefault="003C36B1">
      <w:pPr>
        <w:spacing w:after="0" w:line="240" w:lineRule="auto"/>
        <w:ind w:firstLine="360"/>
        <w:jc w:val="both"/>
        <w:rPr>
          <w:rFonts w:ascii="Garamond" w:eastAsia="Garamond" w:hAnsi="Garamond" w:cs="Garamond"/>
          <w:b/>
          <w:bCs/>
          <w:sz w:val="28"/>
          <w:szCs w:val="28"/>
        </w:rPr>
      </w:pPr>
      <w:r>
        <w:rPr>
          <w:rFonts w:ascii="Garamond" w:eastAsia="Garamond" w:hAnsi="Garamond" w:cs="Garamond"/>
          <w:b/>
          <w:bCs/>
          <w:sz w:val="28"/>
          <w:szCs w:val="28"/>
        </w:rPr>
        <w:t>In addition, limited attention has been given to the role of alumni networks in reproducin</w:t>
      </w:r>
      <w:r>
        <w:rPr>
          <w:rFonts w:ascii="Garamond" w:eastAsia="Garamond" w:hAnsi="Garamond" w:cs="Garamond"/>
          <w:b/>
          <w:bCs/>
          <w:sz w:val="28"/>
          <w:szCs w:val="28"/>
        </w:rPr>
        <w:t xml:space="preserve">g </w:t>
      </w:r>
      <w:r>
        <w:rPr>
          <w:rFonts w:ascii="Garamond" w:eastAsia="Garamond" w:hAnsi="Garamond" w:cs="Garamond"/>
          <w:b/>
          <w:bCs/>
          <w:i/>
          <w:iCs/>
          <w:sz w:val="28"/>
          <w:szCs w:val="28"/>
        </w:rPr>
        <w:t>pesantren</w:t>
      </w:r>
      <w:r>
        <w:rPr>
          <w:rFonts w:ascii="Garamond" w:eastAsia="Garamond" w:hAnsi="Garamond" w:cs="Garamond"/>
          <w:b/>
          <w:bCs/>
          <w:sz w:val="28"/>
          <w:szCs w:val="28"/>
        </w:rPr>
        <w:t xml:space="preserve"> traditions across multiple institutions. Previous studies tend to focus on institutional transformation within individual </w:t>
      </w:r>
      <w:r>
        <w:rPr>
          <w:rFonts w:ascii="Garamond" w:eastAsia="Garamond" w:hAnsi="Garamond" w:cs="Garamond"/>
          <w:b/>
          <w:bCs/>
          <w:i/>
          <w:iCs/>
          <w:sz w:val="28"/>
          <w:szCs w:val="28"/>
        </w:rPr>
        <w:t>pesantren</w:t>
      </w:r>
      <w:r>
        <w:rPr>
          <w:rFonts w:ascii="Garamond" w:eastAsia="Garamond" w:hAnsi="Garamond" w:cs="Garamond"/>
          <w:b/>
          <w:bCs/>
          <w:sz w:val="28"/>
          <w:szCs w:val="28"/>
        </w:rPr>
        <w:t xml:space="preserve"> rather than examining the broader mechanisms through which </w:t>
      </w:r>
      <w:r>
        <w:rPr>
          <w:rFonts w:ascii="Garamond" w:eastAsia="Garamond" w:hAnsi="Garamond" w:cs="Garamond"/>
          <w:b/>
          <w:bCs/>
          <w:i/>
          <w:iCs/>
          <w:sz w:val="28"/>
          <w:szCs w:val="28"/>
        </w:rPr>
        <w:t>pesantren</w:t>
      </w:r>
      <w:r>
        <w:rPr>
          <w:rFonts w:ascii="Garamond" w:eastAsia="Garamond" w:hAnsi="Garamond" w:cs="Garamond"/>
          <w:b/>
          <w:bCs/>
          <w:sz w:val="28"/>
          <w:szCs w:val="28"/>
        </w:rPr>
        <w:t xml:space="preserve"> traditions are reproduced and sustained acr</w:t>
      </w:r>
      <w:r>
        <w:rPr>
          <w:rFonts w:ascii="Garamond" w:eastAsia="Garamond" w:hAnsi="Garamond" w:cs="Garamond"/>
          <w:b/>
          <w:bCs/>
          <w:sz w:val="28"/>
          <w:szCs w:val="28"/>
        </w:rPr>
        <w:t>oss interconnected pesantren communities.</w:t>
      </w:r>
    </w:p>
    <w:p w:rsidR="00A24EEF" w:rsidRDefault="003C36B1">
      <w:pPr>
        <w:spacing w:after="0" w:line="240" w:lineRule="auto"/>
        <w:ind w:firstLine="360"/>
        <w:jc w:val="both"/>
        <w:rPr>
          <w:rFonts w:ascii="Garamond" w:eastAsia="Garamond" w:hAnsi="Garamond" w:cs="Garamond"/>
          <w:b/>
          <w:bCs/>
          <w:sz w:val="28"/>
          <w:szCs w:val="28"/>
        </w:rPr>
      </w:pPr>
      <w:r>
        <w:rPr>
          <w:rFonts w:ascii="Garamond" w:eastAsia="Garamond" w:hAnsi="Garamond" w:cs="Garamond"/>
          <w:b/>
          <w:bCs/>
          <w:sz w:val="28"/>
          <w:szCs w:val="28"/>
        </w:rPr>
        <w:t xml:space="preserve">One important yet understudied mechanism in this regard is the role of alumni networks in the reproduction of </w:t>
      </w:r>
      <w:r>
        <w:rPr>
          <w:rFonts w:ascii="Garamond" w:eastAsia="Garamond" w:hAnsi="Garamond" w:cs="Garamond"/>
          <w:b/>
          <w:bCs/>
          <w:i/>
          <w:iCs/>
          <w:sz w:val="28"/>
          <w:szCs w:val="28"/>
        </w:rPr>
        <w:t>pesantren</w:t>
      </w:r>
      <w:r>
        <w:rPr>
          <w:rFonts w:ascii="Garamond" w:eastAsia="Garamond" w:hAnsi="Garamond" w:cs="Garamond"/>
          <w:b/>
          <w:bCs/>
          <w:sz w:val="28"/>
          <w:szCs w:val="28"/>
        </w:rPr>
        <w:t xml:space="preserve"> traditions. Alumni who establish new </w:t>
      </w:r>
      <w:r>
        <w:rPr>
          <w:rFonts w:ascii="Garamond" w:eastAsia="Garamond" w:hAnsi="Garamond" w:cs="Garamond"/>
          <w:b/>
          <w:bCs/>
          <w:i/>
          <w:iCs/>
          <w:sz w:val="28"/>
          <w:szCs w:val="28"/>
        </w:rPr>
        <w:t>pesantren</w:t>
      </w:r>
      <w:r>
        <w:rPr>
          <w:rFonts w:ascii="Garamond" w:eastAsia="Garamond" w:hAnsi="Garamond" w:cs="Garamond"/>
          <w:b/>
          <w:bCs/>
          <w:sz w:val="28"/>
          <w:szCs w:val="28"/>
        </w:rPr>
        <w:t xml:space="preserve"> frequently reproduce educational practices, rel</w:t>
      </w:r>
      <w:r>
        <w:rPr>
          <w:rFonts w:ascii="Garamond" w:eastAsia="Garamond" w:hAnsi="Garamond" w:cs="Garamond"/>
          <w:b/>
          <w:bCs/>
          <w:sz w:val="28"/>
          <w:szCs w:val="28"/>
        </w:rPr>
        <w:t xml:space="preserve">igious values, and institutional cultures inherited from their original institutions while simultaneously adapting them to new social environments. Through this process, </w:t>
      </w:r>
      <w:r>
        <w:rPr>
          <w:rFonts w:ascii="Garamond" w:eastAsia="Garamond" w:hAnsi="Garamond" w:cs="Garamond"/>
          <w:b/>
          <w:bCs/>
          <w:i/>
          <w:iCs/>
          <w:sz w:val="28"/>
          <w:szCs w:val="28"/>
        </w:rPr>
        <w:t>pesantren</w:t>
      </w:r>
      <w:r>
        <w:rPr>
          <w:rFonts w:ascii="Garamond" w:eastAsia="Garamond" w:hAnsi="Garamond" w:cs="Garamond"/>
          <w:b/>
          <w:bCs/>
          <w:sz w:val="28"/>
          <w:szCs w:val="28"/>
        </w:rPr>
        <w:t xml:space="preserve"> traditions are transmitted across generations and geographical spaces while </w:t>
      </w:r>
      <w:r>
        <w:rPr>
          <w:rFonts w:ascii="Garamond" w:eastAsia="Garamond" w:hAnsi="Garamond" w:cs="Garamond"/>
          <w:b/>
          <w:bCs/>
          <w:sz w:val="28"/>
          <w:szCs w:val="28"/>
        </w:rPr>
        <w:t>undergoing gradual transformation.</w:t>
      </w:r>
    </w:p>
    <w:p w:rsidR="00A24EEF" w:rsidRDefault="003C36B1">
      <w:pPr>
        <w:spacing w:after="0" w:line="240" w:lineRule="auto"/>
        <w:ind w:firstLine="360"/>
        <w:jc w:val="both"/>
        <w:rPr>
          <w:rFonts w:ascii="Garamond" w:eastAsia="Garamond" w:hAnsi="Garamond" w:cs="Garamond"/>
          <w:b/>
          <w:bCs/>
          <w:sz w:val="28"/>
          <w:szCs w:val="28"/>
        </w:rPr>
      </w:pPr>
      <w:r>
        <w:rPr>
          <w:rFonts w:ascii="Garamond" w:eastAsia="Garamond" w:hAnsi="Garamond" w:cs="Garamond"/>
          <w:b/>
          <w:bCs/>
          <w:sz w:val="28"/>
          <w:szCs w:val="28"/>
        </w:rPr>
        <w:t xml:space="preserve">This phenomenon can be clearly observed in the case of Musthafawiyah (also known as the Pesantren Musthafawiyah Purbabaru), one of the most influential traditional Islamic boarding schools in Sumatra. Established in 1912 </w:t>
      </w:r>
      <w:r>
        <w:rPr>
          <w:rFonts w:ascii="Garamond" w:eastAsia="Garamond" w:hAnsi="Garamond" w:cs="Garamond"/>
          <w:b/>
          <w:bCs/>
          <w:sz w:val="28"/>
          <w:szCs w:val="28"/>
        </w:rPr>
        <w:t>by Sheikh Musthafa Husein al-</w:t>
      </w:r>
      <w:r>
        <w:rPr>
          <w:rFonts w:ascii="Garamond" w:eastAsia="Garamond" w:hAnsi="Garamond" w:cs="Garamond"/>
          <w:b/>
          <w:bCs/>
          <w:sz w:val="28"/>
          <w:szCs w:val="28"/>
        </w:rPr>
        <w:lastRenderedPageBreak/>
        <w:t xml:space="preserve">Mandili, Musthafawiyah has developed into a major center of traditional Islamic learning in Southern Tapanuli-North Sumatera. Over the decades, the institution has produced a wide network of alumni who later founded numerous </w:t>
      </w:r>
      <w:r>
        <w:rPr>
          <w:rFonts w:ascii="Garamond" w:eastAsia="Garamond" w:hAnsi="Garamond" w:cs="Garamond"/>
          <w:b/>
          <w:bCs/>
          <w:i/>
          <w:iCs/>
          <w:sz w:val="28"/>
          <w:szCs w:val="28"/>
        </w:rPr>
        <w:t>pe</w:t>
      </w:r>
      <w:r>
        <w:rPr>
          <w:rFonts w:ascii="Garamond" w:eastAsia="Garamond" w:hAnsi="Garamond" w:cs="Garamond"/>
          <w:b/>
          <w:bCs/>
          <w:i/>
          <w:iCs/>
          <w:sz w:val="28"/>
          <w:szCs w:val="28"/>
        </w:rPr>
        <w:t>santren</w:t>
      </w:r>
      <w:r>
        <w:rPr>
          <w:rFonts w:ascii="Garamond" w:eastAsia="Garamond" w:hAnsi="Garamond" w:cs="Garamond"/>
          <w:b/>
          <w:bCs/>
          <w:sz w:val="28"/>
          <w:szCs w:val="28"/>
        </w:rPr>
        <w:t xml:space="preserve"> across the region. Through this alumni network, the pedagogical system, religious values, and intellectual traditions of Musthafawiyah continue to be transmitted while simultaneously undergoing adaptation in response to local social conditions and </w:t>
      </w:r>
      <w:r>
        <w:rPr>
          <w:rFonts w:ascii="Garamond" w:eastAsia="Garamond" w:hAnsi="Garamond" w:cs="Garamond"/>
          <w:b/>
          <w:bCs/>
          <w:sz w:val="28"/>
          <w:szCs w:val="28"/>
        </w:rPr>
        <w:t>contemporary educational developments (Musa, 2022).</w:t>
      </w:r>
    </w:p>
    <w:p w:rsidR="00A24EEF" w:rsidRDefault="003C36B1">
      <w:pPr>
        <w:spacing w:after="0" w:line="240" w:lineRule="auto"/>
        <w:ind w:firstLine="360"/>
        <w:jc w:val="both"/>
        <w:rPr>
          <w:rFonts w:ascii="Garamond" w:eastAsia="Garamond" w:hAnsi="Garamond" w:cs="Garamond"/>
          <w:b/>
          <w:bCs/>
          <w:sz w:val="28"/>
          <w:szCs w:val="28"/>
        </w:rPr>
      </w:pPr>
      <w:r>
        <w:rPr>
          <w:rFonts w:ascii="Garamond" w:eastAsia="Garamond" w:hAnsi="Garamond" w:cs="Garamond"/>
          <w:b/>
          <w:bCs/>
          <w:sz w:val="28"/>
          <w:szCs w:val="28"/>
        </w:rPr>
        <w:t>To understand this dynamic process, this study employs the perspective of continuity and transformation in educational traditions. This perspective highlights the interaction between the preservation of i</w:t>
      </w:r>
      <w:r>
        <w:rPr>
          <w:rFonts w:ascii="Garamond" w:eastAsia="Garamond" w:hAnsi="Garamond" w:cs="Garamond"/>
          <w:b/>
          <w:bCs/>
          <w:sz w:val="28"/>
          <w:szCs w:val="28"/>
        </w:rPr>
        <w:t xml:space="preserve">nherited educational practices and adaptive responses to changing social contexts. In addition, this study draws on Pierre Bourdieu’s theory of habitus and social reproduction, which explains how cultural and intellectual traditions are reproduced through </w:t>
      </w:r>
      <w:r>
        <w:rPr>
          <w:rFonts w:ascii="Garamond" w:eastAsia="Garamond" w:hAnsi="Garamond" w:cs="Garamond"/>
          <w:b/>
          <w:bCs/>
          <w:sz w:val="28"/>
          <w:szCs w:val="28"/>
        </w:rPr>
        <w:t xml:space="preserve">educational institutions and social networks (Bourdieu, 1997). Within the context of </w:t>
      </w:r>
      <w:r>
        <w:rPr>
          <w:rFonts w:ascii="Garamond" w:eastAsia="Garamond" w:hAnsi="Garamond" w:cs="Garamond"/>
          <w:b/>
          <w:bCs/>
          <w:i/>
          <w:iCs/>
          <w:sz w:val="28"/>
          <w:szCs w:val="28"/>
        </w:rPr>
        <w:t>pesantren</w:t>
      </w:r>
      <w:r>
        <w:rPr>
          <w:rFonts w:ascii="Garamond" w:eastAsia="Garamond" w:hAnsi="Garamond" w:cs="Garamond"/>
          <w:b/>
          <w:bCs/>
          <w:sz w:val="28"/>
          <w:szCs w:val="28"/>
        </w:rPr>
        <w:t>, the transmission of knowledge, values, and religious authority from teachers to students forms a system of habitus that shapes the worldview and educational pra</w:t>
      </w:r>
      <w:r>
        <w:rPr>
          <w:rFonts w:ascii="Garamond" w:eastAsia="Garamond" w:hAnsi="Garamond" w:cs="Garamond"/>
          <w:b/>
          <w:bCs/>
          <w:sz w:val="28"/>
          <w:szCs w:val="28"/>
        </w:rPr>
        <w:t xml:space="preserve">ctices of santri. When alumni establish new </w:t>
      </w:r>
      <w:r>
        <w:rPr>
          <w:rFonts w:ascii="Garamond" w:eastAsia="Garamond" w:hAnsi="Garamond" w:cs="Garamond"/>
          <w:b/>
          <w:bCs/>
          <w:i/>
          <w:iCs/>
          <w:sz w:val="28"/>
          <w:szCs w:val="28"/>
        </w:rPr>
        <w:t>pesantren</w:t>
      </w:r>
      <w:r>
        <w:rPr>
          <w:rFonts w:ascii="Garamond" w:eastAsia="Garamond" w:hAnsi="Garamond" w:cs="Garamond"/>
          <w:b/>
          <w:bCs/>
          <w:sz w:val="28"/>
          <w:szCs w:val="28"/>
        </w:rPr>
        <w:t>, they reproduce these inherited traditions while simultaneously adapting them to new institutional and social environments.</w:t>
      </w:r>
    </w:p>
    <w:p w:rsidR="00A24EEF" w:rsidRDefault="003C36B1">
      <w:pPr>
        <w:spacing w:after="0" w:line="240" w:lineRule="auto"/>
        <w:ind w:firstLine="360"/>
        <w:jc w:val="both"/>
        <w:rPr>
          <w:rFonts w:ascii="Garamond" w:eastAsia="Garamond" w:hAnsi="Garamond" w:cs="Garamond"/>
          <w:b/>
          <w:bCs/>
          <w:sz w:val="28"/>
          <w:szCs w:val="28"/>
        </w:rPr>
      </w:pPr>
      <w:r>
        <w:rPr>
          <w:rFonts w:ascii="Garamond" w:eastAsia="Garamond" w:hAnsi="Garamond" w:cs="Garamond"/>
          <w:b/>
          <w:bCs/>
          <w:sz w:val="28"/>
          <w:szCs w:val="28"/>
        </w:rPr>
        <w:t xml:space="preserve">Therefore, this study aims to examine the continuity and transformation of </w:t>
      </w:r>
      <w:r>
        <w:rPr>
          <w:rFonts w:ascii="Garamond" w:eastAsia="Garamond" w:hAnsi="Garamond" w:cs="Garamond"/>
          <w:b/>
          <w:bCs/>
          <w:i/>
          <w:iCs/>
          <w:sz w:val="28"/>
          <w:szCs w:val="28"/>
        </w:rPr>
        <w:t>pes</w:t>
      </w:r>
      <w:r>
        <w:rPr>
          <w:rFonts w:ascii="Garamond" w:eastAsia="Garamond" w:hAnsi="Garamond" w:cs="Garamond"/>
          <w:b/>
          <w:bCs/>
          <w:i/>
          <w:iCs/>
          <w:sz w:val="28"/>
          <w:szCs w:val="28"/>
        </w:rPr>
        <w:t>antren</w:t>
      </w:r>
      <w:r>
        <w:rPr>
          <w:rFonts w:ascii="Garamond" w:eastAsia="Garamond" w:hAnsi="Garamond" w:cs="Garamond"/>
          <w:b/>
          <w:bCs/>
          <w:sz w:val="28"/>
          <w:szCs w:val="28"/>
        </w:rPr>
        <w:t xml:space="preserve"> traditions through the alumni network of Musthafawiyah Islamic boarding school in Southern Tapanuli. By analyzing how educational practices, religious values, and institutional structures are maintained and transformed within alumni-established </w:t>
      </w:r>
      <w:r>
        <w:rPr>
          <w:rFonts w:ascii="Garamond" w:eastAsia="Garamond" w:hAnsi="Garamond" w:cs="Garamond"/>
          <w:b/>
          <w:bCs/>
          <w:i/>
          <w:iCs/>
          <w:sz w:val="28"/>
          <w:szCs w:val="28"/>
        </w:rPr>
        <w:t>pesa</w:t>
      </w:r>
      <w:r>
        <w:rPr>
          <w:rFonts w:ascii="Garamond" w:eastAsia="Garamond" w:hAnsi="Garamond" w:cs="Garamond"/>
          <w:b/>
          <w:bCs/>
          <w:i/>
          <w:iCs/>
          <w:sz w:val="28"/>
          <w:szCs w:val="28"/>
        </w:rPr>
        <w:t>ntren</w:t>
      </w:r>
      <w:r>
        <w:rPr>
          <w:rFonts w:ascii="Garamond" w:eastAsia="Garamond" w:hAnsi="Garamond" w:cs="Garamond"/>
          <w:b/>
          <w:bCs/>
          <w:sz w:val="28"/>
          <w:szCs w:val="28"/>
        </w:rPr>
        <w:t xml:space="preserve">, this research seeks to contribute to a deeper understanding of how </w:t>
      </w:r>
      <w:r>
        <w:rPr>
          <w:rFonts w:ascii="Garamond" w:eastAsia="Garamond" w:hAnsi="Garamond" w:cs="Garamond"/>
          <w:b/>
          <w:bCs/>
          <w:i/>
          <w:iCs/>
          <w:sz w:val="28"/>
          <w:szCs w:val="28"/>
        </w:rPr>
        <w:t>pesantren</w:t>
      </w:r>
      <w:r>
        <w:rPr>
          <w:rFonts w:ascii="Garamond" w:eastAsia="Garamond" w:hAnsi="Garamond" w:cs="Garamond"/>
          <w:b/>
          <w:bCs/>
          <w:sz w:val="28"/>
          <w:szCs w:val="28"/>
        </w:rPr>
        <w:t xml:space="preserve"> traditions remain resilient while adapting to modern socio-educational challenges. Furthermore, this study expands the geographical scope of </w:t>
      </w:r>
      <w:r>
        <w:rPr>
          <w:rFonts w:ascii="Garamond" w:eastAsia="Garamond" w:hAnsi="Garamond" w:cs="Garamond"/>
          <w:b/>
          <w:bCs/>
          <w:i/>
          <w:iCs/>
          <w:sz w:val="28"/>
          <w:szCs w:val="28"/>
        </w:rPr>
        <w:t>pesantren</w:t>
      </w:r>
      <w:r>
        <w:rPr>
          <w:rFonts w:ascii="Garamond" w:eastAsia="Garamond" w:hAnsi="Garamond" w:cs="Garamond"/>
          <w:b/>
          <w:bCs/>
          <w:sz w:val="28"/>
          <w:szCs w:val="28"/>
        </w:rPr>
        <w:t xml:space="preserve"> research by highlight</w:t>
      </w:r>
      <w:r>
        <w:rPr>
          <w:rFonts w:ascii="Garamond" w:eastAsia="Garamond" w:hAnsi="Garamond" w:cs="Garamond"/>
          <w:b/>
          <w:bCs/>
          <w:sz w:val="28"/>
          <w:szCs w:val="28"/>
        </w:rPr>
        <w:t xml:space="preserve">ing the dynamics of Islamic educational traditions outside Java, particularly in the context of </w:t>
      </w:r>
      <w:r>
        <w:rPr>
          <w:rFonts w:ascii="Garamond" w:eastAsia="Garamond" w:hAnsi="Garamond" w:cs="Garamond"/>
          <w:b/>
          <w:bCs/>
          <w:i/>
          <w:iCs/>
          <w:sz w:val="28"/>
          <w:szCs w:val="28"/>
        </w:rPr>
        <w:t>pesantren</w:t>
      </w:r>
      <w:r>
        <w:rPr>
          <w:rFonts w:ascii="Garamond" w:eastAsia="Garamond" w:hAnsi="Garamond" w:cs="Garamond"/>
          <w:b/>
          <w:bCs/>
          <w:sz w:val="28"/>
          <w:szCs w:val="28"/>
        </w:rPr>
        <w:t xml:space="preserve"> networks in Sumatra.</w:t>
      </w:r>
    </w:p>
    <w:p w:rsidR="00A24EEF" w:rsidRDefault="003C36B1">
      <w:pPr>
        <w:spacing w:after="0" w:line="240" w:lineRule="auto"/>
        <w:ind w:firstLine="20"/>
        <w:jc w:val="both"/>
        <w:rPr>
          <w:rFonts w:ascii="Garamond" w:eastAsia="Garamond" w:hAnsi="Garamond" w:cs="Garamond"/>
          <w:b/>
          <w:bCs/>
          <w:sz w:val="28"/>
          <w:szCs w:val="28"/>
        </w:rPr>
      </w:pPr>
      <w:r>
        <w:rPr>
          <w:rFonts w:ascii="Garamond" w:eastAsia="Garamond" w:hAnsi="Garamond" w:cs="Garamond"/>
          <w:b/>
          <w:bCs/>
          <w:sz w:val="28"/>
          <w:szCs w:val="28"/>
        </w:rPr>
        <w:t>By focusing on the alumni network of Musthafawiyah, this study contributes to the broader scholarship on Islamic education by dem</w:t>
      </w:r>
      <w:r>
        <w:rPr>
          <w:rFonts w:ascii="Garamond" w:eastAsia="Garamond" w:hAnsi="Garamond" w:cs="Garamond"/>
          <w:b/>
          <w:bCs/>
          <w:sz w:val="28"/>
          <w:szCs w:val="28"/>
        </w:rPr>
        <w:t xml:space="preserve">onstrating how pesantren traditions are reproduced through social networks while simultaneously undergoing transformation in response to changing socio-educational contexts. </w:t>
      </w:r>
    </w:p>
    <w:p w:rsidR="00A24EEF" w:rsidRDefault="00A24EEF">
      <w:pPr>
        <w:spacing w:after="0" w:line="240" w:lineRule="auto"/>
        <w:ind w:firstLine="360"/>
        <w:jc w:val="both"/>
        <w:rPr>
          <w:rFonts w:ascii="Garamond" w:eastAsia="Garamond" w:hAnsi="Garamond" w:cs="Garamond"/>
          <w:b/>
          <w:bCs/>
          <w:i/>
          <w:iCs/>
          <w:sz w:val="28"/>
          <w:szCs w:val="28"/>
        </w:rPr>
      </w:pPr>
    </w:p>
    <w:p w:rsidR="00A24EEF" w:rsidRDefault="003C36B1">
      <w:pPr>
        <w:spacing w:before="240" w:after="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t>Method</w:t>
      </w:r>
    </w:p>
    <w:p w:rsidR="00A24EEF" w:rsidRDefault="003C36B1">
      <w:pPr>
        <w:spacing w:after="0" w:line="240" w:lineRule="auto"/>
        <w:ind w:firstLine="38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lastRenderedPageBreak/>
        <w:t>This research uses a descriptive qualitative approach with a multi-location case study type. This approach was chosen because it is able to describe in depth and contextually the phenomenon of continuity of Islamic boarding school traditions in Islamic boa</w:t>
      </w:r>
      <w:r>
        <w:rPr>
          <w:rFonts w:ascii="Garamond" w:eastAsia="Garamond" w:hAnsi="Garamond" w:cs="Garamond"/>
          <w:b/>
          <w:bCs/>
          <w:color w:val="262626"/>
          <w:sz w:val="28"/>
          <w:szCs w:val="28"/>
        </w:rPr>
        <w:t>rding schools of the Musthafawiyah alumni network, as well as how values and curriculum are maintained and adapted to the dynamics of the times. The research location is focused on 5 Islamic boarding schools of Musthafawiyah alumni in the Southern Tapanuli</w:t>
      </w:r>
      <w:r>
        <w:rPr>
          <w:rFonts w:ascii="Garamond" w:eastAsia="Garamond" w:hAnsi="Garamond" w:cs="Garamond"/>
          <w:b/>
          <w:bCs/>
          <w:color w:val="262626"/>
          <w:sz w:val="28"/>
          <w:szCs w:val="28"/>
        </w:rPr>
        <w:t xml:space="preserve"> region, namely: 1) Roihanul Jannah Islamic Boarding School, Mandailing Natal, 2) Al Azhar Bi’Ibadillah Islamic Boarding School, South Tapanuli, 3) Darul Istiqomah Islamic Boarding School, Padangsidempuan, 4) Purba Sinomba TPI Islamic Boarding School, Nort</w:t>
      </w:r>
      <w:r>
        <w:rPr>
          <w:rFonts w:ascii="Garamond" w:eastAsia="Garamond" w:hAnsi="Garamond" w:cs="Garamond"/>
          <w:b/>
          <w:bCs/>
          <w:color w:val="262626"/>
          <w:sz w:val="28"/>
          <w:szCs w:val="28"/>
        </w:rPr>
        <w:t>h Padang Lawas, and 5) Paringgonan NU Islamic Boarding School, Padang Lawas.</w:t>
      </w:r>
    </w:p>
    <w:p w:rsidR="00A24EEF" w:rsidRDefault="003C36B1">
      <w:pPr>
        <w:spacing w:after="0" w:line="240" w:lineRule="auto"/>
        <w:ind w:firstLine="38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t>These locations were selected purposively because they have strong historical and ideological ties to Musthafawiyah and showcase diversity in the form of preserving traditions. Th</w:t>
      </w:r>
      <w:r>
        <w:rPr>
          <w:rFonts w:ascii="Garamond" w:eastAsia="Garamond" w:hAnsi="Garamond" w:cs="Garamond"/>
          <w:b/>
          <w:bCs/>
          <w:color w:val="262626"/>
          <w:sz w:val="28"/>
          <w:szCs w:val="28"/>
        </w:rPr>
        <w:t>e research subjects included: alumni Islamic boarding school leaders/caretakers, senior teachers, active alumni, and final-year students.</w:t>
      </w:r>
    </w:p>
    <w:p w:rsidR="00A24EEF" w:rsidRDefault="003C36B1">
      <w:pPr>
        <w:spacing w:after="0" w:line="240" w:lineRule="auto"/>
        <w:ind w:firstLine="38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t>To obtain in-depth and authentic data, several techniques were used, namely: 1) in-depth interviews (</w:t>
      </w:r>
      <w:r>
        <w:rPr>
          <w:rFonts w:ascii="Garamond" w:eastAsia="Garamond" w:hAnsi="Garamond" w:cs="Garamond"/>
          <w:b/>
          <w:bCs/>
          <w:i/>
          <w:iCs/>
          <w:color w:val="262626"/>
          <w:sz w:val="28"/>
          <w:szCs w:val="28"/>
        </w:rPr>
        <w:t>in-depth intervie</w:t>
      </w:r>
      <w:r>
        <w:rPr>
          <w:rFonts w:ascii="Garamond" w:eastAsia="Garamond" w:hAnsi="Garamond" w:cs="Garamond"/>
          <w:b/>
          <w:bCs/>
          <w:i/>
          <w:iCs/>
          <w:color w:val="262626"/>
          <w:sz w:val="28"/>
          <w:szCs w:val="28"/>
        </w:rPr>
        <w:t>w</w:t>
      </w:r>
      <w:r>
        <w:rPr>
          <w:rFonts w:ascii="Garamond" w:eastAsia="Garamond" w:hAnsi="Garamond" w:cs="Garamond"/>
          <w:b/>
          <w:bCs/>
          <w:color w:val="262626"/>
          <w:sz w:val="28"/>
          <w:szCs w:val="28"/>
        </w:rPr>
        <w:t>) with the head of the Islamic boarding school, senior teachers, and alumni to explore the understanding and strategies for preserving traditions, 2) participatory observations were conducted on learning activities, social interactions, and religious prac</w:t>
      </w:r>
      <w:r>
        <w:rPr>
          <w:rFonts w:ascii="Garamond" w:eastAsia="Garamond" w:hAnsi="Garamond" w:cs="Garamond"/>
          <w:b/>
          <w:bCs/>
          <w:color w:val="262626"/>
          <w:sz w:val="28"/>
          <w:szCs w:val="28"/>
        </w:rPr>
        <w:t>tices in the Islamic boarding school environment and 3) documentation studies of the Islamic boarding school archives, curriculum, organizational structure, and local historical records related to Musthafawiyah.</w:t>
      </w:r>
    </w:p>
    <w:p w:rsidR="00A24EEF" w:rsidRDefault="003C36B1">
      <w:pPr>
        <w:spacing w:after="0" w:line="240" w:lineRule="auto"/>
        <w:ind w:firstLine="20"/>
        <w:jc w:val="both"/>
        <w:rPr>
          <w:rFonts w:ascii="Garamond" w:eastAsia="Garamond" w:hAnsi="Garamond" w:cs="Garamond"/>
          <w:b/>
          <w:bCs/>
          <w:sz w:val="28"/>
          <w:szCs w:val="28"/>
        </w:rPr>
      </w:pPr>
      <w:r>
        <w:rPr>
          <w:rFonts w:ascii="Garamond" w:eastAsia="Garamond" w:hAnsi="Garamond" w:cs="Garamond"/>
          <w:b/>
          <w:bCs/>
          <w:color w:val="262626"/>
          <w:sz w:val="28"/>
          <w:szCs w:val="28"/>
        </w:rPr>
        <w:t>Meanwhile, data analysis was conducted using</w:t>
      </w:r>
      <w:r>
        <w:rPr>
          <w:rFonts w:ascii="Garamond" w:eastAsia="Garamond" w:hAnsi="Garamond" w:cs="Garamond"/>
          <w:b/>
          <w:bCs/>
          <w:color w:val="262626"/>
          <w:sz w:val="28"/>
          <w:szCs w:val="28"/>
        </w:rPr>
        <w:t xml:space="preserve"> the Miles, M. B., &amp; Huberman (1994) approach, namely: 1) data reduction, simplifying and selecting data relevant to the research focus, 2) data presentation, compiling findings in narrative, table, or matrix form and, 3) drawing conclusions and verificati</w:t>
      </w:r>
      <w:r>
        <w:rPr>
          <w:rFonts w:ascii="Garamond" w:eastAsia="Garamond" w:hAnsi="Garamond" w:cs="Garamond"/>
          <w:b/>
          <w:bCs/>
          <w:color w:val="262626"/>
          <w:sz w:val="28"/>
          <w:szCs w:val="28"/>
        </w:rPr>
        <w:t xml:space="preserve">on, carried out in stages and repeatedly (iteratively) to ensure the validity of the findings. Data validity was maintained through source triangulation: comparing information from </w:t>
      </w:r>
      <w:r>
        <w:rPr>
          <w:rFonts w:ascii="Garamond" w:eastAsia="Garamond" w:hAnsi="Garamond" w:cs="Garamond"/>
          <w:b/>
          <w:bCs/>
          <w:i/>
          <w:iCs/>
          <w:color w:val="262626"/>
          <w:sz w:val="28"/>
          <w:szCs w:val="28"/>
        </w:rPr>
        <w:t>kiai</w:t>
      </w:r>
      <w:r>
        <w:rPr>
          <w:rFonts w:ascii="Garamond" w:eastAsia="Garamond" w:hAnsi="Garamond" w:cs="Garamond"/>
          <w:b/>
          <w:bCs/>
          <w:color w:val="262626"/>
          <w:sz w:val="28"/>
          <w:szCs w:val="28"/>
        </w:rPr>
        <w:t>, teachers, and students, member check: confirming interview results wi</w:t>
      </w:r>
      <w:r>
        <w:rPr>
          <w:rFonts w:ascii="Garamond" w:eastAsia="Garamond" w:hAnsi="Garamond" w:cs="Garamond"/>
          <w:b/>
          <w:bCs/>
          <w:color w:val="262626"/>
          <w:sz w:val="28"/>
          <w:szCs w:val="28"/>
        </w:rPr>
        <w:t xml:space="preserve">th respondents and audit trail, namely systematic recording of the research process. </w:t>
      </w:r>
    </w:p>
    <w:p w:rsidR="00A24EEF" w:rsidRDefault="00A24EEF">
      <w:pPr>
        <w:spacing w:after="0" w:line="240" w:lineRule="auto"/>
        <w:ind w:firstLine="360"/>
        <w:jc w:val="both"/>
        <w:rPr>
          <w:rFonts w:ascii="Garamond" w:eastAsia="Garamond" w:hAnsi="Garamond" w:cs="Garamond"/>
          <w:b/>
          <w:bCs/>
          <w:color w:val="262626"/>
          <w:sz w:val="28"/>
          <w:szCs w:val="28"/>
        </w:rPr>
      </w:pPr>
    </w:p>
    <w:p w:rsidR="00A24EEF" w:rsidRDefault="003C36B1">
      <w:pPr>
        <w:spacing w:before="240" w:after="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t>Results and Discussion</w:t>
      </w:r>
    </w:p>
    <w:p w:rsidR="00A24EEF" w:rsidRDefault="003C36B1">
      <w:pPr>
        <w:pStyle w:val="Heading3"/>
        <w:keepNext w:val="0"/>
        <w:spacing w:before="0" w:after="40"/>
        <w:ind w:left="720" w:hanging="360"/>
        <w:jc w:val="both"/>
        <w:rPr>
          <w:rFonts w:ascii="Garamond" w:eastAsia="Garamond" w:hAnsi="Garamond" w:cs="Garamond"/>
          <w:i/>
          <w:iCs/>
          <w:color w:val="262626"/>
          <w:sz w:val="28"/>
          <w:szCs w:val="28"/>
        </w:rPr>
      </w:pPr>
      <w:bookmarkStart w:id="1" w:name="_5c9lk6pvovbr" w:colFirst="0" w:colLast="0"/>
      <w:bookmarkEnd w:id="1"/>
      <w:r>
        <w:rPr>
          <w:rFonts w:ascii="Garamond" w:eastAsia="Garamond" w:hAnsi="Garamond" w:cs="Garamond"/>
          <w:i/>
          <w:iCs/>
          <w:color w:val="262626"/>
          <w:sz w:val="28"/>
          <w:szCs w:val="28"/>
        </w:rPr>
        <w:lastRenderedPageBreak/>
        <w:t>A.</w:t>
      </w:r>
      <w:r>
        <w:rPr>
          <w:rFonts w:ascii="Times New Roman" w:eastAsia="Times New Roman" w:hAnsi="Times New Roman" w:cs="Times New Roman"/>
          <w:b w:val="0"/>
          <w:bCs w:val="0"/>
          <w:color w:val="262626"/>
          <w:sz w:val="14"/>
          <w:szCs w:val="14"/>
        </w:rPr>
        <w:t xml:space="preserve">   </w:t>
      </w:r>
      <w:r>
        <w:rPr>
          <w:rFonts w:ascii="Garamond" w:eastAsia="Garamond" w:hAnsi="Garamond" w:cs="Garamond"/>
          <w:i/>
          <w:iCs/>
          <w:color w:val="262626"/>
          <w:sz w:val="28"/>
          <w:szCs w:val="28"/>
        </w:rPr>
        <w:t>Musthafawiyah Islamic Boarding School: a Symbol of Tradition Continuity</w:t>
      </w:r>
    </w:p>
    <w:p w:rsidR="00A24EEF" w:rsidRDefault="003C36B1">
      <w:pPr>
        <w:spacing w:after="0"/>
        <w:ind w:left="360" w:firstLine="360"/>
        <w:jc w:val="both"/>
        <w:rPr>
          <w:rFonts w:ascii="Garamond" w:eastAsia="Garamond" w:hAnsi="Garamond" w:cs="Garamond"/>
          <w:b/>
          <w:bCs/>
          <w:sz w:val="28"/>
          <w:szCs w:val="28"/>
        </w:rPr>
      </w:pPr>
      <w:r>
        <w:rPr>
          <w:rFonts w:ascii="Garamond" w:eastAsia="Garamond" w:hAnsi="Garamond" w:cs="Garamond"/>
          <w:b/>
          <w:bCs/>
          <w:sz w:val="28"/>
          <w:szCs w:val="28"/>
        </w:rPr>
        <w:t>The Musthafawiyah Islamic Boarding School is an authentic representat</w:t>
      </w:r>
      <w:r>
        <w:rPr>
          <w:rFonts w:ascii="Garamond" w:eastAsia="Garamond" w:hAnsi="Garamond" w:cs="Garamond"/>
          <w:b/>
          <w:bCs/>
          <w:sz w:val="28"/>
          <w:szCs w:val="28"/>
        </w:rPr>
        <w:t>ion of the continuity of the Salafiyah Islamic boarding school tradition, which has successfully survived and thrived amidst socio-cultural dynamics for over a century. Founded in 1912 by Sheikh Musthafa Husein al-Mandili, this Islamic boarding school cons</w:t>
      </w:r>
      <w:r>
        <w:rPr>
          <w:rFonts w:ascii="Garamond" w:eastAsia="Garamond" w:hAnsi="Garamond" w:cs="Garamond"/>
          <w:b/>
          <w:bCs/>
          <w:sz w:val="28"/>
          <w:szCs w:val="28"/>
        </w:rPr>
        <w:t xml:space="preserve">istently maintains classical Islamic educational systems such as the </w:t>
      </w:r>
      <w:r>
        <w:rPr>
          <w:rFonts w:ascii="Garamond" w:eastAsia="Garamond" w:hAnsi="Garamond" w:cs="Garamond"/>
          <w:b/>
          <w:bCs/>
          <w:i/>
          <w:iCs/>
          <w:sz w:val="28"/>
          <w:szCs w:val="28"/>
        </w:rPr>
        <w:t>bandongan</w:t>
      </w:r>
      <w:r>
        <w:rPr>
          <w:rFonts w:ascii="Garamond" w:eastAsia="Garamond" w:hAnsi="Garamond" w:cs="Garamond"/>
          <w:b/>
          <w:bCs/>
          <w:sz w:val="28"/>
          <w:szCs w:val="28"/>
        </w:rPr>
        <w:t xml:space="preserve"> method, </w:t>
      </w:r>
      <w:r>
        <w:rPr>
          <w:rFonts w:ascii="Garamond" w:eastAsia="Garamond" w:hAnsi="Garamond" w:cs="Garamond"/>
          <w:b/>
          <w:bCs/>
          <w:i/>
          <w:iCs/>
          <w:sz w:val="28"/>
          <w:szCs w:val="28"/>
        </w:rPr>
        <w:t>halaqah</w:t>
      </w:r>
      <w:r>
        <w:rPr>
          <w:rFonts w:ascii="Garamond" w:eastAsia="Garamond" w:hAnsi="Garamond" w:cs="Garamond"/>
          <w:b/>
          <w:bCs/>
          <w:sz w:val="28"/>
          <w:szCs w:val="28"/>
        </w:rPr>
        <w:t xml:space="preserve">, and </w:t>
      </w:r>
      <w:r>
        <w:rPr>
          <w:rFonts w:ascii="Garamond" w:eastAsia="Garamond" w:hAnsi="Garamond" w:cs="Garamond"/>
          <w:b/>
          <w:bCs/>
          <w:i/>
          <w:iCs/>
          <w:sz w:val="28"/>
          <w:szCs w:val="28"/>
        </w:rPr>
        <w:t>sorogan</w:t>
      </w:r>
      <w:r>
        <w:rPr>
          <w:rFonts w:ascii="Garamond" w:eastAsia="Garamond" w:hAnsi="Garamond" w:cs="Garamond"/>
          <w:b/>
          <w:bCs/>
          <w:sz w:val="28"/>
          <w:szCs w:val="28"/>
        </w:rPr>
        <w:t>, which are characteristic of traditional Islamic boarding school education. The continuity of these methods is an important indicator of the continuity of the Islamic boarding school's epistemology, which is rooted in the classical Islamic scholarly tradi</w:t>
      </w:r>
      <w:r>
        <w:rPr>
          <w:rFonts w:ascii="Garamond" w:eastAsia="Garamond" w:hAnsi="Garamond" w:cs="Garamond"/>
          <w:b/>
          <w:bCs/>
          <w:sz w:val="28"/>
          <w:szCs w:val="28"/>
        </w:rPr>
        <w:t>tion.</w:t>
      </w:r>
    </w:p>
    <w:p w:rsidR="00A24EEF" w:rsidRDefault="003C36B1">
      <w:pPr>
        <w:spacing w:after="0"/>
        <w:ind w:left="360" w:firstLine="360"/>
        <w:jc w:val="both"/>
        <w:rPr>
          <w:rFonts w:ascii="Garamond" w:eastAsia="Garamond" w:hAnsi="Garamond" w:cs="Garamond"/>
          <w:b/>
          <w:bCs/>
          <w:sz w:val="28"/>
          <w:szCs w:val="28"/>
        </w:rPr>
      </w:pPr>
      <w:r>
        <w:rPr>
          <w:rFonts w:ascii="Garamond" w:eastAsia="Garamond" w:hAnsi="Garamond" w:cs="Garamond"/>
          <w:b/>
          <w:bCs/>
          <w:sz w:val="28"/>
          <w:szCs w:val="28"/>
        </w:rPr>
        <w:t xml:space="preserve">In their research, Salamuddin (2019) and Musa (2022) demonstrated that the Musthafawiyah not only maintained teaching methods but also actively maintained the social and cultural structures of Islamic boarding schools. This is reflected in the presence of </w:t>
      </w:r>
      <w:r>
        <w:rPr>
          <w:rFonts w:ascii="Garamond" w:eastAsia="Garamond" w:hAnsi="Garamond" w:cs="Garamond"/>
          <w:b/>
          <w:bCs/>
          <w:sz w:val="28"/>
          <w:szCs w:val="28"/>
        </w:rPr>
        <w:t xml:space="preserve">the </w:t>
      </w:r>
      <w:r>
        <w:rPr>
          <w:rFonts w:ascii="Garamond" w:eastAsia="Garamond" w:hAnsi="Garamond" w:cs="Garamond"/>
          <w:b/>
          <w:bCs/>
          <w:i/>
          <w:iCs/>
          <w:sz w:val="28"/>
          <w:szCs w:val="28"/>
        </w:rPr>
        <w:t>kiai</w:t>
      </w:r>
      <w:r>
        <w:rPr>
          <w:rFonts w:ascii="Garamond" w:eastAsia="Garamond" w:hAnsi="Garamond" w:cs="Garamond"/>
          <w:b/>
          <w:bCs/>
          <w:sz w:val="28"/>
          <w:szCs w:val="28"/>
        </w:rPr>
        <w:t xml:space="preserve"> as a center of scholarly and spiritual authority, who remains highly respected. Furthermore, discipline in pursuing knowledge and the ethos of khidmah (devotion to the pesantren and </w:t>
      </w:r>
      <w:r>
        <w:rPr>
          <w:rFonts w:ascii="Garamond" w:eastAsia="Garamond" w:hAnsi="Garamond" w:cs="Garamond"/>
          <w:b/>
          <w:bCs/>
          <w:i/>
          <w:iCs/>
          <w:sz w:val="28"/>
          <w:szCs w:val="28"/>
        </w:rPr>
        <w:t>kiai</w:t>
      </w:r>
      <w:r>
        <w:rPr>
          <w:rFonts w:ascii="Garamond" w:eastAsia="Garamond" w:hAnsi="Garamond" w:cs="Garamond"/>
          <w:b/>
          <w:bCs/>
          <w:sz w:val="28"/>
          <w:szCs w:val="28"/>
        </w:rPr>
        <w:t xml:space="preserve">) constitute a value system that is not only taught verbally </w:t>
      </w:r>
      <w:r>
        <w:rPr>
          <w:rFonts w:ascii="Garamond" w:eastAsia="Garamond" w:hAnsi="Garamond" w:cs="Garamond"/>
          <w:b/>
          <w:bCs/>
          <w:sz w:val="28"/>
          <w:szCs w:val="28"/>
        </w:rPr>
        <w:t>but also instilled through daily practices passed down through generations.</w:t>
      </w:r>
    </w:p>
    <w:p w:rsidR="00A24EEF" w:rsidRDefault="003C36B1">
      <w:pPr>
        <w:spacing w:after="0"/>
        <w:ind w:left="360" w:firstLine="360"/>
        <w:jc w:val="both"/>
        <w:rPr>
          <w:rFonts w:ascii="Garamond" w:eastAsia="Garamond" w:hAnsi="Garamond" w:cs="Garamond"/>
          <w:b/>
          <w:bCs/>
          <w:sz w:val="28"/>
          <w:szCs w:val="28"/>
        </w:rPr>
      </w:pPr>
      <w:r>
        <w:rPr>
          <w:rFonts w:ascii="Garamond" w:eastAsia="Garamond" w:hAnsi="Garamond" w:cs="Garamond"/>
          <w:b/>
          <w:bCs/>
          <w:sz w:val="28"/>
          <w:szCs w:val="28"/>
        </w:rPr>
        <w:t>Within the framework of the continuity and change theory proposed by Voll (1982), the Musthafawiyah Islamic boarding school can be understood as an Islamic institution that not onl</w:t>
      </w:r>
      <w:r>
        <w:rPr>
          <w:rFonts w:ascii="Garamond" w:eastAsia="Garamond" w:hAnsi="Garamond" w:cs="Garamond"/>
          <w:b/>
          <w:bCs/>
          <w:sz w:val="28"/>
          <w:szCs w:val="28"/>
        </w:rPr>
        <w:t>y maintains its traditional values but also actively responds to social change and the challenges of the times. Traditions in this Islamic boarding school are not merely maintained because of hereditary customs, but also because they are believed to posses</w:t>
      </w:r>
      <w:r>
        <w:rPr>
          <w:rFonts w:ascii="Garamond" w:eastAsia="Garamond" w:hAnsi="Garamond" w:cs="Garamond"/>
          <w:b/>
          <w:bCs/>
          <w:sz w:val="28"/>
          <w:szCs w:val="28"/>
        </w:rPr>
        <w:t>s substantive values that remain relevant and important to be passed down across generations (Baehaki, 2026). Thus, the Musthafawiyah Islamic boarding school is not only a guardian of the heritage of the past but also an agent of transformation that recons</w:t>
      </w:r>
      <w:r>
        <w:rPr>
          <w:rFonts w:ascii="Garamond" w:eastAsia="Garamond" w:hAnsi="Garamond" w:cs="Garamond"/>
          <w:b/>
          <w:bCs/>
          <w:sz w:val="28"/>
          <w:szCs w:val="28"/>
        </w:rPr>
        <w:t xml:space="preserve">tructs these traditional values in a </w:t>
      </w:r>
      <w:r>
        <w:rPr>
          <w:rFonts w:ascii="Garamond" w:eastAsia="Garamond" w:hAnsi="Garamond" w:cs="Garamond"/>
          <w:b/>
          <w:bCs/>
          <w:sz w:val="28"/>
          <w:szCs w:val="28"/>
        </w:rPr>
        <w:lastRenderedPageBreak/>
        <w:t>contemporary context, making them an integral part of the institution's identity and sustainability (Manshuruddin et al., 2025).</w:t>
      </w:r>
    </w:p>
    <w:p w:rsidR="00A24EEF" w:rsidRDefault="003C36B1">
      <w:pPr>
        <w:spacing w:after="120"/>
        <w:ind w:left="360" w:firstLine="360"/>
        <w:jc w:val="both"/>
        <w:rPr>
          <w:rFonts w:ascii="Garamond" w:eastAsia="Garamond" w:hAnsi="Garamond" w:cs="Garamond"/>
          <w:b/>
          <w:bCs/>
          <w:sz w:val="28"/>
          <w:szCs w:val="28"/>
        </w:rPr>
      </w:pPr>
      <w:r>
        <w:rPr>
          <w:rFonts w:ascii="Garamond" w:eastAsia="Garamond" w:hAnsi="Garamond" w:cs="Garamond"/>
          <w:b/>
          <w:bCs/>
          <w:sz w:val="28"/>
          <w:szCs w:val="28"/>
        </w:rPr>
        <w:t>In other words, the Musthafawiyah Islamic boarding school has become a model for the conti</w:t>
      </w:r>
      <w:r>
        <w:rPr>
          <w:rFonts w:ascii="Garamond" w:eastAsia="Garamond" w:hAnsi="Garamond" w:cs="Garamond"/>
          <w:b/>
          <w:bCs/>
          <w:sz w:val="28"/>
          <w:szCs w:val="28"/>
        </w:rPr>
        <w:t>nuity of the Islamic boarding school tradition, one that is not only conservative but also reflective—capable of upholding principles while still understanding the context of the times. The continuity established is not a form of stagnation, but rather a d</w:t>
      </w:r>
      <w:r>
        <w:rPr>
          <w:rFonts w:ascii="Garamond" w:eastAsia="Garamond" w:hAnsi="Garamond" w:cs="Garamond"/>
          <w:b/>
          <w:bCs/>
          <w:sz w:val="28"/>
          <w:szCs w:val="28"/>
        </w:rPr>
        <w:t xml:space="preserve">ynamic process of maintaining the continuity of values, norms, and socio-religious structures that have become the hallmark of Islamic boarding schools as educational institutions and institutions for the development of ulama. </w:t>
      </w:r>
    </w:p>
    <w:p w:rsidR="00A24EEF" w:rsidRDefault="003C36B1">
      <w:pPr>
        <w:pStyle w:val="Heading3"/>
        <w:keepNext w:val="0"/>
        <w:spacing w:before="0" w:after="40"/>
        <w:ind w:left="720" w:hanging="360"/>
        <w:jc w:val="both"/>
        <w:rPr>
          <w:rFonts w:ascii="Garamond" w:eastAsia="Garamond" w:hAnsi="Garamond" w:cs="Garamond"/>
          <w:i/>
          <w:iCs/>
          <w:color w:val="262626"/>
          <w:sz w:val="28"/>
          <w:szCs w:val="28"/>
        </w:rPr>
      </w:pPr>
      <w:bookmarkStart w:id="2" w:name="_fkhjcyll6gys" w:colFirst="0" w:colLast="0"/>
      <w:bookmarkEnd w:id="2"/>
      <w:r>
        <w:rPr>
          <w:rFonts w:ascii="Garamond" w:eastAsia="Garamond" w:hAnsi="Garamond" w:cs="Garamond"/>
          <w:i/>
          <w:iCs/>
          <w:color w:val="262626"/>
          <w:sz w:val="28"/>
          <w:szCs w:val="28"/>
        </w:rPr>
        <w:t>B.</w:t>
      </w:r>
      <w:r>
        <w:rPr>
          <w:rFonts w:ascii="Times New Roman" w:eastAsia="Times New Roman" w:hAnsi="Times New Roman" w:cs="Times New Roman"/>
          <w:b w:val="0"/>
          <w:bCs w:val="0"/>
          <w:color w:val="262626"/>
          <w:sz w:val="14"/>
          <w:szCs w:val="14"/>
        </w:rPr>
        <w:t xml:space="preserve">   </w:t>
      </w:r>
      <w:r>
        <w:rPr>
          <w:rFonts w:ascii="Garamond" w:eastAsia="Garamond" w:hAnsi="Garamond" w:cs="Garamond"/>
          <w:i/>
          <w:iCs/>
          <w:color w:val="262626"/>
          <w:sz w:val="28"/>
          <w:szCs w:val="28"/>
        </w:rPr>
        <w:t>Continuity of the Musth</w:t>
      </w:r>
      <w:r>
        <w:rPr>
          <w:rFonts w:ascii="Garamond" w:eastAsia="Garamond" w:hAnsi="Garamond" w:cs="Garamond"/>
          <w:i/>
          <w:iCs/>
          <w:color w:val="262626"/>
          <w:sz w:val="28"/>
          <w:szCs w:val="28"/>
        </w:rPr>
        <w:t>afawiyah Tradition in Alumni Islamic Boarding Schools</w:t>
      </w:r>
    </w:p>
    <w:p w:rsidR="00A24EEF" w:rsidRDefault="003C36B1">
      <w:pPr>
        <w:spacing w:after="0"/>
        <w:ind w:left="360" w:firstLine="360"/>
        <w:jc w:val="both"/>
        <w:rPr>
          <w:rFonts w:ascii="Garamond" w:eastAsia="Garamond" w:hAnsi="Garamond" w:cs="Garamond"/>
          <w:b/>
          <w:bCs/>
          <w:sz w:val="28"/>
          <w:szCs w:val="28"/>
        </w:rPr>
      </w:pPr>
      <w:r>
        <w:rPr>
          <w:rFonts w:ascii="Garamond" w:eastAsia="Garamond" w:hAnsi="Garamond" w:cs="Garamond"/>
          <w:b/>
          <w:bCs/>
          <w:sz w:val="28"/>
          <w:szCs w:val="28"/>
        </w:rPr>
        <w:t>The results of this study generally indicate that alumni of Musthafawiyah Islamic boarding schools in the Southern Tapanuli (Tabagsel) region have demonstrated a strong commitment to preserving and pres</w:t>
      </w:r>
      <w:r>
        <w:rPr>
          <w:rFonts w:ascii="Garamond" w:eastAsia="Garamond" w:hAnsi="Garamond" w:cs="Garamond"/>
          <w:b/>
          <w:bCs/>
          <w:sz w:val="28"/>
          <w:szCs w:val="28"/>
        </w:rPr>
        <w:t>erving the traditions of classical Islamic scholarship and pedagogical practices inherited from the Musthafawiyah Islamic boarding school. This commitment is not only evident in symbolic or ritualistic dimensions, but also touches on the structural and pra</w:t>
      </w:r>
      <w:r>
        <w:rPr>
          <w:rFonts w:ascii="Garamond" w:eastAsia="Garamond" w:hAnsi="Garamond" w:cs="Garamond"/>
          <w:b/>
          <w:bCs/>
          <w:sz w:val="28"/>
          <w:szCs w:val="28"/>
        </w:rPr>
        <w:t>ctical aspects of education, consistently implemented from generation to generation.</w:t>
      </w:r>
    </w:p>
    <w:p w:rsidR="00A24EEF" w:rsidRDefault="003C36B1">
      <w:pPr>
        <w:spacing w:after="0"/>
        <w:ind w:left="360" w:firstLine="360"/>
        <w:jc w:val="both"/>
        <w:rPr>
          <w:rFonts w:ascii="Garamond" w:eastAsia="Garamond" w:hAnsi="Garamond" w:cs="Garamond"/>
          <w:b/>
          <w:bCs/>
          <w:sz w:val="28"/>
          <w:szCs w:val="28"/>
        </w:rPr>
      </w:pPr>
      <w:r>
        <w:rPr>
          <w:rFonts w:ascii="Garamond" w:eastAsia="Garamond" w:hAnsi="Garamond" w:cs="Garamond"/>
          <w:b/>
          <w:bCs/>
          <w:sz w:val="28"/>
          <w:szCs w:val="28"/>
        </w:rPr>
        <w:t xml:space="preserve">One of the most prominent forms of continuity is in the teaching method of the </w:t>
      </w:r>
      <w:r>
        <w:rPr>
          <w:rFonts w:ascii="Garamond" w:eastAsia="Garamond" w:hAnsi="Garamond" w:cs="Garamond"/>
          <w:b/>
          <w:bCs/>
          <w:i/>
          <w:iCs/>
          <w:sz w:val="28"/>
          <w:szCs w:val="28"/>
        </w:rPr>
        <w:t>kitab kuning</w:t>
      </w:r>
      <w:r>
        <w:rPr>
          <w:rFonts w:ascii="Garamond" w:eastAsia="Garamond" w:hAnsi="Garamond" w:cs="Garamond"/>
          <w:b/>
          <w:bCs/>
          <w:sz w:val="28"/>
          <w:szCs w:val="28"/>
        </w:rPr>
        <w:t xml:space="preserve">, which still adheres to the system </w:t>
      </w:r>
      <w:r>
        <w:rPr>
          <w:rFonts w:ascii="Garamond" w:eastAsia="Garamond" w:hAnsi="Garamond" w:cs="Garamond"/>
          <w:b/>
          <w:bCs/>
          <w:i/>
          <w:iCs/>
          <w:sz w:val="28"/>
          <w:szCs w:val="28"/>
        </w:rPr>
        <w:t>bandongan</w:t>
      </w:r>
      <w:r>
        <w:rPr>
          <w:rFonts w:ascii="Garamond" w:eastAsia="Garamond" w:hAnsi="Garamond" w:cs="Garamond"/>
          <w:b/>
          <w:bCs/>
          <w:sz w:val="28"/>
          <w:szCs w:val="28"/>
        </w:rPr>
        <w:t xml:space="preserve"> and </w:t>
      </w:r>
      <w:r>
        <w:rPr>
          <w:rFonts w:ascii="Garamond" w:eastAsia="Garamond" w:hAnsi="Garamond" w:cs="Garamond"/>
          <w:b/>
          <w:bCs/>
          <w:i/>
          <w:iCs/>
          <w:sz w:val="28"/>
          <w:szCs w:val="28"/>
        </w:rPr>
        <w:t>sorogan</w:t>
      </w:r>
      <w:r>
        <w:rPr>
          <w:rFonts w:ascii="Garamond" w:eastAsia="Garamond" w:hAnsi="Garamond" w:cs="Garamond"/>
          <w:b/>
          <w:bCs/>
          <w:sz w:val="28"/>
          <w:szCs w:val="28"/>
        </w:rPr>
        <w:t xml:space="preserve">. The </w:t>
      </w:r>
      <w:r>
        <w:rPr>
          <w:rFonts w:ascii="Garamond" w:eastAsia="Garamond" w:hAnsi="Garamond" w:cs="Garamond"/>
          <w:b/>
          <w:bCs/>
          <w:i/>
          <w:iCs/>
          <w:sz w:val="28"/>
          <w:szCs w:val="28"/>
        </w:rPr>
        <w:t>bandongan</w:t>
      </w:r>
      <w:r>
        <w:rPr>
          <w:rFonts w:ascii="Garamond" w:eastAsia="Garamond" w:hAnsi="Garamond" w:cs="Garamond"/>
          <w:b/>
          <w:bCs/>
          <w:sz w:val="28"/>
          <w:szCs w:val="28"/>
        </w:rPr>
        <w:t xml:space="preserve"> approac</w:t>
      </w:r>
      <w:r>
        <w:rPr>
          <w:rFonts w:ascii="Garamond" w:eastAsia="Garamond" w:hAnsi="Garamond" w:cs="Garamond"/>
          <w:b/>
          <w:bCs/>
          <w:sz w:val="28"/>
          <w:szCs w:val="28"/>
        </w:rPr>
        <w:t xml:space="preserve">h—where the </w:t>
      </w:r>
      <w:r>
        <w:rPr>
          <w:rFonts w:ascii="Garamond" w:eastAsia="Garamond" w:hAnsi="Garamond" w:cs="Garamond"/>
          <w:b/>
          <w:bCs/>
          <w:i/>
          <w:iCs/>
          <w:sz w:val="28"/>
          <w:szCs w:val="28"/>
        </w:rPr>
        <w:t>kiai</w:t>
      </w:r>
      <w:r>
        <w:rPr>
          <w:rFonts w:ascii="Garamond" w:eastAsia="Garamond" w:hAnsi="Garamond" w:cs="Garamond"/>
          <w:b/>
          <w:bCs/>
          <w:sz w:val="28"/>
          <w:szCs w:val="28"/>
        </w:rPr>
        <w:t xml:space="preserve"> reads and interprets classical texts before a group of students—illustrates a teacher-centered pedagogy grounded in scholarly authority. In contrast, the more individualized </w:t>
      </w:r>
      <w:r>
        <w:rPr>
          <w:rFonts w:ascii="Garamond" w:eastAsia="Garamond" w:hAnsi="Garamond" w:cs="Garamond"/>
          <w:b/>
          <w:bCs/>
          <w:i/>
          <w:iCs/>
          <w:sz w:val="28"/>
          <w:szCs w:val="28"/>
        </w:rPr>
        <w:t>sorogan</w:t>
      </w:r>
      <w:r>
        <w:rPr>
          <w:rFonts w:ascii="Garamond" w:eastAsia="Garamond" w:hAnsi="Garamond" w:cs="Garamond"/>
          <w:b/>
          <w:bCs/>
          <w:sz w:val="28"/>
          <w:szCs w:val="28"/>
        </w:rPr>
        <w:t xml:space="preserve"> method highlights direct engagement between student and </w:t>
      </w:r>
      <w:r>
        <w:rPr>
          <w:rFonts w:ascii="Garamond" w:eastAsia="Garamond" w:hAnsi="Garamond" w:cs="Garamond"/>
          <w:b/>
          <w:bCs/>
          <w:i/>
          <w:iCs/>
          <w:sz w:val="28"/>
          <w:szCs w:val="28"/>
        </w:rPr>
        <w:t>k</w:t>
      </w:r>
      <w:r>
        <w:rPr>
          <w:rFonts w:ascii="Garamond" w:eastAsia="Garamond" w:hAnsi="Garamond" w:cs="Garamond"/>
          <w:b/>
          <w:bCs/>
          <w:i/>
          <w:iCs/>
          <w:sz w:val="28"/>
          <w:szCs w:val="28"/>
        </w:rPr>
        <w:t>iai</w:t>
      </w:r>
      <w:r>
        <w:rPr>
          <w:rFonts w:ascii="Garamond" w:eastAsia="Garamond" w:hAnsi="Garamond" w:cs="Garamond"/>
          <w:b/>
          <w:bCs/>
          <w:sz w:val="28"/>
          <w:szCs w:val="28"/>
        </w:rPr>
        <w:t>, fostering both intellectual depth and spiritual connection. Together, these methods function not only as instructional techniques but also as channels for conveying values, ethical conduct, and the preservation of authoritative knowledge traditions.</w:t>
      </w:r>
    </w:p>
    <w:p w:rsidR="00A24EEF" w:rsidRDefault="003C36B1">
      <w:pPr>
        <w:spacing w:after="0"/>
        <w:ind w:left="360" w:firstLine="360"/>
        <w:jc w:val="both"/>
        <w:rPr>
          <w:rFonts w:ascii="Garamond" w:eastAsia="Garamond" w:hAnsi="Garamond" w:cs="Garamond"/>
          <w:b/>
          <w:bCs/>
          <w:sz w:val="28"/>
          <w:szCs w:val="28"/>
        </w:rPr>
      </w:pPr>
      <w:r>
        <w:rPr>
          <w:rFonts w:ascii="Garamond" w:eastAsia="Garamond" w:hAnsi="Garamond" w:cs="Garamond"/>
          <w:b/>
          <w:bCs/>
          <w:sz w:val="28"/>
          <w:szCs w:val="28"/>
        </w:rPr>
        <w:t>T</w:t>
      </w:r>
      <w:r>
        <w:rPr>
          <w:rFonts w:ascii="Garamond" w:eastAsia="Garamond" w:hAnsi="Garamond" w:cs="Garamond"/>
          <w:b/>
          <w:bCs/>
          <w:sz w:val="28"/>
          <w:szCs w:val="28"/>
        </w:rPr>
        <w:t xml:space="preserve">he charismatic-paternalistic relationship between the </w:t>
      </w:r>
      <w:r>
        <w:rPr>
          <w:rFonts w:ascii="Garamond" w:eastAsia="Garamond" w:hAnsi="Garamond" w:cs="Garamond"/>
          <w:b/>
          <w:bCs/>
          <w:i/>
          <w:iCs/>
          <w:sz w:val="28"/>
          <w:szCs w:val="28"/>
        </w:rPr>
        <w:t>kiai</w:t>
      </w:r>
      <w:r>
        <w:rPr>
          <w:rFonts w:ascii="Garamond" w:eastAsia="Garamond" w:hAnsi="Garamond" w:cs="Garamond"/>
          <w:b/>
          <w:bCs/>
          <w:sz w:val="28"/>
          <w:szCs w:val="28"/>
        </w:rPr>
        <w:t xml:space="preserve"> and the students is a crucial pillar of the educational ecosystem of the </w:t>
      </w:r>
      <w:r>
        <w:rPr>
          <w:rFonts w:ascii="Garamond" w:eastAsia="Garamond" w:hAnsi="Garamond" w:cs="Garamond"/>
          <w:b/>
          <w:bCs/>
          <w:sz w:val="28"/>
          <w:szCs w:val="28"/>
        </w:rPr>
        <w:lastRenderedPageBreak/>
        <w:t xml:space="preserve">Musthafawiyah alumni Islamic boarding schools. The </w:t>
      </w:r>
      <w:r>
        <w:rPr>
          <w:rFonts w:ascii="Garamond" w:eastAsia="Garamond" w:hAnsi="Garamond" w:cs="Garamond"/>
          <w:b/>
          <w:bCs/>
          <w:i/>
          <w:iCs/>
          <w:sz w:val="28"/>
          <w:szCs w:val="28"/>
        </w:rPr>
        <w:t>kiai</w:t>
      </w:r>
      <w:r>
        <w:rPr>
          <w:rFonts w:ascii="Garamond" w:eastAsia="Garamond" w:hAnsi="Garamond" w:cs="Garamond"/>
          <w:b/>
          <w:bCs/>
          <w:sz w:val="28"/>
          <w:szCs w:val="28"/>
        </w:rPr>
        <w:t xml:space="preserve"> is not merely a teacher, but also a moral and spiritual figure who s</w:t>
      </w:r>
      <w:r>
        <w:rPr>
          <w:rFonts w:ascii="Garamond" w:eastAsia="Garamond" w:hAnsi="Garamond" w:cs="Garamond"/>
          <w:b/>
          <w:bCs/>
          <w:sz w:val="28"/>
          <w:szCs w:val="28"/>
        </w:rPr>
        <w:t xml:space="preserve">erves as the primary reference in all aspects of the students' lives. This position strongly legitimizes the </w:t>
      </w:r>
      <w:r>
        <w:rPr>
          <w:rFonts w:ascii="Garamond" w:eastAsia="Garamond" w:hAnsi="Garamond" w:cs="Garamond"/>
          <w:b/>
          <w:bCs/>
          <w:i/>
          <w:iCs/>
          <w:sz w:val="28"/>
          <w:szCs w:val="28"/>
        </w:rPr>
        <w:t>kiai</w:t>
      </w:r>
      <w:r>
        <w:rPr>
          <w:rFonts w:ascii="Garamond" w:eastAsia="Garamond" w:hAnsi="Garamond" w:cs="Garamond"/>
          <w:b/>
          <w:bCs/>
          <w:sz w:val="28"/>
          <w:szCs w:val="28"/>
        </w:rPr>
        <w:t>'s authority as both the guardian of traditional values and the director of educational transformation in the Islamic boarding school. From Vol</w:t>
      </w:r>
      <w:r>
        <w:rPr>
          <w:rFonts w:ascii="Garamond" w:eastAsia="Garamond" w:hAnsi="Garamond" w:cs="Garamond"/>
          <w:b/>
          <w:bCs/>
          <w:sz w:val="28"/>
          <w:szCs w:val="28"/>
        </w:rPr>
        <w:t xml:space="preserve">l's perspective (1982), The authority of the </w:t>
      </w:r>
      <w:r>
        <w:rPr>
          <w:rFonts w:ascii="Garamond" w:eastAsia="Garamond" w:hAnsi="Garamond" w:cs="Garamond"/>
          <w:b/>
          <w:bCs/>
          <w:i/>
          <w:iCs/>
          <w:sz w:val="28"/>
          <w:szCs w:val="28"/>
        </w:rPr>
        <w:t>kiai</w:t>
      </w:r>
      <w:r>
        <w:rPr>
          <w:rFonts w:ascii="Garamond" w:eastAsia="Garamond" w:hAnsi="Garamond" w:cs="Garamond"/>
          <w:b/>
          <w:bCs/>
          <w:sz w:val="28"/>
          <w:szCs w:val="28"/>
        </w:rPr>
        <w:t xml:space="preserve"> is a key element in maintaining the continuity of Islamic tradition, as it is through the </w:t>
      </w:r>
      <w:r>
        <w:rPr>
          <w:rFonts w:ascii="Garamond" w:eastAsia="Garamond" w:hAnsi="Garamond" w:cs="Garamond"/>
          <w:b/>
          <w:bCs/>
          <w:i/>
          <w:iCs/>
          <w:sz w:val="28"/>
          <w:szCs w:val="28"/>
        </w:rPr>
        <w:t>kiai</w:t>
      </w:r>
      <w:r>
        <w:rPr>
          <w:rFonts w:ascii="Garamond" w:eastAsia="Garamond" w:hAnsi="Garamond" w:cs="Garamond"/>
          <w:b/>
          <w:bCs/>
          <w:sz w:val="28"/>
          <w:szCs w:val="28"/>
        </w:rPr>
        <w:t xml:space="preserve"> that the intellectual, spiritual, and social heritage of the pesantren is transmitted across generations. At th</w:t>
      </w:r>
      <w:r>
        <w:rPr>
          <w:rFonts w:ascii="Garamond" w:eastAsia="Garamond" w:hAnsi="Garamond" w:cs="Garamond"/>
          <w:b/>
          <w:bCs/>
          <w:sz w:val="28"/>
          <w:szCs w:val="28"/>
        </w:rPr>
        <w:t xml:space="preserve">e same time, the role of the </w:t>
      </w:r>
      <w:r>
        <w:rPr>
          <w:rFonts w:ascii="Garamond" w:eastAsia="Garamond" w:hAnsi="Garamond" w:cs="Garamond"/>
          <w:b/>
          <w:bCs/>
          <w:i/>
          <w:iCs/>
          <w:sz w:val="28"/>
          <w:szCs w:val="28"/>
        </w:rPr>
        <w:t>kiai</w:t>
      </w:r>
      <w:r>
        <w:rPr>
          <w:rFonts w:ascii="Garamond" w:eastAsia="Garamond" w:hAnsi="Garamond" w:cs="Garamond"/>
          <w:b/>
          <w:bCs/>
          <w:sz w:val="28"/>
          <w:szCs w:val="28"/>
        </w:rPr>
        <w:t xml:space="preserve"> also enables a process of directed change, as they have the authority to interpret and adapt traditional values to face contemporary challenges. Thus, the </w:t>
      </w:r>
      <w:r>
        <w:rPr>
          <w:rFonts w:ascii="Garamond" w:eastAsia="Garamond" w:hAnsi="Garamond" w:cs="Garamond"/>
          <w:b/>
          <w:bCs/>
          <w:i/>
          <w:iCs/>
          <w:sz w:val="28"/>
          <w:szCs w:val="28"/>
        </w:rPr>
        <w:t>kiai</w:t>
      </w:r>
      <w:r>
        <w:rPr>
          <w:rFonts w:ascii="Garamond" w:eastAsia="Garamond" w:hAnsi="Garamond" w:cs="Garamond"/>
          <w:b/>
          <w:bCs/>
          <w:sz w:val="28"/>
          <w:szCs w:val="28"/>
        </w:rPr>
        <w:t>'s presence is central to the dialectic between preservation an</w:t>
      </w:r>
      <w:r>
        <w:rPr>
          <w:rFonts w:ascii="Garamond" w:eastAsia="Garamond" w:hAnsi="Garamond" w:cs="Garamond"/>
          <w:b/>
          <w:bCs/>
          <w:sz w:val="28"/>
          <w:szCs w:val="28"/>
        </w:rPr>
        <w:t xml:space="preserve">d transformation that ensures the sustainability of the </w:t>
      </w:r>
      <w:r>
        <w:rPr>
          <w:rFonts w:ascii="Garamond" w:eastAsia="Garamond" w:hAnsi="Garamond" w:cs="Garamond"/>
          <w:b/>
          <w:bCs/>
          <w:i/>
          <w:iCs/>
          <w:sz w:val="28"/>
          <w:szCs w:val="28"/>
        </w:rPr>
        <w:t>pesantren</w:t>
      </w:r>
      <w:r>
        <w:rPr>
          <w:rFonts w:ascii="Garamond" w:eastAsia="Garamond" w:hAnsi="Garamond" w:cs="Garamond"/>
          <w:b/>
          <w:bCs/>
          <w:sz w:val="28"/>
          <w:szCs w:val="28"/>
        </w:rPr>
        <w:t>.</w:t>
      </w:r>
    </w:p>
    <w:p w:rsidR="00A24EEF" w:rsidRDefault="003C36B1">
      <w:pPr>
        <w:spacing w:after="0"/>
        <w:ind w:left="360" w:firstLine="360"/>
        <w:jc w:val="both"/>
        <w:rPr>
          <w:rFonts w:ascii="Garamond" w:eastAsia="Garamond" w:hAnsi="Garamond" w:cs="Garamond"/>
          <w:b/>
          <w:bCs/>
          <w:sz w:val="28"/>
          <w:szCs w:val="28"/>
        </w:rPr>
      </w:pPr>
      <w:r>
        <w:rPr>
          <w:rFonts w:ascii="Garamond" w:eastAsia="Garamond" w:hAnsi="Garamond" w:cs="Garamond"/>
          <w:b/>
          <w:bCs/>
          <w:sz w:val="28"/>
          <w:szCs w:val="28"/>
        </w:rPr>
        <w:t xml:space="preserve">Common rituals and daily practices in Islamic boarding schools—such as post-dawn recitations, the completion of classical texts during specific months (particularly </w:t>
      </w:r>
      <w:r>
        <w:rPr>
          <w:rFonts w:ascii="Garamond" w:eastAsia="Garamond" w:hAnsi="Garamond" w:cs="Garamond"/>
          <w:b/>
          <w:bCs/>
          <w:i/>
          <w:iCs/>
          <w:sz w:val="28"/>
          <w:szCs w:val="28"/>
        </w:rPr>
        <w:t>Rajab</w:t>
      </w:r>
      <w:r>
        <w:rPr>
          <w:rFonts w:ascii="Garamond" w:eastAsia="Garamond" w:hAnsi="Garamond" w:cs="Garamond"/>
          <w:b/>
          <w:bCs/>
          <w:sz w:val="28"/>
          <w:szCs w:val="28"/>
        </w:rPr>
        <w:t xml:space="preserve">, </w:t>
      </w:r>
      <w:r>
        <w:rPr>
          <w:rFonts w:ascii="Garamond" w:eastAsia="Garamond" w:hAnsi="Garamond" w:cs="Garamond"/>
          <w:b/>
          <w:bCs/>
          <w:i/>
          <w:iCs/>
          <w:sz w:val="28"/>
          <w:szCs w:val="28"/>
        </w:rPr>
        <w:t>Sya‘bân</w:t>
      </w:r>
      <w:r>
        <w:rPr>
          <w:rFonts w:ascii="Garamond" w:eastAsia="Garamond" w:hAnsi="Garamond" w:cs="Garamond"/>
          <w:b/>
          <w:bCs/>
          <w:sz w:val="28"/>
          <w:szCs w:val="28"/>
        </w:rPr>
        <w:t xml:space="preserve">, and </w:t>
      </w:r>
      <w:r>
        <w:rPr>
          <w:rFonts w:ascii="Garamond" w:eastAsia="Garamond" w:hAnsi="Garamond" w:cs="Garamond"/>
          <w:b/>
          <w:bCs/>
          <w:i/>
          <w:iCs/>
          <w:sz w:val="28"/>
          <w:szCs w:val="28"/>
        </w:rPr>
        <w:t>Ramadhân</w:t>
      </w:r>
      <w:r>
        <w:rPr>
          <w:rFonts w:ascii="Garamond" w:eastAsia="Garamond" w:hAnsi="Garamond" w:cs="Garamond"/>
          <w:b/>
          <w:bCs/>
          <w:sz w:val="28"/>
          <w:szCs w:val="28"/>
        </w:rPr>
        <w:t xml:space="preserve">), the chanting of </w:t>
      </w:r>
      <w:r>
        <w:rPr>
          <w:rFonts w:ascii="Garamond" w:eastAsia="Garamond" w:hAnsi="Garamond" w:cs="Garamond"/>
          <w:b/>
          <w:bCs/>
          <w:i/>
          <w:iCs/>
          <w:sz w:val="28"/>
          <w:szCs w:val="28"/>
        </w:rPr>
        <w:t>nadhâm</w:t>
      </w:r>
      <w:r>
        <w:rPr>
          <w:rFonts w:ascii="Garamond" w:eastAsia="Garamond" w:hAnsi="Garamond" w:cs="Garamond"/>
          <w:b/>
          <w:bCs/>
          <w:sz w:val="28"/>
          <w:szCs w:val="28"/>
        </w:rPr>
        <w:t xml:space="preserve"> (didactic poetic verses), and communal activities like </w:t>
      </w:r>
      <w:r>
        <w:rPr>
          <w:rFonts w:ascii="Garamond" w:eastAsia="Garamond" w:hAnsi="Garamond" w:cs="Garamond"/>
          <w:b/>
          <w:bCs/>
          <w:i/>
          <w:iCs/>
          <w:sz w:val="28"/>
          <w:szCs w:val="28"/>
        </w:rPr>
        <w:t>tahlilan</w:t>
      </w:r>
      <w:r>
        <w:rPr>
          <w:rFonts w:ascii="Garamond" w:eastAsia="Garamond" w:hAnsi="Garamond" w:cs="Garamond"/>
          <w:b/>
          <w:bCs/>
          <w:sz w:val="28"/>
          <w:szCs w:val="28"/>
        </w:rPr>
        <w:t xml:space="preserve"> and </w:t>
      </w:r>
      <w:r>
        <w:rPr>
          <w:rFonts w:ascii="Garamond" w:eastAsia="Garamond" w:hAnsi="Garamond" w:cs="Garamond"/>
          <w:b/>
          <w:bCs/>
          <w:i/>
          <w:iCs/>
          <w:sz w:val="28"/>
          <w:szCs w:val="28"/>
        </w:rPr>
        <w:t>wiridan</w:t>
      </w:r>
      <w:r>
        <w:rPr>
          <w:rFonts w:ascii="Garamond" w:eastAsia="Garamond" w:hAnsi="Garamond" w:cs="Garamond"/>
          <w:b/>
          <w:bCs/>
          <w:sz w:val="28"/>
          <w:szCs w:val="28"/>
        </w:rPr>
        <w:t xml:space="preserve">—continue to be maintained and widely practiced across nearly all of the alumni </w:t>
      </w:r>
      <w:r>
        <w:rPr>
          <w:rFonts w:ascii="Garamond" w:eastAsia="Garamond" w:hAnsi="Garamond" w:cs="Garamond"/>
          <w:b/>
          <w:bCs/>
          <w:i/>
          <w:iCs/>
          <w:sz w:val="28"/>
          <w:szCs w:val="28"/>
        </w:rPr>
        <w:t>pesantren</w:t>
      </w:r>
      <w:r>
        <w:rPr>
          <w:rFonts w:ascii="Garamond" w:eastAsia="Garamond" w:hAnsi="Garamond" w:cs="Garamond"/>
          <w:b/>
          <w:bCs/>
          <w:sz w:val="28"/>
          <w:szCs w:val="28"/>
        </w:rPr>
        <w:t xml:space="preserve"> examined. This indicates that the transmission of Musthaf</w:t>
      </w:r>
      <w:r>
        <w:rPr>
          <w:rFonts w:ascii="Garamond" w:eastAsia="Garamond" w:hAnsi="Garamond" w:cs="Garamond"/>
          <w:b/>
          <w:bCs/>
          <w:sz w:val="28"/>
          <w:szCs w:val="28"/>
        </w:rPr>
        <w:t>awiyah traditions is not limited to formal teachings, but also occurs in worship spaces and the daily spirituality of students.</w:t>
      </w:r>
    </w:p>
    <w:p w:rsidR="00A24EEF" w:rsidRDefault="003C36B1">
      <w:pPr>
        <w:spacing w:after="0"/>
        <w:ind w:left="360" w:firstLine="360"/>
        <w:jc w:val="both"/>
        <w:rPr>
          <w:rFonts w:ascii="Garamond" w:eastAsia="Garamond" w:hAnsi="Garamond" w:cs="Garamond"/>
          <w:b/>
          <w:bCs/>
          <w:sz w:val="28"/>
          <w:szCs w:val="28"/>
        </w:rPr>
      </w:pPr>
      <w:r>
        <w:rPr>
          <w:rFonts w:ascii="Garamond" w:eastAsia="Garamond" w:hAnsi="Garamond" w:cs="Garamond"/>
          <w:b/>
          <w:bCs/>
          <w:sz w:val="28"/>
          <w:szCs w:val="28"/>
        </w:rPr>
        <w:t>Furthermore, the institutional structure of the alumni Islamic boarding school tends to replicate the Musthafawiyah pattern. Sta</w:t>
      </w:r>
      <w:r>
        <w:rPr>
          <w:rFonts w:ascii="Garamond" w:eastAsia="Garamond" w:hAnsi="Garamond" w:cs="Garamond"/>
          <w:b/>
          <w:bCs/>
          <w:sz w:val="28"/>
          <w:szCs w:val="28"/>
        </w:rPr>
        <w:t xml:space="preserve">rting from the division of dormitories based on seniority, the system </w:t>
      </w:r>
      <w:r>
        <w:rPr>
          <w:rFonts w:ascii="Garamond" w:eastAsia="Garamond" w:hAnsi="Garamond" w:cs="Garamond"/>
          <w:b/>
          <w:bCs/>
          <w:i/>
          <w:iCs/>
          <w:sz w:val="28"/>
          <w:szCs w:val="28"/>
        </w:rPr>
        <w:t xml:space="preserve">service </w:t>
      </w:r>
      <w:r>
        <w:rPr>
          <w:rFonts w:ascii="Garamond" w:eastAsia="Garamond" w:hAnsi="Garamond" w:cs="Garamond"/>
          <w:b/>
          <w:bCs/>
          <w:sz w:val="28"/>
          <w:szCs w:val="28"/>
        </w:rPr>
        <w:t xml:space="preserve">or devotion of the students, to an internal hierarchy that positions senior students as mentors to their juniors. This system not only regulates the internal life of the Islamic </w:t>
      </w:r>
      <w:r>
        <w:rPr>
          <w:rFonts w:ascii="Garamond" w:eastAsia="Garamond" w:hAnsi="Garamond" w:cs="Garamond"/>
          <w:b/>
          <w:bCs/>
          <w:sz w:val="28"/>
          <w:szCs w:val="28"/>
        </w:rPr>
        <w:t>boarding school but also serves as a medium for internalizing values such as responsibility, discipline, humility, and leadership. These values indirectly shape the students' character as both religious and social individuals.</w:t>
      </w:r>
    </w:p>
    <w:p w:rsidR="00A24EEF" w:rsidRDefault="003C36B1">
      <w:pPr>
        <w:spacing w:after="0"/>
        <w:ind w:left="360" w:firstLine="360"/>
        <w:jc w:val="both"/>
        <w:rPr>
          <w:rFonts w:ascii="Garamond" w:eastAsia="Garamond" w:hAnsi="Garamond" w:cs="Garamond"/>
          <w:b/>
          <w:bCs/>
          <w:sz w:val="28"/>
          <w:szCs w:val="28"/>
        </w:rPr>
      </w:pPr>
      <w:r>
        <w:rPr>
          <w:rFonts w:ascii="Garamond" w:eastAsia="Garamond" w:hAnsi="Garamond" w:cs="Garamond"/>
          <w:b/>
          <w:bCs/>
          <w:sz w:val="28"/>
          <w:szCs w:val="28"/>
        </w:rPr>
        <w:lastRenderedPageBreak/>
        <w:t xml:space="preserve">These findings reinforce the </w:t>
      </w:r>
      <w:r>
        <w:rPr>
          <w:rFonts w:ascii="Garamond" w:eastAsia="Garamond" w:hAnsi="Garamond" w:cs="Garamond"/>
          <w:b/>
          <w:bCs/>
          <w:sz w:val="28"/>
          <w:szCs w:val="28"/>
        </w:rPr>
        <w:t>thesis that there is institutional and cultural continuity of tradition within the network of Musthafawiyah alumni Islamic boarding schools. Within the framework of Voll's (1982) theory of continuity and change, the patterns of practice within Islamic boar</w:t>
      </w:r>
      <w:r>
        <w:rPr>
          <w:rFonts w:ascii="Garamond" w:eastAsia="Garamond" w:hAnsi="Garamond" w:cs="Garamond"/>
          <w:b/>
          <w:bCs/>
          <w:sz w:val="28"/>
          <w:szCs w:val="28"/>
        </w:rPr>
        <w:t>ding schools reflect the ability of traditional Islamic institutions to maintain core values while remaining adaptive to change. Islamic boarding school traditions are not merely preserved as symbolic legacies but are actively implemented in educational pr</w:t>
      </w:r>
      <w:r>
        <w:rPr>
          <w:rFonts w:ascii="Garamond" w:eastAsia="Garamond" w:hAnsi="Garamond" w:cs="Garamond"/>
          <w:b/>
          <w:bCs/>
          <w:sz w:val="28"/>
          <w:szCs w:val="28"/>
        </w:rPr>
        <w:t>actices and daily life, thus becoming an integral part of the institution's identity.</w:t>
      </w:r>
    </w:p>
    <w:p w:rsidR="00A24EEF" w:rsidRDefault="003C36B1">
      <w:pPr>
        <w:spacing w:after="0"/>
        <w:ind w:left="360" w:firstLine="360"/>
        <w:jc w:val="both"/>
        <w:rPr>
          <w:rFonts w:ascii="Garamond" w:eastAsia="Garamond" w:hAnsi="Garamond" w:cs="Garamond"/>
          <w:b/>
          <w:bCs/>
          <w:sz w:val="28"/>
          <w:szCs w:val="28"/>
        </w:rPr>
      </w:pPr>
      <w:r>
        <w:rPr>
          <w:rFonts w:ascii="Garamond" w:eastAsia="Garamond" w:hAnsi="Garamond" w:cs="Garamond"/>
          <w:b/>
          <w:bCs/>
          <w:sz w:val="28"/>
          <w:szCs w:val="28"/>
        </w:rPr>
        <w:t>In this context, learning in Islamic boarding schools is not merely the transmission of cognitive knowledge, but rather a process of inheriting values, manners, and socia</w:t>
      </w:r>
      <w:r>
        <w:rPr>
          <w:rFonts w:ascii="Garamond" w:eastAsia="Garamond" w:hAnsi="Garamond" w:cs="Garamond"/>
          <w:b/>
          <w:bCs/>
          <w:sz w:val="28"/>
          <w:szCs w:val="28"/>
        </w:rPr>
        <w:t>l structures that are continuously reproduced within a collective consciousness. Thus, the continuity practiced is not passive, but rather the result of conscious choices that enable Islamic boarding schools to remain alive and relevant in various contempo</w:t>
      </w:r>
      <w:r>
        <w:rPr>
          <w:rFonts w:ascii="Garamond" w:eastAsia="Garamond" w:hAnsi="Garamond" w:cs="Garamond"/>
          <w:b/>
          <w:bCs/>
          <w:sz w:val="28"/>
          <w:szCs w:val="28"/>
        </w:rPr>
        <w:t>rary contexts (Malisi et al., 2024).</w:t>
      </w:r>
    </w:p>
    <w:p w:rsidR="00A24EEF" w:rsidRDefault="003C36B1">
      <w:pPr>
        <w:spacing w:after="0"/>
        <w:ind w:left="360" w:firstLine="360"/>
        <w:jc w:val="both"/>
        <w:rPr>
          <w:rFonts w:ascii="Garamond" w:eastAsia="Garamond" w:hAnsi="Garamond" w:cs="Garamond"/>
          <w:b/>
          <w:bCs/>
          <w:sz w:val="28"/>
          <w:szCs w:val="28"/>
        </w:rPr>
      </w:pPr>
      <w:r>
        <w:rPr>
          <w:rFonts w:ascii="Garamond" w:eastAsia="Garamond" w:hAnsi="Garamond" w:cs="Garamond"/>
          <w:b/>
          <w:bCs/>
          <w:sz w:val="28"/>
          <w:szCs w:val="28"/>
        </w:rPr>
        <w:t xml:space="preserve">This preserved tradition also functions as </w:t>
      </w:r>
      <w:r>
        <w:rPr>
          <w:rFonts w:ascii="Garamond" w:eastAsia="Garamond" w:hAnsi="Garamond" w:cs="Garamond"/>
          <w:b/>
          <w:bCs/>
          <w:i/>
          <w:iCs/>
          <w:sz w:val="28"/>
          <w:szCs w:val="28"/>
        </w:rPr>
        <w:t xml:space="preserve">cultural capital. </w:t>
      </w:r>
      <w:r>
        <w:rPr>
          <w:rFonts w:ascii="Garamond" w:eastAsia="Garamond" w:hAnsi="Garamond" w:cs="Garamond"/>
          <w:b/>
          <w:bCs/>
          <w:sz w:val="28"/>
          <w:szCs w:val="28"/>
        </w:rPr>
        <w:t>This distinguishes the Musthafawiyah alumni Islamic boarding school from other educational institutions. The unique teaching methods, value systems, and stron</w:t>
      </w:r>
      <w:r>
        <w:rPr>
          <w:rFonts w:ascii="Garamond" w:eastAsia="Garamond" w:hAnsi="Garamond" w:cs="Garamond"/>
          <w:b/>
          <w:bCs/>
          <w:sz w:val="28"/>
          <w:szCs w:val="28"/>
        </w:rPr>
        <w:t xml:space="preserve">g scholarly identity shape the </w:t>
      </w:r>
      <w:r>
        <w:rPr>
          <w:rFonts w:ascii="Garamond" w:eastAsia="Garamond" w:hAnsi="Garamond" w:cs="Garamond"/>
          <w:b/>
          <w:bCs/>
          <w:i/>
          <w:iCs/>
          <w:sz w:val="28"/>
          <w:szCs w:val="28"/>
        </w:rPr>
        <w:t>pesantren's</w:t>
      </w:r>
      <w:r>
        <w:rPr>
          <w:rFonts w:ascii="Garamond" w:eastAsia="Garamond" w:hAnsi="Garamond" w:cs="Garamond"/>
          <w:b/>
          <w:bCs/>
          <w:sz w:val="28"/>
          <w:szCs w:val="28"/>
        </w:rPr>
        <w:t xml:space="preserve"> distinctive position in the contemporary Islamic educational landscape. Therefore, maintaining these methods is essential. The </w:t>
      </w:r>
      <w:r>
        <w:rPr>
          <w:rFonts w:ascii="Garamond" w:eastAsia="Garamond" w:hAnsi="Garamond" w:cs="Garamond"/>
          <w:b/>
          <w:bCs/>
          <w:i/>
          <w:iCs/>
          <w:sz w:val="28"/>
          <w:szCs w:val="28"/>
        </w:rPr>
        <w:t>sorogan</w:t>
      </w:r>
      <w:r>
        <w:rPr>
          <w:rFonts w:ascii="Garamond" w:eastAsia="Garamond" w:hAnsi="Garamond" w:cs="Garamond"/>
          <w:b/>
          <w:bCs/>
          <w:sz w:val="28"/>
          <w:szCs w:val="28"/>
        </w:rPr>
        <w:t xml:space="preserve">, </w:t>
      </w:r>
      <w:r>
        <w:rPr>
          <w:rFonts w:ascii="Garamond" w:eastAsia="Garamond" w:hAnsi="Garamond" w:cs="Garamond"/>
          <w:b/>
          <w:bCs/>
          <w:i/>
          <w:iCs/>
          <w:sz w:val="28"/>
          <w:szCs w:val="28"/>
        </w:rPr>
        <w:t>bandongan</w:t>
      </w:r>
      <w:r>
        <w:rPr>
          <w:rFonts w:ascii="Garamond" w:eastAsia="Garamond" w:hAnsi="Garamond" w:cs="Garamond"/>
          <w:b/>
          <w:bCs/>
          <w:sz w:val="28"/>
          <w:szCs w:val="28"/>
        </w:rPr>
        <w:t xml:space="preserve">, and </w:t>
      </w:r>
      <w:r>
        <w:rPr>
          <w:rFonts w:ascii="Garamond" w:eastAsia="Garamond" w:hAnsi="Garamond" w:cs="Garamond"/>
          <w:b/>
          <w:bCs/>
          <w:i/>
          <w:iCs/>
          <w:sz w:val="28"/>
          <w:szCs w:val="28"/>
        </w:rPr>
        <w:t>service</w:t>
      </w:r>
      <w:r>
        <w:rPr>
          <w:rFonts w:ascii="Garamond" w:eastAsia="Garamond" w:hAnsi="Garamond" w:cs="Garamond"/>
          <w:b/>
          <w:bCs/>
          <w:sz w:val="28"/>
          <w:szCs w:val="28"/>
        </w:rPr>
        <w:t xml:space="preserve"> systems not only play a role in preserving cultural an</w:t>
      </w:r>
      <w:r>
        <w:rPr>
          <w:rFonts w:ascii="Garamond" w:eastAsia="Garamond" w:hAnsi="Garamond" w:cs="Garamond"/>
          <w:b/>
          <w:bCs/>
          <w:sz w:val="28"/>
          <w:szCs w:val="28"/>
        </w:rPr>
        <w:t>d scholarly traditions, but also function as strategic markers of institutional identity in responding to the homogenizing tendencies of modern education.</w:t>
      </w:r>
    </w:p>
    <w:p w:rsidR="00A24EEF" w:rsidRDefault="003C36B1">
      <w:pPr>
        <w:spacing w:after="0"/>
        <w:ind w:left="360" w:firstLine="360"/>
        <w:jc w:val="both"/>
        <w:rPr>
          <w:rFonts w:ascii="Garamond" w:eastAsia="Garamond" w:hAnsi="Garamond" w:cs="Garamond"/>
          <w:b/>
          <w:bCs/>
          <w:sz w:val="28"/>
          <w:szCs w:val="28"/>
        </w:rPr>
      </w:pPr>
      <w:r>
        <w:rPr>
          <w:rFonts w:ascii="Garamond" w:eastAsia="Garamond" w:hAnsi="Garamond" w:cs="Garamond"/>
          <w:b/>
          <w:bCs/>
          <w:sz w:val="28"/>
          <w:szCs w:val="28"/>
        </w:rPr>
        <w:t>Based on classical Islamic educational theory and modern sociological insights (Hefner, 2009), the co</w:t>
      </w:r>
      <w:r>
        <w:rPr>
          <w:rFonts w:ascii="Garamond" w:eastAsia="Garamond" w:hAnsi="Garamond" w:cs="Garamond"/>
          <w:b/>
          <w:bCs/>
          <w:sz w:val="28"/>
          <w:szCs w:val="28"/>
        </w:rPr>
        <w:t>ntinuity of pesantren tradition is reflected through practices such as: (1) the use of kitab kuning (classical texts) in the learning process; (2) the preservation of sanad (chains of transmission) in both knowledge and ethics; (3) the oral transmission of</w:t>
      </w:r>
      <w:r>
        <w:rPr>
          <w:rFonts w:ascii="Garamond" w:eastAsia="Garamond" w:hAnsi="Garamond" w:cs="Garamond"/>
          <w:b/>
          <w:bCs/>
          <w:sz w:val="28"/>
          <w:szCs w:val="28"/>
        </w:rPr>
        <w:t xml:space="preserve"> knowledge through methods such as halaqah, sorogan, and bandongan; and (4) the inculcation of values </w:t>
      </w:r>
      <w:r>
        <w:rPr>
          <w:rFonts w:ascii="Garamond" w:eastAsia="Garamond" w:hAnsi="Garamond" w:cs="Garamond"/>
          <w:b/>
          <w:bCs/>
          <w:sz w:val="28"/>
          <w:szCs w:val="28"/>
        </w:rPr>
        <w:lastRenderedPageBreak/>
        <w:t>such as humility (tawaduk), respect for teachers (ta‘</w:t>
      </w:r>
      <w:r>
        <w:rPr>
          <w:rFonts w:ascii="Garamond" w:eastAsia="Garamond" w:hAnsi="Garamond" w:cs="Garamond"/>
          <w:b/>
          <w:bCs/>
          <w:sz w:val="28"/>
          <w:szCs w:val="28"/>
        </w:rPr>
        <w:t>ẓ</w:t>
      </w:r>
      <w:r>
        <w:rPr>
          <w:rFonts w:ascii="Garamond" w:eastAsia="Garamond" w:hAnsi="Garamond" w:cs="Garamond"/>
          <w:b/>
          <w:bCs/>
          <w:sz w:val="28"/>
          <w:szCs w:val="28"/>
        </w:rPr>
        <w:t>īm), and discipline in religious life. Continuity is not merely repetition; rather, it represents cu</w:t>
      </w:r>
      <w:r>
        <w:rPr>
          <w:rFonts w:ascii="Garamond" w:eastAsia="Garamond" w:hAnsi="Garamond" w:cs="Garamond"/>
          <w:b/>
          <w:bCs/>
          <w:sz w:val="28"/>
          <w:szCs w:val="28"/>
        </w:rPr>
        <w:t>ltural reproduction, the strengthening of identity, and the preservation of epistemological and spiritual frameworks that define the pesantren as an Islamic educational institution (Dhofier, 1999; Azra, 2012).</w:t>
      </w:r>
    </w:p>
    <w:p w:rsidR="00A24EEF" w:rsidRDefault="003C36B1">
      <w:pPr>
        <w:spacing w:after="0"/>
        <w:ind w:left="360" w:firstLine="720"/>
        <w:jc w:val="both"/>
        <w:rPr>
          <w:rFonts w:ascii="Garamond" w:eastAsia="Garamond" w:hAnsi="Garamond" w:cs="Garamond"/>
          <w:b/>
          <w:bCs/>
          <w:color w:val="262626"/>
          <w:sz w:val="28"/>
          <w:szCs w:val="28"/>
        </w:rPr>
      </w:pPr>
      <w:r>
        <w:rPr>
          <w:rFonts w:ascii="Garamond" w:eastAsia="Garamond" w:hAnsi="Garamond" w:cs="Garamond"/>
          <w:b/>
          <w:bCs/>
          <w:sz w:val="28"/>
          <w:szCs w:val="28"/>
        </w:rPr>
        <w:t xml:space="preserve">In perspective </w:t>
      </w:r>
      <w:r>
        <w:rPr>
          <w:rFonts w:ascii="Garamond" w:eastAsia="Garamond" w:hAnsi="Garamond" w:cs="Garamond"/>
          <w:b/>
          <w:bCs/>
          <w:i/>
          <w:iCs/>
          <w:color w:val="262626"/>
          <w:sz w:val="28"/>
          <w:szCs w:val="28"/>
        </w:rPr>
        <w:t>living tradition a</w:t>
      </w:r>
      <w:r>
        <w:rPr>
          <w:rFonts w:ascii="Garamond" w:eastAsia="Garamond" w:hAnsi="Garamond" w:cs="Garamond"/>
          <w:b/>
          <w:bCs/>
          <w:color w:val="262626"/>
          <w:sz w:val="28"/>
          <w:szCs w:val="28"/>
        </w:rPr>
        <w:t>s Rahman (198</w:t>
      </w:r>
      <w:r>
        <w:rPr>
          <w:rFonts w:ascii="Garamond" w:eastAsia="Garamond" w:hAnsi="Garamond" w:cs="Garamond"/>
          <w:b/>
          <w:bCs/>
          <w:color w:val="262626"/>
          <w:sz w:val="28"/>
          <w:szCs w:val="28"/>
        </w:rPr>
        <w:t>2) points out, the Musthafawiyah alumni Islamic boarding school is a concrete example of a living and contextually evolving tradition. Tradition is not seen as a static and frozen legacy of the past, but as a dynamic and relevant legacy, capable of adaptin</w:t>
      </w:r>
      <w:r>
        <w:rPr>
          <w:rFonts w:ascii="Garamond" w:eastAsia="Garamond" w:hAnsi="Garamond" w:cs="Garamond"/>
          <w:b/>
          <w:bCs/>
          <w:color w:val="262626"/>
          <w:sz w:val="28"/>
          <w:szCs w:val="28"/>
        </w:rPr>
        <w:t>g to the challenges of the times while maintaining its essence. The limited use of technology, administrative adjustments, and the development of additional curricula do not necessarily eliminate traditional character; instead, they strengthen the institut</w:t>
      </w:r>
      <w:r>
        <w:rPr>
          <w:rFonts w:ascii="Garamond" w:eastAsia="Garamond" w:hAnsi="Garamond" w:cs="Garamond"/>
          <w:b/>
          <w:bCs/>
          <w:color w:val="262626"/>
          <w:sz w:val="28"/>
          <w:szCs w:val="28"/>
        </w:rPr>
        <w:t>ion's ability to adapt to ever-changing realities (Malisi et al., 2024).</w:t>
      </w:r>
    </w:p>
    <w:p w:rsidR="00A24EEF" w:rsidRDefault="003C36B1">
      <w:pPr>
        <w:spacing w:after="0"/>
        <w:ind w:left="360" w:firstLine="36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t>Overall, the results of this study indicate that the alumni of the Musthafawiyah Islamic boarding schools in Tabagsel are not merely replicas of their parent Islamic boarding schools,</w:t>
      </w:r>
      <w:r>
        <w:rPr>
          <w:rFonts w:ascii="Garamond" w:eastAsia="Garamond" w:hAnsi="Garamond" w:cs="Garamond"/>
          <w:b/>
          <w:bCs/>
          <w:color w:val="262626"/>
          <w:sz w:val="28"/>
          <w:szCs w:val="28"/>
        </w:rPr>
        <w:t xml:space="preserve"> but also serve as nodes for the transmission of classical Islamic values and educational systems, successfully maintained amidst the tide of modernization. Their traditions are not ahistorical but contextual, with their strength lying in their ability to </w:t>
      </w:r>
      <w:r>
        <w:rPr>
          <w:rFonts w:ascii="Garamond" w:eastAsia="Garamond" w:hAnsi="Garamond" w:cs="Garamond"/>
          <w:b/>
          <w:bCs/>
          <w:color w:val="262626"/>
          <w:sz w:val="28"/>
          <w:szCs w:val="28"/>
        </w:rPr>
        <w:t>survive and transform within the boundaries of established values.</w:t>
      </w:r>
    </w:p>
    <w:p w:rsidR="00A24EEF" w:rsidRDefault="003C36B1">
      <w:pPr>
        <w:spacing w:after="0"/>
        <w:ind w:left="360" w:firstLine="360"/>
        <w:jc w:val="both"/>
        <w:rPr>
          <w:rFonts w:ascii="Garamond" w:eastAsia="Garamond" w:hAnsi="Garamond" w:cs="Garamond"/>
          <w:b/>
          <w:bCs/>
          <w:sz w:val="28"/>
          <w:szCs w:val="28"/>
        </w:rPr>
      </w:pPr>
      <w:r>
        <w:rPr>
          <w:rFonts w:ascii="Garamond" w:eastAsia="Garamond" w:hAnsi="Garamond" w:cs="Garamond"/>
          <w:b/>
          <w:bCs/>
          <w:color w:val="262626"/>
          <w:sz w:val="28"/>
          <w:szCs w:val="28"/>
        </w:rPr>
        <w:t>In other words, the Musthafawiyah alumni Islamic boarding schools are a manifestation of tradition that is not only preserved but also fostered. They are not in conflict between the past an</w:t>
      </w:r>
      <w:r>
        <w:rPr>
          <w:rFonts w:ascii="Garamond" w:eastAsia="Garamond" w:hAnsi="Garamond" w:cs="Garamond"/>
          <w:b/>
          <w:bCs/>
          <w:color w:val="262626"/>
          <w:sz w:val="28"/>
          <w:szCs w:val="28"/>
        </w:rPr>
        <w:t xml:space="preserve">d the present, but rather form a bridge that harmoniously connects the two. Renewal is carried out with the principle of </w:t>
      </w:r>
      <w:r>
        <w:rPr>
          <w:rFonts w:ascii="Garamond" w:eastAsia="Garamond" w:hAnsi="Garamond" w:cs="Garamond"/>
          <w:b/>
          <w:bCs/>
          <w:i/>
          <w:iCs/>
          <w:sz w:val="28"/>
          <w:szCs w:val="28"/>
        </w:rPr>
        <w:t>al-muhafadzah 'ala al-qadim al-shalih wa al-akhdzu bi al-jadid al-ashlah</w:t>
      </w:r>
      <w:r>
        <w:rPr>
          <w:rFonts w:ascii="Garamond" w:eastAsia="Garamond" w:hAnsi="Garamond" w:cs="Garamond"/>
          <w:b/>
          <w:bCs/>
          <w:sz w:val="28"/>
          <w:szCs w:val="28"/>
        </w:rPr>
        <w:t xml:space="preserve"> (preserving good old traditions and adopting better new ones).</w:t>
      </w:r>
      <w:r>
        <w:rPr>
          <w:rFonts w:ascii="Garamond" w:eastAsia="Garamond" w:hAnsi="Garamond" w:cs="Garamond"/>
          <w:b/>
          <w:bCs/>
          <w:sz w:val="28"/>
          <w:szCs w:val="28"/>
        </w:rPr>
        <w:t xml:space="preserve"> Various innovations such as the classical system and integration of national education have been implemented, yet the tradition of studying </w:t>
      </w:r>
      <w:r>
        <w:rPr>
          <w:rFonts w:ascii="Garamond" w:eastAsia="Garamond" w:hAnsi="Garamond" w:cs="Garamond"/>
          <w:b/>
          <w:bCs/>
          <w:i/>
          <w:iCs/>
          <w:sz w:val="28"/>
          <w:szCs w:val="28"/>
        </w:rPr>
        <w:t>kitab kuning</w:t>
      </w:r>
      <w:r>
        <w:rPr>
          <w:rFonts w:ascii="Garamond" w:eastAsia="Garamond" w:hAnsi="Garamond" w:cs="Garamond"/>
          <w:b/>
          <w:bCs/>
          <w:sz w:val="28"/>
          <w:szCs w:val="28"/>
        </w:rPr>
        <w:t xml:space="preserve">, the </w:t>
      </w:r>
      <w:r>
        <w:rPr>
          <w:rFonts w:ascii="Garamond" w:eastAsia="Garamond" w:hAnsi="Garamond" w:cs="Garamond"/>
          <w:b/>
          <w:bCs/>
          <w:i/>
          <w:iCs/>
          <w:sz w:val="28"/>
          <w:szCs w:val="28"/>
        </w:rPr>
        <w:t>halaqah</w:t>
      </w:r>
      <w:r>
        <w:rPr>
          <w:rFonts w:ascii="Garamond" w:eastAsia="Garamond" w:hAnsi="Garamond" w:cs="Garamond"/>
          <w:b/>
          <w:bCs/>
          <w:sz w:val="28"/>
          <w:szCs w:val="28"/>
        </w:rPr>
        <w:t xml:space="preserve"> method, and the values </w:t>
      </w:r>
      <w:r>
        <w:rPr>
          <w:rFonts w:ascii="Garamond" w:eastAsia="Garamond" w:hAnsi="Garamond" w:cs="Garamond"/>
          <w:b/>
          <w:bCs/>
          <w:i/>
          <w:iCs/>
          <w:sz w:val="28"/>
          <w:szCs w:val="28"/>
        </w:rPr>
        <w:t>of ahl as-sunnah wal-jama'ah</w:t>
      </w:r>
      <w:r>
        <w:rPr>
          <w:rFonts w:ascii="Garamond" w:eastAsia="Garamond" w:hAnsi="Garamond" w:cs="Garamond"/>
          <w:b/>
          <w:bCs/>
          <w:sz w:val="28"/>
          <w:szCs w:val="28"/>
        </w:rPr>
        <w:t xml:space="preserve"> remain strongly maintained (Musa, 2022). In the </w:t>
      </w:r>
      <w:r>
        <w:rPr>
          <w:rFonts w:ascii="Garamond" w:eastAsia="Garamond" w:hAnsi="Garamond" w:cs="Garamond"/>
          <w:b/>
          <w:bCs/>
          <w:sz w:val="28"/>
          <w:szCs w:val="28"/>
        </w:rPr>
        <w:lastRenderedPageBreak/>
        <w:t>context of contemporary Islamic education, this model is crucial as an alternative to the modern education system, which tends to be pragmatic and lacks spiritual roots and authentic values.</w:t>
      </w:r>
    </w:p>
    <w:p w:rsidR="00A24EEF" w:rsidRDefault="003C36B1">
      <w:pPr>
        <w:spacing w:before="120" w:after="40"/>
        <w:ind w:left="720" w:hanging="360"/>
        <w:jc w:val="both"/>
        <w:rPr>
          <w:rFonts w:ascii="Garamond" w:eastAsia="Garamond" w:hAnsi="Garamond" w:cs="Garamond"/>
          <w:b/>
          <w:bCs/>
          <w:i/>
          <w:iCs/>
          <w:sz w:val="28"/>
          <w:szCs w:val="28"/>
        </w:rPr>
      </w:pPr>
      <w:r>
        <w:rPr>
          <w:rFonts w:ascii="Garamond" w:eastAsia="Garamond" w:hAnsi="Garamond" w:cs="Garamond"/>
          <w:b/>
          <w:bCs/>
          <w:i/>
          <w:iCs/>
          <w:sz w:val="28"/>
          <w:szCs w:val="28"/>
        </w:rPr>
        <w:t>C.</w:t>
      </w:r>
      <w:r>
        <w:rPr>
          <w:rFonts w:ascii="Times New Roman" w:eastAsia="Times New Roman" w:hAnsi="Times New Roman" w:cs="Times New Roman"/>
          <w:sz w:val="14"/>
          <w:szCs w:val="14"/>
        </w:rPr>
        <w:t xml:space="preserve">   </w:t>
      </w:r>
      <w:r>
        <w:rPr>
          <w:rFonts w:ascii="Garamond" w:eastAsia="Garamond" w:hAnsi="Garamond" w:cs="Garamond"/>
          <w:b/>
          <w:bCs/>
          <w:i/>
          <w:iCs/>
          <w:sz w:val="28"/>
          <w:szCs w:val="28"/>
        </w:rPr>
        <w:t>Values Pres</w:t>
      </w:r>
      <w:r>
        <w:rPr>
          <w:rFonts w:ascii="Garamond" w:eastAsia="Garamond" w:hAnsi="Garamond" w:cs="Garamond"/>
          <w:b/>
          <w:bCs/>
          <w:i/>
          <w:iCs/>
          <w:sz w:val="28"/>
          <w:szCs w:val="28"/>
        </w:rPr>
        <w:t>erved and Transmitted in the Educational Practices of Musthafawiyah Alumni Islamic Boarding Schools</w:t>
      </w:r>
    </w:p>
    <w:p w:rsidR="00A24EEF" w:rsidRDefault="003C36B1">
      <w:pPr>
        <w:spacing w:after="0"/>
        <w:ind w:left="380" w:firstLine="38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t>This study also found that alumni of Musthafawiyah Islamic boarding schools actively maintain the core values of Islamic boarding school education, which ha</w:t>
      </w:r>
      <w:r>
        <w:rPr>
          <w:rFonts w:ascii="Garamond" w:eastAsia="Garamond" w:hAnsi="Garamond" w:cs="Garamond"/>
          <w:b/>
          <w:bCs/>
          <w:color w:val="262626"/>
          <w:sz w:val="28"/>
          <w:szCs w:val="28"/>
        </w:rPr>
        <w:t xml:space="preserve">ve long been the foundation of the students' personalities. </w:t>
      </w:r>
      <w:r>
        <w:rPr>
          <w:rFonts w:ascii="Garamond" w:eastAsia="Garamond" w:hAnsi="Garamond" w:cs="Garamond"/>
          <w:b/>
          <w:bCs/>
          <w:sz w:val="28"/>
          <w:szCs w:val="28"/>
        </w:rPr>
        <w:t>The primary value strongly emphasized is proper conduct and ethics, encompassing respect for teachers, reverence for knowledge, and harmonious relations with fellow students.</w:t>
      </w:r>
      <w:r>
        <w:rPr>
          <w:rFonts w:ascii="Garamond" w:eastAsia="Garamond" w:hAnsi="Garamond" w:cs="Garamond"/>
          <w:b/>
          <w:bCs/>
          <w:color w:val="262626"/>
          <w:sz w:val="28"/>
          <w:szCs w:val="28"/>
        </w:rPr>
        <w:t xml:space="preserve"> These values are taug</w:t>
      </w:r>
      <w:r>
        <w:rPr>
          <w:rFonts w:ascii="Garamond" w:eastAsia="Garamond" w:hAnsi="Garamond" w:cs="Garamond"/>
          <w:b/>
          <w:bCs/>
          <w:color w:val="262626"/>
          <w:sz w:val="28"/>
          <w:szCs w:val="28"/>
        </w:rPr>
        <w:t>ht continuously, not only in the classroom, but also through exemplary behavior in daily life at the Islamic boarding school.</w:t>
      </w:r>
    </w:p>
    <w:p w:rsidR="00A24EEF" w:rsidRDefault="003C36B1">
      <w:pPr>
        <w:spacing w:after="0"/>
        <w:ind w:left="380" w:firstLine="380"/>
        <w:jc w:val="both"/>
        <w:rPr>
          <w:rFonts w:ascii="Garamond" w:eastAsia="Garamond" w:hAnsi="Garamond" w:cs="Garamond"/>
          <w:b/>
          <w:bCs/>
          <w:color w:val="262626"/>
          <w:sz w:val="28"/>
          <w:szCs w:val="28"/>
        </w:rPr>
      </w:pPr>
      <w:r>
        <w:rPr>
          <w:rFonts w:ascii="Garamond" w:eastAsia="Garamond" w:hAnsi="Garamond" w:cs="Garamond"/>
          <w:b/>
          <w:bCs/>
          <w:i/>
          <w:iCs/>
          <w:color w:val="262626"/>
          <w:sz w:val="28"/>
          <w:szCs w:val="28"/>
        </w:rPr>
        <w:t>Second</w:t>
      </w:r>
      <w:r>
        <w:rPr>
          <w:rFonts w:ascii="Garamond" w:eastAsia="Garamond" w:hAnsi="Garamond" w:cs="Garamond"/>
          <w:b/>
          <w:bCs/>
          <w:color w:val="262626"/>
          <w:sz w:val="28"/>
          <w:szCs w:val="28"/>
        </w:rPr>
        <w:t xml:space="preserve">, the values of independence and simplicity are strongly emphasized. These are reflected in the students’ way of life, as they are trained to manage their own time, prepare their own meals, and live with modest facilities. </w:t>
      </w:r>
      <w:r>
        <w:rPr>
          <w:rFonts w:ascii="Garamond" w:eastAsia="Garamond" w:hAnsi="Garamond" w:cs="Garamond"/>
          <w:b/>
          <w:bCs/>
          <w:i/>
          <w:iCs/>
          <w:color w:val="262626"/>
          <w:sz w:val="28"/>
          <w:szCs w:val="28"/>
        </w:rPr>
        <w:t>Third</w:t>
      </w:r>
      <w:r>
        <w:rPr>
          <w:rFonts w:ascii="Garamond" w:eastAsia="Garamond" w:hAnsi="Garamond" w:cs="Garamond"/>
          <w:b/>
          <w:bCs/>
          <w:color w:val="262626"/>
          <w:sz w:val="28"/>
          <w:szCs w:val="28"/>
        </w:rPr>
        <w:t>, sincerity is a central val</w:t>
      </w:r>
      <w:r>
        <w:rPr>
          <w:rFonts w:ascii="Garamond" w:eastAsia="Garamond" w:hAnsi="Garamond" w:cs="Garamond"/>
          <w:b/>
          <w:bCs/>
          <w:color w:val="262626"/>
          <w:sz w:val="28"/>
          <w:szCs w:val="28"/>
        </w:rPr>
        <w:t xml:space="preserve">ue in both learning and teaching processes; </w:t>
      </w:r>
      <w:r>
        <w:rPr>
          <w:rFonts w:ascii="Garamond" w:eastAsia="Garamond" w:hAnsi="Garamond" w:cs="Garamond"/>
          <w:b/>
          <w:bCs/>
          <w:i/>
          <w:iCs/>
          <w:color w:val="262626"/>
          <w:sz w:val="28"/>
          <w:szCs w:val="28"/>
        </w:rPr>
        <w:t>ustadz</w:t>
      </w:r>
      <w:r>
        <w:rPr>
          <w:rFonts w:ascii="Garamond" w:eastAsia="Garamond" w:hAnsi="Garamond" w:cs="Garamond"/>
          <w:b/>
          <w:bCs/>
          <w:color w:val="262626"/>
          <w:sz w:val="28"/>
          <w:szCs w:val="28"/>
        </w:rPr>
        <w:t xml:space="preserve"> and </w:t>
      </w:r>
      <w:r>
        <w:rPr>
          <w:rFonts w:ascii="Garamond" w:eastAsia="Garamond" w:hAnsi="Garamond" w:cs="Garamond"/>
          <w:b/>
          <w:bCs/>
          <w:i/>
          <w:iCs/>
          <w:color w:val="262626"/>
          <w:sz w:val="28"/>
          <w:szCs w:val="28"/>
        </w:rPr>
        <w:t>kiai</w:t>
      </w:r>
      <w:r>
        <w:rPr>
          <w:rFonts w:ascii="Garamond" w:eastAsia="Garamond" w:hAnsi="Garamond" w:cs="Garamond"/>
          <w:b/>
          <w:bCs/>
          <w:color w:val="262626"/>
          <w:sz w:val="28"/>
          <w:szCs w:val="28"/>
        </w:rPr>
        <w:t xml:space="preserve"> impart knowledge without expecting significant material compensation, while students pursue learning not merely for formal credentials, but to attain the blessings of knowledge. </w:t>
      </w:r>
      <w:r>
        <w:rPr>
          <w:rFonts w:ascii="Garamond" w:eastAsia="Garamond" w:hAnsi="Garamond" w:cs="Garamond"/>
          <w:b/>
          <w:bCs/>
          <w:i/>
          <w:iCs/>
          <w:color w:val="262626"/>
          <w:sz w:val="28"/>
          <w:szCs w:val="28"/>
        </w:rPr>
        <w:t>Fourth</w:t>
      </w:r>
      <w:r>
        <w:rPr>
          <w:rFonts w:ascii="Garamond" w:eastAsia="Garamond" w:hAnsi="Garamond" w:cs="Garamond"/>
          <w:b/>
          <w:bCs/>
          <w:color w:val="262626"/>
          <w:sz w:val="28"/>
          <w:szCs w:val="28"/>
        </w:rPr>
        <w:t>, the values</w:t>
      </w:r>
      <w:r>
        <w:rPr>
          <w:rFonts w:ascii="Garamond" w:eastAsia="Garamond" w:hAnsi="Garamond" w:cs="Garamond"/>
          <w:b/>
          <w:bCs/>
          <w:color w:val="262626"/>
          <w:sz w:val="28"/>
          <w:szCs w:val="28"/>
        </w:rPr>
        <w:t xml:space="preserve"> of togetherness and collectivity are manifested through mutual cooperation and shared responsibilities, such as communal cleaning, night patrols, and the organization of extracurricular activities led by senior students.</w:t>
      </w:r>
    </w:p>
    <w:p w:rsidR="00A24EEF" w:rsidRDefault="003C36B1">
      <w:pPr>
        <w:spacing w:after="0"/>
        <w:ind w:left="380" w:firstLine="38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t>These values are not taught explic</w:t>
      </w:r>
      <w:r>
        <w:rPr>
          <w:rFonts w:ascii="Garamond" w:eastAsia="Garamond" w:hAnsi="Garamond" w:cs="Garamond"/>
          <w:b/>
          <w:bCs/>
          <w:color w:val="262626"/>
          <w:sz w:val="28"/>
          <w:szCs w:val="28"/>
        </w:rPr>
        <w:t>itly through a written curriculum, but rather through cultural internalization. Students learn through direct experience (learning by living), and the instillation of values is carried out through continuous interaction between students and the Islamic boa</w:t>
      </w:r>
      <w:r>
        <w:rPr>
          <w:rFonts w:ascii="Garamond" w:eastAsia="Garamond" w:hAnsi="Garamond" w:cs="Garamond"/>
          <w:b/>
          <w:bCs/>
          <w:color w:val="262626"/>
          <w:sz w:val="28"/>
          <w:szCs w:val="28"/>
        </w:rPr>
        <w:t>rding school environment. This shows that the educational system of Musthafawiyah alumni Islamic boarding schools is not only oriented towards the transmission of Islamic knowledge, but also towards the formation of character and personality based on value</w:t>
      </w:r>
      <w:r>
        <w:rPr>
          <w:rFonts w:ascii="Garamond" w:eastAsia="Garamond" w:hAnsi="Garamond" w:cs="Garamond"/>
          <w:b/>
          <w:bCs/>
          <w:color w:val="262626"/>
          <w:sz w:val="28"/>
          <w:szCs w:val="28"/>
        </w:rPr>
        <w:t>s.</w:t>
      </w:r>
    </w:p>
    <w:p w:rsidR="00A24EEF" w:rsidRDefault="003C36B1">
      <w:pPr>
        <w:spacing w:after="0"/>
        <w:ind w:left="380" w:firstLine="380"/>
        <w:jc w:val="both"/>
        <w:rPr>
          <w:rFonts w:ascii="Garamond" w:eastAsia="Garamond" w:hAnsi="Garamond" w:cs="Garamond"/>
          <w:b/>
          <w:bCs/>
          <w:sz w:val="28"/>
          <w:szCs w:val="28"/>
        </w:rPr>
      </w:pPr>
      <w:r>
        <w:rPr>
          <w:rFonts w:ascii="Garamond" w:eastAsia="Garamond" w:hAnsi="Garamond" w:cs="Garamond"/>
          <w:b/>
          <w:bCs/>
          <w:sz w:val="28"/>
          <w:szCs w:val="28"/>
        </w:rPr>
        <w:lastRenderedPageBreak/>
        <w:t>Values such as etiquette, sincerity, simplicity, and independence as identified in this study reflect the most fundamental dimensions of Islamic education: character formation and spirituality. These four values are not merely complementary to the teach</w:t>
      </w:r>
      <w:r>
        <w:rPr>
          <w:rFonts w:ascii="Garamond" w:eastAsia="Garamond" w:hAnsi="Garamond" w:cs="Garamond"/>
          <w:b/>
          <w:bCs/>
          <w:sz w:val="28"/>
          <w:szCs w:val="28"/>
        </w:rPr>
        <w:t>ing and learning process, but serve as the main pillars supporting the entire Islamic boarding school education system. In the Islamic boarding school tradition, education is not solely directed at intellectual achievement, but rather, at the development o</w:t>
      </w:r>
      <w:r>
        <w:rPr>
          <w:rFonts w:ascii="Garamond" w:eastAsia="Garamond" w:hAnsi="Garamond" w:cs="Garamond"/>
          <w:b/>
          <w:bCs/>
          <w:sz w:val="28"/>
          <w:szCs w:val="28"/>
        </w:rPr>
        <w:t>f a holistic personality—rooted in faith, grounded in morals, and directed toward devotion to God Almighty and society (Sufirmansyah et al, 2020;   Alhamuddin et al., 2025).</w:t>
      </w:r>
    </w:p>
    <w:p w:rsidR="00A24EEF" w:rsidRDefault="003C36B1">
      <w:pPr>
        <w:spacing w:after="0"/>
        <w:ind w:left="380" w:firstLine="380"/>
        <w:jc w:val="both"/>
        <w:rPr>
          <w:rFonts w:ascii="Garamond" w:eastAsia="Garamond" w:hAnsi="Garamond" w:cs="Garamond"/>
          <w:b/>
          <w:bCs/>
          <w:sz w:val="28"/>
          <w:szCs w:val="28"/>
        </w:rPr>
      </w:pPr>
      <w:r>
        <w:rPr>
          <w:rFonts w:ascii="Garamond" w:eastAsia="Garamond" w:hAnsi="Garamond" w:cs="Garamond"/>
          <w:b/>
          <w:bCs/>
          <w:sz w:val="28"/>
          <w:szCs w:val="28"/>
        </w:rPr>
        <w:t>In contrast to modern educational approaches that tend toward a cognitive-formalis</w:t>
      </w:r>
      <w:r>
        <w:rPr>
          <w:rFonts w:ascii="Garamond" w:eastAsia="Garamond" w:hAnsi="Garamond" w:cs="Garamond"/>
          <w:b/>
          <w:bCs/>
          <w:sz w:val="28"/>
          <w:szCs w:val="28"/>
        </w:rPr>
        <w:t>tic approach, Islamic boarding schools prioritize an integrative and applied educational process, where values are taught not only through theory but also through everyday practice. As noted by Lukens-Bull (2019), "</w:t>
      </w:r>
      <w:r>
        <w:rPr>
          <w:rFonts w:ascii="Garamond" w:eastAsia="Garamond" w:hAnsi="Garamond" w:cs="Garamond"/>
          <w:b/>
          <w:bCs/>
          <w:i/>
          <w:iCs/>
          <w:sz w:val="28"/>
          <w:szCs w:val="28"/>
        </w:rPr>
        <w:t>Adab</w:t>
      </w:r>
      <w:r>
        <w:rPr>
          <w:rFonts w:ascii="Garamond" w:eastAsia="Garamond" w:hAnsi="Garamond" w:cs="Garamond"/>
          <w:b/>
          <w:bCs/>
          <w:sz w:val="28"/>
          <w:szCs w:val="28"/>
        </w:rPr>
        <w:t xml:space="preserve"> (manners) toward teachers, toward kn</w:t>
      </w:r>
      <w:r>
        <w:rPr>
          <w:rFonts w:ascii="Garamond" w:eastAsia="Garamond" w:hAnsi="Garamond" w:cs="Garamond"/>
          <w:b/>
          <w:bCs/>
          <w:sz w:val="28"/>
          <w:szCs w:val="28"/>
        </w:rPr>
        <w:t>owledge, and toward fellow students are not taught as theoretical subjects but are embodied in the daily routines and interactions within the pesantren community." Manners, for example, are not taught in structured subject matter, but through familiarizati</w:t>
      </w:r>
      <w:r>
        <w:rPr>
          <w:rFonts w:ascii="Garamond" w:eastAsia="Garamond" w:hAnsi="Garamond" w:cs="Garamond"/>
          <w:b/>
          <w:bCs/>
          <w:sz w:val="28"/>
          <w:szCs w:val="28"/>
        </w:rPr>
        <w:t xml:space="preserve">on with interactions with teachers, fellow students, and with the scriptures and learning environment. Sincerity is not merely a concept discussed in class, but is understood through the exemplary behavior of the ustadz and </w:t>
      </w:r>
      <w:r>
        <w:rPr>
          <w:rFonts w:ascii="Garamond" w:eastAsia="Garamond" w:hAnsi="Garamond" w:cs="Garamond"/>
          <w:b/>
          <w:bCs/>
          <w:i/>
          <w:iCs/>
          <w:sz w:val="28"/>
          <w:szCs w:val="28"/>
        </w:rPr>
        <w:t>kiai</w:t>
      </w:r>
      <w:r>
        <w:rPr>
          <w:rFonts w:ascii="Garamond" w:eastAsia="Garamond" w:hAnsi="Garamond" w:cs="Garamond"/>
          <w:b/>
          <w:bCs/>
          <w:sz w:val="28"/>
          <w:szCs w:val="28"/>
        </w:rPr>
        <w:t xml:space="preserve"> who teach selflessly, as we</w:t>
      </w:r>
      <w:r>
        <w:rPr>
          <w:rFonts w:ascii="Garamond" w:eastAsia="Garamond" w:hAnsi="Garamond" w:cs="Garamond"/>
          <w:b/>
          <w:bCs/>
          <w:sz w:val="28"/>
          <w:szCs w:val="28"/>
        </w:rPr>
        <w:t>ll as the enthusiasm of the students who learn without seeking worldly rewards. This reflects what Tan (2014) describes as a "unique educational ecology where values are lived rather than simply taught.</w:t>
      </w:r>
    </w:p>
    <w:p w:rsidR="00A24EEF" w:rsidRDefault="003C36B1">
      <w:pPr>
        <w:spacing w:after="0"/>
        <w:ind w:left="380" w:firstLine="380"/>
        <w:jc w:val="both"/>
        <w:rPr>
          <w:rFonts w:ascii="Garamond" w:eastAsia="Garamond" w:hAnsi="Garamond" w:cs="Garamond"/>
          <w:b/>
          <w:bCs/>
          <w:sz w:val="28"/>
          <w:szCs w:val="28"/>
        </w:rPr>
      </w:pPr>
      <w:r>
        <w:rPr>
          <w:rFonts w:ascii="Garamond" w:eastAsia="Garamond" w:hAnsi="Garamond" w:cs="Garamond"/>
          <w:b/>
          <w:bCs/>
          <w:sz w:val="28"/>
          <w:szCs w:val="28"/>
        </w:rPr>
        <w:t xml:space="preserve">The instillation of these values takes place through </w:t>
      </w:r>
      <w:r>
        <w:rPr>
          <w:rFonts w:ascii="Garamond" w:eastAsia="Garamond" w:hAnsi="Garamond" w:cs="Garamond"/>
          <w:b/>
          <w:bCs/>
          <w:sz w:val="28"/>
          <w:szCs w:val="28"/>
        </w:rPr>
        <w:t xml:space="preserve">an educational mechanism which experts call </w:t>
      </w:r>
      <w:r>
        <w:rPr>
          <w:rFonts w:ascii="Garamond" w:eastAsia="Garamond" w:hAnsi="Garamond" w:cs="Garamond"/>
          <w:b/>
          <w:bCs/>
          <w:i/>
          <w:iCs/>
          <w:sz w:val="28"/>
          <w:szCs w:val="28"/>
        </w:rPr>
        <w:t xml:space="preserve">“hidden curriculum” </w:t>
      </w:r>
      <w:r>
        <w:rPr>
          <w:rFonts w:ascii="Garamond" w:eastAsia="Garamond" w:hAnsi="Garamond" w:cs="Garamond"/>
          <w:b/>
          <w:bCs/>
          <w:sz w:val="28"/>
          <w:szCs w:val="28"/>
        </w:rPr>
        <w:t>or hidden curriculum. In an ethnopedagogical approach, the hidden curriculum refers to the process of internalizing values and norms that are not written in formal curriculum documents, but are actually implemented through routines, social relations, and i</w:t>
      </w:r>
      <w:r>
        <w:rPr>
          <w:rFonts w:ascii="Garamond" w:eastAsia="Garamond" w:hAnsi="Garamond" w:cs="Garamond"/>
          <w:b/>
          <w:bCs/>
          <w:sz w:val="28"/>
          <w:szCs w:val="28"/>
        </w:rPr>
        <w:t xml:space="preserve">nstitutional culture. In Islamic boarding schools, the practice of living simply, </w:t>
      </w:r>
      <w:r>
        <w:rPr>
          <w:rFonts w:ascii="Garamond" w:eastAsia="Garamond" w:hAnsi="Garamond" w:cs="Garamond"/>
          <w:b/>
          <w:bCs/>
          <w:sz w:val="28"/>
          <w:szCs w:val="28"/>
        </w:rPr>
        <w:lastRenderedPageBreak/>
        <w:t>community service, respect for teachers, and adherence to rules are all concrete forms of the hidden curriculum that significantly influence the character formation of studen</w:t>
      </w:r>
      <w:r>
        <w:rPr>
          <w:rFonts w:ascii="Garamond" w:eastAsia="Garamond" w:hAnsi="Garamond" w:cs="Garamond"/>
          <w:b/>
          <w:bCs/>
          <w:sz w:val="28"/>
          <w:szCs w:val="28"/>
        </w:rPr>
        <w:t>ts.</w:t>
      </w:r>
    </w:p>
    <w:p w:rsidR="00A24EEF" w:rsidRDefault="003C36B1">
      <w:pPr>
        <w:spacing w:after="0"/>
        <w:ind w:left="380" w:firstLine="380"/>
        <w:jc w:val="both"/>
        <w:rPr>
          <w:rFonts w:ascii="Garamond" w:eastAsia="Garamond" w:hAnsi="Garamond" w:cs="Garamond"/>
          <w:b/>
          <w:bCs/>
          <w:sz w:val="28"/>
          <w:szCs w:val="28"/>
        </w:rPr>
      </w:pPr>
      <w:r>
        <w:rPr>
          <w:rFonts w:ascii="Garamond" w:eastAsia="Garamond" w:hAnsi="Garamond" w:cs="Garamond"/>
          <w:b/>
          <w:bCs/>
          <w:sz w:val="28"/>
          <w:szCs w:val="28"/>
        </w:rPr>
        <w:t xml:space="preserve">The effectiveness of the hidden curriculum lies in its subtle yet powerful ability to shape character in a natural and lasting way. Because it is not delivered explicitly, students do not feel that they are being instructed or compelled; instead, they </w:t>
      </w:r>
      <w:r>
        <w:rPr>
          <w:rFonts w:ascii="Garamond" w:eastAsia="Garamond" w:hAnsi="Garamond" w:cs="Garamond"/>
          <w:b/>
          <w:bCs/>
          <w:sz w:val="28"/>
          <w:szCs w:val="28"/>
        </w:rPr>
        <w:t>internalize values through observation of role models and immersion in the communal environment. This process is inherently transformative rather than merely informative, as it influences students’ mindsets and behaviors from within, through continuous liv</w:t>
      </w:r>
      <w:r>
        <w:rPr>
          <w:rFonts w:ascii="Garamond" w:eastAsia="Garamond" w:hAnsi="Garamond" w:cs="Garamond"/>
          <w:b/>
          <w:bCs/>
          <w:sz w:val="28"/>
          <w:szCs w:val="28"/>
        </w:rPr>
        <w:t>ed experiences within a distinctive social and spiritual setting.</w:t>
      </w:r>
    </w:p>
    <w:p w:rsidR="00A24EEF" w:rsidRDefault="003C36B1">
      <w:pPr>
        <w:spacing w:after="0"/>
        <w:ind w:left="380" w:firstLine="380"/>
        <w:jc w:val="both"/>
        <w:rPr>
          <w:rFonts w:ascii="Garamond" w:eastAsia="Garamond" w:hAnsi="Garamond" w:cs="Garamond"/>
          <w:b/>
          <w:bCs/>
          <w:sz w:val="28"/>
          <w:szCs w:val="28"/>
        </w:rPr>
      </w:pPr>
      <w:r>
        <w:rPr>
          <w:rFonts w:ascii="Garamond" w:eastAsia="Garamond" w:hAnsi="Garamond" w:cs="Garamond"/>
          <w:b/>
          <w:bCs/>
          <w:sz w:val="28"/>
          <w:szCs w:val="28"/>
        </w:rPr>
        <w:t xml:space="preserve">In line with classical Islamic educational thought, values such as </w:t>
      </w:r>
      <w:r>
        <w:rPr>
          <w:rFonts w:ascii="Garamond" w:eastAsia="Garamond" w:hAnsi="Garamond" w:cs="Garamond"/>
          <w:b/>
          <w:bCs/>
          <w:i/>
          <w:iCs/>
          <w:sz w:val="28"/>
          <w:szCs w:val="28"/>
        </w:rPr>
        <w:t>adab</w:t>
      </w:r>
      <w:r>
        <w:rPr>
          <w:rFonts w:ascii="Garamond" w:eastAsia="Garamond" w:hAnsi="Garamond" w:cs="Garamond"/>
          <w:b/>
          <w:bCs/>
          <w:sz w:val="28"/>
          <w:szCs w:val="28"/>
        </w:rPr>
        <w:t xml:space="preserve"> (proper conduct), sincerity, simplicity, and independence cultivated in Islamic boarding schools constitute an essenti</w:t>
      </w:r>
      <w:r>
        <w:rPr>
          <w:rFonts w:ascii="Garamond" w:eastAsia="Garamond" w:hAnsi="Garamond" w:cs="Garamond"/>
          <w:b/>
          <w:bCs/>
          <w:sz w:val="28"/>
          <w:szCs w:val="28"/>
        </w:rPr>
        <w:t xml:space="preserve">al pathway toward the realization of Islamic educational ideals. These ideals aim to nurture individuals who embody faith </w:t>
      </w:r>
      <w:r>
        <w:rPr>
          <w:rFonts w:ascii="Garamond" w:eastAsia="Garamond" w:hAnsi="Garamond" w:cs="Garamond"/>
          <w:b/>
          <w:bCs/>
          <w:i/>
          <w:iCs/>
          <w:sz w:val="28"/>
          <w:szCs w:val="28"/>
        </w:rPr>
        <w:t>(mu’min)</w:t>
      </w:r>
      <w:r>
        <w:rPr>
          <w:rFonts w:ascii="Garamond" w:eastAsia="Garamond" w:hAnsi="Garamond" w:cs="Garamond"/>
          <w:b/>
          <w:bCs/>
          <w:sz w:val="28"/>
          <w:szCs w:val="28"/>
        </w:rPr>
        <w:t xml:space="preserve">, possess knowledge </w:t>
      </w:r>
      <w:r>
        <w:rPr>
          <w:rFonts w:ascii="Garamond" w:eastAsia="Garamond" w:hAnsi="Garamond" w:cs="Garamond"/>
          <w:b/>
          <w:bCs/>
          <w:i/>
          <w:iCs/>
          <w:sz w:val="28"/>
          <w:szCs w:val="28"/>
        </w:rPr>
        <w:t>(‘âlim)</w:t>
      </w:r>
      <w:r>
        <w:rPr>
          <w:rFonts w:ascii="Garamond" w:eastAsia="Garamond" w:hAnsi="Garamond" w:cs="Garamond"/>
          <w:b/>
          <w:bCs/>
          <w:sz w:val="28"/>
          <w:szCs w:val="28"/>
        </w:rPr>
        <w:t>, and demonstrate noble character (Tajuddin, 2018). Accordingly, the objectives of Islamic educatio</w:t>
      </w:r>
      <w:r>
        <w:rPr>
          <w:rFonts w:ascii="Garamond" w:eastAsia="Garamond" w:hAnsi="Garamond" w:cs="Garamond"/>
          <w:b/>
          <w:bCs/>
          <w:sz w:val="28"/>
          <w:szCs w:val="28"/>
        </w:rPr>
        <w:t>n extend beyond mere cognitive and intellectual development, encompassing spiritual, ethical, and social dimensions as well.</w:t>
      </w:r>
    </w:p>
    <w:p w:rsidR="00A24EEF" w:rsidRDefault="003C36B1">
      <w:pPr>
        <w:spacing w:after="0"/>
        <w:ind w:left="380" w:firstLine="380"/>
        <w:jc w:val="both"/>
        <w:rPr>
          <w:rFonts w:ascii="Garamond" w:eastAsia="Garamond" w:hAnsi="Garamond" w:cs="Garamond"/>
          <w:b/>
          <w:bCs/>
          <w:sz w:val="28"/>
          <w:szCs w:val="28"/>
        </w:rPr>
      </w:pPr>
      <w:r>
        <w:rPr>
          <w:rFonts w:ascii="Garamond" w:eastAsia="Garamond" w:hAnsi="Garamond" w:cs="Garamond"/>
          <w:b/>
          <w:bCs/>
          <w:sz w:val="28"/>
          <w:szCs w:val="28"/>
        </w:rPr>
        <w:t xml:space="preserve">Within this perspective, Islamic boarding schools should not be understood solely as centers for the transmission of knowledge </w:t>
      </w:r>
      <w:r>
        <w:rPr>
          <w:rFonts w:ascii="Garamond" w:eastAsia="Garamond" w:hAnsi="Garamond" w:cs="Garamond"/>
          <w:b/>
          <w:bCs/>
          <w:i/>
          <w:iCs/>
          <w:sz w:val="28"/>
          <w:szCs w:val="28"/>
        </w:rPr>
        <w:t>(‘il</w:t>
      </w:r>
      <w:r>
        <w:rPr>
          <w:rFonts w:ascii="Garamond" w:eastAsia="Garamond" w:hAnsi="Garamond" w:cs="Garamond"/>
          <w:b/>
          <w:bCs/>
          <w:i/>
          <w:iCs/>
          <w:sz w:val="28"/>
          <w:szCs w:val="28"/>
        </w:rPr>
        <w:t>m)</w:t>
      </w:r>
      <w:r>
        <w:rPr>
          <w:rFonts w:ascii="Garamond" w:eastAsia="Garamond" w:hAnsi="Garamond" w:cs="Garamond"/>
          <w:b/>
          <w:bCs/>
          <w:sz w:val="28"/>
          <w:szCs w:val="28"/>
        </w:rPr>
        <w:t xml:space="preserve">, but rather as spaces of moral and spiritual transformation </w:t>
      </w:r>
      <w:r>
        <w:rPr>
          <w:rFonts w:ascii="Garamond" w:eastAsia="Garamond" w:hAnsi="Garamond" w:cs="Garamond"/>
          <w:b/>
          <w:bCs/>
          <w:i/>
          <w:iCs/>
          <w:sz w:val="28"/>
          <w:szCs w:val="28"/>
        </w:rPr>
        <w:t>(tahdzîb al-nafs)</w:t>
      </w:r>
      <w:r>
        <w:rPr>
          <w:rFonts w:ascii="Garamond" w:eastAsia="Garamond" w:hAnsi="Garamond" w:cs="Garamond"/>
          <w:b/>
          <w:bCs/>
          <w:sz w:val="28"/>
          <w:szCs w:val="28"/>
        </w:rPr>
        <w:t>, where every aspect of students’ lives is intentionally guided toward the formation of individuals who are spiritually grounded and socially responsible.</w:t>
      </w:r>
    </w:p>
    <w:p w:rsidR="00A24EEF" w:rsidRDefault="003C36B1">
      <w:pPr>
        <w:spacing w:after="0"/>
        <w:ind w:left="380" w:firstLine="380"/>
        <w:jc w:val="both"/>
        <w:rPr>
          <w:rFonts w:ascii="Garamond" w:eastAsia="Garamond" w:hAnsi="Garamond" w:cs="Garamond"/>
          <w:b/>
          <w:bCs/>
          <w:sz w:val="28"/>
          <w:szCs w:val="28"/>
        </w:rPr>
      </w:pPr>
      <w:r>
        <w:rPr>
          <w:rFonts w:ascii="Garamond" w:eastAsia="Garamond" w:hAnsi="Garamond" w:cs="Garamond"/>
          <w:b/>
          <w:bCs/>
          <w:sz w:val="28"/>
          <w:szCs w:val="28"/>
        </w:rPr>
        <w:t>These values are embo</w:t>
      </w:r>
      <w:r>
        <w:rPr>
          <w:rFonts w:ascii="Garamond" w:eastAsia="Garamond" w:hAnsi="Garamond" w:cs="Garamond"/>
          <w:b/>
          <w:bCs/>
          <w:sz w:val="28"/>
          <w:szCs w:val="28"/>
        </w:rPr>
        <w:t xml:space="preserve">died in everyday educational practices, both through formal learning activities—such as the study of </w:t>
      </w:r>
      <w:r>
        <w:rPr>
          <w:rFonts w:ascii="Garamond" w:eastAsia="Garamond" w:hAnsi="Garamond" w:cs="Garamond"/>
          <w:b/>
          <w:bCs/>
          <w:i/>
          <w:iCs/>
          <w:sz w:val="28"/>
          <w:szCs w:val="28"/>
        </w:rPr>
        <w:t>kitab kuning</w:t>
      </w:r>
      <w:r>
        <w:rPr>
          <w:rFonts w:ascii="Garamond" w:eastAsia="Garamond" w:hAnsi="Garamond" w:cs="Garamond"/>
          <w:b/>
          <w:bCs/>
          <w:sz w:val="28"/>
          <w:szCs w:val="28"/>
        </w:rPr>
        <w:t xml:space="preserve"> and </w:t>
      </w:r>
      <w:r>
        <w:rPr>
          <w:rFonts w:ascii="Garamond" w:eastAsia="Garamond" w:hAnsi="Garamond" w:cs="Garamond"/>
          <w:b/>
          <w:bCs/>
          <w:i/>
          <w:iCs/>
          <w:sz w:val="28"/>
          <w:szCs w:val="28"/>
        </w:rPr>
        <w:t>halaqah</w:t>
      </w:r>
      <w:r>
        <w:rPr>
          <w:rFonts w:ascii="Garamond" w:eastAsia="Garamond" w:hAnsi="Garamond" w:cs="Garamond"/>
          <w:b/>
          <w:bCs/>
          <w:sz w:val="28"/>
          <w:szCs w:val="28"/>
        </w:rPr>
        <w:t>—and through informal engagements like service, communal living, and disciplined routines. In this regard, the thought of Burhan al</w:t>
      </w:r>
      <w:r>
        <w:rPr>
          <w:rFonts w:ascii="Garamond" w:eastAsia="Garamond" w:hAnsi="Garamond" w:cs="Garamond"/>
          <w:b/>
          <w:bCs/>
          <w:sz w:val="28"/>
          <w:szCs w:val="28"/>
        </w:rPr>
        <w:t xml:space="preserve">-Din al-Zarnuji in his classical work </w:t>
      </w:r>
      <w:r>
        <w:rPr>
          <w:rFonts w:ascii="Cousine" w:eastAsia="Cousine" w:hAnsi="Cousine" w:cs="Cousine"/>
          <w:b/>
          <w:bCs/>
          <w:i/>
          <w:iCs/>
          <w:sz w:val="28"/>
          <w:szCs w:val="28"/>
        </w:rPr>
        <w:t xml:space="preserve">Ta‘lîm al-Muta‘allim </w:t>
      </w:r>
      <w:r>
        <w:rPr>
          <w:rFonts w:ascii="Cousine" w:eastAsia="Cousine" w:hAnsi="Cousine" w:cs="Cousine"/>
          <w:b/>
          <w:bCs/>
          <w:i/>
          <w:iCs/>
          <w:sz w:val="28"/>
          <w:szCs w:val="28"/>
        </w:rPr>
        <w:t>Ṭ</w:t>
      </w:r>
      <w:r>
        <w:rPr>
          <w:rFonts w:ascii="Cousine" w:eastAsia="Cousine" w:hAnsi="Cousine" w:cs="Cousine"/>
          <w:b/>
          <w:bCs/>
          <w:i/>
          <w:iCs/>
          <w:sz w:val="28"/>
          <w:szCs w:val="28"/>
        </w:rPr>
        <w:t>arîq al-Ta‘allum</w:t>
      </w:r>
      <w:r>
        <w:rPr>
          <w:rFonts w:ascii="Garamond" w:eastAsia="Garamond" w:hAnsi="Garamond" w:cs="Garamond"/>
          <w:b/>
          <w:bCs/>
          <w:sz w:val="28"/>
          <w:szCs w:val="28"/>
        </w:rPr>
        <w:t xml:space="preserve"> remains highly relevant. He underscores that an effective educational process must begin with proper manners preceding knowledge (</w:t>
      </w:r>
      <w:r>
        <w:rPr>
          <w:rFonts w:ascii="Garamond" w:eastAsia="Garamond" w:hAnsi="Garamond" w:cs="Garamond"/>
          <w:b/>
          <w:bCs/>
          <w:i/>
          <w:iCs/>
          <w:sz w:val="28"/>
          <w:szCs w:val="28"/>
        </w:rPr>
        <w:t>al-</w:t>
      </w:r>
      <w:r>
        <w:rPr>
          <w:rFonts w:ascii="Garamond" w:eastAsia="Garamond" w:hAnsi="Garamond" w:cs="Garamond"/>
          <w:b/>
          <w:bCs/>
          <w:i/>
          <w:iCs/>
          <w:sz w:val="28"/>
          <w:szCs w:val="28"/>
        </w:rPr>
        <w:lastRenderedPageBreak/>
        <w:t>adab qabl al-‘ilm</w:t>
      </w:r>
      <w:r>
        <w:rPr>
          <w:rFonts w:ascii="Garamond" w:eastAsia="Garamond" w:hAnsi="Garamond" w:cs="Garamond"/>
          <w:b/>
          <w:bCs/>
          <w:sz w:val="28"/>
          <w:szCs w:val="28"/>
        </w:rPr>
        <w:t xml:space="preserve">) and be grounded in sincere </w:t>
      </w:r>
      <w:r>
        <w:rPr>
          <w:rFonts w:ascii="Garamond" w:eastAsia="Garamond" w:hAnsi="Garamond" w:cs="Garamond"/>
          <w:b/>
          <w:bCs/>
          <w:sz w:val="28"/>
          <w:szCs w:val="28"/>
        </w:rPr>
        <w:t xml:space="preserve">intention in the pursuit of learning </w:t>
      </w:r>
      <w:r>
        <w:rPr>
          <w:rFonts w:ascii="Garamond" w:eastAsia="Garamond" w:hAnsi="Garamond" w:cs="Garamond"/>
          <w:b/>
          <w:bCs/>
          <w:i/>
          <w:iCs/>
          <w:sz w:val="28"/>
          <w:szCs w:val="28"/>
        </w:rPr>
        <w:t>(Al-Zarnûjî,</w:t>
      </w:r>
      <w:r>
        <w:rPr>
          <w:rFonts w:ascii="Garamond" w:eastAsia="Garamond" w:hAnsi="Garamond" w:cs="Garamond"/>
          <w:b/>
          <w:bCs/>
          <w:sz w:val="28"/>
          <w:szCs w:val="28"/>
        </w:rPr>
        <w:t xml:space="preserve"> 2003). According to him, knowledge that is not accompanied by good character will lose its blessings and fail to bring benefit, both to the individual and to society.</w:t>
      </w:r>
    </w:p>
    <w:p w:rsidR="00A24EEF" w:rsidRDefault="003C36B1">
      <w:pPr>
        <w:spacing w:after="0"/>
        <w:ind w:left="360" w:firstLine="360"/>
        <w:jc w:val="both"/>
        <w:rPr>
          <w:rFonts w:ascii="Garamond" w:eastAsia="Garamond" w:hAnsi="Garamond" w:cs="Garamond"/>
          <w:b/>
          <w:bCs/>
          <w:sz w:val="28"/>
          <w:szCs w:val="28"/>
        </w:rPr>
      </w:pPr>
      <w:r>
        <w:rPr>
          <w:rFonts w:ascii="Garamond" w:eastAsia="Garamond" w:hAnsi="Garamond" w:cs="Garamond"/>
          <w:b/>
          <w:bCs/>
          <w:sz w:val="28"/>
          <w:szCs w:val="28"/>
        </w:rPr>
        <w:t>The ideas of Burhân al-Dĩn al-Zarnûji a</w:t>
      </w:r>
      <w:r>
        <w:rPr>
          <w:rFonts w:ascii="Garamond" w:eastAsia="Garamond" w:hAnsi="Garamond" w:cs="Garamond"/>
          <w:b/>
          <w:bCs/>
          <w:sz w:val="28"/>
          <w:szCs w:val="28"/>
        </w:rPr>
        <w:t xml:space="preserve">lign closely with the pedagogical practices found in Musthafawiyah alumni Islamic boarding schools, where the cultivation of </w:t>
      </w:r>
      <w:r>
        <w:rPr>
          <w:rFonts w:ascii="Garamond" w:eastAsia="Garamond" w:hAnsi="Garamond" w:cs="Garamond"/>
          <w:b/>
          <w:bCs/>
          <w:i/>
          <w:iCs/>
          <w:sz w:val="28"/>
          <w:szCs w:val="28"/>
        </w:rPr>
        <w:t>adab</w:t>
      </w:r>
      <w:r>
        <w:rPr>
          <w:rFonts w:ascii="Garamond" w:eastAsia="Garamond" w:hAnsi="Garamond" w:cs="Garamond"/>
          <w:b/>
          <w:bCs/>
          <w:sz w:val="28"/>
          <w:szCs w:val="28"/>
        </w:rPr>
        <w:t xml:space="preserve"> (proper conduct) is considered a fundamental prerequisite for students to be deemed worthy of acquiring and developing knowled</w:t>
      </w:r>
      <w:r>
        <w:rPr>
          <w:rFonts w:ascii="Garamond" w:eastAsia="Garamond" w:hAnsi="Garamond" w:cs="Garamond"/>
          <w:b/>
          <w:bCs/>
          <w:sz w:val="28"/>
          <w:szCs w:val="28"/>
        </w:rPr>
        <w:t>ge. The relationship between teacher and student is marked by respect, obedience, and spiritual closeness, serving as the primary medium for the transmission of ethical values. Thus, education in Islamic boarding schools extends beyond intellectual develop</w:t>
      </w:r>
      <w:r>
        <w:rPr>
          <w:rFonts w:ascii="Garamond" w:eastAsia="Garamond" w:hAnsi="Garamond" w:cs="Garamond"/>
          <w:b/>
          <w:bCs/>
          <w:sz w:val="28"/>
          <w:szCs w:val="28"/>
        </w:rPr>
        <w:t>ment, encompassing the formation of character, life orientation, and patterns of thought grounded in Islamic values.</w:t>
      </w:r>
    </w:p>
    <w:p w:rsidR="00A24EEF" w:rsidRDefault="003C36B1">
      <w:pPr>
        <w:spacing w:after="0"/>
        <w:ind w:left="360" w:firstLine="360"/>
        <w:jc w:val="both"/>
        <w:rPr>
          <w:rFonts w:ascii="Garamond" w:eastAsia="Garamond" w:hAnsi="Garamond" w:cs="Garamond"/>
          <w:b/>
          <w:bCs/>
          <w:sz w:val="28"/>
          <w:szCs w:val="28"/>
        </w:rPr>
      </w:pPr>
      <w:r>
        <w:rPr>
          <w:rFonts w:ascii="Garamond" w:eastAsia="Garamond" w:hAnsi="Garamond" w:cs="Garamond"/>
          <w:b/>
          <w:bCs/>
          <w:sz w:val="28"/>
          <w:szCs w:val="28"/>
        </w:rPr>
        <w:t>Furthermore, this kind of values education is very important in the context of modernity, where many educational systems are experiencing a</w:t>
      </w:r>
      <w:r>
        <w:rPr>
          <w:rFonts w:ascii="Garamond" w:eastAsia="Garamond" w:hAnsi="Garamond" w:cs="Garamond"/>
          <w:b/>
          <w:bCs/>
          <w:sz w:val="28"/>
          <w:szCs w:val="28"/>
        </w:rPr>
        <w:t xml:space="preserve"> crisis of ethics and meaning. By upholding the principles </w:t>
      </w:r>
      <w:r>
        <w:rPr>
          <w:rFonts w:ascii="Cousine" w:eastAsia="Cousine" w:hAnsi="Cousine" w:cs="Cousine"/>
          <w:b/>
          <w:bCs/>
          <w:i/>
          <w:iCs/>
          <w:sz w:val="28"/>
          <w:szCs w:val="28"/>
        </w:rPr>
        <w:t>maqâ</w:t>
      </w:r>
      <w:r>
        <w:rPr>
          <w:rFonts w:ascii="Cousine" w:eastAsia="Cousine" w:hAnsi="Cousine" w:cs="Cousine"/>
          <w:b/>
          <w:bCs/>
          <w:i/>
          <w:iCs/>
          <w:sz w:val="28"/>
          <w:szCs w:val="28"/>
        </w:rPr>
        <w:t>ṣ</w:t>
      </w:r>
      <w:r>
        <w:rPr>
          <w:rFonts w:ascii="Cousine" w:eastAsia="Cousine" w:hAnsi="Cousine" w:cs="Cousine"/>
          <w:b/>
          <w:bCs/>
          <w:i/>
          <w:iCs/>
          <w:sz w:val="28"/>
          <w:szCs w:val="28"/>
        </w:rPr>
        <w:t xml:space="preserve">id al-tarbiyah, </w:t>
      </w:r>
      <w:r>
        <w:rPr>
          <w:rFonts w:ascii="Garamond" w:eastAsia="Garamond" w:hAnsi="Garamond" w:cs="Garamond"/>
          <w:b/>
          <w:bCs/>
          <w:sz w:val="28"/>
          <w:szCs w:val="28"/>
        </w:rPr>
        <w:t>Islamic boarding schools have emerged as an alternative educational model that is not only capable of producing intelligent graduates, but also those with high moral and spirit</w:t>
      </w:r>
      <w:r>
        <w:rPr>
          <w:rFonts w:ascii="Garamond" w:eastAsia="Garamond" w:hAnsi="Garamond" w:cs="Garamond"/>
          <w:b/>
          <w:bCs/>
          <w:sz w:val="28"/>
          <w:szCs w:val="28"/>
        </w:rPr>
        <w:t>ual integrity (Al-Attas, 1993).</w:t>
      </w:r>
    </w:p>
    <w:p w:rsidR="00A24EEF" w:rsidRDefault="003C36B1">
      <w:pPr>
        <w:spacing w:before="240" w:after="0"/>
        <w:ind w:left="720" w:hanging="360"/>
        <w:jc w:val="both"/>
        <w:rPr>
          <w:rFonts w:ascii="Garamond" w:eastAsia="Garamond" w:hAnsi="Garamond" w:cs="Garamond"/>
          <w:b/>
          <w:bCs/>
          <w:i/>
          <w:iCs/>
          <w:color w:val="262626"/>
          <w:sz w:val="28"/>
          <w:szCs w:val="28"/>
        </w:rPr>
      </w:pPr>
      <w:r>
        <w:rPr>
          <w:rFonts w:ascii="Garamond" w:eastAsia="Garamond" w:hAnsi="Garamond" w:cs="Garamond"/>
          <w:b/>
          <w:bCs/>
          <w:i/>
          <w:iCs/>
          <w:color w:val="0F1115"/>
          <w:sz w:val="28"/>
          <w:szCs w:val="28"/>
        </w:rPr>
        <w:t>D.</w:t>
      </w:r>
      <w:r>
        <w:rPr>
          <w:rFonts w:ascii="Times New Roman" w:eastAsia="Times New Roman" w:hAnsi="Times New Roman" w:cs="Times New Roman"/>
          <w:color w:val="0F1115"/>
          <w:sz w:val="14"/>
          <w:szCs w:val="14"/>
        </w:rPr>
        <w:t xml:space="preserve">  </w:t>
      </w:r>
      <w:r>
        <w:rPr>
          <w:rFonts w:ascii="Garamond" w:eastAsia="Garamond" w:hAnsi="Garamond" w:cs="Garamond"/>
          <w:b/>
          <w:bCs/>
          <w:i/>
          <w:iCs/>
          <w:color w:val="262626"/>
          <w:sz w:val="28"/>
          <w:szCs w:val="28"/>
        </w:rPr>
        <w:t>Ahl al-Sunnah Tradition Across the Musthafawiyah Alumni Network</w:t>
      </w:r>
    </w:p>
    <w:p w:rsidR="00A24EEF" w:rsidRDefault="003C36B1">
      <w:pPr>
        <w:shd w:val="clear" w:color="auto" w:fill="FFFFFF"/>
        <w:spacing w:after="0"/>
        <w:ind w:left="360" w:firstLine="36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t xml:space="preserve">The accounts of the pesantren leaders—including Ustaz Zainuddin Arifin of Darul Istiqomah and their counterparts across the five Musthafawiyah alumni Islamic boarding schools in Southern Tapanuli—affirm a robust ideological continuity in upholding the </w:t>
      </w:r>
      <w:r>
        <w:rPr>
          <w:rFonts w:ascii="Garamond" w:eastAsia="Garamond" w:hAnsi="Garamond" w:cs="Garamond"/>
          <w:b/>
          <w:bCs/>
          <w:i/>
          <w:iCs/>
          <w:color w:val="262626"/>
          <w:sz w:val="28"/>
          <w:szCs w:val="28"/>
        </w:rPr>
        <w:t xml:space="preserve">ahl </w:t>
      </w:r>
      <w:r>
        <w:rPr>
          <w:rFonts w:ascii="Garamond" w:eastAsia="Garamond" w:hAnsi="Garamond" w:cs="Garamond"/>
          <w:b/>
          <w:bCs/>
          <w:i/>
          <w:iCs/>
          <w:color w:val="262626"/>
          <w:sz w:val="28"/>
          <w:szCs w:val="28"/>
        </w:rPr>
        <w:t>al-sunnah wa al-jamāʿah</w:t>
      </w:r>
      <w:r>
        <w:rPr>
          <w:rFonts w:ascii="Garamond" w:eastAsia="Garamond" w:hAnsi="Garamond" w:cs="Garamond"/>
          <w:b/>
          <w:bCs/>
          <w:color w:val="262626"/>
          <w:sz w:val="28"/>
          <w:szCs w:val="28"/>
        </w:rPr>
        <w:t xml:space="preserve"> doctrine, a principle that has been institutionally transmitted across generations as their shared foundational vision. This aligns with Musa's (2022) finding that </w:t>
      </w:r>
      <w:r>
        <w:rPr>
          <w:rFonts w:ascii="Garamond" w:eastAsia="Garamond" w:hAnsi="Garamond" w:cs="Garamond"/>
          <w:b/>
          <w:bCs/>
          <w:i/>
          <w:iCs/>
          <w:color w:val="262626"/>
          <w:sz w:val="28"/>
          <w:szCs w:val="28"/>
        </w:rPr>
        <w:t>ahl al-sunnah</w:t>
      </w:r>
      <w:r>
        <w:rPr>
          <w:rFonts w:ascii="Garamond" w:eastAsia="Garamond" w:hAnsi="Garamond" w:cs="Garamond"/>
          <w:b/>
          <w:bCs/>
          <w:color w:val="262626"/>
          <w:sz w:val="28"/>
          <w:szCs w:val="28"/>
        </w:rPr>
        <w:t xml:space="preserve"> Islamic boarding school preserve established religious</w:t>
      </w:r>
      <w:r>
        <w:rPr>
          <w:rFonts w:ascii="Garamond" w:eastAsia="Garamond" w:hAnsi="Garamond" w:cs="Garamond"/>
          <w:b/>
          <w:bCs/>
          <w:color w:val="262626"/>
          <w:sz w:val="28"/>
          <w:szCs w:val="28"/>
        </w:rPr>
        <w:t xml:space="preserve"> traditions as core to their institutional identity.</w:t>
      </w:r>
    </w:p>
    <w:p w:rsidR="00A24EEF" w:rsidRDefault="003C36B1">
      <w:pPr>
        <w:shd w:val="clear" w:color="auto" w:fill="FFFFFF"/>
        <w:spacing w:after="0"/>
        <w:ind w:left="360" w:firstLine="36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t xml:space="preserve">This doctrine traces its lineage through centuries of pesantren scholarship, originating in the </w:t>
      </w:r>
      <w:r>
        <w:rPr>
          <w:rFonts w:ascii="Garamond" w:eastAsia="Garamond" w:hAnsi="Garamond" w:cs="Garamond"/>
          <w:b/>
          <w:bCs/>
          <w:i/>
          <w:iCs/>
          <w:color w:val="262626"/>
          <w:sz w:val="28"/>
          <w:szCs w:val="28"/>
        </w:rPr>
        <w:t>Harâmayn</w:t>
      </w:r>
      <w:r>
        <w:rPr>
          <w:rFonts w:ascii="Garamond" w:eastAsia="Garamond" w:hAnsi="Garamond" w:cs="Garamond"/>
          <w:b/>
          <w:bCs/>
          <w:color w:val="262626"/>
          <w:sz w:val="28"/>
          <w:szCs w:val="28"/>
        </w:rPr>
        <w:t xml:space="preserve"> and transmitted by Sheikh </w:t>
      </w:r>
      <w:r>
        <w:rPr>
          <w:rFonts w:ascii="Garamond" w:eastAsia="Garamond" w:hAnsi="Garamond" w:cs="Garamond"/>
          <w:b/>
          <w:bCs/>
          <w:color w:val="262626"/>
          <w:sz w:val="28"/>
          <w:szCs w:val="28"/>
        </w:rPr>
        <w:lastRenderedPageBreak/>
        <w:t>Musthafa Husein at Musthafawiyah to students. This chain of knowledge tr</w:t>
      </w:r>
      <w:r>
        <w:rPr>
          <w:rFonts w:ascii="Garamond" w:eastAsia="Garamond" w:hAnsi="Garamond" w:cs="Garamond"/>
          <w:b/>
          <w:bCs/>
          <w:color w:val="262626"/>
          <w:sz w:val="28"/>
          <w:szCs w:val="28"/>
        </w:rPr>
        <w:t xml:space="preserve">ansmission from the </w:t>
      </w:r>
      <w:r>
        <w:rPr>
          <w:rFonts w:ascii="Garamond" w:eastAsia="Garamond" w:hAnsi="Garamond" w:cs="Garamond"/>
          <w:b/>
          <w:bCs/>
          <w:i/>
          <w:iCs/>
          <w:color w:val="262626"/>
          <w:sz w:val="28"/>
          <w:szCs w:val="28"/>
        </w:rPr>
        <w:t>Harâmayn</w:t>
      </w:r>
      <w:r>
        <w:rPr>
          <w:rFonts w:ascii="Garamond" w:eastAsia="Garamond" w:hAnsi="Garamond" w:cs="Garamond"/>
          <w:b/>
          <w:bCs/>
          <w:color w:val="262626"/>
          <w:sz w:val="28"/>
          <w:szCs w:val="28"/>
        </w:rPr>
        <w:t xml:space="preserve"> to Musthafawiyah, and subsequently across the alumni pesantren network throughout Southern Tapanuli, exemplifies what Tan (2014) terms an </w:t>
      </w:r>
      <w:r>
        <w:rPr>
          <w:rFonts w:ascii="Garamond" w:eastAsia="Garamond" w:hAnsi="Garamond" w:cs="Garamond"/>
          <w:b/>
          <w:bCs/>
          <w:i/>
          <w:iCs/>
          <w:color w:val="262626"/>
          <w:sz w:val="28"/>
          <w:szCs w:val="28"/>
        </w:rPr>
        <w:t>educative tradition</w:t>
      </w:r>
      <w:r>
        <w:rPr>
          <w:rFonts w:ascii="Garamond" w:eastAsia="Garamond" w:hAnsi="Garamond" w:cs="Garamond"/>
          <w:b/>
          <w:bCs/>
          <w:color w:val="262626"/>
          <w:sz w:val="28"/>
          <w:szCs w:val="28"/>
        </w:rPr>
        <w:t>, wherein religious knowledge is inherited through sustained teacher-s</w:t>
      </w:r>
      <w:r>
        <w:rPr>
          <w:rFonts w:ascii="Garamond" w:eastAsia="Garamond" w:hAnsi="Garamond" w:cs="Garamond"/>
          <w:b/>
          <w:bCs/>
          <w:color w:val="262626"/>
          <w:sz w:val="28"/>
          <w:szCs w:val="28"/>
        </w:rPr>
        <w:t>tudent relationships.</w:t>
      </w:r>
    </w:p>
    <w:p w:rsidR="00A24EEF" w:rsidRDefault="003C36B1">
      <w:pPr>
        <w:shd w:val="clear" w:color="auto" w:fill="FFFFFF"/>
        <w:spacing w:after="0"/>
        <w:ind w:left="360" w:firstLine="36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t xml:space="preserve">Across the Musthafawiyah alumni pesantren network, the </w:t>
      </w:r>
      <w:r>
        <w:rPr>
          <w:rFonts w:ascii="Garamond" w:eastAsia="Garamond" w:hAnsi="Garamond" w:cs="Garamond"/>
          <w:b/>
          <w:bCs/>
          <w:i/>
          <w:iCs/>
          <w:color w:val="262626"/>
          <w:sz w:val="28"/>
          <w:szCs w:val="28"/>
        </w:rPr>
        <w:t>ahl al-sunnah</w:t>
      </w:r>
      <w:r>
        <w:rPr>
          <w:rFonts w:ascii="Garamond" w:eastAsia="Garamond" w:hAnsi="Garamond" w:cs="Garamond"/>
          <w:b/>
          <w:bCs/>
          <w:color w:val="262626"/>
          <w:sz w:val="28"/>
          <w:szCs w:val="28"/>
        </w:rPr>
        <w:t xml:space="preserve"> commitment is concretely manifested through the uniform use of classical texts (</w:t>
      </w:r>
      <w:r>
        <w:rPr>
          <w:rFonts w:ascii="Garamond" w:eastAsia="Garamond" w:hAnsi="Garamond" w:cs="Garamond"/>
          <w:b/>
          <w:bCs/>
          <w:i/>
          <w:iCs/>
          <w:color w:val="262626"/>
          <w:sz w:val="28"/>
          <w:szCs w:val="28"/>
        </w:rPr>
        <w:t>al-kutub al-muʿtabarah</w:t>
      </w:r>
      <w:r>
        <w:rPr>
          <w:rFonts w:ascii="Garamond" w:eastAsia="Garamond" w:hAnsi="Garamond" w:cs="Garamond"/>
          <w:b/>
          <w:bCs/>
          <w:color w:val="262626"/>
          <w:sz w:val="28"/>
          <w:szCs w:val="28"/>
        </w:rPr>
        <w:t xml:space="preserve">) across three domains: </w:t>
      </w:r>
      <w:r>
        <w:rPr>
          <w:rFonts w:ascii="Garamond" w:eastAsia="Garamond" w:hAnsi="Garamond" w:cs="Garamond"/>
          <w:b/>
          <w:bCs/>
          <w:i/>
          <w:iCs/>
          <w:color w:val="262626"/>
          <w:sz w:val="28"/>
          <w:szCs w:val="28"/>
        </w:rPr>
        <w:t>Shāfiʿī</w:t>
      </w:r>
      <w:r>
        <w:rPr>
          <w:rFonts w:ascii="Garamond" w:eastAsia="Garamond" w:hAnsi="Garamond" w:cs="Garamond"/>
          <w:b/>
          <w:bCs/>
          <w:color w:val="262626"/>
          <w:sz w:val="28"/>
          <w:szCs w:val="28"/>
        </w:rPr>
        <w:t xml:space="preserve"> jurisprudence (</w:t>
      </w:r>
      <w:r>
        <w:rPr>
          <w:rFonts w:ascii="Garamond" w:eastAsia="Garamond" w:hAnsi="Garamond" w:cs="Garamond"/>
          <w:b/>
          <w:bCs/>
          <w:i/>
          <w:iCs/>
          <w:color w:val="262626"/>
          <w:sz w:val="28"/>
          <w:szCs w:val="28"/>
        </w:rPr>
        <w:t>fiqh</w:t>
      </w:r>
      <w:r>
        <w:rPr>
          <w:rFonts w:ascii="Garamond" w:eastAsia="Garamond" w:hAnsi="Garamond" w:cs="Garamond"/>
          <w:b/>
          <w:bCs/>
          <w:color w:val="262626"/>
          <w:sz w:val="28"/>
          <w:szCs w:val="28"/>
        </w:rPr>
        <w:t xml:space="preserve">), </w:t>
      </w:r>
      <w:r>
        <w:rPr>
          <w:rFonts w:ascii="Garamond" w:eastAsia="Garamond" w:hAnsi="Garamond" w:cs="Garamond"/>
          <w:b/>
          <w:bCs/>
          <w:i/>
          <w:iCs/>
          <w:color w:val="262626"/>
          <w:sz w:val="28"/>
          <w:szCs w:val="28"/>
        </w:rPr>
        <w:t>Ashʿarī-M</w:t>
      </w:r>
      <w:r>
        <w:rPr>
          <w:rFonts w:ascii="Garamond" w:eastAsia="Garamond" w:hAnsi="Garamond" w:cs="Garamond"/>
          <w:b/>
          <w:bCs/>
          <w:i/>
          <w:iCs/>
          <w:color w:val="262626"/>
          <w:sz w:val="28"/>
          <w:szCs w:val="28"/>
        </w:rPr>
        <w:t>āturīdī</w:t>
      </w:r>
      <w:r>
        <w:rPr>
          <w:rFonts w:ascii="Garamond" w:eastAsia="Garamond" w:hAnsi="Garamond" w:cs="Garamond"/>
          <w:b/>
          <w:bCs/>
          <w:color w:val="262626"/>
          <w:sz w:val="28"/>
          <w:szCs w:val="28"/>
        </w:rPr>
        <w:t xml:space="preserve"> theology (</w:t>
      </w:r>
      <w:r>
        <w:rPr>
          <w:rFonts w:ascii="Garamond" w:eastAsia="Garamond" w:hAnsi="Garamond" w:cs="Garamond"/>
          <w:b/>
          <w:bCs/>
          <w:i/>
          <w:iCs/>
          <w:color w:val="262626"/>
          <w:sz w:val="28"/>
          <w:szCs w:val="28"/>
        </w:rPr>
        <w:t>tauhid</w:t>
      </w:r>
      <w:r>
        <w:rPr>
          <w:rFonts w:ascii="Garamond" w:eastAsia="Garamond" w:hAnsi="Garamond" w:cs="Garamond"/>
          <w:b/>
          <w:bCs/>
          <w:color w:val="262626"/>
          <w:sz w:val="28"/>
          <w:szCs w:val="28"/>
        </w:rPr>
        <w:t xml:space="preserve">), and </w:t>
      </w:r>
      <w:r>
        <w:rPr>
          <w:rFonts w:ascii="Garamond" w:eastAsia="Garamond" w:hAnsi="Garamond" w:cs="Garamond"/>
          <w:b/>
          <w:bCs/>
          <w:i/>
          <w:iCs/>
          <w:color w:val="262626"/>
          <w:sz w:val="28"/>
          <w:szCs w:val="28"/>
        </w:rPr>
        <w:t>Ghazālian</w:t>
      </w:r>
      <w:r>
        <w:rPr>
          <w:rFonts w:ascii="Garamond" w:eastAsia="Garamond" w:hAnsi="Garamond" w:cs="Garamond"/>
          <w:b/>
          <w:bCs/>
          <w:color w:val="262626"/>
          <w:sz w:val="28"/>
          <w:szCs w:val="28"/>
        </w:rPr>
        <w:t xml:space="preserve"> Sufism (</w:t>
      </w:r>
      <w:r>
        <w:rPr>
          <w:rFonts w:ascii="Cousine" w:eastAsia="Cousine" w:hAnsi="Cousine" w:cs="Cousine"/>
          <w:b/>
          <w:bCs/>
          <w:i/>
          <w:iCs/>
          <w:color w:val="262626"/>
          <w:sz w:val="28"/>
          <w:szCs w:val="28"/>
        </w:rPr>
        <w:t>ta</w:t>
      </w:r>
      <w:r>
        <w:rPr>
          <w:rFonts w:ascii="Cousine" w:eastAsia="Cousine" w:hAnsi="Cousine" w:cs="Cousine"/>
          <w:b/>
          <w:bCs/>
          <w:i/>
          <w:iCs/>
          <w:color w:val="262626"/>
          <w:sz w:val="28"/>
          <w:szCs w:val="28"/>
        </w:rPr>
        <w:t>ṣ</w:t>
      </w:r>
      <w:r>
        <w:rPr>
          <w:rFonts w:ascii="Cousine" w:eastAsia="Cousine" w:hAnsi="Cousine" w:cs="Cousine"/>
          <w:b/>
          <w:bCs/>
          <w:i/>
          <w:iCs/>
          <w:color w:val="262626"/>
          <w:sz w:val="28"/>
          <w:szCs w:val="28"/>
        </w:rPr>
        <w:t>awwuf</w:t>
      </w:r>
      <w:r>
        <w:rPr>
          <w:rFonts w:ascii="Garamond" w:eastAsia="Garamond" w:hAnsi="Garamond" w:cs="Garamond"/>
          <w:b/>
          <w:bCs/>
          <w:color w:val="262626"/>
          <w:sz w:val="28"/>
          <w:szCs w:val="28"/>
        </w:rPr>
        <w:t>). This curriculum institutionalizes the doctrine systematically rather than merely professing it, demonstrating a shared pedagogical heritage among alumni-established pesantren.</w:t>
      </w:r>
    </w:p>
    <w:p w:rsidR="00A24EEF" w:rsidRDefault="003C36B1">
      <w:pPr>
        <w:shd w:val="clear" w:color="auto" w:fill="FFFFFF"/>
        <w:spacing w:after="0"/>
        <w:ind w:left="360" w:firstLine="36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t>The doctrine is furt</w:t>
      </w:r>
      <w:r>
        <w:rPr>
          <w:rFonts w:ascii="Garamond" w:eastAsia="Garamond" w:hAnsi="Garamond" w:cs="Garamond"/>
          <w:b/>
          <w:bCs/>
          <w:color w:val="262626"/>
          <w:sz w:val="28"/>
          <w:szCs w:val="28"/>
        </w:rPr>
        <w:t>her embodied across the alumni network through habitual religious practices (</w:t>
      </w:r>
      <w:r>
        <w:rPr>
          <w:rFonts w:ascii="Garamond" w:eastAsia="Garamond" w:hAnsi="Garamond" w:cs="Garamond"/>
          <w:b/>
          <w:bCs/>
          <w:i/>
          <w:iCs/>
          <w:color w:val="262626"/>
          <w:sz w:val="28"/>
          <w:szCs w:val="28"/>
        </w:rPr>
        <w:t>amaliyah</w:t>
      </w:r>
      <w:r>
        <w:rPr>
          <w:rFonts w:ascii="Garamond" w:eastAsia="Garamond" w:hAnsi="Garamond" w:cs="Garamond"/>
          <w:b/>
          <w:bCs/>
          <w:color w:val="262626"/>
          <w:sz w:val="28"/>
          <w:szCs w:val="28"/>
        </w:rPr>
        <w:t xml:space="preserve">) uniformly institutionalized: recitation of </w:t>
      </w:r>
      <w:r>
        <w:rPr>
          <w:rFonts w:ascii="Garamond" w:eastAsia="Garamond" w:hAnsi="Garamond" w:cs="Garamond"/>
          <w:b/>
          <w:bCs/>
          <w:i/>
          <w:iCs/>
          <w:color w:val="262626"/>
          <w:sz w:val="28"/>
          <w:szCs w:val="28"/>
        </w:rPr>
        <w:t>sûrat Yâsîn</w:t>
      </w:r>
      <w:r>
        <w:rPr>
          <w:rFonts w:ascii="Garamond" w:eastAsia="Garamond" w:hAnsi="Garamond" w:cs="Garamond"/>
          <w:b/>
          <w:bCs/>
          <w:color w:val="262626"/>
          <w:sz w:val="28"/>
          <w:szCs w:val="28"/>
        </w:rPr>
        <w:t xml:space="preserve">, </w:t>
      </w:r>
      <w:r>
        <w:rPr>
          <w:rFonts w:ascii="Garamond" w:eastAsia="Garamond" w:hAnsi="Garamond" w:cs="Garamond"/>
          <w:b/>
          <w:bCs/>
          <w:i/>
          <w:iCs/>
          <w:color w:val="262626"/>
          <w:sz w:val="28"/>
          <w:szCs w:val="28"/>
        </w:rPr>
        <w:t>tahlîl</w:t>
      </w:r>
      <w:r>
        <w:rPr>
          <w:rFonts w:ascii="Garamond" w:eastAsia="Garamond" w:hAnsi="Garamond" w:cs="Garamond"/>
          <w:b/>
          <w:bCs/>
          <w:color w:val="262626"/>
          <w:sz w:val="28"/>
          <w:szCs w:val="28"/>
        </w:rPr>
        <w:t xml:space="preserve">, </w:t>
      </w:r>
      <w:r>
        <w:rPr>
          <w:rFonts w:ascii="Garamond" w:eastAsia="Garamond" w:hAnsi="Garamond" w:cs="Garamond"/>
          <w:b/>
          <w:bCs/>
          <w:i/>
          <w:iCs/>
          <w:color w:val="262626"/>
          <w:sz w:val="28"/>
          <w:szCs w:val="28"/>
        </w:rPr>
        <w:t>wird</w:t>
      </w:r>
      <w:r>
        <w:rPr>
          <w:rFonts w:ascii="Garamond" w:eastAsia="Garamond" w:hAnsi="Garamond" w:cs="Garamond"/>
          <w:b/>
          <w:bCs/>
          <w:color w:val="262626"/>
          <w:sz w:val="28"/>
          <w:szCs w:val="28"/>
        </w:rPr>
        <w:t xml:space="preserve">, </w:t>
      </w:r>
      <w:r>
        <w:rPr>
          <w:rFonts w:ascii="Garamond" w:eastAsia="Garamond" w:hAnsi="Garamond" w:cs="Garamond"/>
          <w:b/>
          <w:bCs/>
          <w:i/>
          <w:iCs/>
          <w:color w:val="262626"/>
          <w:sz w:val="28"/>
          <w:szCs w:val="28"/>
        </w:rPr>
        <w:t>qunût</w:t>
      </w:r>
      <w:r>
        <w:rPr>
          <w:rFonts w:ascii="Garamond" w:eastAsia="Garamond" w:hAnsi="Garamond" w:cs="Garamond"/>
          <w:b/>
          <w:bCs/>
          <w:color w:val="262626"/>
          <w:sz w:val="28"/>
          <w:szCs w:val="28"/>
        </w:rPr>
        <w:t xml:space="preserve">, </w:t>
      </w:r>
      <w:r>
        <w:rPr>
          <w:rFonts w:ascii="Cousine" w:eastAsia="Cousine" w:hAnsi="Cousine" w:cs="Cousine"/>
          <w:b/>
          <w:bCs/>
          <w:i/>
          <w:iCs/>
          <w:color w:val="262626"/>
          <w:sz w:val="28"/>
          <w:szCs w:val="28"/>
        </w:rPr>
        <w:t>ṣ</w:t>
      </w:r>
      <w:r>
        <w:rPr>
          <w:rFonts w:ascii="Cousine" w:eastAsia="Cousine" w:hAnsi="Cousine" w:cs="Cousine"/>
          <w:b/>
          <w:bCs/>
          <w:i/>
          <w:iCs/>
          <w:color w:val="262626"/>
          <w:sz w:val="28"/>
          <w:szCs w:val="28"/>
        </w:rPr>
        <w:t>alawât</w:t>
      </w:r>
      <w:r>
        <w:rPr>
          <w:rFonts w:ascii="Garamond" w:eastAsia="Garamond" w:hAnsi="Garamond" w:cs="Garamond"/>
          <w:b/>
          <w:bCs/>
          <w:color w:val="262626"/>
          <w:sz w:val="28"/>
          <w:szCs w:val="28"/>
        </w:rPr>
        <w:t xml:space="preserve">, </w:t>
      </w:r>
      <w:r>
        <w:rPr>
          <w:rFonts w:ascii="Garamond" w:eastAsia="Garamond" w:hAnsi="Garamond" w:cs="Garamond"/>
          <w:b/>
          <w:bCs/>
          <w:i/>
          <w:iCs/>
          <w:color w:val="262626"/>
          <w:sz w:val="28"/>
          <w:szCs w:val="28"/>
        </w:rPr>
        <w:t>barzanji</w:t>
      </w:r>
      <w:r>
        <w:rPr>
          <w:rFonts w:ascii="Garamond" w:eastAsia="Garamond" w:hAnsi="Garamond" w:cs="Garamond"/>
          <w:b/>
          <w:bCs/>
          <w:color w:val="262626"/>
          <w:sz w:val="28"/>
          <w:szCs w:val="28"/>
        </w:rPr>
        <w:t>, Qurʾanic completion (</w:t>
      </w:r>
      <w:r>
        <w:rPr>
          <w:rFonts w:ascii="Garamond" w:eastAsia="Garamond" w:hAnsi="Garamond" w:cs="Garamond"/>
          <w:b/>
          <w:bCs/>
          <w:i/>
          <w:iCs/>
          <w:color w:val="262626"/>
          <w:sz w:val="28"/>
          <w:szCs w:val="28"/>
        </w:rPr>
        <w:t>khatam</w:t>
      </w:r>
      <w:r>
        <w:rPr>
          <w:rFonts w:ascii="Garamond" w:eastAsia="Garamond" w:hAnsi="Garamond" w:cs="Garamond"/>
          <w:b/>
          <w:bCs/>
          <w:color w:val="262626"/>
          <w:sz w:val="28"/>
          <w:szCs w:val="28"/>
        </w:rPr>
        <w:t>), and grave visitation (</w:t>
      </w:r>
      <w:r>
        <w:rPr>
          <w:rFonts w:ascii="Garamond" w:eastAsia="Garamond" w:hAnsi="Garamond" w:cs="Garamond"/>
          <w:b/>
          <w:bCs/>
          <w:i/>
          <w:iCs/>
          <w:color w:val="262626"/>
          <w:sz w:val="28"/>
          <w:szCs w:val="28"/>
        </w:rPr>
        <w:t>ziyârat al-qubûr</w:t>
      </w:r>
      <w:r>
        <w:rPr>
          <w:rFonts w:ascii="Garamond" w:eastAsia="Garamond" w:hAnsi="Garamond" w:cs="Garamond"/>
          <w:b/>
          <w:bCs/>
          <w:color w:val="262626"/>
          <w:sz w:val="28"/>
          <w:szCs w:val="28"/>
        </w:rPr>
        <w:t>). Th</w:t>
      </w:r>
      <w:r>
        <w:rPr>
          <w:rFonts w:ascii="Garamond" w:eastAsia="Garamond" w:hAnsi="Garamond" w:cs="Garamond"/>
          <w:b/>
          <w:bCs/>
          <w:color w:val="262626"/>
          <w:sz w:val="28"/>
          <w:szCs w:val="28"/>
        </w:rPr>
        <w:t>ese practices serve as vehicles for value internalization and identity reinforcement, consistent with Puspitarini et al. (2023), who identified role modeling and habituation as key methods of value instillation in pesantren. They also reflect affiliation w</w:t>
      </w:r>
      <w:r>
        <w:rPr>
          <w:rFonts w:ascii="Garamond" w:eastAsia="Garamond" w:hAnsi="Garamond" w:cs="Garamond"/>
          <w:b/>
          <w:bCs/>
          <w:color w:val="262626"/>
          <w:sz w:val="28"/>
          <w:szCs w:val="28"/>
        </w:rPr>
        <w:t xml:space="preserve">ith Nahdlatul Ulama (NU), the primary institutional bastion of </w:t>
      </w:r>
      <w:r>
        <w:rPr>
          <w:rFonts w:ascii="Garamond" w:eastAsia="Garamond" w:hAnsi="Garamond" w:cs="Garamond"/>
          <w:b/>
          <w:bCs/>
          <w:i/>
          <w:iCs/>
          <w:color w:val="262626"/>
          <w:sz w:val="28"/>
          <w:szCs w:val="28"/>
        </w:rPr>
        <w:t>ahl al-sunnah</w:t>
      </w:r>
      <w:r>
        <w:rPr>
          <w:rFonts w:ascii="Garamond" w:eastAsia="Garamond" w:hAnsi="Garamond" w:cs="Garamond"/>
          <w:b/>
          <w:bCs/>
          <w:color w:val="262626"/>
          <w:sz w:val="28"/>
          <w:szCs w:val="28"/>
        </w:rPr>
        <w:t xml:space="preserve"> in Indonesia.</w:t>
      </w:r>
    </w:p>
    <w:p w:rsidR="00A24EEF" w:rsidRDefault="003C36B1">
      <w:pPr>
        <w:shd w:val="clear" w:color="auto" w:fill="FFFFFF"/>
        <w:spacing w:after="0"/>
        <w:ind w:left="360" w:firstLine="36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t>Thus, the Musthafawiyah alumni pesantren network exemplifies how religious tradition is sustained through the convergence of three interrelated factors: the transmis</w:t>
      </w:r>
      <w:r>
        <w:rPr>
          <w:rFonts w:ascii="Garamond" w:eastAsia="Garamond" w:hAnsi="Garamond" w:cs="Garamond"/>
          <w:b/>
          <w:bCs/>
          <w:color w:val="262626"/>
          <w:sz w:val="28"/>
          <w:szCs w:val="28"/>
        </w:rPr>
        <w:t xml:space="preserve">sion of a shared classical curriculum, the institutionalization of ritual practices through habituation, and embeddedness within broader organizational networks. This continuity across multiple institutions demonstrates that the tradition is not preserved </w:t>
      </w:r>
      <w:r>
        <w:rPr>
          <w:rFonts w:ascii="Garamond" w:eastAsia="Garamond" w:hAnsi="Garamond" w:cs="Garamond"/>
          <w:b/>
          <w:bCs/>
          <w:color w:val="262626"/>
          <w:sz w:val="28"/>
          <w:szCs w:val="28"/>
        </w:rPr>
        <w:t>in isolation but actively reproduced through an interconnected network of alumni-established pesantren.</w:t>
      </w:r>
    </w:p>
    <w:p w:rsidR="00A24EEF" w:rsidRDefault="003C36B1">
      <w:pPr>
        <w:pStyle w:val="Heading3"/>
        <w:keepNext w:val="0"/>
        <w:spacing w:after="40"/>
        <w:ind w:left="720" w:hanging="360"/>
        <w:jc w:val="both"/>
        <w:rPr>
          <w:rFonts w:ascii="Garamond" w:eastAsia="Garamond" w:hAnsi="Garamond" w:cs="Garamond"/>
          <w:i/>
          <w:iCs/>
          <w:color w:val="262626"/>
          <w:sz w:val="28"/>
          <w:szCs w:val="28"/>
        </w:rPr>
      </w:pPr>
      <w:bookmarkStart w:id="3" w:name="_ts8ti8tdnj77" w:colFirst="0" w:colLast="0"/>
      <w:bookmarkEnd w:id="3"/>
      <w:r>
        <w:rPr>
          <w:rFonts w:ascii="Garamond" w:eastAsia="Garamond" w:hAnsi="Garamond" w:cs="Garamond"/>
          <w:i/>
          <w:iCs/>
          <w:color w:val="262626"/>
          <w:sz w:val="28"/>
          <w:szCs w:val="28"/>
        </w:rPr>
        <w:t>E.</w:t>
      </w:r>
      <w:r>
        <w:rPr>
          <w:rFonts w:ascii="Times New Roman" w:eastAsia="Times New Roman" w:hAnsi="Times New Roman" w:cs="Times New Roman"/>
          <w:b w:val="0"/>
          <w:bCs w:val="0"/>
          <w:color w:val="262626"/>
          <w:sz w:val="14"/>
          <w:szCs w:val="14"/>
        </w:rPr>
        <w:t xml:space="preserve">   </w:t>
      </w:r>
      <w:r>
        <w:rPr>
          <w:rFonts w:ascii="Garamond" w:eastAsia="Garamond" w:hAnsi="Garamond" w:cs="Garamond"/>
          <w:i/>
          <w:iCs/>
          <w:color w:val="262626"/>
          <w:sz w:val="28"/>
          <w:szCs w:val="28"/>
        </w:rPr>
        <w:t>Formal and Non-Formal Curriculum as Instruments for Preserving Scientific Traditions</w:t>
      </w:r>
    </w:p>
    <w:p w:rsidR="00A24EEF" w:rsidRDefault="003C36B1">
      <w:pPr>
        <w:spacing w:after="0"/>
        <w:ind w:left="360" w:firstLine="360"/>
        <w:jc w:val="both"/>
        <w:rPr>
          <w:rFonts w:ascii="Garamond" w:eastAsia="Garamond" w:hAnsi="Garamond" w:cs="Garamond"/>
          <w:b/>
          <w:bCs/>
          <w:sz w:val="28"/>
          <w:szCs w:val="28"/>
        </w:rPr>
      </w:pPr>
      <w:r>
        <w:rPr>
          <w:rFonts w:ascii="Garamond" w:eastAsia="Garamond" w:hAnsi="Garamond" w:cs="Garamond"/>
          <w:b/>
          <w:bCs/>
          <w:sz w:val="28"/>
          <w:szCs w:val="28"/>
        </w:rPr>
        <w:lastRenderedPageBreak/>
        <w:t>In the context of curriculum management, Musthafawiyah alumni exhibit a flexible adaptability while remaining firmly grounded in the principles of the Islamic scholarly tradition. Formal curricula aligned with national standards—such as the 2013 Curriculum</w:t>
      </w:r>
      <w:r>
        <w:rPr>
          <w:rFonts w:ascii="Garamond" w:eastAsia="Garamond" w:hAnsi="Garamond" w:cs="Garamond"/>
          <w:b/>
          <w:bCs/>
          <w:sz w:val="28"/>
          <w:szCs w:val="28"/>
        </w:rPr>
        <w:t xml:space="preserve"> and the "Merdeka Curriculum”—are implemented to ensure the continuity of formal education in madrasas or schools, enabling graduates to obtain state-recognized diplomas. At the same time, these curricula are harmoniously integrated with the distinctive pe</w:t>
      </w:r>
      <w:r>
        <w:rPr>
          <w:rFonts w:ascii="Garamond" w:eastAsia="Garamond" w:hAnsi="Garamond" w:cs="Garamond"/>
          <w:b/>
          <w:bCs/>
          <w:sz w:val="28"/>
          <w:szCs w:val="28"/>
        </w:rPr>
        <w:t xml:space="preserve">santren curriculum, which encompasses the study of </w:t>
      </w:r>
      <w:r>
        <w:rPr>
          <w:rFonts w:ascii="Garamond" w:eastAsia="Garamond" w:hAnsi="Garamond" w:cs="Garamond"/>
          <w:b/>
          <w:bCs/>
          <w:i/>
          <w:iCs/>
          <w:sz w:val="28"/>
          <w:szCs w:val="28"/>
        </w:rPr>
        <w:t>kitab kuning</w:t>
      </w:r>
      <w:r>
        <w:rPr>
          <w:rFonts w:ascii="Garamond" w:eastAsia="Garamond" w:hAnsi="Garamond" w:cs="Garamond"/>
          <w:b/>
          <w:bCs/>
          <w:sz w:val="28"/>
          <w:szCs w:val="28"/>
        </w:rPr>
        <w:t xml:space="preserve">, the memorization of </w:t>
      </w:r>
      <w:r>
        <w:rPr>
          <w:rFonts w:ascii="Garamond" w:eastAsia="Garamond" w:hAnsi="Garamond" w:cs="Garamond"/>
          <w:b/>
          <w:bCs/>
          <w:i/>
          <w:iCs/>
          <w:sz w:val="28"/>
          <w:szCs w:val="28"/>
        </w:rPr>
        <w:t>nadhâm</w:t>
      </w:r>
      <w:r>
        <w:rPr>
          <w:rFonts w:ascii="Garamond" w:eastAsia="Garamond" w:hAnsi="Garamond" w:cs="Garamond"/>
          <w:b/>
          <w:bCs/>
          <w:sz w:val="28"/>
          <w:szCs w:val="28"/>
        </w:rPr>
        <w:t xml:space="preserve"> (didactic Arabic poetry), and </w:t>
      </w:r>
      <w:r>
        <w:rPr>
          <w:rFonts w:ascii="Garamond" w:eastAsia="Garamond" w:hAnsi="Garamond" w:cs="Garamond"/>
          <w:b/>
          <w:bCs/>
          <w:i/>
          <w:iCs/>
          <w:sz w:val="28"/>
          <w:szCs w:val="28"/>
        </w:rPr>
        <w:t>bahtsul masâ’il</w:t>
      </w:r>
      <w:r>
        <w:rPr>
          <w:rFonts w:ascii="Garamond" w:eastAsia="Garamond" w:hAnsi="Garamond" w:cs="Garamond"/>
          <w:b/>
          <w:bCs/>
          <w:sz w:val="28"/>
          <w:szCs w:val="28"/>
        </w:rPr>
        <w:t xml:space="preserve"> (scholarly discussions on religious issues grounded in classical Islamic jurisprudence).</w:t>
      </w:r>
    </w:p>
    <w:p w:rsidR="00A24EEF" w:rsidRDefault="003C36B1">
      <w:pPr>
        <w:spacing w:after="0"/>
        <w:ind w:left="360" w:firstLine="36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t xml:space="preserve">The non-formal curriculum, a key characteristic of traditional Islamic boarding schools, remains the backbone of Islamic boarding school education. Within it, students study instrumental sciences such as grammar, </w:t>
      </w:r>
      <w:r>
        <w:rPr>
          <w:rFonts w:ascii="Garamond" w:eastAsia="Garamond" w:hAnsi="Garamond" w:cs="Garamond"/>
          <w:b/>
          <w:bCs/>
          <w:i/>
          <w:iCs/>
          <w:color w:val="262626"/>
          <w:sz w:val="28"/>
          <w:szCs w:val="28"/>
        </w:rPr>
        <w:t>sharaf</w:t>
      </w:r>
      <w:r>
        <w:rPr>
          <w:rFonts w:ascii="Garamond" w:eastAsia="Garamond" w:hAnsi="Garamond" w:cs="Garamond"/>
          <w:b/>
          <w:bCs/>
          <w:color w:val="262626"/>
          <w:sz w:val="28"/>
          <w:szCs w:val="28"/>
        </w:rPr>
        <w:t xml:space="preserve"> (students' grammar), </w:t>
      </w:r>
      <w:r>
        <w:rPr>
          <w:rFonts w:ascii="Garamond" w:eastAsia="Garamond" w:hAnsi="Garamond" w:cs="Garamond"/>
          <w:b/>
          <w:bCs/>
          <w:i/>
          <w:iCs/>
          <w:color w:val="262626"/>
          <w:sz w:val="28"/>
          <w:szCs w:val="28"/>
        </w:rPr>
        <w:t>balâghah</w:t>
      </w:r>
      <w:r>
        <w:rPr>
          <w:rFonts w:ascii="Garamond" w:eastAsia="Garamond" w:hAnsi="Garamond" w:cs="Garamond"/>
          <w:b/>
          <w:bCs/>
          <w:color w:val="262626"/>
          <w:sz w:val="28"/>
          <w:szCs w:val="28"/>
        </w:rPr>
        <w:t xml:space="preserve">, </w:t>
      </w:r>
      <w:r>
        <w:rPr>
          <w:rFonts w:ascii="Garamond" w:eastAsia="Garamond" w:hAnsi="Garamond" w:cs="Garamond"/>
          <w:b/>
          <w:bCs/>
          <w:i/>
          <w:iCs/>
          <w:color w:val="262626"/>
          <w:sz w:val="28"/>
          <w:szCs w:val="28"/>
        </w:rPr>
        <w:t>ushul</w:t>
      </w:r>
      <w:r>
        <w:rPr>
          <w:rFonts w:ascii="Garamond" w:eastAsia="Garamond" w:hAnsi="Garamond" w:cs="Garamond"/>
          <w:b/>
          <w:bCs/>
          <w:i/>
          <w:iCs/>
          <w:color w:val="262626"/>
          <w:sz w:val="28"/>
          <w:szCs w:val="28"/>
        </w:rPr>
        <w:t xml:space="preserve"> fiqh</w:t>
      </w:r>
      <w:r>
        <w:rPr>
          <w:rFonts w:ascii="Garamond" w:eastAsia="Garamond" w:hAnsi="Garamond" w:cs="Garamond"/>
          <w:b/>
          <w:bCs/>
          <w:color w:val="262626"/>
          <w:sz w:val="28"/>
          <w:szCs w:val="28"/>
        </w:rPr>
        <w:t xml:space="preserve"> (Islamic jurisprudence), and traditional Islamic texts in various disciplines such as </w:t>
      </w:r>
      <w:r>
        <w:rPr>
          <w:rFonts w:ascii="Garamond" w:eastAsia="Garamond" w:hAnsi="Garamond" w:cs="Garamond"/>
          <w:b/>
          <w:bCs/>
          <w:i/>
          <w:iCs/>
          <w:color w:val="262626"/>
          <w:sz w:val="28"/>
          <w:szCs w:val="28"/>
        </w:rPr>
        <w:t>aqîdah</w:t>
      </w:r>
      <w:r>
        <w:rPr>
          <w:rFonts w:ascii="Garamond" w:eastAsia="Garamond" w:hAnsi="Garamond" w:cs="Garamond"/>
          <w:b/>
          <w:bCs/>
          <w:color w:val="262626"/>
          <w:sz w:val="28"/>
          <w:szCs w:val="28"/>
        </w:rPr>
        <w:t xml:space="preserve"> (belief), </w:t>
      </w:r>
      <w:r>
        <w:rPr>
          <w:rFonts w:ascii="Garamond" w:eastAsia="Garamond" w:hAnsi="Garamond" w:cs="Garamond"/>
          <w:b/>
          <w:bCs/>
          <w:i/>
          <w:iCs/>
          <w:color w:val="262626"/>
          <w:sz w:val="28"/>
          <w:szCs w:val="28"/>
        </w:rPr>
        <w:t>fiqh</w:t>
      </w:r>
      <w:r>
        <w:rPr>
          <w:rFonts w:ascii="Garamond" w:eastAsia="Garamond" w:hAnsi="Garamond" w:cs="Garamond"/>
          <w:b/>
          <w:bCs/>
          <w:color w:val="262626"/>
          <w:sz w:val="28"/>
          <w:szCs w:val="28"/>
        </w:rPr>
        <w:t xml:space="preserve"> (jurisprudence), </w:t>
      </w:r>
      <w:r>
        <w:rPr>
          <w:rFonts w:ascii="Garamond" w:eastAsia="Garamond" w:hAnsi="Garamond" w:cs="Garamond"/>
          <w:b/>
          <w:bCs/>
          <w:i/>
          <w:iCs/>
          <w:color w:val="262626"/>
          <w:sz w:val="28"/>
          <w:szCs w:val="28"/>
        </w:rPr>
        <w:t>tasawwuf</w:t>
      </w:r>
      <w:r>
        <w:rPr>
          <w:rFonts w:ascii="Garamond" w:eastAsia="Garamond" w:hAnsi="Garamond" w:cs="Garamond"/>
          <w:b/>
          <w:bCs/>
          <w:color w:val="262626"/>
          <w:sz w:val="28"/>
          <w:szCs w:val="28"/>
        </w:rPr>
        <w:t xml:space="preserve"> (Sufism), and </w:t>
      </w:r>
      <w:r>
        <w:rPr>
          <w:rFonts w:ascii="Garamond" w:eastAsia="Garamond" w:hAnsi="Garamond" w:cs="Garamond"/>
          <w:b/>
          <w:bCs/>
          <w:i/>
          <w:iCs/>
          <w:color w:val="262626"/>
          <w:sz w:val="28"/>
          <w:szCs w:val="28"/>
        </w:rPr>
        <w:t>tafsîr</w:t>
      </w:r>
      <w:r>
        <w:rPr>
          <w:rFonts w:ascii="Garamond" w:eastAsia="Garamond" w:hAnsi="Garamond" w:cs="Garamond"/>
          <w:b/>
          <w:bCs/>
          <w:color w:val="262626"/>
          <w:sz w:val="28"/>
          <w:szCs w:val="28"/>
        </w:rPr>
        <w:t xml:space="preserve"> (interpretation of the Alqur’an). This curriculum is not strictly regulated by a written syllabus, but is implemented through a system of </w:t>
      </w:r>
      <w:r>
        <w:rPr>
          <w:rFonts w:ascii="Garamond" w:eastAsia="Garamond" w:hAnsi="Garamond" w:cs="Garamond"/>
          <w:b/>
          <w:bCs/>
          <w:i/>
          <w:iCs/>
          <w:color w:val="262626"/>
          <w:sz w:val="28"/>
          <w:szCs w:val="28"/>
        </w:rPr>
        <w:t>halaqah</w:t>
      </w:r>
      <w:r>
        <w:rPr>
          <w:rFonts w:ascii="Garamond" w:eastAsia="Garamond" w:hAnsi="Garamond" w:cs="Garamond"/>
          <w:b/>
          <w:bCs/>
          <w:color w:val="262626"/>
          <w:sz w:val="28"/>
          <w:szCs w:val="28"/>
        </w:rPr>
        <w:t xml:space="preserve"> (study groups) and levels of religious study that have become a tradition passed down through generations. So</w:t>
      </w:r>
      <w:r>
        <w:rPr>
          <w:rFonts w:ascii="Garamond" w:eastAsia="Garamond" w:hAnsi="Garamond" w:cs="Garamond"/>
          <w:b/>
          <w:bCs/>
          <w:color w:val="262626"/>
          <w:sz w:val="28"/>
          <w:szCs w:val="28"/>
        </w:rPr>
        <w:t xml:space="preserve">me Islamic boarding schools have also begun to incorporate contemporary issues into their learning, such as social media ethics, women's jurisprudence, and Islamic discourse  on </w:t>
      </w:r>
      <w:r>
        <w:rPr>
          <w:rFonts w:ascii="Garamond" w:eastAsia="Garamond" w:hAnsi="Garamond" w:cs="Garamond"/>
          <w:b/>
          <w:bCs/>
          <w:i/>
          <w:iCs/>
          <w:color w:val="262626"/>
          <w:sz w:val="28"/>
          <w:szCs w:val="28"/>
        </w:rPr>
        <w:t>rahmatan lil ‘âlamîn</w:t>
      </w:r>
      <w:r>
        <w:rPr>
          <w:rFonts w:ascii="Garamond" w:eastAsia="Garamond" w:hAnsi="Garamond" w:cs="Garamond"/>
          <w:b/>
          <w:bCs/>
          <w:color w:val="262626"/>
          <w:sz w:val="28"/>
          <w:szCs w:val="28"/>
        </w:rPr>
        <w:t xml:space="preserve"> </w:t>
      </w:r>
      <w:r>
        <w:rPr>
          <w:rFonts w:ascii="Garamond" w:eastAsia="Garamond" w:hAnsi="Garamond" w:cs="Garamond"/>
          <w:b/>
          <w:bCs/>
          <w:i/>
          <w:iCs/>
          <w:color w:val="262626"/>
          <w:sz w:val="28"/>
          <w:szCs w:val="28"/>
        </w:rPr>
        <w:t xml:space="preserve">(mercy for all the worlds), </w:t>
      </w:r>
      <w:r>
        <w:rPr>
          <w:rFonts w:ascii="Garamond" w:eastAsia="Garamond" w:hAnsi="Garamond" w:cs="Garamond"/>
          <w:b/>
          <w:bCs/>
          <w:color w:val="262626"/>
          <w:sz w:val="28"/>
          <w:szCs w:val="28"/>
        </w:rPr>
        <w:t xml:space="preserve"> as a form of response to the</w:t>
      </w:r>
      <w:r>
        <w:rPr>
          <w:rFonts w:ascii="Garamond" w:eastAsia="Garamond" w:hAnsi="Garamond" w:cs="Garamond"/>
          <w:b/>
          <w:bCs/>
          <w:color w:val="262626"/>
          <w:sz w:val="28"/>
          <w:szCs w:val="28"/>
        </w:rPr>
        <w:t xml:space="preserve"> challenges of the times.</w:t>
      </w:r>
    </w:p>
    <w:p w:rsidR="00A24EEF" w:rsidRDefault="003C36B1">
      <w:pPr>
        <w:spacing w:after="0"/>
        <w:ind w:left="360" w:firstLine="36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t xml:space="preserve">The curriculum of the Musthafawiyah alumni Islamic boarding school shows two important characteristics: </w:t>
      </w:r>
      <w:r>
        <w:rPr>
          <w:rFonts w:ascii="Garamond" w:eastAsia="Garamond" w:hAnsi="Garamond" w:cs="Garamond"/>
          <w:b/>
          <w:bCs/>
          <w:i/>
          <w:iCs/>
          <w:color w:val="262626"/>
          <w:sz w:val="28"/>
          <w:szCs w:val="28"/>
        </w:rPr>
        <w:t>first</w:t>
      </w:r>
      <w:r>
        <w:rPr>
          <w:rFonts w:ascii="Garamond" w:eastAsia="Garamond" w:hAnsi="Garamond" w:cs="Garamond"/>
          <w:b/>
          <w:bCs/>
          <w:color w:val="262626"/>
          <w:sz w:val="28"/>
          <w:szCs w:val="28"/>
        </w:rPr>
        <w:t>, as dual system</w:t>
      </w:r>
      <w:r>
        <w:rPr>
          <w:rFonts w:ascii="Garamond" w:eastAsia="Garamond" w:hAnsi="Garamond" w:cs="Garamond"/>
          <w:b/>
          <w:bCs/>
          <w:i/>
          <w:iCs/>
          <w:color w:val="262626"/>
          <w:sz w:val="28"/>
          <w:szCs w:val="28"/>
        </w:rPr>
        <w:t xml:space="preserve"> </w:t>
      </w:r>
      <w:r>
        <w:rPr>
          <w:rFonts w:ascii="Garamond" w:eastAsia="Garamond" w:hAnsi="Garamond" w:cs="Garamond"/>
          <w:b/>
          <w:bCs/>
          <w:color w:val="262626"/>
          <w:sz w:val="28"/>
          <w:szCs w:val="28"/>
        </w:rPr>
        <w:t xml:space="preserve">which combines formal (national) and non-formal (Islamic boarding school) curriculum; </w:t>
      </w:r>
      <w:r>
        <w:rPr>
          <w:rFonts w:ascii="Garamond" w:eastAsia="Garamond" w:hAnsi="Garamond" w:cs="Garamond"/>
          <w:b/>
          <w:bCs/>
          <w:i/>
          <w:iCs/>
          <w:color w:val="262626"/>
          <w:sz w:val="28"/>
          <w:szCs w:val="28"/>
        </w:rPr>
        <w:t>second</w:t>
      </w:r>
      <w:r>
        <w:rPr>
          <w:rFonts w:ascii="Garamond" w:eastAsia="Garamond" w:hAnsi="Garamond" w:cs="Garamond"/>
          <w:b/>
          <w:bCs/>
          <w:color w:val="262626"/>
          <w:sz w:val="28"/>
          <w:szCs w:val="28"/>
        </w:rPr>
        <w:t>, as integra</w:t>
      </w:r>
      <w:r>
        <w:rPr>
          <w:rFonts w:ascii="Garamond" w:eastAsia="Garamond" w:hAnsi="Garamond" w:cs="Garamond"/>
          <w:b/>
          <w:bCs/>
          <w:color w:val="262626"/>
          <w:sz w:val="28"/>
          <w:szCs w:val="28"/>
        </w:rPr>
        <w:t>tion mechanism</w:t>
      </w:r>
      <w:r>
        <w:rPr>
          <w:rFonts w:ascii="Garamond" w:eastAsia="Garamond" w:hAnsi="Garamond" w:cs="Garamond"/>
          <w:b/>
          <w:bCs/>
          <w:i/>
          <w:iCs/>
          <w:color w:val="262626"/>
          <w:sz w:val="28"/>
          <w:szCs w:val="28"/>
        </w:rPr>
        <w:t xml:space="preserve"> </w:t>
      </w:r>
      <w:r>
        <w:rPr>
          <w:rFonts w:ascii="Garamond" w:eastAsia="Garamond" w:hAnsi="Garamond" w:cs="Garamond"/>
          <w:b/>
          <w:bCs/>
          <w:color w:val="262626"/>
          <w:sz w:val="28"/>
          <w:szCs w:val="28"/>
        </w:rPr>
        <w:t>between classical religious knowledge and contemporary issues. In this context, alumni of Islamic boarding schools do not ignore the legal and social demands of the state, but maintain the spirit of traditional Islamic education based on yel</w:t>
      </w:r>
      <w:r>
        <w:rPr>
          <w:rFonts w:ascii="Garamond" w:eastAsia="Garamond" w:hAnsi="Garamond" w:cs="Garamond"/>
          <w:b/>
          <w:bCs/>
          <w:color w:val="262626"/>
          <w:sz w:val="28"/>
          <w:szCs w:val="28"/>
        </w:rPr>
        <w:t xml:space="preserve">low books and </w:t>
      </w:r>
      <w:r>
        <w:rPr>
          <w:rFonts w:ascii="Garamond" w:eastAsia="Garamond" w:hAnsi="Garamond" w:cs="Garamond"/>
          <w:b/>
          <w:bCs/>
          <w:i/>
          <w:iCs/>
          <w:color w:val="262626"/>
          <w:sz w:val="28"/>
          <w:szCs w:val="28"/>
        </w:rPr>
        <w:t>halaqah</w:t>
      </w:r>
      <w:r>
        <w:rPr>
          <w:rFonts w:ascii="Garamond" w:eastAsia="Garamond" w:hAnsi="Garamond" w:cs="Garamond"/>
          <w:b/>
          <w:bCs/>
          <w:color w:val="262626"/>
          <w:sz w:val="28"/>
          <w:szCs w:val="28"/>
        </w:rPr>
        <w:t>.</w:t>
      </w:r>
    </w:p>
    <w:p w:rsidR="00A24EEF" w:rsidRDefault="003C36B1">
      <w:pPr>
        <w:spacing w:after="0"/>
        <w:ind w:left="360" w:firstLine="360"/>
        <w:jc w:val="both"/>
        <w:rPr>
          <w:rFonts w:ascii="Garamond" w:eastAsia="Garamond" w:hAnsi="Garamond" w:cs="Garamond"/>
          <w:b/>
          <w:bCs/>
          <w:sz w:val="28"/>
          <w:szCs w:val="28"/>
        </w:rPr>
      </w:pPr>
      <w:r>
        <w:rPr>
          <w:rFonts w:ascii="Garamond" w:eastAsia="Garamond" w:hAnsi="Garamond" w:cs="Garamond"/>
          <w:b/>
          <w:bCs/>
          <w:sz w:val="28"/>
          <w:szCs w:val="28"/>
        </w:rPr>
        <w:lastRenderedPageBreak/>
        <w:t xml:space="preserve">This kind of curriculum model can be analyzed through the integrative theoretical approach proposed by Syed Muhammad Naquib al-Attas, who views that knowledge in Islam should be understood as a unity between </w:t>
      </w:r>
      <w:r>
        <w:rPr>
          <w:rFonts w:ascii="Garamond" w:eastAsia="Garamond" w:hAnsi="Garamond" w:cs="Garamond"/>
          <w:b/>
          <w:bCs/>
          <w:i/>
          <w:iCs/>
          <w:sz w:val="28"/>
          <w:szCs w:val="28"/>
        </w:rPr>
        <w:t>fardhu 'aîn</w:t>
      </w:r>
      <w:r>
        <w:rPr>
          <w:rFonts w:ascii="Garamond" w:eastAsia="Garamond" w:hAnsi="Garamond" w:cs="Garamond"/>
          <w:b/>
          <w:bCs/>
          <w:sz w:val="28"/>
          <w:szCs w:val="28"/>
        </w:rPr>
        <w:t xml:space="preserve"> and </w:t>
      </w:r>
      <w:r>
        <w:rPr>
          <w:rFonts w:ascii="Garamond" w:eastAsia="Garamond" w:hAnsi="Garamond" w:cs="Garamond"/>
          <w:b/>
          <w:bCs/>
          <w:i/>
          <w:iCs/>
          <w:sz w:val="28"/>
          <w:szCs w:val="28"/>
        </w:rPr>
        <w:t>fardhu ki</w:t>
      </w:r>
      <w:r>
        <w:rPr>
          <w:rFonts w:ascii="Garamond" w:eastAsia="Garamond" w:hAnsi="Garamond" w:cs="Garamond"/>
          <w:b/>
          <w:bCs/>
          <w:i/>
          <w:iCs/>
          <w:sz w:val="28"/>
          <w:szCs w:val="28"/>
        </w:rPr>
        <w:t>fâyah</w:t>
      </w:r>
      <w:r>
        <w:rPr>
          <w:rFonts w:ascii="Garamond" w:eastAsia="Garamond" w:hAnsi="Garamond" w:cs="Garamond"/>
          <w:b/>
          <w:bCs/>
          <w:sz w:val="28"/>
          <w:szCs w:val="28"/>
        </w:rPr>
        <w:t xml:space="preserve"> knowledge in an epistemological system that is not separated from the value and purpose of human creation (Al-Attas, 1993). According to him, true knowledge is knowledge that instills good manners and shapes a personality based on monotheism. In this</w:t>
      </w:r>
      <w:r>
        <w:rPr>
          <w:rFonts w:ascii="Garamond" w:eastAsia="Garamond" w:hAnsi="Garamond" w:cs="Garamond"/>
          <w:b/>
          <w:bCs/>
          <w:sz w:val="28"/>
          <w:szCs w:val="28"/>
        </w:rPr>
        <w:t xml:space="preserve"> context, the Musthafawiyah alumni Islamic boarding schools exhibit an educational model that maintains a balance between religious knowledge and the practical knowledge needed in social life.</w:t>
      </w:r>
    </w:p>
    <w:p w:rsidR="00A24EEF" w:rsidRDefault="003C36B1">
      <w:pPr>
        <w:spacing w:after="0"/>
        <w:ind w:left="360"/>
        <w:jc w:val="both"/>
        <w:rPr>
          <w:rFonts w:ascii="Garamond" w:eastAsia="Garamond" w:hAnsi="Garamond" w:cs="Garamond"/>
          <w:b/>
          <w:bCs/>
          <w:sz w:val="28"/>
          <w:szCs w:val="28"/>
        </w:rPr>
      </w:pPr>
      <w:r>
        <w:rPr>
          <w:rFonts w:ascii="Garamond" w:eastAsia="Garamond" w:hAnsi="Garamond" w:cs="Garamond"/>
          <w:b/>
          <w:bCs/>
          <w:sz w:val="28"/>
          <w:szCs w:val="28"/>
        </w:rPr>
        <w:t xml:space="preserve">      On the other hand, the implementation of this curriculum </w:t>
      </w:r>
      <w:r>
        <w:rPr>
          <w:rFonts w:ascii="Garamond" w:eastAsia="Garamond" w:hAnsi="Garamond" w:cs="Garamond"/>
          <w:b/>
          <w:bCs/>
          <w:sz w:val="28"/>
          <w:szCs w:val="28"/>
        </w:rPr>
        <w:t>is also in line with the concept of adaptive Islamic education, namely an Islamic educational approach that is able to adapt to the dynamics of the times and social needs without losing its Islamic identity, both in terms of faith, sharia, and morals (Hass</w:t>
      </w:r>
      <w:r>
        <w:rPr>
          <w:rFonts w:ascii="Garamond" w:eastAsia="Garamond" w:hAnsi="Garamond" w:cs="Garamond"/>
          <w:b/>
          <w:bCs/>
          <w:sz w:val="28"/>
          <w:szCs w:val="28"/>
        </w:rPr>
        <w:t>an, 2010). The curriculum implemented by the Musthafawiyah alumni Islamic boarding school shows structural flexibility, such as integrating the national curriculum and strengthening social competencies, but still makes the yellow book and the development o</w:t>
      </w:r>
      <w:r>
        <w:rPr>
          <w:rFonts w:ascii="Garamond" w:eastAsia="Garamond" w:hAnsi="Garamond" w:cs="Garamond"/>
          <w:b/>
          <w:bCs/>
          <w:sz w:val="28"/>
          <w:szCs w:val="28"/>
        </w:rPr>
        <w:t>f adab as the spirit of education. Thus, Islamic boarding schools are able to respond to the challenges of modernity without having to abandon their traditional identity (Azra, 2015).</w:t>
      </w:r>
    </w:p>
    <w:p w:rsidR="00A24EEF" w:rsidRDefault="003C36B1">
      <w:pPr>
        <w:pStyle w:val="Heading3"/>
        <w:keepNext w:val="0"/>
        <w:spacing w:after="40"/>
        <w:ind w:left="720" w:hanging="360"/>
        <w:jc w:val="both"/>
        <w:rPr>
          <w:rFonts w:ascii="Garamond" w:eastAsia="Garamond" w:hAnsi="Garamond" w:cs="Garamond"/>
          <w:i/>
          <w:iCs/>
          <w:color w:val="262626"/>
          <w:sz w:val="28"/>
          <w:szCs w:val="28"/>
        </w:rPr>
      </w:pPr>
      <w:bookmarkStart w:id="4" w:name="_u2iu4fdlhric" w:colFirst="0" w:colLast="0"/>
      <w:bookmarkEnd w:id="4"/>
      <w:r>
        <w:rPr>
          <w:rFonts w:ascii="Garamond" w:eastAsia="Garamond" w:hAnsi="Garamond" w:cs="Garamond"/>
          <w:i/>
          <w:iCs/>
          <w:color w:val="262626"/>
          <w:sz w:val="28"/>
          <w:szCs w:val="28"/>
        </w:rPr>
        <w:t>F.</w:t>
      </w:r>
      <w:r>
        <w:rPr>
          <w:rFonts w:ascii="Times New Roman" w:eastAsia="Times New Roman" w:hAnsi="Times New Roman" w:cs="Times New Roman"/>
          <w:b w:val="0"/>
          <w:bCs w:val="0"/>
          <w:color w:val="262626"/>
          <w:sz w:val="14"/>
          <w:szCs w:val="14"/>
        </w:rPr>
        <w:t xml:space="preserve">    </w:t>
      </w:r>
      <w:r>
        <w:rPr>
          <w:rFonts w:ascii="Garamond" w:eastAsia="Garamond" w:hAnsi="Garamond" w:cs="Garamond"/>
          <w:i/>
          <w:iCs/>
          <w:color w:val="262626"/>
          <w:sz w:val="28"/>
          <w:szCs w:val="28"/>
        </w:rPr>
        <w:t>Negotiating Tradition and Modernity:  Musthafawiyah Alumni Islamic Boarding Schools</w:t>
      </w:r>
    </w:p>
    <w:p w:rsidR="00A24EEF" w:rsidRDefault="003C36B1">
      <w:pPr>
        <w:spacing w:after="0"/>
        <w:ind w:left="360" w:firstLine="36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t>Recent findings indicate that although Musthafawiyah alumni have a traditional orientation, they are not closed to social change and developments. Most Islamic boarding sch</w:t>
      </w:r>
      <w:r>
        <w:rPr>
          <w:rFonts w:ascii="Garamond" w:eastAsia="Garamond" w:hAnsi="Garamond" w:cs="Garamond"/>
          <w:b/>
          <w:bCs/>
          <w:color w:val="262626"/>
          <w:sz w:val="28"/>
          <w:szCs w:val="28"/>
        </w:rPr>
        <w:t>ools have now opened formal educational institutions such as MTs (Islamic junior high school) and MA (Islamic senior high school), and some have even established skills-based vocational schools (SMA/SMK). This is done to meet public demands for legal educa</w:t>
      </w:r>
      <w:r>
        <w:rPr>
          <w:rFonts w:ascii="Garamond" w:eastAsia="Garamond" w:hAnsi="Garamond" w:cs="Garamond"/>
          <w:b/>
          <w:bCs/>
          <w:color w:val="262626"/>
          <w:sz w:val="28"/>
          <w:szCs w:val="28"/>
        </w:rPr>
        <w:t xml:space="preserve">tion and to provide broader access for students to continue their education to higher education. Furthermore, Islamic boarding schools have begun </w:t>
      </w:r>
      <w:r>
        <w:rPr>
          <w:rFonts w:ascii="Garamond" w:eastAsia="Garamond" w:hAnsi="Garamond" w:cs="Garamond"/>
          <w:b/>
          <w:bCs/>
          <w:color w:val="262626"/>
          <w:sz w:val="28"/>
          <w:szCs w:val="28"/>
        </w:rPr>
        <w:lastRenderedPageBreak/>
        <w:t>utilizing digital technology, both for learning purposes (for example, using projectors and instructional vide</w:t>
      </w:r>
      <w:r>
        <w:rPr>
          <w:rFonts w:ascii="Garamond" w:eastAsia="Garamond" w:hAnsi="Garamond" w:cs="Garamond"/>
          <w:b/>
          <w:bCs/>
          <w:color w:val="262626"/>
          <w:sz w:val="28"/>
          <w:szCs w:val="28"/>
        </w:rPr>
        <w:t>os) and for communication and da'wah (Islamic outreach) through social media.</w:t>
      </w:r>
    </w:p>
    <w:p w:rsidR="00A24EEF" w:rsidRDefault="003C36B1">
      <w:pPr>
        <w:spacing w:after="0"/>
        <w:ind w:left="360" w:firstLine="36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t>In response to social dynamics, several Islamic boarding schools have also begun developing empowerment programs such as entrepreneurship training, agricultural training, digital</w:t>
      </w:r>
      <w:r>
        <w:rPr>
          <w:rFonts w:ascii="Garamond" w:eastAsia="Garamond" w:hAnsi="Garamond" w:cs="Garamond"/>
          <w:b/>
          <w:bCs/>
          <w:color w:val="262626"/>
          <w:sz w:val="28"/>
          <w:szCs w:val="28"/>
        </w:rPr>
        <w:t xml:space="preserve"> skills training, and public speaking training based on Islamic preaching. However, despite these innovations, the pesantren's identity remains intact. Characteristics of pesantren include the use of sarongs and </w:t>
      </w:r>
      <w:r>
        <w:rPr>
          <w:rFonts w:ascii="Garamond" w:eastAsia="Garamond" w:hAnsi="Garamond" w:cs="Garamond"/>
          <w:b/>
          <w:bCs/>
          <w:i/>
          <w:iCs/>
          <w:color w:val="262626"/>
          <w:sz w:val="28"/>
          <w:szCs w:val="28"/>
        </w:rPr>
        <w:t>peci</w:t>
      </w:r>
      <w:r>
        <w:rPr>
          <w:rFonts w:ascii="Garamond" w:eastAsia="Garamond" w:hAnsi="Garamond" w:cs="Garamond"/>
          <w:b/>
          <w:bCs/>
          <w:color w:val="262626"/>
          <w:sz w:val="28"/>
          <w:szCs w:val="28"/>
        </w:rPr>
        <w:t xml:space="preserve"> (traditional Islamic caps), the system </w:t>
      </w:r>
      <w:r>
        <w:rPr>
          <w:rFonts w:ascii="Garamond" w:eastAsia="Garamond" w:hAnsi="Garamond" w:cs="Garamond"/>
          <w:b/>
          <w:bCs/>
          <w:color w:val="262626"/>
          <w:sz w:val="28"/>
          <w:szCs w:val="28"/>
        </w:rPr>
        <w:t xml:space="preserve">of </w:t>
      </w:r>
      <w:r>
        <w:rPr>
          <w:rFonts w:ascii="Garamond" w:eastAsia="Garamond" w:hAnsi="Garamond" w:cs="Garamond"/>
          <w:b/>
          <w:bCs/>
          <w:i/>
          <w:iCs/>
          <w:color w:val="262626"/>
          <w:sz w:val="28"/>
          <w:szCs w:val="28"/>
        </w:rPr>
        <w:t>service</w:t>
      </w:r>
      <w:r>
        <w:rPr>
          <w:rFonts w:ascii="Garamond" w:eastAsia="Garamond" w:hAnsi="Garamond" w:cs="Garamond"/>
          <w:b/>
          <w:bCs/>
          <w:color w:val="262626"/>
          <w:sz w:val="28"/>
          <w:szCs w:val="28"/>
        </w:rPr>
        <w:t>, a simple lifestyle, and strict time discipline are still enforced. Thus, Musthafawiyah alumni of Islamic boarding schools demonstrate a pattern of selective adaptation to modernity: they accept new things that do not conflict with basic Islamic</w:t>
      </w:r>
      <w:r>
        <w:rPr>
          <w:rFonts w:ascii="Garamond" w:eastAsia="Garamond" w:hAnsi="Garamond" w:cs="Garamond"/>
          <w:b/>
          <w:bCs/>
          <w:color w:val="262626"/>
          <w:sz w:val="28"/>
          <w:szCs w:val="28"/>
        </w:rPr>
        <w:t xml:space="preserve"> values and Islamic boarding school culture, but still reject elements deemed detrimental to morals, ethics, and scholarly traditions.</w:t>
      </w:r>
    </w:p>
    <w:p w:rsidR="00A24EEF" w:rsidRDefault="003C36B1">
      <w:pPr>
        <w:spacing w:after="0"/>
        <w:ind w:left="360" w:firstLine="360"/>
        <w:jc w:val="both"/>
        <w:rPr>
          <w:rFonts w:ascii="Garamond" w:eastAsia="Garamond" w:hAnsi="Garamond" w:cs="Garamond"/>
          <w:b/>
          <w:bCs/>
          <w:sz w:val="28"/>
          <w:szCs w:val="28"/>
        </w:rPr>
      </w:pPr>
      <w:r>
        <w:rPr>
          <w:rFonts w:ascii="Garamond" w:eastAsia="Garamond" w:hAnsi="Garamond" w:cs="Garamond"/>
          <w:b/>
          <w:bCs/>
          <w:sz w:val="28"/>
          <w:szCs w:val="28"/>
        </w:rPr>
        <w:t>The adaptive response of Islamic boarding schools to developments in the times shows the existence of what is called by C</w:t>
      </w:r>
      <w:r>
        <w:rPr>
          <w:rFonts w:ascii="Garamond" w:eastAsia="Garamond" w:hAnsi="Garamond" w:cs="Garamond"/>
          <w:b/>
          <w:bCs/>
          <w:sz w:val="28"/>
          <w:szCs w:val="28"/>
        </w:rPr>
        <w:t>lifford Geertz as a form of “pragmatic traditionalism”, namely the attitude of maintaining old traditions while selectively accepting elements of modernity (Geertz, 1960). In this context, the alumni of the Musthafawiyah Islamic boarding school are not clo</w:t>
      </w:r>
      <w:r>
        <w:rPr>
          <w:rFonts w:ascii="Garamond" w:eastAsia="Garamond" w:hAnsi="Garamond" w:cs="Garamond"/>
          <w:b/>
          <w:bCs/>
          <w:sz w:val="28"/>
          <w:szCs w:val="28"/>
        </w:rPr>
        <w:t>sed to technological developments, such asuse of social media, digitalization of administrative systems, or modern strategy-based institutional management,but still considers the limits of Islamic values and principles that are the main foundation of Islam</w:t>
      </w:r>
      <w:r>
        <w:rPr>
          <w:rFonts w:ascii="Garamond" w:eastAsia="Garamond" w:hAnsi="Garamond" w:cs="Garamond"/>
          <w:b/>
          <w:bCs/>
          <w:sz w:val="28"/>
          <w:szCs w:val="28"/>
        </w:rPr>
        <w:t>ic boarding school education. This approach shows that Islamic boarding schools are not static entities that reject change, but rather institutions that havedynamic adaptability,as long as the changes do not damage the scientific substance, morals and rela</w:t>
      </w:r>
      <w:r>
        <w:rPr>
          <w:rFonts w:ascii="Garamond" w:eastAsia="Garamond" w:hAnsi="Garamond" w:cs="Garamond"/>
          <w:b/>
          <w:bCs/>
          <w:sz w:val="28"/>
          <w:szCs w:val="28"/>
        </w:rPr>
        <w:t xml:space="preserve">tionships typical of Islamic boarding schools such as authority of the </w:t>
      </w:r>
      <w:r>
        <w:rPr>
          <w:rFonts w:ascii="Garamond" w:eastAsia="Garamond" w:hAnsi="Garamond" w:cs="Garamond"/>
          <w:b/>
          <w:bCs/>
          <w:i/>
          <w:iCs/>
          <w:sz w:val="28"/>
          <w:szCs w:val="28"/>
        </w:rPr>
        <w:t>kiai</w:t>
      </w:r>
      <w:r>
        <w:rPr>
          <w:rFonts w:ascii="Garamond" w:eastAsia="Garamond" w:hAnsi="Garamond" w:cs="Garamond"/>
          <w:b/>
          <w:bCs/>
          <w:sz w:val="28"/>
          <w:szCs w:val="28"/>
        </w:rPr>
        <w:t xml:space="preserve"> and scientific chain (Azra, 2015). In this way, Islamic boarding schools are able to survive in the context of rapidly changing times without losing their spiritual and cultural id</w:t>
      </w:r>
      <w:r>
        <w:rPr>
          <w:rFonts w:ascii="Garamond" w:eastAsia="Garamond" w:hAnsi="Garamond" w:cs="Garamond"/>
          <w:b/>
          <w:bCs/>
          <w:sz w:val="28"/>
          <w:szCs w:val="28"/>
        </w:rPr>
        <w:t>entity.</w:t>
      </w:r>
    </w:p>
    <w:p w:rsidR="00A24EEF" w:rsidRDefault="003C36B1">
      <w:pPr>
        <w:spacing w:after="0"/>
        <w:ind w:firstLine="20"/>
        <w:jc w:val="both"/>
        <w:rPr>
          <w:rFonts w:ascii="Garamond" w:eastAsia="Garamond" w:hAnsi="Garamond" w:cs="Garamond"/>
          <w:b/>
          <w:bCs/>
          <w:sz w:val="28"/>
          <w:szCs w:val="28"/>
        </w:rPr>
      </w:pPr>
      <w:r>
        <w:rPr>
          <w:rFonts w:ascii="Garamond" w:eastAsia="Garamond" w:hAnsi="Garamond" w:cs="Garamond"/>
          <w:b/>
          <w:bCs/>
          <w:color w:val="262626"/>
          <w:sz w:val="28"/>
          <w:szCs w:val="28"/>
        </w:rPr>
        <w:lastRenderedPageBreak/>
        <w:t>This also aligns with Scott's (1985) theory of cultural resistance, which observes that traditional communities like Islamic boarding schools (pesantren) have their own unique ways of managing change. This is not done by outright rejection, but thr</w:t>
      </w:r>
      <w:r>
        <w:rPr>
          <w:rFonts w:ascii="Garamond" w:eastAsia="Garamond" w:hAnsi="Garamond" w:cs="Garamond"/>
          <w:b/>
          <w:bCs/>
          <w:color w:val="262626"/>
          <w:sz w:val="28"/>
          <w:szCs w:val="28"/>
        </w:rPr>
        <w:t>ough cultural negotiation, absorbing elements deemed positive, and rejecting those that conflict with their values. Therefore, even if an Islamic boarding school opens a formal madrasah, uses digital technology, or provides entrepreneurship training, it re</w:t>
      </w:r>
      <w:r>
        <w:rPr>
          <w:rFonts w:ascii="Garamond" w:eastAsia="Garamond" w:hAnsi="Garamond" w:cs="Garamond"/>
          <w:b/>
          <w:bCs/>
          <w:color w:val="262626"/>
          <w:sz w:val="28"/>
          <w:szCs w:val="28"/>
        </w:rPr>
        <w:t xml:space="preserve">mains grounded in a commitment to upholding morality, simplicity, and the blessings of knowledge. </w:t>
      </w:r>
    </w:p>
    <w:p w:rsidR="00A24EEF" w:rsidRDefault="00A24EEF">
      <w:pPr>
        <w:spacing w:after="0"/>
        <w:ind w:left="360" w:firstLine="560"/>
        <w:jc w:val="both"/>
        <w:rPr>
          <w:rFonts w:ascii="Garamond" w:eastAsia="Garamond" w:hAnsi="Garamond" w:cs="Garamond"/>
          <w:b/>
          <w:bCs/>
          <w:color w:val="262626"/>
          <w:sz w:val="28"/>
          <w:szCs w:val="28"/>
        </w:rPr>
      </w:pPr>
    </w:p>
    <w:p w:rsidR="00A24EEF" w:rsidRDefault="003C36B1">
      <w:pPr>
        <w:spacing w:before="240" w:after="0"/>
        <w:jc w:val="both"/>
        <w:rPr>
          <w:rFonts w:ascii="Garamond" w:eastAsia="Garamond" w:hAnsi="Garamond" w:cs="Garamond"/>
          <w:b/>
          <w:bCs/>
          <w:sz w:val="28"/>
          <w:szCs w:val="28"/>
        </w:rPr>
      </w:pPr>
      <w:r>
        <w:rPr>
          <w:rFonts w:ascii="Garamond" w:eastAsia="Garamond" w:hAnsi="Garamond" w:cs="Garamond"/>
          <w:b/>
          <w:bCs/>
          <w:sz w:val="28"/>
          <w:szCs w:val="28"/>
        </w:rPr>
        <w:t>Conclusion</w:t>
      </w:r>
    </w:p>
    <w:p w:rsidR="00A24EEF" w:rsidRDefault="003C36B1">
      <w:pPr>
        <w:spacing w:after="0"/>
        <w:ind w:firstLine="42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t xml:space="preserve">This study demonstrates that the Musthafawiyah alumni </w:t>
      </w:r>
      <w:r>
        <w:rPr>
          <w:rFonts w:ascii="Garamond" w:eastAsia="Garamond" w:hAnsi="Garamond" w:cs="Garamond"/>
          <w:b/>
          <w:bCs/>
          <w:i/>
          <w:iCs/>
          <w:color w:val="262626"/>
          <w:sz w:val="28"/>
          <w:szCs w:val="28"/>
        </w:rPr>
        <w:t>pesantren</w:t>
      </w:r>
      <w:r>
        <w:rPr>
          <w:rFonts w:ascii="Garamond" w:eastAsia="Garamond" w:hAnsi="Garamond" w:cs="Garamond"/>
          <w:b/>
          <w:bCs/>
          <w:color w:val="262626"/>
          <w:sz w:val="28"/>
          <w:szCs w:val="28"/>
        </w:rPr>
        <w:t xml:space="preserve"> network in Southern Tapanuli sustains a strong continuity of Islamic educational </w:t>
      </w:r>
      <w:r>
        <w:rPr>
          <w:rFonts w:ascii="Garamond" w:eastAsia="Garamond" w:hAnsi="Garamond" w:cs="Garamond"/>
          <w:b/>
          <w:bCs/>
          <w:color w:val="262626"/>
          <w:sz w:val="28"/>
          <w:szCs w:val="28"/>
        </w:rPr>
        <w:t xml:space="preserve">traditions, encompassing the use of </w:t>
      </w:r>
      <w:r>
        <w:rPr>
          <w:rFonts w:ascii="Garamond" w:eastAsia="Garamond" w:hAnsi="Garamond" w:cs="Garamond"/>
          <w:b/>
          <w:bCs/>
          <w:i/>
          <w:iCs/>
          <w:color w:val="262626"/>
          <w:sz w:val="28"/>
          <w:szCs w:val="28"/>
        </w:rPr>
        <w:t>kitab kuning</w:t>
      </w:r>
      <w:r>
        <w:rPr>
          <w:rFonts w:ascii="Garamond" w:eastAsia="Garamond" w:hAnsi="Garamond" w:cs="Garamond"/>
          <w:b/>
          <w:bCs/>
          <w:color w:val="262626"/>
          <w:sz w:val="28"/>
          <w:szCs w:val="28"/>
        </w:rPr>
        <w:t xml:space="preserve">, an </w:t>
      </w:r>
      <w:r>
        <w:rPr>
          <w:rFonts w:ascii="Garamond" w:eastAsia="Garamond" w:hAnsi="Garamond" w:cs="Garamond"/>
          <w:b/>
          <w:bCs/>
          <w:i/>
          <w:iCs/>
          <w:color w:val="262626"/>
          <w:sz w:val="28"/>
          <w:szCs w:val="28"/>
        </w:rPr>
        <w:t>adab</w:t>
      </w:r>
      <w:r>
        <w:rPr>
          <w:rFonts w:ascii="Garamond" w:eastAsia="Garamond" w:hAnsi="Garamond" w:cs="Garamond"/>
          <w:b/>
          <w:bCs/>
          <w:color w:val="262626"/>
          <w:sz w:val="28"/>
          <w:szCs w:val="28"/>
        </w:rPr>
        <w:t>-based system of education, and the preservation of core values such as sincerity, simplicity, and independence. This continuity extends beyond pedagogy into the ideological domain, particularly thro</w:t>
      </w:r>
      <w:r>
        <w:rPr>
          <w:rFonts w:ascii="Garamond" w:eastAsia="Garamond" w:hAnsi="Garamond" w:cs="Garamond"/>
          <w:b/>
          <w:bCs/>
          <w:color w:val="262626"/>
          <w:sz w:val="28"/>
          <w:szCs w:val="28"/>
        </w:rPr>
        <w:t xml:space="preserve">ugh the consistent transmission of </w:t>
      </w:r>
      <w:r>
        <w:rPr>
          <w:rFonts w:ascii="Garamond" w:eastAsia="Garamond" w:hAnsi="Garamond" w:cs="Garamond"/>
          <w:b/>
          <w:bCs/>
          <w:i/>
          <w:iCs/>
          <w:color w:val="262626"/>
          <w:sz w:val="28"/>
          <w:szCs w:val="28"/>
        </w:rPr>
        <w:t>ahl al-sunnah wa al-jamā</w:t>
      </w:r>
      <w:r>
        <w:rPr>
          <w:rFonts w:ascii="Times New Roman" w:eastAsia="Times New Roman" w:hAnsi="Times New Roman" w:cs="Times New Roman"/>
          <w:b/>
          <w:bCs/>
          <w:i/>
          <w:iCs/>
          <w:color w:val="262626"/>
          <w:sz w:val="28"/>
          <w:szCs w:val="28"/>
        </w:rPr>
        <w:t>ʿ</w:t>
      </w:r>
      <w:r>
        <w:rPr>
          <w:rFonts w:ascii="Garamond" w:eastAsia="Garamond" w:hAnsi="Garamond" w:cs="Garamond"/>
          <w:b/>
          <w:bCs/>
          <w:i/>
          <w:iCs/>
          <w:color w:val="262626"/>
          <w:sz w:val="28"/>
          <w:szCs w:val="28"/>
        </w:rPr>
        <w:t>ah</w:t>
      </w:r>
      <w:r>
        <w:rPr>
          <w:rFonts w:ascii="Garamond" w:eastAsia="Garamond" w:hAnsi="Garamond" w:cs="Garamond"/>
          <w:b/>
          <w:bCs/>
          <w:color w:val="262626"/>
          <w:sz w:val="28"/>
          <w:szCs w:val="28"/>
        </w:rPr>
        <w:t xml:space="preserve"> doctrine rooted in a scholarly lineage connecting the </w:t>
      </w:r>
      <w:r>
        <w:rPr>
          <w:rFonts w:ascii="Garamond" w:eastAsia="Garamond" w:hAnsi="Garamond" w:cs="Garamond"/>
          <w:b/>
          <w:bCs/>
          <w:i/>
          <w:iCs/>
          <w:color w:val="262626"/>
          <w:sz w:val="28"/>
          <w:szCs w:val="28"/>
        </w:rPr>
        <w:t>Harāmayn</w:t>
      </w:r>
      <w:r>
        <w:rPr>
          <w:rFonts w:ascii="Garamond" w:eastAsia="Garamond" w:hAnsi="Garamond" w:cs="Garamond"/>
          <w:b/>
          <w:bCs/>
          <w:color w:val="262626"/>
          <w:sz w:val="28"/>
          <w:szCs w:val="28"/>
        </w:rPr>
        <w:t>, Musthafawiyah, and its alumni network.</w:t>
      </w:r>
    </w:p>
    <w:p w:rsidR="00A24EEF" w:rsidRDefault="003C36B1">
      <w:pPr>
        <w:spacing w:after="0"/>
        <w:ind w:firstLine="42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t xml:space="preserve">This tradition is institutionalized through the use of </w:t>
      </w:r>
      <w:r>
        <w:rPr>
          <w:rFonts w:ascii="Garamond" w:eastAsia="Garamond" w:hAnsi="Garamond" w:cs="Garamond"/>
          <w:b/>
          <w:bCs/>
          <w:i/>
          <w:iCs/>
          <w:color w:val="262626"/>
          <w:sz w:val="28"/>
          <w:szCs w:val="28"/>
        </w:rPr>
        <w:t>al-kutûb al-mu</w:t>
      </w:r>
      <w:r>
        <w:rPr>
          <w:rFonts w:ascii="Times New Roman" w:eastAsia="Times New Roman" w:hAnsi="Times New Roman" w:cs="Times New Roman"/>
          <w:b/>
          <w:bCs/>
          <w:i/>
          <w:iCs/>
          <w:color w:val="262626"/>
          <w:sz w:val="28"/>
          <w:szCs w:val="28"/>
        </w:rPr>
        <w:t>ʿ</w:t>
      </w:r>
      <w:r>
        <w:rPr>
          <w:rFonts w:ascii="Garamond" w:eastAsia="Garamond" w:hAnsi="Garamond" w:cs="Garamond"/>
          <w:b/>
          <w:bCs/>
          <w:i/>
          <w:iCs/>
          <w:color w:val="262626"/>
          <w:sz w:val="28"/>
          <w:szCs w:val="28"/>
        </w:rPr>
        <w:t>tabarah</w:t>
      </w:r>
      <w:r>
        <w:rPr>
          <w:rFonts w:ascii="Garamond" w:eastAsia="Garamond" w:hAnsi="Garamond" w:cs="Garamond"/>
          <w:b/>
          <w:bCs/>
          <w:color w:val="262626"/>
          <w:sz w:val="28"/>
          <w:szCs w:val="28"/>
        </w:rPr>
        <w:t xml:space="preserve"> across jurisprudence, theology, and Sufism, as well as through the habituation of ritual practices that reinforce religious identity. At the same time, Islamic boarding schools' response to social dynamics and developments is characterized by selective ad</w:t>
      </w:r>
      <w:r>
        <w:rPr>
          <w:rFonts w:ascii="Garamond" w:eastAsia="Garamond" w:hAnsi="Garamond" w:cs="Garamond"/>
          <w:b/>
          <w:bCs/>
          <w:color w:val="262626"/>
          <w:sz w:val="28"/>
          <w:szCs w:val="28"/>
        </w:rPr>
        <w:t>aptation. They have begun to utilize technology, opened formal madrasahs, and introduced life skills training without abandoning their Islamic boarding school identity.</w:t>
      </w:r>
    </w:p>
    <w:p w:rsidR="00A24EEF" w:rsidRDefault="003C36B1">
      <w:pPr>
        <w:spacing w:after="0"/>
        <w:ind w:firstLine="420"/>
        <w:jc w:val="both"/>
        <w:rPr>
          <w:rFonts w:ascii="Garamond" w:eastAsia="Garamond" w:hAnsi="Garamond" w:cs="Garamond"/>
          <w:b/>
          <w:bCs/>
          <w:color w:val="262626"/>
          <w:sz w:val="28"/>
          <w:szCs w:val="28"/>
        </w:rPr>
      </w:pPr>
      <w:r>
        <w:rPr>
          <w:rFonts w:ascii="Garamond" w:eastAsia="Garamond" w:hAnsi="Garamond" w:cs="Garamond"/>
          <w:b/>
          <w:bCs/>
          <w:color w:val="262626"/>
          <w:sz w:val="28"/>
          <w:szCs w:val="28"/>
        </w:rPr>
        <w:t>Overall, this study shows that the continuity of pesantren tradition is actively reprod</w:t>
      </w:r>
      <w:r>
        <w:rPr>
          <w:rFonts w:ascii="Garamond" w:eastAsia="Garamond" w:hAnsi="Garamond" w:cs="Garamond"/>
          <w:b/>
          <w:bCs/>
          <w:color w:val="262626"/>
          <w:sz w:val="28"/>
          <w:szCs w:val="28"/>
        </w:rPr>
        <w:t xml:space="preserve">uced through the interplay of curriculum, doctrine, ritual practice, and alumni-based networks. These findings underscore the importance of strengthening </w:t>
      </w:r>
      <w:r>
        <w:rPr>
          <w:rFonts w:ascii="Garamond" w:eastAsia="Garamond" w:hAnsi="Garamond" w:cs="Garamond"/>
          <w:b/>
          <w:bCs/>
          <w:i/>
          <w:iCs/>
          <w:color w:val="262626"/>
          <w:sz w:val="28"/>
          <w:szCs w:val="28"/>
        </w:rPr>
        <w:t>pesantren</w:t>
      </w:r>
      <w:r>
        <w:rPr>
          <w:rFonts w:ascii="Garamond" w:eastAsia="Garamond" w:hAnsi="Garamond" w:cs="Garamond"/>
          <w:b/>
          <w:bCs/>
          <w:color w:val="262626"/>
          <w:sz w:val="28"/>
          <w:szCs w:val="28"/>
        </w:rPr>
        <w:t xml:space="preserve"> networks as a basis for developing adaptive yet tradition-rooted Islamic education models, a</w:t>
      </w:r>
      <w:r>
        <w:rPr>
          <w:rFonts w:ascii="Garamond" w:eastAsia="Garamond" w:hAnsi="Garamond" w:cs="Garamond"/>
          <w:b/>
          <w:bCs/>
          <w:color w:val="262626"/>
          <w:sz w:val="28"/>
          <w:szCs w:val="28"/>
        </w:rPr>
        <w:t xml:space="preserve">nd </w:t>
      </w:r>
      <w:r>
        <w:rPr>
          <w:rFonts w:ascii="Garamond" w:eastAsia="Garamond" w:hAnsi="Garamond" w:cs="Garamond"/>
          <w:b/>
          <w:bCs/>
          <w:color w:val="262626"/>
          <w:sz w:val="28"/>
          <w:szCs w:val="28"/>
        </w:rPr>
        <w:lastRenderedPageBreak/>
        <w:t xml:space="preserve">offer insights for policymakers in supporting </w:t>
      </w:r>
      <w:r>
        <w:rPr>
          <w:rFonts w:ascii="Garamond" w:eastAsia="Garamond" w:hAnsi="Garamond" w:cs="Garamond"/>
          <w:b/>
          <w:bCs/>
          <w:i/>
          <w:iCs/>
          <w:color w:val="262626"/>
          <w:sz w:val="28"/>
          <w:szCs w:val="28"/>
        </w:rPr>
        <w:t>pesantren</w:t>
      </w:r>
      <w:r>
        <w:rPr>
          <w:rFonts w:ascii="Garamond" w:eastAsia="Garamond" w:hAnsi="Garamond" w:cs="Garamond"/>
          <w:b/>
          <w:bCs/>
          <w:color w:val="262626"/>
          <w:sz w:val="28"/>
          <w:szCs w:val="28"/>
        </w:rPr>
        <w:t>-based educational frameworks grounded in local Islamic wisdom.</w:t>
      </w:r>
    </w:p>
    <w:p w:rsidR="00A24EEF" w:rsidRDefault="003C36B1">
      <w:pPr>
        <w:spacing w:after="0" w:line="240" w:lineRule="auto"/>
        <w:ind w:firstLine="380"/>
        <w:jc w:val="both"/>
        <w:rPr>
          <w:rFonts w:ascii="Garamond" w:eastAsia="Garamond" w:hAnsi="Garamond" w:cs="Garamond"/>
          <w:b/>
          <w:bCs/>
          <w:sz w:val="28"/>
          <w:szCs w:val="28"/>
        </w:rPr>
      </w:pPr>
      <w:r>
        <w:rPr>
          <w:rFonts w:ascii="Garamond" w:eastAsia="Garamond" w:hAnsi="Garamond" w:cs="Garamond"/>
          <w:b/>
          <w:bCs/>
          <w:color w:val="262626"/>
          <w:sz w:val="28"/>
          <w:szCs w:val="28"/>
        </w:rPr>
        <w:t>The implications of this research are the importance of documenting and strengthening alumni-based Islamic boarding school networks as</w:t>
      </w:r>
      <w:r>
        <w:rPr>
          <w:rFonts w:ascii="Garamond" w:eastAsia="Garamond" w:hAnsi="Garamond" w:cs="Garamond"/>
          <w:b/>
          <w:bCs/>
          <w:color w:val="262626"/>
          <w:sz w:val="28"/>
          <w:szCs w:val="28"/>
        </w:rPr>
        <w:t xml:space="preserve"> a form of cultural and spiritual continuity for Islam in the Indonesian archipelago. This research also provides a basis for designing an Islamic boarding school-based education model that adapts to changing times without losing its identity. Furthermore,</w:t>
      </w:r>
      <w:r>
        <w:rPr>
          <w:rFonts w:ascii="Garamond" w:eastAsia="Garamond" w:hAnsi="Garamond" w:cs="Garamond"/>
          <w:b/>
          <w:bCs/>
          <w:color w:val="262626"/>
          <w:sz w:val="28"/>
          <w:szCs w:val="28"/>
        </w:rPr>
        <w:t xml:space="preserve"> these findings can serve as a reference for the government, educational institutions, and stakeholders in developing Islamic education policies that recognize and support local wisdom based on traditional Islamic boarding schools</w:t>
      </w:r>
      <w:r>
        <w:rPr>
          <w:rFonts w:ascii="Garamond" w:eastAsia="Garamond" w:hAnsi="Garamond" w:cs="Garamond"/>
          <w:b/>
          <w:bCs/>
          <w:sz w:val="28"/>
          <w:szCs w:val="28"/>
        </w:rPr>
        <w:t xml:space="preserve">. </w:t>
      </w:r>
    </w:p>
    <w:p w:rsidR="00A24EEF" w:rsidRDefault="003C36B1">
      <w:pPr>
        <w:spacing w:before="240" w:after="0"/>
        <w:jc w:val="both"/>
        <w:rPr>
          <w:rFonts w:ascii="Garamond" w:eastAsia="Garamond" w:hAnsi="Garamond" w:cs="Garamond"/>
          <w:b/>
          <w:bCs/>
          <w:sz w:val="28"/>
          <w:szCs w:val="28"/>
        </w:rPr>
      </w:pPr>
      <w:r>
        <w:rPr>
          <w:rFonts w:ascii="Garamond" w:eastAsia="Garamond" w:hAnsi="Garamond" w:cs="Garamond"/>
          <w:b/>
          <w:bCs/>
          <w:sz w:val="28"/>
          <w:szCs w:val="28"/>
        </w:rPr>
        <w:t>References</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Al-Attas, S. M. N. (1993). </w:t>
      </w:r>
      <w:r>
        <w:rPr>
          <w:rFonts w:ascii="Garamond" w:eastAsia="Garamond" w:hAnsi="Garamond" w:cs="Garamond"/>
          <w:b/>
          <w:bCs/>
          <w:i/>
          <w:iCs/>
          <w:sz w:val="28"/>
          <w:szCs w:val="28"/>
        </w:rPr>
        <w:t>Islam and Secularism</w:t>
      </w:r>
      <w:r>
        <w:rPr>
          <w:rFonts w:ascii="Garamond" w:eastAsia="Garamond" w:hAnsi="Garamond" w:cs="Garamond"/>
          <w:b/>
          <w:bCs/>
          <w:sz w:val="28"/>
          <w:szCs w:val="28"/>
        </w:rPr>
        <w:t>. ISTAC.</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Al-Zarnūjī. (2003). </w:t>
      </w:r>
      <w:r>
        <w:rPr>
          <w:rFonts w:ascii="Garamond" w:eastAsia="Garamond" w:hAnsi="Garamond" w:cs="Garamond"/>
          <w:b/>
          <w:bCs/>
          <w:i/>
          <w:iCs/>
          <w:sz w:val="28"/>
          <w:szCs w:val="28"/>
        </w:rPr>
        <w:t xml:space="preserve">Ta‘līm al-Muta‘allim </w:t>
      </w:r>
      <w:r>
        <w:rPr>
          <w:rFonts w:ascii="Times New Roman" w:eastAsia="Times New Roman" w:hAnsi="Times New Roman" w:cs="Times New Roman"/>
          <w:b/>
          <w:bCs/>
          <w:i/>
          <w:iCs/>
          <w:sz w:val="28"/>
          <w:szCs w:val="28"/>
        </w:rPr>
        <w:t>Ṭ</w:t>
      </w:r>
      <w:r>
        <w:rPr>
          <w:rFonts w:ascii="Garamond" w:eastAsia="Garamond" w:hAnsi="Garamond" w:cs="Garamond"/>
          <w:b/>
          <w:bCs/>
          <w:i/>
          <w:iCs/>
          <w:sz w:val="28"/>
          <w:szCs w:val="28"/>
        </w:rPr>
        <w:t>arīq al-Ta‘allum 9Panduan bagi penuntut ilmu)</w:t>
      </w:r>
      <w:r>
        <w:rPr>
          <w:rFonts w:ascii="Garamond" w:eastAsia="Garamond" w:hAnsi="Garamond" w:cs="Garamond"/>
          <w:b/>
          <w:bCs/>
          <w:sz w:val="28"/>
          <w:szCs w:val="28"/>
        </w:rPr>
        <w:t>. Dar al-Kutub al-‘Ilmiyyah.</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Alhamuddin, A., Hamdani, F., &amp; Saefudin, A. (2025). Character Education in Pesantren</w:t>
      </w:r>
      <w:r>
        <w:rPr>
          <w:rFonts w:ascii="Garamond" w:eastAsia="Garamond" w:hAnsi="Garamond" w:cs="Garamond"/>
          <w:b/>
          <w:bCs/>
          <w:sz w:val="28"/>
          <w:szCs w:val="28"/>
        </w:rPr>
        <w:t xml:space="preserve">: Strengthening Moral and Spiritual Values in Modern Society. </w:t>
      </w:r>
      <w:r>
        <w:rPr>
          <w:rFonts w:ascii="Garamond" w:eastAsia="Garamond" w:hAnsi="Garamond" w:cs="Garamond"/>
          <w:b/>
          <w:bCs/>
          <w:i/>
          <w:iCs/>
          <w:sz w:val="28"/>
          <w:szCs w:val="28"/>
        </w:rPr>
        <w:t>Ta’dib: Journal of Islamic Education</w:t>
      </w:r>
      <w:r>
        <w:rPr>
          <w:rFonts w:ascii="Garamond" w:eastAsia="Garamond" w:hAnsi="Garamond" w:cs="Garamond"/>
          <w:b/>
          <w:bCs/>
          <w:sz w:val="28"/>
          <w:szCs w:val="28"/>
        </w:rPr>
        <w:t xml:space="preserve">, </w:t>
      </w:r>
      <w:r>
        <w:rPr>
          <w:rFonts w:ascii="Garamond" w:eastAsia="Garamond" w:hAnsi="Garamond" w:cs="Garamond"/>
          <w:b/>
          <w:bCs/>
          <w:i/>
          <w:iCs/>
          <w:sz w:val="28"/>
          <w:szCs w:val="28"/>
        </w:rPr>
        <w:t>30</w:t>
      </w:r>
      <w:r>
        <w:rPr>
          <w:rFonts w:ascii="Garamond" w:eastAsia="Garamond" w:hAnsi="Garamond" w:cs="Garamond"/>
          <w:b/>
          <w:bCs/>
          <w:sz w:val="28"/>
          <w:szCs w:val="28"/>
        </w:rPr>
        <w:t>(1), 1–15.</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Alif, K. P., Matin, M., &amp;</w:t>
      </w:r>
      <w:r>
        <w:rPr>
          <w:rFonts w:ascii="Garamond" w:eastAsia="Garamond" w:hAnsi="Garamond" w:cs="Garamond"/>
          <w:b/>
          <w:bCs/>
          <w:sz w:val="28"/>
          <w:szCs w:val="28"/>
        </w:rPr>
        <w:t xml:space="preserve"> Santosa, H. (2025). Integrating Tradition and Technology: A PRISMA-Based Synthesis of Pesantren Curriculum Transformation. </w:t>
      </w:r>
      <w:r>
        <w:rPr>
          <w:rFonts w:ascii="Garamond" w:eastAsia="Garamond" w:hAnsi="Garamond" w:cs="Garamond"/>
          <w:b/>
          <w:bCs/>
          <w:i/>
          <w:iCs/>
          <w:sz w:val="28"/>
          <w:szCs w:val="28"/>
        </w:rPr>
        <w:t>Proceedings of the 3rd Annual Conference of Islamic Education (ACIE) 2024</w:t>
      </w:r>
      <w:r>
        <w:rPr>
          <w:rFonts w:ascii="Garamond" w:eastAsia="Garamond" w:hAnsi="Garamond" w:cs="Garamond"/>
          <w:b/>
          <w:bCs/>
          <w:sz w:val="28"/>
          <w:szCs w:val="28"/>
        </w:rPr>
        <w:t>. https://doi.org/10.4108/eai.25-11-2024.2363982</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Azra, A. (</w:t>
      </w:r>
      <w:r>
        <w:rPr>
          <w:rFonts w:ascii="Garamond" w:eastAsia="Garamond" w:hAnsi="Garamond" w:cs="Garamond"/>
          <w:b/>
          <w:bCs/>
          <w:sz w:val="28"/>
          <w:szCs w:val="28"/>
        </w:rPr>
        <w:t xml:space="preserve">2015). </w:t>
      </w:r>
      <w:r>
        <w:rPr>
          <w:rFonts w:ascii="Garamond" w:eastAsia="Garamond" w:hAnsi="Garamond" w:cs="Garamond"/>
          <w:b/>
          <w:bCs/>
          <w:i/>
          <w:iCs/>
          <w:sz w:val="28"/>
          <w:szCs w:val="28"/>
        </w:rPr>
        <w:t>Pendidikan Islam: Tradisi dan Modernisasi di Tengah Tantangan Milenial</w:t>
      </w:r>
      <w:r>
        <w:rPr>
          <w:rFonts w:ascii="Garamond" w:eastAsia="Garamond" w:hAnsi="Garamond" w:cs="Garamond"/>
          <w:b/>
          <w:bCs/>
          <w:sz w:val="28"/>
          <w:szCs w:val="28"/>
        </w:rPr>
        <w:t>. Kencana.</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Baehaki, A. (2026). Between Tradition and Modernity: A Phenomenological Study of Pesantren Rationality Amid the Disruptive Era. </w:t>
      </w:r>
      <w:r>
        <w:rPr>
          <w:rFonts w:ascii="Garamond" w:eastAsia="Garamond" w:hAnsi="Garamond" w:cs="Garamond"/>
          <w:b/>
          <w:bCs/>
          <w:i/>
          <w:iCs/>
          <w:sz w:val="28"/>
          <w:szCs w:val="28"/>
        </w:rPr>
        <w:t>International Student Conference on Isla</w:t>
      </w:r>
      <w:r>
        <w:rPr>
          <w:rFonts w:ascii="Garamond" w:eastAsia="Garamond" w:hAnsi="Garamond" w:cs="Garamond"/>
          <w:b/>
          <w:bCs/>
          <w:i/>
          <w:iCs/>
          <w:sz w:val="28"/>
          <w:szCs w:val="28"/>
        </w:rPr>
        <w:t>mic Studies (ISCIS)</w:t>
      </w:r>
      <w:r>
        <w:rPr>
          <w:rFonts w:ascii="Garamond" w:eastAsia="Garamond" w:hAnsi="Garamond" w:cs="Garamond"/>
          <w:b/>
          <w:bCs/>
          <w:sz w:val="28"/>
          <w:szCs w:val="28"/>
        </w:rPr>
        <w:t>.</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Bourdieu, P. (1977). </w:t>
      </w:r>
      <w:r>
        <w:rPr>
          <w:rFonts w:ascii="Garamond" w:eastAsia="Garamond" w:hAnsi="Garamond" w:cs="Garamond"/>
          <w:b/>
          <w:bCs/>
          <w:i/>
          <w:iCs/>
          <w:sz w:val="28"/>
          <w:szCs w:val="28"/>
        </w:rPr>
        <w:t>Outline of a Theory of Practice</w:t>
      </w:r>
      <w:r>
        <w:rPr>
          <w:rFonts w:ascii="Garamond" w:eastAsia="Garamond" w:hAnsi="Garamond" w:cs="Garamond"/>
          <w:b/>
          <w:bCs/>
          <w:sz w:val="28"/>
          <w:szCs w:val="28"/>
        </w:rPr>
        <w:t>. Cambridge University Press.</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lastRenderedPageBreak/>
        <w:t xml:space="preserve">Bruinessen, M. van. (1994). </w:t>
      </w:r>
      <w:r>
        <w:rPr>
          <w:rFonts w:ascii="Garamond" w:eastAsia="Garamond" w:hAnsi="Garamond" w:cs="Garamond"/>
          <w:b/>
          <w:bCs/>
          <w:i/>
          <w:iCs/>
          <w:sz w:val="28"/>
          <w:szCs w:val="28"/>
        </w:rPr>
        <w:t>Kitab Kuning, Pesantren, dan Tarekat: Tradisi-Tradisi Islam di Indonesia</w:t>
      </w:r>
      <w:r>
        <w:rPr>
          <w:rFonts w:ascii="Garamond" w:eastAsia="Garamond" w:hAnsi="Garamond" w:cs="Garamond"/>
          <w:b/>
          <w:bCs/>
          <w:sz w:val="28"/>
          <w:szCs w:val="28"/>
        </w:rPr>
        <w:t>. Mizan.</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Burhanuddin, H. (2014). Post-Tradisionalisme</w:t>
      </w:r>
      <w:r>
        <w:rPr>
          <w:rFonts w:ascii="Garamond" w:eastAsia="Garamond" w:hAnsi="Garamond" w:cs="Garamond"/>
          <w:b/>
          <w:bCs/>
          <w:sz w:val="28"/>
          <w:szCs w:val="28"/>
        </w:rPr>
        <w:t xml:space="preserve"> Pesantren. </w:t>
      </w:r>
      <w:r>
        <w:rPr>
          <w:rFonts w:ascii="Garamond" w:eastAsia="Garamond" w:hAnsi="Garamond" w:cs="Garamond"/>
          <w:b/>
          <w:bCs/>
          <w:i/>
          <w:iCs/>
          <w:sz w:val="28"/>
          <w:szCs w:val="28"/>
        </w:rPr>
        <w:t>Pesantren</w:t>
      </w:r>
      <w:r>
        <w:rPr>
          <w:rFonts w:ascii="Garamond" w:eastAsia="Garamond" w:hAnsi="Garamond" w:cs="Garamond"/>
          <w:b/>
          <w:bCs/>
          <w:sz w:val="28"/>
          <w:szCs w:val="28"/>
        </w:rPr>
        <w:t xml:space="preserve">, </w:t>
      </w:r>
      <w:r>
        <w:rPr>
          <w:rFonts w:ascii="Garamond" w:eastAsia="Garamond" w:hAnsi="Garamond" w:cs="Garamond"/>
          <w:b/>
          <w:bCs/>
          <w:i/>
          <w:iCs/>
          <w:sz w:val="28"/>
          <w:szCs w:val="28"/>
        </w:rPr>
        <w:t>01</w:t>
      </w:r>
      <w:r>
        <w:rPr>
          <w:rFonts w:ascii="Garamond" w:eastAsia="Garamond" w:hAnsi="Garamond" w:cs="Garamond"/>
          <w:b/>
          <w:bCs/>
          <w:sz w:val="28"/>
          <w:szCs w:val="28"/>
        </w:rPr>
        <w:t>(01), 16–32.</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Dhofier, Z. (1980). </w:t>
      </w:r>
      <w:r>
        <w:rPr>
          <w:rFonts w:ascii="Garamond" w:eastAsia="Garamond" w:hAnsi="Garamond" w:cs="Garamond"/>
          <w:b/>
          <w:bCs/>
          <w:i/>
          <w:iCs/>
          <w:sz w:val="28"/>
          <w:szCs w:val="28"/>
        </w:rPr>
        <w:t>The Pesantren Tradition: A Study of the Role of the Kyai in the Maintenance of the Traditional Ideology of Islam in Java</w:t>
      </w:r>
      <w:r>
        <w:rPr>
          <w:rFonts w:ascii="Garamond" w:eastAsia="Garamond" w:hAnsi="Garamond" w:cs="Garamond"/>
          <w:b/>
          <w:bCs/>
          <w:sz w:val="28"/>
          <w:szCs w:val="28"/>
        </w:rPr>
        <w:t>. Australian National University.</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Dhofier, Z. (1999). </w:t>
      </w:r>
      <w:r>
        <w:rPr>
          <w:rFonts w:ascii="Garamond" w:eastAsia="Garamond" w:hAnsi="Garamond" w:cs="Garamond"/>
          <w:b/>
          <w:bCs/>
          <w:i/>
          <w:iCs/>
          <w:sz w:val="28"/>
          <w:szCs w:val="28"/>
        </w:rPr>
        <w:t>The Pesantren Tradition:</w:t>
      </w:r>
      <w:r>
        <w:rPr>
          <w:rFonts w:ascii="Garamond" w:eastAsia="Garamond" w:hAnsi="Garamond" w:cs="Garamond"/>
          <w:b/>
          <w:bCs/>
          <w:i/>
          <w:iCs/>
          <w:sz w:val="28"/>
          <w:szCs w:val="28"/>
        </w:rPr>
        <w:t xml:space="preserve"> The Role of the Kyai in the Maintenance of Traditional Islam in Java</w:t>
      </w:r>
      <w:r>
        <w:rPr>
          <w:rFonts w:ascii="Garamond" w:eastAsia="Garamond" w:hAnsi="Garamond" w:cs="Garamond"/>
          <w:b/>
          <w:bCs/>
          <w:sz w:val="28"/>
          <w:szCs w:val="28"/>
        </w:rPr>
        <w:t>. Monograph Series, Program for Southeast Asian Studies.</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Geertz, C. (1960). </w:t>
      </w:r>
      <w:r>
        <w:rPr>
          <w:rFonts w:ascii="Garamond" w:eastAsia="Garamond" w:hAnsi="Garamond" w:cs="Garamond"/>
          <w:b/>
          <w:bCs/>
          <w:i/>
          <w:iCs/>
          <w:sz w:val="28"/>
          <w:szCs w:val="28"/>
        </w:rPr>
        <w:t>The Religion of Java. Chicago</w:t>
      </w:r>
      <w:r>
        <w:rPr>
          <w:rFonts w:ascii="Garamond" w:eastAsia="Garamond" w:hAnsi="Garamond" w:cs="Garamond"/>
          <w:b/>
          <w:bCs/>
          <w:sz w:val="28"/>
          <w:szCs w:val="28"/>
        </w:rPr>
        <w:t>. University of Chicago Press.</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Hassan, M. K. (2010). Adaptive Islamic Education. </w:t>
      </w:r>
      <w:r>
        <w:rPr>
          <w:rFonts w:ascii="Garamond" w:eastAsia="Garamond" w:hAnsi="Garamond" w:cs="Garamond"/>
          <w:b/>
          <w:bCs/>
          <w:i/>
          <w:iCs/>
          <w:sz w:val="28"/>
          <w:szCs w:val="28"/>
        </w:rPr>
        <w:t>A</w:t>
      </w:r>
      <w:r>
        <w:rPr>
          <w:rFonts w:ascii="Garamond" w:eastAsia="Garamond" w:hAnsi="Garamond" w:cs="Garamond"/>
          <w:b/>
          <w:bCs/>
          <w:i/>
          <w:iCs/>
          <w:sz w:val="28"/>
          <w:szCs w:val="28"/>
        </w:rPr>
        <w:t xml:space="preserve"> Pedagogical Approach to Modern Contexts. Journal of Islamic Education Studies</w:t>
      </w:r>
      <w:r>
        <w:rPr>
          <w:rFonts w:ascii="Garamond" w:eastAsia="Garamond" w:hAnsi="Garamond" w:cs="Garamond"/>
          <w:b/>
          <w:bCs/>
          <w:sz w:val="28"/>
          <w:szCs w:val="28"/>
        </w:rPr>
        <w:t xml:space="preserve">, </w:t>
      </w:r>
      <w:r>
        <w:rPr>
          <w:rFonts w:ascii="Garamond" w:eastAsia="Garamond" w:hAnsi="Garamond" w:cs="Garamond"/>
          <w:b/>
          <w:bCs/>
          <w:i/>
          <w:iCs/>
          <w:sz w:val="28"/>
          <w:szCs w:val="28"/>
        </w:rPr>
        <w:t>3</w:t>
      </w:r>
      <w:r>
        <w:rPr>
          <w:rFonts w:ascii="Garamond" w:eastAsia="Garamond" w:hAnsi="Garamond" w:cs="Garamond"/>
          <w:b/>
          <w:bCs/>
          <w:sz w:val="28"/>
          <w:szCs w:val="28"/>
        </w:rPr>
        <w:t>(2), 55–72.</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Hefner, R. W. (2009). </w:t>
      </w:r>
      <w:r>
        <w:rPr>
          <w:rFonts w:ascii="Garamond" w:eastAsia="Garamond" w:hAnsi="Garamond" w:cs="Garamond"/>
          <w:b/>
          <w:bCs/>
          <w:i/>
          <w:iCs/>
          <w:sz w:val="28"/>
          <w:szCs w:val="28"/>
        </w:rPr>
        <w:t xml:space="preserve">Islamic Schools, Social Movements and Democracy in Indonesia. In R. W. Hefner (Ed.) Making Modern Muslims: The Politics of Islamic Education </w:t>
      </w:r>
      <w:r>
        <w:rPr>
          <w:rFonts w:ascii="Garamond" w:eastAsia="Garamond" w:hAnsi="Garamond" w:cs="Garamond"/>
          <w:b/>
          <w:bCs/>
          <w:i/>
          <w:iCs/>
          <w:sz w:val="28"/>
          <w:szCs w:val="28"/>
        </w:rPr>
        <w:t>in Southeast Asia</w:t>
      </w:r>
      <w:r>
        <w:rPr>
          <w:rFonts w:ascii="Garamond" w:eastAsia="Garamond" w:hAnsi="Garamond" w:cs="Garamond"/>
          <w:b/>
          <w:bCs/>
          <w:sz w:val="28"/>
          <w:szCs w:val="28"/>
        </w:rPr>
        <w:t xml:space="preserve"> (pp. 55–105). University of Hawai‘i Press.</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Lateh, M. A., Ulfatin, N., Arifin, I., &amp; Mustiningsih. (2025). Balancing Tradition and Modernity: Adaptation Strategies of Islamic Boarding Schools in the Era of Globalization. </w:t>
      </w:r>
      <w:r>
        <w:rPr>
          <w:rFonts w:ascii="Garamond" w:eastAsia="Garamond" w:hAnsi="Garamond" w:cs="Garamond"/>
          <w:b/>
          <w:bCs/>
          <w:i/>
          <w:iCs/>
          <w:sz w:val="28"/>
          <w:szCs w:val="28"/>
        </w:rPr>
        <w:t>Journal of Informa</w:t>
      </w:r>
      <w:r>
        <w:rPr>
          <w:rFonts w:ascii="Garamond" w:eastAsia="Garamond" w:hAnsi="Garamond" w:cs="Garamond"/>
          <w:b/>
          <w:bCs/>
          <w:i/>
          <w:iCs/>
          <w:sz w:val="28"/>
          <w:szCs w:val="28"/>
        </w:rPr>
        <w:t>tion Systems Engineering and Management</w:t>
      </w:r>
      <w:r>
        <w:rPr>
          <w:rFonts w:ascii="Garamond" w:eastAsia="Garamond" w:hAnsi="Garamond" w:cs="Garamond"/>
          <w:b/>
          <w:bCs/>
          <w:sz w:val="28"/>
          <w:szCs w:val="28"/>
        </w:rPr>
        <w:t xml:space="preserve">, </w:t>
      </w:r>
      <w:r>
        <w:rPr>
          <w:rFonts w:ascii="Garamond" w:eastAsia="Garamond" w:hAnsi="Garamond" w:cs="Garamond"/>
          <w:b/>
          <w:bCs/>
          <w:i/>
          <w:iCs/>
          <w:sz w:val="28"/>
          <w:szCs w:val="28"/>
        </w:rPr>
        <w:t>10</w:t>
      </w:r>
      <w:r>
        <w:rPr>
          <w:rFonts w:ascii="Garamond" w:eastAsia="Garamond" w:hAnsi="Garamond" w:cs="Garamond"/>
          <w:b/>
          <w:bCs/>
          <w:sz w:val="28"/>
          <w:szCs w:val="28"/>
        </w:rPr>
        <w:t>(29s), 779–791. https://doi.org/10.52783/jisem.v10i29s.1125</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Lukens-Bull, R. (2019). </w:t>
      </w:r>
      <w:r>
        <w:rPr>
          <w:rFonts w:ascii="Garamond" w:eastAsia="Garamond" w:hAnsi="Garamond" w:cs="Garamond"/>
          <w:b/>
          <w:bCs/>
          <w:i/>
          <w:iCs/>
          <w:sz w:val="28"/>
          <w:szCs w:val="28"/>
        </w:rPr>
        <w:t>Islamic Higher Education in Indonesia: Continuity and Conflict</w:t>
      </w:r>
      <w:r>
        <w:rPr>
          <w:rFonts w:ascii="Garamond" w:eastAsia="Garamond" w:hAnsi="Garamond" w:cs="Garamond"/>
          <w:b/>
          <w:bCs/>
          <w:sz w:val="28"/>
          <w:szCs w:val="28"/>
        </w:rPr>
        <w:t>. Palgrave Macmillan. https://doi.org/10.1057/9781137313416</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Malisi,</w:t>
      </w:r>
      <w:r>
        <w:rPr>
          <w:rFonts w:ascii="Garamond" w:eastAsia="Garamond" w:hAnsi="Garamond" w:cs="Garamond"/>
          <w:b/>
          <w:bCs/>
          <w:sz w:val="28"/>
          <w:szCs w:val="28"/>
        </w:rPr>
        <w:t xml:space="preserve"> M. A. S., Sulasman, S., &amp; Mohad, A. H. (2024). Institutionalizing Educational Reform: Balancing Tradition and Modernity at Pesantren. </w:t>
      </w:r>
      <w:r>
        <w:rPr>
          <w:rFonts w:ascii="Garamond" w:eastAsia="Garamond" w:hAnsi="Garamond" w:cs="Garamond"/>
          <w:b/>
          <w:bCs/>
          <w:i/>
          <w:iCs/>
          <w:sz w:val="28"/>
          <w:szCs w:val="28"/>
        </w:rPr>
        <w:t>Jurnal Pendidikan Islam</w:t>
      </w:r>
      <w:r>
        <w:rPr>
          <w:rFonts w:ascii="Garamond" w:eastAsia="Garamond" w:hAnsi="Garamond" w:cs="Garamond"/>
          <w:b/>
          <w:bCs/>
          <w:sz w:val="28"/>
          <w:szCs w:val="28"/>
        </w:rPr>
        <w:t xml:space="preserve">, </w:t>
      </w:r>
      <w:r>
        <w:rPr>
          <w:rFonts w:ascii="Garamond" w:eastAsia="Garamond" w:hAnsi="Garamond" w:cs="Garamond"/>
          <w:b/>
          <w:bCs/>
          <w:i/>
          <w:iCs/>
          <w:sz w:val="28"/>
          <w:szCs w:val="28"/>
        </w:rPr>
        <w:t>10</w:t>
      </w:r>
      <w:r>
        <w:rPr>
          <w:rFonts w:ascii="Garamond" w:eastAsia="Garamond" w:hAnsi="Garamond" w:cs="Garamond"/>
          <w:b/>
          <w:bCs/>
          <w:sz w:val="28"/>
          <w:szCs w:val="28"/>
        </w:rPr>
        <w:t>(2), 363–374.</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Manshuruddin, M., Mardianto, M., &amp; Halimah, S. (2025). Design and Implementation</w:t>
      </w:r>
      <w:r>
        <w:rPr>
          <w:rFonts w:ascii="Garamond" w:eastAsia="Garamond" w:hAnsi="Garamond" w:cs="Garamond"/>
          <w:b/>
          <w:bCs/>
          <w:sz w:val="28"/>
          <w:szCs w:val="28"/>
        </w:rPr>
        <w:t xml:space="preserve"> of the Mu’adalah Curriculum at Musthafawiyah Islamic Boarding School: Balancing Tradition </w:t>
      </w:r>
      <w:r>
        <w:rPr>
          <w:rFonts w:ascii="Garamond" w:eastAsia="Garamond" w:hAnsi="Garamond" w:cs="Garamond"/>
          <w:b/>
          <w:bCs/>
          <w:sz w:val="28"/>
          <w:szCs w:val="28"/>
        </w:rPr>
        <w:lastRenderedPageBreak/>
        <w:t xml:space="preserve">and Innovation. </w:t>
      </w:r>
      <w:r>
        <w:rPr>
          <w:rFonts w:ascii="Garamond" w:eastAsia="Garamond" w:hAnsi="Garamond" w:cs="Garamond"/>
          <w:b/>
          <w:bCs/>
          <w:i/>
          <w:iCs/>
          <w:sz w:val="28"/>
          <w:szCs w:val="28"/>
        </w:rPr>
        <w:t>AL-ISHLAH: Jurnal Pendidikan</w:t>
      </w:r>
      <w:r>
        <w:rPr>
          <w:rFonts w:ascii="Garamond" w:eastAsia="Garamond" w:hAnsi="Garamond" w:cs="Garamond"/>
          <w:b/>
          <w:bCs/>
          <w:sz w:val="28"/>
          <w:szCs w:val="28"/>
        </w:rPr>
        <w:t xml:space="preserve">, </w:t>
      </w:r>
      <w:r>
        <w:rPr>
          <w:rFonts w:ascii="Garamond" w:eastAsia="Garamond" w:hAnsi="Garamond" w:cs="Garamond"/>
          <w:b/>
          <w:bCs/>
          <w:i/>
          <w:iCs/>
          <w:sz w:val="28"/>
          <w:szCs w:val="28"/>
        </w:rPr>
        <w:t>17</w:t>
      </w:r>
      <w:r>
        <w:rPr>
          <w:rFonts w:ascii="Garamond" w:eastAsia="Garamond" w:hAnsi="Garamond" w:cs="Garamond"/>
          <w:b/>
          <w:bCs/>
          <w:sz w:val="28"/>
          <w:szCs w:val="28"/>
        </w:rPr>
        <w:t>(2). https://doi.org/10.35445/alishlah.v17i2.6789</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Miles, M. B., &amp; Huberman, A. M. (1994). </w:t>
      </w:r>
      <w:r>
        <w:rPr>
          <w:rFonts w:ascii="Garamond" w:eastAsia="Garamond" w:hAnsi="Garamond" w:cs="Garamond"/>
          <w:b/>
          <w:bCs/>
          <w:i/>
          <w:iCs/>
          <w:sz w:val="28"/>
          <w:szCs w:val="28"/>
        </w:rPr>
        <w:t xml:space="preserve">Qualitative Data Analysis: </w:t>
      </w:r>
      <w:r>
        <w:rPr>
          <w:rFonts w:ascii="Garamond" w:eastAsia="Garamond" w:hAnsi="Garamond" w:cs="Garamond"/>
          <w:b/>
          <w:bCs/>
          <w:i/>
          <w:iCs/>
          <w:sz w:val="28"/>
          <w:szCs w:val="28"/>
        </w:rPr>
        <w:t>An Expanded Sourcebook</w:t>
      </w:r>
      <w:r>
        <w:rPr>
          <w:rFonts w:ascii="Garamond" w:eastAsia="Garamond" w:hAnsi="Garamond" w:cs="Garamond"/>
          <w:b/>
          <w:bCs/>
          <w:sz w:val="28"/>
          <w:szCs w:val="28"/>
        </w:rPr>
        <w:t>. Sage.</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Musa, F. (2022). The change in pesantren traditions: A case study at Pesantren Musthafawiyah Purba Baru, North Sumatera. </w:t>
      </w:r>
      <w:r>
        <w:rPr>
          <w:rFonts w:ascii="Garamond" w:eastAsia="Garamond" w:hAnsi="Garamond" w:cs="Garamond"/>
          <w:b/>
          <w:bCs/>
          <w:i/>
          <w:iCs/>
          <w:sz w:val="28"/>
          <w:szCs w:val="28"/>
        </w:rPr>
        <w:t>Proceeding International Seminar and Conference on Islamic Studies</w:t>
      </w:r>
      <w:r>
        <w:rPr>
          <w:rFonts w:ascii="Garamond" w:eastAsia="Garamond" w:hAnsi="Garamond" w:cs="Garamond"/>
          <w:b/>
          <w:bCs/>
          <w:sz w:val="28"/>
          <w:szCs w:val="28"/>
        </w:rPr>
        <w:t>.</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Puspitarini, D., Degeng, I. N. S., Praherdhiono, H., &amp; Suryati, N. (2023). Humanistic Pesantren: Systematic Literature Review and Bibliometric Visualization Analysis on Character, Moral, and Ethical Values. </w:t>
      </w:r>
      <w:r>
        <w:rPr>
          <w:rFonts w:ascii="Garamond" w:eastAsia="Garamond" w:hAnsi="Garamond" w:cs="Garamond"/>
          <w:b/>
          <w:bCs/>
          <w:i/>
          <w:iCs/>
          <w:sz w:val="28"/>
          <w:szCs w:val="28"/>
        </w:rPr>
        <w:t>Pertanika Journal of Social Sciences and Humaniti</w:t>
      </w:r>
      <w:r>
        <w:rPr>
          <w:rFonts w:ascii="Garamond" w:eastAsia="Garamond" w:hAnsi="Garamond" w:cs="Garamond"/>
          <w:b/>
          <w:bCs/>
          <w:i/>
          <w:iCs/>
          <w:sz w:val="28"/>
          <w:szCs w:val="28"/>
        </w:rPr>
        <w:t>es</w:t>
      </w:r>
      <w:r>
        <w:rPr>
          <w:rFonts w:ascii="Garamond" w:eastAsia="Garamond" w:hAnsi="Garamond" w:cs="Garamond"/>
          <w:b/>
          <w:bCs/>
          <w:sz w:val="28"/>
          <w:szCs w:val="28"/>
        </w:rPr>
        <w:t xml:space="preserve">, </w:t>
      </w:r>
      <w:r>
        <w:rPr>
          <w:rFonts w:ascii="Garamond" w:eastAsia="Garamond" w:hAnsi="Garamond" w:cs="Garamond"/>
          <w:b/>
          <w:bCs/>
          <w:i/>
          <w:iCs/>
          <w:sz w:val="28"/>
          <w:szCs w:val="28"/>
        </w:rPr>
        <w:t>31</w:t>
      </w:r>
      <w:r>
        <w:rPr>
          <w:rFonts w:ascii="Garamond" w:eastAsia="Garamond" w:hAnsi="Garamond" w:cs="Garamond"/>
          <w:b/>
          <w:bCs/>
          <w:sz w:val="28"/>
          <w:szCs w:val="28"/>
        </w:rPr>
        <w:t>(2), 465–490. https://doi.org/10.47836/pjssh.31.2.01</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Rahman, F. (1982). </w:t>
      </w:r>
      <w:r>
        <w:rPr>
          <w:rFonts w:ascii="Garamond" w:eastAsia="Garamond" w:hAnsi="Garamond" w:cs="Garamond"/>
          <w:b/>
          <w:bCs/>
          <w:i/>
          <w:iCs/>
          <w:sz w:val="28"/>
          <w:szCs w:val="28"/>
        </w:rPr>
        <w:t>Islam and Modernity: Transformation of an Intellectual Tradition</w:t>
      </w:r>
      <w:r>
        <w:rPr>
          <w:rFonts w:ascii="Garamond" w:eastAsia="Garamond" w:hAnsi="Garamond" w:cs="Garamond"/>
          <w:b/>
          <w:bCs/>
          <w:sz w:val="28"/>
          <w:szCs w:val="28"/>
        </w:rPr>
        <w:t>. University of Chicago Press.</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Salamuddin. (2019). </w:t>
      </w:r>
      <w:r>
        <w:rPr>
          <w:rFonts w:ascii="Garamond" w:eastAsia="Garamond" w:hAnsi="Garamond" w:cs="Garamond"/>
          <w:b/>
          <w:bCs/>
          <w:i/>
          <w:iCs/>
          <w:sz w:val="28"/>
          <w:szCs w:val="28"/>
        </w:rPr>
        <w:t>Syekh Musthafa Husein Peletak Dasar Teologi Rasional</w:t>
      </w:r>
      <w:r>
        <w:rPr>
          <w:rFonts w:ascii="Garamond" w:eastAsia="Garamond" w:hAnsi="Garamond" w:cs="Garamond"/>
          <w:b/>
          <w:bCs/>
          <w:sz w:val="28"/>
          <w:szCs w:val="28"/>
        </w:rPr>
        <w:t>. IAIN Suma</w:t>
      </w:r>
      <w:r>
        <w:rPr>
          <w:rFonts w:ascii="Garamond" w:eastAsia="Garamond" w:hAnsi="Garamond" w:cs="Garamond"/>
          <w:b/>
          <w:bCs/>
          <w:sz w:val="28"/>
          <w:szCs w:val="28"/>
        </w:rPr>
        <w:t>tera Utara, Medan.</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Scott, J. C. (1985). </w:t>
      </w:r>
      <w:r>
        <w:rPr>
          <w:rFonts w:ascii="Garamond" w:eastAsia="Garamond" w:hAnsi="Garamond" w:cs="Garamond"/>
          <w:b/>
          <w:bCs/>
          <w:i/>
          <w:iCs/>
          <w:sz w:val="28"/>
          <w:szCs w:val="28"/>
        </w:rPr>
        <w:t>Weapons of the Weak: Everyday Forms of Peasant Resistance</w:t>
      </w:r>
      <w:r>
        <w:rPr>
          <w:rFonts w:ascii="Garamond" w:eastAsia="Garamond" w:hAnsi="Garamond" w:cs="Garamond"/>
          <w:b/>
          <w:bCs/>
          <w:sz w:val="28"/>
          <w:szCs w:val="28"/>
        </w:rPr>
        <w:t>. Yale University Press.</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Sufirmansyah, S., &amp; Badriyah, B. (2020). Holistic Education in Islamic Boarding Schools: Integrating Faith, Knowledge, and Character. </w:t>
      </w:r>
      <w:r>
        <w:rPr>
          <w:rFonts w:ascii="Garamond" w:eastAsia="Garamond" w:hAnsi="Garamond" w:cs="Garamond"/>
          <w:b/>
          <w:bCs/>
          <w:i/>
          <w:iCs/>
          <w:sz w:val="28"/>
          <w:szCs w:val="28"/>
        </w:rPr>
        <w:t>Journal of Islamic Education Management</w:t>
      </w:r>
      <w:r>
        <w:rPr>
          <w:rFonts w:ascii="Garamond" w:eastAsia="Garamond" w:hAnsi="Garamond" w:cs="Garamond"/>
          <w:b/>
          <w:bCs/>
          <w:sz w:val="28"/>
          <w:szCs w:val="28"/>
        </w:rPr>
        <w:t xml:space="preserve">, </w:t>
      </w:r>
      <w:r>
        <w:rPr>
          <w:rFonts w:ascii="Garamond" w:eastAsia="Garamond" w:hAnsi="Garamond" w:cs="Garamond"/>
          <w:b/>
          <w:bCs/>
          <w:i/>
          <w:iCs/>
          <w:sz w:val="28"/>
          <w:szCs w:val="28"/>
        </w:rPr>
        <w:t>5</w:t>
      </w:r>
      <w:r>
        <w:rPr>
          <w:rFonts w:ascii="Garamond" w:eastAsia="Garamond" w:hAnsi="Garamond" w:cs="Garamond"/>
          <w:b/>
          <w:bCs/>
          <w:sz w:val="28"/>
          <w:szCs w:val="28"/>
        </w:rPr>
        <w:t>(1), 45–60.</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Suresman, E., Faqihuddin, A., Jenuri, &amp; Abdullah, M. (2025). From sorogan to digital learning: a systematic literature network analysis of pesantren learning models. </w:t>
      </w:r>
      <w:r>
        <w:rPr>
          <w:rFonts w:ascii="Garamond" w:eastAsia="Garamond" w:hAnsi="Garamond" w:cs="Garamond"/>
          <w:b/>
          <w:bCs/>
          <w:i/>
          <w:iCs/>
          <w:sz w:val="28"/>
          <w:szCs w:val="28"/>
        </w:rPr>
        <w:t>Cogent Education</w:t>
      </w:r>
      <w:r>
        <w:rPr>
          <w:rFonts w:ascii="Garamond" w:eastAsia="Garamond" w:hAnsi="Garamond" w:cs="Garamond"/>
          <w:b/>
          <w:bCs/>
          <w:sz w:val="28"/>
          <w:szCs w:val="28"/>
        </w:rPr>
        <w:t xml:space="preserve">, </w:t>
      </w:r>
      <w:r>
        <w:rPr>
          <w:rFonts w:ascii="Garamond" w:eastAsia="Garamond" w:hAnsi="Garamond" w:cs="Garamond"/>
          <w:b/>
          <w:bCs/>
          <w:i/>
          <w:iCs/>
          <w:sz w:val="28"/>
          <w:szCs w:val="28"/>
        </w:rPr>
        <w:t>12</w:t>
      </w:r>
      <w:r>
        <w:rPr>
          <w:rFonts w:ascii="Garamond" w:eastAsia="Garamond" w:hAnsi="Garamond" w:cs="Garamond"/>
          <w:b/>
          <w:bCs/>
          <w:sz w:val="28"/>
          <w:szCs w:val="28"/>
        </w:rPr>
        <w:t>(1), 2580776. ht</w:t>
      </w:r>
      <w:r>
        <w:rPr>
          <w:rFonts w:ascii="Garamond" w:eastAsia="Garamond" w:hAnsi="Garamond" w:cs="Garamond"/>
          <w:b/>
          <w:bCs/>
          <w:sz w:val="28"/>
          <w:szCs w:val="28"/>
        </w:rPr>
        <w:t>tps://doi.org/10.1080/2331186X.2025.2580776</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Tajuddin, M. (2018). Konsep Maqashid Tarbiyah dalam Pendidikan Islam: Telaah terhadap Tujuan Pendidikan Perspektif Klasik dan Kontemporer. </w:t>
      </w:r>
      <w:r>
        <w:rPr>
          <w:rFonts w:ascii="Garamond" w:eastAsia="Garamond" w:hAnsi="Garamond" w:cs="Garamond"/>
          <w:b/>
          <w:bCs/>
          <w:i/>
          <w:iCs/>
          <w:sz w:val="28"/>
          <w:szCs w:val="28"/>
        </w:rPr>
        <w:t>Jurnal Pendidikan Agama Islam Al-Thariqah</w:t>
      </w:r>
      <w:r>
        <w:rPr>
          <w:rFonts w:ascii="Garamond" w:eastAsia="Garamond" w:hAnsi="Garamond" w:cs="Garamond"/>
          <w:b/>
          <w:bCs/>
          <w:sz w:val="28"/>
          <w:szCs w:val="28"/>
        </w:rPr>
        <w:t xml:space="preserve">, </w:t>
      </w:r>
      <w:r>
        <w:rPr>
          <w:rFonts w:ascii="Garamond" w:eastAsia="Garamond" w:hAnsi="Garamond" w:cs="Garamond"/>
          <w:b/>
          <w:bCs/>
          <w:i/>
          <w:iCs/>
          <w:sz w:val="28"/>
          <w:szCs w:val="28"/>
        </w:rPr>
        <w:t>3</w:t>
      </w:r>
      <w:r>
        <w:rPr>
          <w:rFonts w:ascii="Garamond" w:eastAsia="Garamond" w:hAnsi="Garamond" w:cs="Garamond"/>
          <w:b/>
          <w:bCs/>
          <w:sz w:val="28"/>
          <w:szCs w:val="28"/>
        </w:rPr>
        <w:t>(2), 1–15.</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Tan, C. (2014). Educative Tradition and Islamic Schools in Indonesia. </w:t>
      </w:r>
      <w:r>
        <w:rPr>
          <w:rFonts w:ascii="Garamond" w:eastAsia="Garamond" w:hAnsi="Garamond" w:cs="Garamond"/>
          <w:b/>
          <w:bCs/>
          <w:i/>
          <w:iCs/>
          <w:sz w:val="28"/>
          <w:szCs w:val="28"/>
        </w:rPr>
        <w:t>Journal of Arabic and Islamic Studies</w:t>
      </w:r>
      <w:r>
        <w:rPr>
          <w:rFonts w:ascii="Garamond" w:eastAsia="Garamond" w:hAnsi="Garamond" w:cs="Garamond"/>
          <w:b/>
          <w:bCs/>
          <w:sz w:val="28"/>
          <w:szCs w:val="28"/>
        </w:rPr>
        <w:t xml:space="preserve">, </w:t>
      </w:r>
      <w:r>
        <w:rPr>
          <w:rFonts w:ascii="Garamond" w:eastAsia="Garamond" w:hAnsi="Garamond" w:cs="Garamond"/>
          <w:b/>
          <w:bCs/>
          <w:i/>
          <w:iCs/>
          <w:sz w:val="28"/>
          <w:szCs w:val="28"/>
        </w:rPr>
        <w:t>14</w:t>
      </w:r>
      <w:r>
        <w:rPr>
          <w:rFonts w:ascii="Garamond" w:eastAsia="Garamond" w:hAnsi="Garamond" w:cs="Garamond"/>
          <w:b/>
          <w:bCs/>
          <w:sz w:val="28"/>
          <w:szCs w:val="28"/>
        </w:rPr>
        <w:t>, 47–62.</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lastRenderedPageBreak/>
        <w:t xml:space="preserve">Voll, J. O. (1982). </w:t>
      </w:r>
      <w:r>
        <w:rPr>
          <w:rFonts w:ascii="Garamond" w:eastAsia="Garamond" w:hAnsi="Garamond" w:cs="Garamond"/>
          <w:b/>
          <w:bCs/>
          <w:i/>
          <w:iCs/>
          <w:sz w:val="28"/>
          <w:szCs w:val="28"/>
        </w:rPr>
        <w:t>Islam: Continuity and Change in the Modern World.</w:t>
      </w:r>
      <w:r>
        <w:rPr>
          <w:rFonts w:ascii="Garamond" w:eastAsia="Garamond" w:hAnsi="Garamond" w:cs="Garamond"/>
          <w:b/>
          <w:bCs/>
          <w:sz w:val="28"/>
          <w:szCs w:val="28"/>
        </w:rPr>
        <w:t xml:space="preserve"> Westview Press.</w:t>
      </w:r>
    </w:p>
    <w:p w:rsidR="00A24EEF" w:rsidRDefault="003C36B1">
      <w:pPr>
        <w:spacing w:before="60" w:after="0"/>
        <w:ind w:left="960" w:hanging="480"/>
        <w:jc w:val="both"/>
        <w:rPr>
          <w:rFonts w:ascii="Garamond" w:eastAsia="Garamond" w:hAnsi="Garamond" w:cs="Garamond"/>
          <w:b/>
          <w:bCs/>
          <w:sz w:val="28"/>
          <w:szCs w:val="28"/>
        </w:rPr>
      </w:pPr>
      <w:r>
        <w:rPr>
          <w:rFonts w:ascii="Garamond" w:eastAsia="Garamond" w:hAnsi="Garamond" w:cs="Garamond"/>
          <w:b/>
          <w:bCs/>
          <w:sz w:val="28"/>
          <w:szCs w:val="28"/>
        </w:rPr>
        <w:t xml:space="preserve">Wahid, M. (2007). </w:t>
      </w:r>
      <w:r>
        <w:rPr>
          <w:rFonts w:ascii="Garamond" w:eastAsia="Garamond" w:hAnsi="Garamond" w:cs="Garamond"/>
          <w:b/>
          <w:bCs/>
          <w:i/>
          <w:iCs/>
          <w:sz w:val="28"/>
          <w:szCs w:val="28"/>
        </w:rPr>
        <w:t>Pesantren dan Tantangan Modernit</w:t>
      </w:r>
      <w:r>
        <w:rPr>
          <w:rFonts w:ascii="Garamond" w:eastAsia="Garamond" w:hAnsi="Garamond" w:cs="Garamond"/>
          <w:b/>
          <w:bCs/>
          <w:i/>
          <w:iCs/>
          <w:sz w:val="28"/>
          <w:szCs w:val="28"/>
        </w:rPr>
        <w:t>as: Dari Respon Kultural hingga Solusi Alternatif</w:t>
      </w:r>
      <w:r>
        <w:rPr>
          <w:rFonts w:ascii="Garamond" w:eastAsia="Garamond" w:hAnsi="Garamond" w:cs="Garamond"/>
          <w:b/>
          <w:bCs/>
          <w:sz w:val="28"/>
          <w:szCs w:val="28"/>
        </w:rPr>
        <w:t>. LKiS.</w:t>
      </w:r>
    </w:p>
    <w:p w:rsidR="00A24EEF" w:rsidRDefault="00A24EEF">
      <w:pPr>
        <w:spacing w:before="60" w:after="0"/>
        <w:ind w:left="960" w:hanging="480"/>
        <w:jc w:val="both"/>
        <w:rPr>
          <w:rFonts w:ascii="Garamond" w:eastAsia="Garamond" w:hAnsi="Garamond" w:cs="Garamond"/>
          <w:b/>
          <w:bCs/>
          <w:sz w:val="28"/>
          <w:szCs w:val="28"/>
        </w:rPr>
      </w:pPr>
    </w:p>
    <w:p w:rsidR="00A24EEF" w:rsidRDefault="003C36B1">
      <w:pPr>
        <w:spacing w:before="60" w:after="0"/>
        <w:jc w:val="both"/>
        <w:rPr>
          <w:rFonts w:ascii="Garamond" w:eastAsia="Garamond" w:hAnsi="Garamond" w:cs="Garamond"/>
          <w:b/>
          <w:bCs/>
          <w:sz w:val="28"/>
          <w:szCs w:val="28"/>
        </w:rPr>
      </w:pPr>
      <w:r>
        <w:rPr>
          <w:rFonts w:ascii="Garamond" w:eastAsia="Garamond" w:hAnsi="Garamond" w:cs="Garamond"/>
          <w:b/>
          <w:bCs/>
          <w:sz w:val="28"/>
          <w:szCs w:val="28"/>
        </w:rPr>
        <w:t xml:space="preserve"> </w:t>
      </w:r>
    </w:p>
    <w:p w:rsidR="00A24EEF" w:rsidRDefault="003C36B1">
      <w:pPr>
        <w:spacing w:before="240" w:after="120" w:line="240" w:lineRule="auto"/>
        <w:jc w:val="center"/>
        <w:rPr>
          <w:rFonts w:ascii="Garamond" w:eastAsia="Garamond" w:hAnsi="Garamond" w:cs="Garamond"/>
          <w:b/>
          <w:bCs/>
          <w:sz w:val="28"/>
          <w:szCs w:val="28"/>
        </w:rPr>
      </w:pPr>
      <w:r>
        <w:rPr>
          <w:rFonts w:ascii="Garamond" w:eastAsia="Garamond" w:hAnsi="Garamond" w:cs="Garamond"/>
          <w:b/>
          <w:bCs/>
          <w:sz w:val="28"/>
          <w:szCs w:val="28"/>
        </w:rPr>
        <w:t>irst name and last name (Garamond 14, Bold, spasi 1)</w:t>
      </w:r>
    </w:p>
    <w:p w:rsidR="00A24EEF" w:rsidRDefault="003C36B1">
      <w:pPr>
        <w:spacing w:before="240" w:after="0" w:line="240" w:lineRule="auto"/>
        <w:jc w:val="center"/>
        <w:rPr>
          <w:rFonts w:ascii="Garamond" w:eastAsia="Garamond" w:hAnsi="Garamond" w:cs="Garamond"/>
          <w:sz w:val="18"/>
          <w:szCs w:val="18"/>
        </w:rPr>
      </w:pPr>
      <w:r>
        <w:rPr>
          <w:rFonts w:ascii="Garamond" w:eastAsia="Garamond" w:hAnsi="Garamond" w:cs="Garamond"/>
          <w:sz w:val="18"/>
          <w:szCs w:val="18"/>
        </w:rPr>
        <w:t>Affiliation (department, Faculty, University)</w:t>
      </w:r>
    </w:p>
    <w:p w:rsidR="00A24EEF" w:rsidRDefault="003C36B1">
      <w:pPr>
        <w:spacing w:before="240" w:after="0" w:line="240" w:lineRule="auto"/>
        <w:jc w:val="center"/>
        <w:rPr>
          <w:rFonts w:ascii="Garamond" w:eastAsia="Garamond" w:hAnsi="Garamond" w:cs="Garamond"/>
          <w:sz w:val="18"/>
          <w:szCs w:val="18"/>
        </w:rPr>
      </w:pPr>
      <w:r>
        <w:rPr>
          <w:rFonts w:ascii="Garamond" w:eastAsia="Garamond" w:hAnsi="Garamond" w:cs="Garamond"/>
          <w:sz w:val="18"/>
          <w:szCs w:val="18"/>
        </w:rPr>
        <w:t>Address (street, city, province, postal code)</w:t>
      </w:r>
    </w:p>
    <w:p w:rsidR="00A24EEF" w:rsidRDefault="003C36B1">
      <w:pPr>
        <w:spacing w:before="240" w:after="0" w:line="240" w:lineRule="auto"/>
        <w:jc w:val="center"/>
        <w:rPr>
          <w:rFonts w:ascii="Garamond" w:eastAsia="Garamond" w:hAnsi="Garamond" w:cs="Garamond"/>
          <w:sz w:val="18"/>
          <w:szCs w:val="18"/>
        </w:rPr>
      </w:pPr>
      <w:r>
        <w:rPr>
          <w:rFonts w:ascii="Garamond" w:eastAsia="Garamond" w:hAnsi="Garamond" w:cs="Garamond"/>
          <w:sz w:val="18"/>
          <w:szCs w:val="18"/>
        </w:rPr>
        <w:t xml:space="preserve">e-mail (Charter BT 9, spasi 1, </w:t>
      </w:r>
      <w:r>
        <w:rPr>
          <w:rFonts w:ascii="Garamond" w:eastAsia="Garamond" w:hAnsi="Garamond" w:cs="Garamond"/>
          <w:i/>
          <w:iCs/>
          <w:sz w:val="18"/>
          <w:szCs w:val="18"/>
        </w:rPr>
        <w:t>spacing after</w:t>
      </w:r>
      <w:r>
        <w:rPr>
          <w:rFonts w:ascii="Garamond" w:eastAsia="Garamond" w:hAnsi="Garamond" w:cs="Garamond"/>
          <w:sz w:val="18"/>
          <w:szCs w:val="18"/>
        </w:rPr>
        <w:t xml:space="preserve"> 6 pt)</w:t>
      </w:r>
    </w:p>
    <w:p w:rsidR="00A24EEF" w:rsidRDefault="003C36B1">
      <w:pPr>
        <w:spacing w:before="240" w:after="0" w:line="240" w:lineRule="auto"/>
        <w:jc w:val="center"/>
        <w:rPr>
          <w:rFonts w:ascii="Garamond" w:eastAsia="Garamond" w:hAnsi="Garamond" w:cs="Garamond"/>
          <w:sz w:val="18"/>
          <w:szCs w:val="18"/>
        </w:rPr>
      </w:pPr>
      <w:r>
        <w:rPr>
          <w:rFonts w:ascii="Garamond" w:eastAsia="Garamond" w:hAnsi="Garamond" w:cs="Garamond"/>
          <w:sz w:val="18"/>
          <w:szCs w:val="18"/>
        </w:rPr>
        <w:t xml:space="preserve"> </w:t>
      </w:r>
    </w:p>
    <w:p w:rsidR="00A24EEF" w:rsidRDefault="003C36B1">
      <w:pPr>
        <w:spacing w:before="240" w:after="120" w:line="240" w:lineRule="auto"/>
        <w:jc w:val="center"/>
        <w:rPr>
          <w:rFonts w:ascii="Garamond" w:eastAsia="Garamond" w:hAnsi="Garamond" w:cs="Garamond"/>
          <w:b/>
          <w:bCs/>
          <w:sz w:val="28"/>
          <w:szCs w:val="28"/>
        </w:rPr>
      </w:pPr>
      <w:r>
        <w:rPr>
          <w:rFonts w:ascii="Garamond" w:eastAsia="Garamond" w:hAnsi="Garamond" w:cs="Garamond"/>
          <w:b/>
          <w:bCs/>
          <w:sz w:val="28"/>
          <w:szCs w:val="28"/>
        </w:rPr>
        <w:t>Second Author’s First and Last Name[*]</w:t>
      </w:r>
    </w:p>
    <w:p w:rsidR="00A24EEF" w:rsidRDefault="003C36B1">
      <w:pPr>
        <w:spacing w:before="240" w:after="0" w:line="240" w:lineRule="auto"/>
        <w:jc w:val="center"/>
        <w:rPr>
          <w:rFonts w:ascii="Garamond" w:eastAsia="Garamond" w:hAnsi="Garamond" w:cs="Garamond"/>
          <w:sz w:val="18"/>
          <w:szCs w:val="18"/>
        </w:rPr>
      </w:pPr>
      <w:r>
        <w:rPr>
          <w:rFonts w:ascii="Garamond" w:eastAsia="Garamond" w:hAnsi="Garamond" w:cs="Garamond"/>
          <w:sz w:val="18"/>
          <w:szCs w:val="18"/>
        </w:rPr>
        <w:t>Affiliation (department, Faculty, University)</w:t>
      </w:r>
    </w:p>
    <w:p w:rsidR="00A24EEF" w:rsidRDefault="003C36B1">
      <w:pPr>
        <w:spacing w:before="240" w:after="0" w:line="240" w:lineRule="auto"/>
        <w:jc w:val="center"/>
        <w:rPr>
          <w:rFonts w:ascii="Garamond" w:eastAsia="Garamond" w:hAnsi="Garamond" w:cs="Garamond"/>
          <w:sz w:val="18"/>
          <w:szCs w:val="18"/>
        </w:rPr>
      </w:pPr>
      <w:r>
        <w:rPr>
          <w:rFonts w:ascii="Garamond" w:eastAsia="Garamond" w:hAnsi="Garamond" w:cs="Garamond"/>
          <w:sz w:val="18"/>
          <w:szCs w:val="18"/>
        </w:rPr>
        <w:t>Address (street, city, province, postal code)</w:t>
      </w:r>
    </w:p>
    <w:p w:rsidR="00A24EEF" w:rsidRDefault="003C36B1">
      <w:pPr>
        <w:spacing w:before="240" w:after="0" w:line="240" w:lineRule="auto"/>
        <w:jc w:val="center"/>
        <w:rPr>
          <w:rFonts w:ascii="Garamond" w:eastAsia="Garamond" w:hAnsi="Garamond" w:cs="Garamond"/>
          <w:sz w:val="18"/>
          <w:szCs w:val="18"/>
        </w:rPr>
      </w:pPr>
      <w:r>
        <w:rPr>
          <w:rFonts w:ascii="Garamond" w:eastAsia="Garamond" w:hAnsi="Garamond" w:cs="Garamond"/>
          <w:sz w:val="18"/>
          <w:szCs w:val="18"/>
        </w:rPr>
        <w:t xml:space="preserve">e-mail (Charter BT 9, spasi 1, </w:t>
      </w:r>
      <w:r>
        <w:rPr>
          <w:rFonts w:ascii="Garamond" w:eastAsia="Garamond" w:hAnsi="Garamond" w:cs="Garamond"/>
          <w:i/>
          <w:iCs/>
          <w:sz w:val="18"/>
          <w:szCs w:val="18"/>
        </w:rPr>
        <w:t>spacing after</w:t>
      </w:r>
      <w:r>
        <w:rPr>
          <w:rFonts w:ascii="Garamond" w:eastAsia="Garamond" w:hAnsi="Garamond" w:cs="Garamond"/>
          <w:sz w:val="18"/>
          <w:szCs w:val="18"/>
        </w:rPr>
        <w:t xml:space="preserve"> 6 pt)</w:t>
      </w:r>
    </w:p>
    <w:p w:rsidR="00A24EEF" w:rsidRDefault="003C36B1">
      <w:pPr>
        <w:spacing w:before="240" w:after="0" w:line="360" w:lineRule="auto"/>
        <w:jc w:val="both"/>
        <w:rPr>
          <w:rFonts w:ascii="Garamond" w:eastAsia="Garamond" w:hAnsi="Garamond" w:cs="Garamond"/>
          <w:sz w:val="23"/>
          <w:szCs w:val="23"/>
        </w:rPr>
      </w:pPr>
      <w:r>
        <w:rPr>
          <w:rFonts w:ascii="Garamond" w:eastAsia="Garamond" w:hAnsi="Garamond" w:cs="Garamond"/>
          <w:sz w:val="23"/>
          <w:szCs w:val="23"/>
        </w:rPr>
        <w:t xml:space="preserve">  </w:t>
      </w:r>
    </w:p>
    <w:p w:rsidR="00A24EEF" w:rsidRDefault="003C36B1">
      <w:pPr>
        <w:spacing w:before="100" w:after="0" w:line="305" w:lineRule="auto"/>
        <w:ind w:left="560" w:right="560"/>
        <w:jc w:val="both"/>
        <w:rPr>
          <w:rFonts w:ascii="Garamond" w:eastAsia="Garamond" w:hAnsi="Garamond" w:cs="Garamond"/>
          <w:sz w:val="24"/>
          <w:szCs w:val="24"/>
        </w:rPr>
      </w:pPr>
      <w:r>
        <w:rPr>
          <w:rFonts w:ascii="Garamond" w:eastAsia="Garamond" w:hAnsi="Garamond" w:cs="Garamond"/>
          <w:b/>
          <w:bCs/>
          <w:sz w:val="24"/>
          <w:szCs w:val="24"/>
        </w:rPr>
        <w:t>Abstrak:</w:t>
      </w:r>
      <w:r>
        <w:rPr>
          <w:rFonts w:ascii="Garamond" w:eastAsia="Garamond" w:hAnsi="Garamond" w:cs="Garamond"/>
          <w:sz w:val="24"/>
          <w:szCs w:val="24"/>
        </w:rPr>
        <w:t xml:space="preserve"> (Garamond 12, line spacing 1.2, spacing before 12 pt, after </w:t>
      </w:r>
      <w:r>
        <w:rPr>
          <w:rFonts w:ascii="Garamond" w:eastAsia="Garamond" w:hAnsi="Garamond" w:cs="Garamond"/>
          <w:sz w:val="24"/>
          <w:szCs w:val="24"/>
        </w:rPr>
        <w:t>2 pt). Written in two languages, namely Indonesian and Englishof 150-200 words long. Abstract should be comprised of brief, comprehensive summary of the contents of the article. It should include the aim and the scope of the study, the method used, brief s</w:t>
      </w:r>
      <w:r>
        <w:rPr>
          <w:rFonts w:ascii="Garamond" w:eastAsia="Garamond" w:hAnsi="Garamond" w:cs="Garamond"/>
          <w:sz w:val="24"/>
          <w:szCs w:val="24"/>
        </w:rPr>
        <w:t>ummary of the findings, conclusion and implications. Please use this template you downloaded to submit your manuscript.</w:t>
      </w:r>
    </w:p>
    <w:p w:rsidR="00A24EEF" w:rsidRDefault="003C36B1">
      <w:pPr>
        <w:spacing w:before="100" w:after="0" w:line="305" w:lineRule="auto"/>
        <w:ind w:left="560" w:right="560"/>
        <w:jc w:val="both"/>
        <w:rPr>
          <w:rFonts w:ascii="Garamond" w:eastAsia="Garamond" w:hAnsi="Garamond" w:cs="Garamond"/>
          <w:sz w:val="24"/>
          <w:szCs w:val="24"/>
        </w:rPr>
      </w:pPr>
      <w:r>
        <w:rPr>
          <w:rFonts w:ascii="Garamond" w:eastAsia="Garamond" w:hAnsi="Garamond" w:cs="Garamond"/>
          <w:sz w:val="24"/>
          <w:szCs w:val="24"/>
        </w:rPr>
        <w:t xml:space="preserve"> </w:t>
      </w:r>
    </w:p>
    <w:p w:rsidR="00A24EEF" w:rsidRDefault="003C36B1">
      <w:pPr>
        <w:spacing w:before="100" w:after="0" w:line="305" w:lineRule="auto"/>
        <w:ind w:left="560" w:right="560"/>
        <w:jc w:val="both"/>
        <w:rPr>
          <w:rFonts w:ascii="Garamond" w:eastAsia="Garamond" w:hAnsi="Garamond" w:cs="Garamond"/>
          <w:sz w:val="24"/>
          <w:szCs w:val="24"/>
        </w:rPr>
      </w:pPr>
      <w:r>
        <w:rPr>
          <w:rFonts w:ascii="Garamond" w:eastAsia="Garamond" w:hAnsi="Garamond" w:cs="Garamond"/>
          <w:b/>
          <w:bCs/>
          <w:sz w:val="24"/>
          <w:szCs w:val="24"/>
        </w:rPr>
        <w:t xml:space="preserve">Abstract: </w:t>
      </w:r>
      <w:r>
        <w:rPr>
          <w:rFonts w:ascii="Garamond" w:eastAsia="Garamond" w:hAnsi="Garamond" w:cs="Garamond"/>
          <w:sz w:val="24"/>
          <w:szCs w:val="24"/>
        </w:rPr>
        <w:t>(Garamond 12, line spacing 1.2, spacing before 12 pt, after 2 pt). Written in two languages, namely Indonesian and Englishof</w:t>
      </w:r>
      <w:r>
        <w:rPr>
          <w:rFonts w:ascii="Garamond" w:eastAsia="Garamond" w:hAnsi="Garamond" w:cs="Garamond"/>
          <w:sz w:val="24"/>
          <w:szCs w:val="24"/>
        </w:rPr>
        <w:t xml:space="preserve"> 150-200 words long. Abstract should be comprised of brief, comprehensive summary of the contents of the article. It should include the aim and the scope of the study, the method used, brief summary of the findings, conclusion and implications. Please use </w:t>
      </w:r>
      <w:r>
        <w:rPr>
          <w:rFonts w:ascii="Garamond" w:eastAsia="Garamond" w:hAnsi="Garamond" w:cs="Garamond"/>
          <w:sz w:val="24"/>
          <w:szCs w:val="24"/>
        </w:rPr>
        <w:t>this template you downloaded to submit your manuscript.</w:t>
      </w:r>
    </w:p>
    <w:p w:rsidR="00A24EEF" w:rsidRDefault="003C36B1">
      <w:pPr>
        <w:spacing w:before="100" w:after="0" w:line="305" w:lineRule="auto"/>
        <w:ind w:left="560" w:right="560"/>
        <w:jc w:val="both"/>
        <w:rPr>
          <w:rFonts w:ascii="Garamond" w:eastAsia="Garamond" w:hAnsi="Garamond" w:cs="Garamond"/>
          <w:sz w:val="24"/>
          <w:szCs w:val="24"/>
        </w:rPr>
      </w:pPr>
      <w:r>
        <w:rPr>
          <w:rFonts w:ascii="Garamond" w:eastAsia="Garamond" w:hAnsi="Garamond" w:cs="Garamond"/>
          <w:sz w:val="24"/>
          <w:szCs w:val="24"/>
        </w:rPr>
        <w:t xml:space="preserve"> </w:t>
      </w:r>
    </w:p>
    <w:p w:rsidR="00A24EEF" w:rsidRDefault="003C36B1">
      <w:pPr>
        <w:spacing w:before="100" w:after="0" w:line="305" w:lineRule="auto"/>
        <w:ind w:left="560" w:right="560"/>
        <w:jc w:val="both"/>
        <w:rPr>
          <w:rFonts w:ascii="Garamond" w:eastAsia="Garamond" w:hAnsi="Garamond" w:cs="Garamond"/>
          <w:i/>
          <w:iCs/>
          <w:sz w:val="24"/>
          <w:szCs w:val="24"/>
        </w:rPr>
      </w:pPr>
      <w:r>
        <w:rPr>
          <w:rFonts w:ascii="Garamond" w:eastAsia="Garamond" w:hAnsi="Garamond" w:cs="Garamond"/>
          <w:b/>
          <w:bCs/>
          <w:sz w:val="24"/>
          <w:szCs w:val="24"/>
        </w:rPr>
        <w:lastRenderedPageBreak/>
        <w:t>Keywords:</w:t>
      </w:r>
      <w:r>
        <w:rPr>
          <w:rFonts w:ascii="Garamond" w:eastAsia="Garamond" w:hAnsi="Garamond" w:cs="Garamond"/>
          <w:sz w:val="24"/>
          <w:szCs w:val="24"/>
        </w:rPr>
        <w:t xml:space="preserve"> (Garamond 12, line spacing 1.2, spacing before 12 pt, after 2 pt). </w:t>
      </w:r>
      <w:r>
        <w:rPr>
          <w:rFonts w:ascii="Garamond" w:eastAsia="Garamond" w:hAnsi="Garamond" w:cs="Garamond"/>
          <w:i/>
          <w:iCs/>
          <w:sz w:val="24"/>
          <w:szCs w:val="24"/>
        </w:rPr>
        <w:t>Use maximum 5 key words; use comma (,) following each key word.</w:t>
      </w:r>
    </w:p>
    <w:p w:rsidR="00A24EEF" w:rsidRDefault="003C36B1">
      <w:pPr>
        <w:spacing w:before="240" w:after="0"/>
        <w:rPr>
          <w:rFonts w:ascii="Garamond" w:eastAsia="Garamond" w:hAnsi="Garamond" w:cs="Garamond"/>
          <w:sz w:val="24"/>
          <w:szCs w:val="24"/>
        </w:rPr>
      </w:pPr>
      <w:r>
        <w:rPr>
          <w:rFonts w:ascii="Garamond" w:eastAsia="Garamond" w:hAnsi="Garamond" w:cs="Garamond"/>
          <w:sz w:val="24"/>
          <w:szCs w:val="24"/>
        </w:rPr>
        <w:t xml:space="preserve">  </w:t>
      </w:r>
    </w:p>
    <w:p w:rsidR="00A24EEF" w:rsidRDefault="003C36B1">
      <w:pPr>
        <w:spacing w:before="80" w:after="0"/>
        <w:rPr>
          <w:rFonts w:ascii="Garamond" w:eastAsia="Garamond" w:hAnsi="Garamond" w:cs="Garamond"/>
          <w:b/>
          <w:bCs/>
          <w:sz w:val="32"/>
          <w:szCs w:val="32"/>
        </w:rPr>
      </w:pPr>
      <w:r>
        <w:rPr>
          <w:rFonts w:ascii="Garamond" w:eastAsia="Garamond" w:hAnsi="Garamond" w:cs="Garamond"/>
          <w:b/>
          <w:bCs/>
          <w:sz w:val="32"/>
          <w:szCs w:val="32"/>
        </w:rPr>
        <w:t>Introduction (Universe condense 16, line spacing 1, spacing before 12 pt, after 6)</w:t>
      </w:r>
    </w:p>
    <w:p w:rsidR="00A24EEF" w:rsidRDefault="003C36B1">
      <w:pPr>
        <w:spacing w:before="100" w:after="0" w:line="360" w:lineRule="auto"/>
        <w:ind w:firstLine="560"/>
        <w:jc w:val="both"/>
        <w:rPr>
          <w:rFonts w:ascii="Garamond" w:eastAsia="Garamond" w:hAnsi="Garamond" w:cs="Garamond"/>
          <w:sz w:val="30"/>
          <w:szCs w:val="30"/>
        </w:rPr>
      </w:pPr>
      <w:r>
        <w:rPr>
          <w:rFonts w:ascii="Garamond" w:eastAsia="Garamond" w:hAnsi="Garamond" w:cs="Garamond"/>
          <w:sz w:val="30"/>
          <w:szCs w:val="30"/>
        </w:rPr>
        <w:t>(Garamond, 15) The body of paper must be elaborated between 6000-7.000 words (maximum) including abstract, references and endnotes. All text must be 1 spaced (except for the</w:t>
      </w:r>
      <w:r>
        <w:rPr>
          <w:rFonts w:ascii="Garamond" w:eastAsia="Garamond" w:hAnsi="Garamond" w:cs="Garamond"/>
          <w:sz w:val="30"/>
          <w:szCs w:val="30"/>
        </w:rPr>
        <w:t xml:space="preserve"> title), spacing before12 pt, after 2 pt. The specific problem under study, how it relates to previous work, why and how it is different and how it will contribute to the field should be explained in this section. The arguments and discussion should be gro</w:t>
      </w:r>
      <w:r>
        <w:rPr>
          <w:rFonts w:ascii="Garamond" w:eastAsia="Garamond" w:hAnsi="Garamond" w:cs="Garamond"/>
          <w:sz w:val="30"/>
          <w:szCs w:val="30"/>
        </w:rPr>
        <w:t>unded on relevant evidence from review of literature. The need that the study intends to meet should be stated clearly by providing evidence from previous research in the field. At the end of the Introduction, the aims of the study should be explained clea</w:t>
      </w:r>
      <w:r>
        <w:rPr>
          <w:rFonts w:ascii="Garamond" w:eastAsia="Garamond" w:hAnsi="Garamond" w:cs="Garamond"/>
          <w:sz w:val="30"/>
          <w:szCs w:val="30"/>
        </w:rPr>
        <w:t>rly as questions or hypotheses. Sub-headings can be used in this section if needed.</w:t>
      </w:r>
    </w:p>
    <w:p w:rsidR="00A24EEF" w:rsidRDefault="003C36B1">
      <w:pPr>
        <w:spacing w:before="100" w:after="0" w:line="360" w:lineRule="auto"/>
        <w:ind w:firstLine="560"/>
        <w:jc w:val="both"/>
        <w:rPr>
          <w:rFonts w:ascii="Garamond" w:eastAsia="Garamond" w:hAnsi="Garamond" w:cs="Garamond"/>
          <w:sz w:val="23"/>
          <w:szCs w:val="23"/>
        </w:rPr>
      </w:pPr>
      <w:r>
        <w:rPr>
          <w:rFonts w:ascii="Garamond" w:eastAsia="Garamond" w:hAnsi="Garamond" w:cs="Garamond"/>
          <w:sz w:val="23"/>
          <w:szCs w:val="23"/>
        </w:rPr>
        <w:t xml:space="preserve"> </w:t>
      </w:r>
    </w:p>
    <w:p w:rsidR="00A24EEF" w:rsidRDefault="003C36B1">
      <w:pPr>
        <w:spacing w:before="80" w:after="0"/>
        <w:rPr>
          <w:rFonts w:ascii="Garamond" w:eastAsia="Garamond" w:hAnsi="Garamond" w:cs="Garamond"/>
          <w:b/>
          <w:bCs/>
          <w:sz w:val="32"/>
          <w:szCs w:val="32"/>
        </w:rPr>
      </w:pPr>
      <w:r>
        <w:rPr>
          <w:rFonts w:ascii="Garamond" w:eastAsia="Garamond" w:hAnsi="Garamond" w:cs="Garamond"/>
          <w:b/>
          <w:bCs/>
          <w:sz w:val="32"/>
          <w:szCs w:val="32"/>
        </w:rPr>
        <w:t>Methodology (Universe condense 16, line spacing 1, spacing before 12 pt, after 6)</w:t>
      </w:r>
    </w:p>
    <w:p w:rsidR="00A24EEF" w:rsidRDefault="003C36B1">
      <w:pPr>
        <w:spacing w:before="80" w:after="0"/>
        <w:rPr>
          <w:rFonts w:ascii="Garamond" w:eastAsia="Garamond" w:hAnsi="Garamond" w:cs="Garamond"/>
          <w:b/>
          <w:bCs/>
          <w:sz w:val="32"/>
          <w:szCs w:val="32"/>
        </w:rPr>
      </w:pPr>
      <w:r>
        <w:rPr>
          <w:rFonts w:ascii="Garamond" w:eastAsia="Garamond" w:hAnsi="Garamond" w:cs="Garamond"/>
          <w:b/>
          <w:bCs/>
          <w:sz w:val="32"/>
          <w:szCs w:val="32"/>
        </w:rPr>
        <w:t xml:space="preserve"> </w:t>
      </w:r>
    </w:p>
    <w:p w:rsidR="00A24EEF" w:rsidRDefault="003C36B1">
      <w:pPr>
        <w:spacing w:before="80" w:after="0"/>
        <w:rPr>
          <w:rFonts w:ascii="Garamond" w:eastAsia="Garamond" w:hAnsi="Garamond" w:cs="Garamond"/>
          <w:b/>
          <w:bCs/>
          <w:sz w:val="32"/>
          <w:szCs w:val="32"/>
        </w:rPr>
      </w:pPr>
      <w:r>
        <w:rPr>
          <w:rFonts w:ascii="Garamond" w:eastAsia="Garamond" w:hAnsi="Garamond" w:cs="Garamond"/>
          <w:b/>
          <w:bCs/>
          <w:sz w:val="32"/>
          <w:szCs w:val="32"/>
        </w:rPr>
        <w:t>Results and Discussion (Universe condense 16, line spacing 1, spacing before 12 pt, af</w:t>
      </w:r>
      <w:r>
        <w:rPr>
          <w:rFonts w:ascii="Garamond" w:eastAsia="Garamond" w:hAnsi="Garamond" w:cs="Garamond"/>
          <w:b/>
          <w:bCs/>
          <w:sz w:val="32"/>
          <w:szCs w:val="32"/>
        </w:rPr>
        <w:t>ter 6)</w:t>
      </w:r>
    </w:p>
    <w:p w:rsidR="00A24EEF" w:rsidRDefault="003C36B1">
      <w:pPr>
        <w:spacing w:before="100" w:after="0" w:line="360" w:lineRule="auto"/>
        <w:ind w:firstLine="560"/>
        <w:jc w:val="both"/>
        <w:rPr>
          <w:rFonts w:ascii="Garamond" w:eastAsia="Garamond" w:hAnsi="Garamond" w:cs="Garamond"/>
          <w:sz w:val="30"/>
          <w:szCs w:val="30"/>
        </w:rPr>
      </w:pPr>
      <w:r>
        <w:rPr>
          <w:rFonts w:ascii="Garamond" w:eastAsia="Garamond" w:hAnsi="Garamond" w:cs="Garamond"/>
          <w:sz w:val="30"/>
          <w:szCs w:val="30"/>
        </w:rPr>
        <w:t xml:space="preserve">(Garamond, 15) The findings obtained from data analyses should be presented in line with the aims of the study. Tables and figures can be used to display the results of the analyses. Findings section should deal </w:t>
      </w:r>
      <w:r>
        <w:rPr>
          <w:rFonts w:ascii="Garamond" w:eastAsia="Garamond" w:hAnsi="Garamond" w:cs="Garamond"/>
          <w:sz w:val="30"/>
          <w:szCs w:val="30"/>
        </w:rPr>
        <w:lastRenderedPageBreak/>
        <w:t xml:space="preserve">only with presenting the results and </w:t>
      </w:r>
      <w:r>
        <w:rPr>
          <w:rFonts w:ascii="Garamond" w:eastAsia="Garamond" w:hAnsi="Garamond" w:cs="Garamond"/>
          <w:sz w:val="30"/>
          <w:szCs w:val="30"/>
        </w:rPr>
        <w:t xml:space="preserve">should not include the discussion of the findings. Sub-headings in line with sub-goals of the study can be used. Sub-headings should be flush left, in italics and with each word capitalized. </w:t>
      </w:r>
    </w:p>
    <w:p w:rsidR="00A24EEF" w:rsidRDefault="003C36B1">
      <w:pPr>
        <w:spacing w:before="100" w:after="0" w:line="360" w:lineRule="auto"/>
        <w:ind w:firstLine="560"/>
        <w:jc w:val="both"/>
        <w:rPr>
          <w:rFonts w:ascii="Garamond" w:eastAsia="Garamond" w:hAnsi="Garamond" w:cs="Garamond"/>
          <w:sz w:val="23"/>
          <w:szCs w:val="23"/>
        </w:rPr>
      </w:pPr>
      <w:r>
        <w:rPr>
          <w:rFonts w:ascii="Garamond" w:eastAsia="Garamond" w:hAnsi="Garamond" w:cs="Garamond"/>
          <w:sz w:val="23"/>
          <w:szCs w:val="23"/>
        </w:rPr>
        <w:t xml:space="preserve"> </w:t>
      </w:r>
    </w:p>
    <w:p w:rsidR="00A24EEF" w:rsidRDefault="003C36B1">
      <w:pPr>
        <w:spacing w:before="80" w:after="0"/>
        <w:rPr>
          <w:rFonts w:ascii="Garamond" w:eastAsia="Garamond" w:hAnsi="Garamond" w:cs="Garamond"/>
          <w:b/>
          <w:bCs/>
          <w:sz w:val="32"/>
          <w:szCs w:val="32"/>
        </w:rPr>
      </w:pPr>
      <w:r>
        <w:rPr>
          <w:rFonts w:ascii="Garamond" w:eastAsia="Garamond" w:hAnsi="Garamond" w:cs="Garamond"/>
          <w:b/>
          <w:bCs/>
          <w:sz w:val="32"/>
          <w:szCs w:val="32"/>
        </w:rPr>
        <w:t>Conclusion (Universe condense 16, line spacing 1, spacing befo</w:t>
      </w:r>
      <w:r>
        <w:rPr>
          <w:rFonts w:ascii="Garamond" w:eastAsia="Garamond" w:hAnsi="Garamond" w:cs="Garamond"/>
          <w:b/>
          <w:bCs/>
          <w:sz w:val="32"/>
          <w:szCs w:val="32"/>
        </w:rPr>
        <w:t>re 12 pt, after 6)</w:t>
      </w:r>
    </w:p>
    <w:p w:rsidR="00A24EEF" w:rsidRDefault="003C36B1">
      <w:pPr>
        <w:spacing w:before="100" w:after="0" w:line="360" w:lineRule="auto"/>
        <w:ind w:firstLine="560"/>
        <w:jc w:val="both"/>
        <w:rPr>
          <w:rFonts w:ascii="Garamond" w:eastAsia="Garamond" w:hAnsi="Garamond" w:cs="Garamond"/>
          <w:sz w:val="30"/>
          <w:szCs w:val="30"/>
        </w:rPr>
      </w:pPr>
      <w:r>
        <w:rPr>
          <w:rFonts w:ascii="Garamond" w:eastAsia="Garamond" w:hAnsi="Garamond" w:cs="Garamond"/>
          <w:sz w:val="30"/>
          <w:szCs w:val="30"/>
        </w:rPr>
        <w:t>(Garamond, 15) This section should include the discussion of the findings. First, the research question or the hypothesis should be re-stated and related findings should be summarized briefly. Then, the findings should be discussed refer</w:t>
      </w:r>
      <w:r>
        <w:rPr>
          <w:rFonts w:ascii="Garamond" w:eastAsia="Garamond" w:hAnsi="Garamond" w:cs="Garamond"/>
          <w:sz w:val="30"/>
          <w:szCs w:val="30"/>
        </w:rPr>
        <w:t>ring to relevant results in previous research. If the study indicates different findings from the ones in literature, possible reasons should be elaborated.   Finally, the possible reasons for the findings should be interpreted based on evidence. The follo</w:t>
      </w:r>
      <w:r>
        <w:rPr>
          <w:rFonts w:ascii="Garamond" w:eastAsia="Garamond" w:hAnsi="Garamond" w:cs="Garamond"/>
          <w:sz w:val="30"/>
          <w:szCs w:val="30"/>
        </w:rPr>
        <w:t>wing points should be considered in discussion:</w:t>
      </w:r>
    </w:p>
    <w:p w:rsidR="00A24EEF" w:rsidRDefault="003C36B1">
      <w:pPr>
        <w:spacing w:before="100" w:after="0" w:line="360" w:lineRule="auto"/>
        <w:ind w:left="680" w:hanging="340"/>
        <w:jc w:val="both"/>
        <w:rPr>
          <w:rFonts w:ascii="Garamond" w:eastAsia="Garamond" w:hAnsi="Garamond" w:cs="Garamond"/>
          <w:sz w:val="30"/>
          <w:szCs w:val="30"/>
        </w:rPr>
      </w:pPr>
      <w:r>
        <w:rPr>
          <w:rFonts w:ascii="Garamond" w:eastAsia="Garamond" w:hAnsi="Garamond" w:cs="Garamond"/>
          <w:sz w:val="30"/>
          <w:szCs w:val="30"/>
        </w:rPr>
        <w:t>·   Overgeneralization should be avoided and the discussion should evolve only around the findings of the study.</w:t>
      </w:r>
    </w:p>
    <w:p w:rsidR="00A24EEF" w:rsidRDefault="003C36B1">
      <w:pPr>
        <w:spacing w:before="100" w:after="0" w:line="360" w:lineRule="auto"/>
        <w:ind w:left="680" w:hanging="340"/>
        <w:jc w:val="both"/>
        <w:rPr>
          <w:rFonts w:ascii="Garamond" w:eastAsia="Garamond" w:hAnsi="Garamond" w:cs="Garamond"/>
          <w:sz w:val="30"/>
          <w:szCs w:val="30"/>
        </w:rPr>
      </w:pPr>
      <w:r>
        <w:rPr>
          <w:rFonts w:ascii="Garamond" w:eastAsia="Garamond" w:hAnsi="Garamond" w:cs="Garamond"/>
          <w:sz w:val="30"/>
          <w:szCs w:val="30"/>
        </w:rPr>
        <w:t>·   When providing possible reasons for the findings, all possible factors should be considered</w:t>
      </w:r>
      <w:r>
        <w:rPr>
          <w:rFonts w:ascii="Garamond" w:eastAsia="Garamond" w:hAnsi="Garamond" w:cs="Garamond"/>
          <w:sz w:val="30"/>
          <w:szCs w:val="30"/>
        </w:rPr>
        <w:t xml:space="preserve"> and discussed from a wide perspective.</w:t>
      </w:r>
    </w:p>
    <w:p w:rsidR="00A24EEF" w:rsidRDefault="003C36B1">
      <w:pPr>
        <w:spacing w:before="100" w:after="0" w:line="360" w:lineRule="auto"/>
        <w:ind w:left="680" w:hanging="340"/>
        <w:jc w:val="both"/>
        <w:rPr>
          <w:rFonts w:ascii="Garamond" w:eastAsia="Garamond" w:hAnsi="Garamond" w:cs="Garamond"/>
          <w:sz w:val="30"/>
          <w:szCs w:val="30"/>
        </w:rPr>
      </w:pPr>
      <w:r>
        <w:rPr>
          <w:rFonts w:ascii="Garamond" w:eastAsia="Garamond" w:hAnsi="Garamond" w:cs="Garamond"/>
          <w:sz w:val="30"/>
          <w:szCs w:val="30"/>
        </w:rPr>
        <w:t>·   Possible error sources (statistical, measurement errors, etc.) should be explained.</w:t>
      </w:r>
    </w:p>
    <w:p w:rsidR="00A24EEF" w:rsidRDefault="003C36B1">
      <w:pPr>
        <w:spacing w:before="100" w:after="0" w:line="360" w:lineRule="auto"/>
        <w:ind w:left="680" w:hanging="340"/>
        <w:jc w:val="both"/>
        <w:rPr>
          <w:rFonts w:ascii="Garamond" w:eastAsia="Garamond" w:hAnsi="Garamond" w:cs="Garamond"/>
          <w:sz w:val="30"/>
          <w:szCs w:val="30"/>
        </w:rPr>
      </w:pPr>
      <w:r>
        <w:rPr>
          <w:rFonts w:ascii="Garamond" w:eastAsia="Garamond" w:hAnsi="Garamond" w:cs="Garamond"/>
          <w:sz w:val="30"/>
          <w:szCs w:val="30"/>
        </w:rPr>
        <w:t xml:space="preserve">·   The language in this section should not have a certain unquestioning tone, rather; the tone should be non-conclusive giving </w:t>
      </w:r>
      <w:r>
        <w:rPr>
          <w:rFonts w:ascii="Garamond" w:eastAsia="Garamond" w:hAnsi="Garamond" w:cs="Garamond"/>
          <w:sz w:val="30"/>
          <w:szCs w:val="30"/>
        </w:rPr>
        <w:t>room to other possibilities.</w:t>
      </w:r>
    </w:p>
    <w:p w:rsidR="00A24EEF" w:rsidRDefault="003C36B1">
      <w:pPr>
        <w:spacing w:after="0" w:line="471" w:lineRule="auto"/>
        <w:ind w:left="720"/>
        <w:jc w:val="both"/>
        <w:rPr>
          <w:rFonts w:ascii="Garamond" w:eastAsia="Garamond" w:hAnsi="Garamond" w:cs="Garamond"/>
          <w:sz w:val="24"/>
          <w:szCs w:val="24"/>
        </w:rPr>
      </w:pPr>
      <w:r>
        <w:rPr>
          <w:rFonts w:ascii="Garamond" w:eastAsia="Garamond" w:hAnsi="Garamond" w:cs="Garamond"/>
          <w:sz w:val="24"/>
          <w:szCs w:val="24"/>
        </w:rPr>
        <w:lastRenderedPageBreak/>
        <w:t xml:space="preserve"> </w:t>
      </w:r>
    </w:p>
    <w:p w:rsidR="00A24EEF" w:rsidRDefault="003C36B1">
      <w:pPr>
        <w:spacing w:before="80" w:after="0"/>
        <w:rPr>
          <w:rFonts w:ascii="Garamond" w:eastAsia="Garamond" w:hAnsi="Garamond" w:cs="Garamond"/>
          <w:b/>
          <w:bCs/>
          <w:sz w:val="32"/>
          <w:szCs w:val="32"/>
        </w:rPr>
      </w:pPr>
      <w:r>
        <w:rPr>
          <w:rFonts w:ascii="Garamond" w:eastAsia="Garamond" w:hAnsi="Garamond" w:cs="Garamond"/>
          <w:b/>
          <w:bCs/>
          <w:sz w:val="32"/>
          <w:szCs w:val="32"/>
        </w:rPr>
        <w:t>References (Universe condense 16, line spacing 1, spacing before 12 pt, after 6)</w:t>
      </w:r>
    </w:p>
    <w:p w:rsidR="00A24EEF" w:rsidRDefault="003C36B1">
      <w:pPr>
        <w:spacing w:before="240" w:after="0"/>
        <w:ind w:firstLine="20"/>
        <w:jc w:val="both"/>
        <w:rPr>
          <w:rFonts w:ascii="Garamond" w:eastAsia="Garamond" w:hAnsi="Garamond" w:cs="Garamond"/>
          <w:sz w:val="30"/>
          <w:szCs w:val="30"/>
        </w:rPr>
      </w:pPr>
      <w:r>
        <w:rPr>
          <w:rFonts w:ascii="Garamond" w:eastAsia="Garamond" w:hAnsi="Garamond" w:cs="Garamond"/>
          <w:sz w:val="30"/>
          <w:szCs w:val="30"/>
        </w:rPr>
        <w:t>(Garamond, 15). This section contains a list of references cited by the author, which must be referred to from primary sources. Authors are also</w:t>
      </w:r>
      <w:r>
        <w:rPr>
          <w:rFonts w:ascii="Garamond" w:eastAsia="Garamond" w:hAnsi="Garamond" w:cs="Garamond"/>
          <w:sz w:val="30"/>
          <w:szCs w:val="30"/>
        </w:rPr>
        <w:t xml:space="preserve"> required to refer to journal articles with international reputation (Scopus or WOS) and national (Sinta 1 or Sinta 2) as much as possible as references for writing articles. Bibliography is written using such a reference management application as Mendeley</w:t>
      </w:r>
      <w:r>
        <w:rPr>
          <w:rFonts w:ascii="Garamond" w:eastAsia="Garamond" w:hAnsi="Garamond" w:cs="Garamond"/>
          <w:sz w:val="30"/>
          <w:szCs w:val="30"/>
        </w:rPr>
        <w:t xml:space="preserve"> and Zotero. </w:t>
      </w:r>
      <w:r>
        <w:rPr>
          <w:rFonts w:ascii="Garamond" w:eastAsia="Garamond" w:hAnsi="Garamond" w:cs="Garamond"/>
          <w:sz w:val="30"/>
          <w:szCs w:val="30"/>
          <w:highlight w:val="white"/>
        </w:rPr>
        <w:t xml:space="preserve">In matter of bibliographical style, </w:t>
      </w:r>
      <w:r>
        <w:rPr>
          <w:rFonts w:ascii="Garamond" w:eastAsia="Garamond" w:hAnsi="Garamond" w:cs="Garamond"/>
          <w:i/>
          <w:iCs/>
          <w:sz w:val="30"/>
          <w:szCs w:val="30"/>
        </w:rPr>
        <w:t>Journal of Contemporary Islam and Muslim Societies</w:t>
      </w:r>
      <w:r>
        <w:rPr>
          <w:rFonts w:ascii="Garamond" w:eastAsia="Garamond" w:hAnsi="Garamond" w:cs="Garamond"/>
          <w:sz w:val="30"/>
          <w:szCs w:val="30"/>
          <w:highlight w:val="white"/>
        </w:rPr>
        <w:t xml:space="preserve"> follows The </w:t>
      </w:r>
      <w:r>
        <w:rPr>
          <w:rFonts w:ascii="Garamond" w:eastAsia="Garamond" w:hAnsi="Garamond" w:cs="Garamond"/>
          <w:sz w:val="30"/>
          <w:szCs w:val="30"/>
        </w:rPr>
        <w:t>Chicago Manual of Style (CMS).</w:t>
      </w:r>
    </w:p>
    <w:p w:rsidR="00A24EEF" w:rsidRDefault="003C36B1">
      <w:pPr>
        <w:spacing w:before="240" w:after="0"/>
        <w:ind w:firstLine="20"/>
        <w:jc w:val="both"/>
        <w:rPr>
          <w:rFonts w:ascii="Garamond" w:eastAsia="Garamond" w:hAnsi="Garamond" w:cs="Garamond"/>
          <w:sz w:val="30"/>
          <w:szCs w:val="30"/>
        </w:rPr>
      </w:pPr>
      <w:r>
        <w:rPr>
          <w:rFonts w:ascii="Garamond" w:eastAsia="Garamond" w:hAnsi="Garamond" w:cs="Garamond"/>
          <w:sz w:val="30"/>
          <w:szCs w:val="30"/>
        </w:rPr>
        <w:t xml:space="preserve"> </w:t>
      </w:r>
    </w:p>
    <w:p w:rsidR="00A24EEF" w:rsidRDefault="003C36B1">
      <w:pPr>
        <w:shd w:val="clear" w:color="auto" w:fill="FFFFFF"/>
        <w:spacing w:before="240" w:after="240"/>
        <w:rPr>
          <w:rFonts w:ascii="Garamond" w:eastAsia="Garamond" w:hAnsi="Garamond" w:cs="Garamond"/>
          <w:b/>
          <w:bCs/>
          <w:sz w:val="30"/>
          <w:szCs w:val="30"/>
        </w:rPr>
      </w:pPr>
      <w:r>
        <w:rPr>
          <w:rFonts w:ascii="Garamond" w:eastAsia="Garamond" w:hAnsi="Garamond" w:cs="Garamond"/>
          <w:b/>
          <w:bCs/>
          <w:sz w:val="30"/>
          <w:szCs w:val="30"/>
        </w:rPr>
        <w:t>TRANSLITERATION GUIDELINES:</w:t>
      </w:r>
    </w:p>
    <w:tbl>
      <w:tblPr>
        <w:tblStyle w:val="a"/>
        <w:tblW w:w="5790" w:type="dxa"/>
        <w:tblInd w:w="-95" w:type="dxa"/>
        <w:tblBorders>
          <w:top w:val="nil"/>
          <w:left w:val="nil"/>
          <w:bottom w:val="nil"/>
          <w:right w:val="nil"/>
          <w:insideH w:val="nil"/>
          <w:insideV w:val="nil"/>
        </w:tblBorders>
        <w:tblLayout w:type="fixed"/>
        <w:tblLook w:val="0600" w:firstRow="0" w:lastRow="0" w:firstColumn="0" w:lastColumn="0" w:noHBand="1" w:noVBand="1"/>
      </w:tblPr>
      <w:tblGrid>
        <w:gridCol w:w="1170"/>
        <w:gridCol w:w="1125"/>
        <w:gridCol w:w="1035"/>
        <w:gridCol w:w="1125"/>
        <w:gridCol w:w="1335"/>
      </w:tblGrid>
      <w:tr w:rsidR="00A24EEF">
        <w:trPr>
          <w:trHeight w:val="705"/>
        </w:trPr>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140"/>
              <w:rPr>
                <w:rFonts w:ascii="Garamond" w:eastAsia="Garamond" w:hAnsi="Garamond" w:cs="Garamond"/>
                <w:sz w:val="30"/>
                <w:szCs w:val="30"/>
              </w:rPr>
            </w:pPr>
            <w:r>
              <w:rPr>
                <w:rFonts w:ascii="Garamond" w:eastAsia="Garamond" w:hAnsi="Garamond" w:cs="Garamond"/>
                <w:sz w:val="30"/>
                <w:szCs w:val="30"/>
              </w:rPr>
              <w:t xml:space="preserve"> </w:t>
            </w:r>
            <w:r>
              <w:rPr>
                <w:rFonts w:ascii="Times New Roman" w:eastAsia="Times New Roman" w:hAnsi="Times New Roman" w:cs="Times New Roman"/>
                <w:sz w:val="30"/>
                <w:szCs w:val="30"/>
                <w:rtl/>
              </w:rPr>
              <w:t>ا</w:t>
            </w:r>
            <w:r>
              <w:rPr>
                <w:rFonts w:ascii="Garamond" w:eastAsia="Garamond" w:hAnsi="Garamond" w:cs="Garamond"/>
                <w:sz w:val="30"/>
                <w:szCs w:val="30"/>
              </w:rPr>
              <w:t xml:space="preserve">  = a</w:t>
            </w:r>
          </w:p>
        </w:tc>
        <w:tc>
          <w:tcPr>
            <w:tcW w:w="1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100"/>
              <w:rPr>
                <w:rFonts w:ascii="Garamond" w:eastAsia="Garamond" w:hAnsi="Garamond" w:cs="Garamond"/>
                <w:sz w:val="30"/>
                <w:szCs w:val="30"/>
              </w:rPr>
            </w:pPr>
            <w:r>
              <w:rPr>
                <w:rFonts w:ascii="Times New Roman" w:eastAsia="Times New Roman" w:hAnsi="Times New Roman" w:cs="Times New Roman"/>
                <w:sz w:val="30"/>
                <w:szCs w:val="30"/>
                <w:rtl/>
              </w:rPr>
              <w:t>خ</w:t>
            </w:r>
            <w:r>
              <w:rPr>
                <w:rFonts w:ascii="Garamond" w:eastAsia="Garamond" w:hAnsi="Garamond" w:cs="Garamond"/>
                <w:sz w:val="30"/>
                <w:szCs w:val="30"/>
              </w:rPr>
              <w:t xml:space="preserve"> = kh</w:t>
            </w:r>
          </w:p>
        </w:tc>
        <w:tc>
          <w:tcPr>
            <w:tcW w:w="10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120"/>
              <w:rPr>
                <w:rFonts w:ascii="Garamond" w:eastAsia="Garamond" w:hAnsi="Garamond" w:cs="Garamond"/>
                <w:sz w:val="30"/>
                <w:szCs w:val="30"/>
              </w:rPr>
            </w:pPr>
            <w:r>
              <w:rPr>
                <w:rFonts w:ascii="Times New Roman" w:eastAsia="Times New Roman" w:hAnsi="Times New Roman" w:cs="Times New Roman"/>
                <w:sz w:val="30"/>
                <w:szCs w:val="30"/>
                <w:rtl/>
              </w:rPr>
              <w:t>ش</w:t>
            </w:r>
            <w:r>
              <w:rPr>
                <w:rFonts w:ascii="Garamond" w:eastAsia="Garamond" w:hAnsi="Garamond" w:cs="Garamond"/>
                <w:sz w:val="30"/>
                <w:szCs w:val="30"/>
              </w:rPr>
              <w:t xml:space="preserve">  = sy</w:t>
            </w:r>
          </w:p>
        </w:tc>
        <w:tc>
          <w:tcPr>
            <w:tcW w:w="1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80"/>
              <w:rPr>
                <w:rFonts w:ascii="Garamond" w:eastAsia="Garamond" w:hAnsi="Garamond" w:cs="Garamond"/>
                <w:sz w:val="30"/>
                <w:szCs w:val="30"/>
              </w:rPr>
            </w:pPr>
            <w:r>
              <w:rPr>
                <w:rFonts w:ascii="Times New Roman" w:eastAsia="Times New Roman" w:hAnsi="Times New Roman" w:cs="Times New Roman"/>
                <w:sz w:val="30"/>
                <w:szCs w:val="30"/>
                <w:rtl/>
              </w:rPr>
              <w:t>غ</w:t>
            </w:r>
            <w:r>
              <w:rPr>
                <w:rFonts w:ascii="Garamond" w:eastAsia="Garamond" w:hAnsi="Garamond" w:cs="Garamond"/>
                <w:sz w:val="30"/>
                <w:szCs w:val="30"/>
              </w:rPr>
              <w:t xml:space="preserve"> = gh</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80"/>
              <w:rPr>
                <w:rFonts w:ascii="Garamond" w:eastAsia="Garamond" w:hAnsi="Garamond" w:cs="Garamond"/>
                <w:sz w:val="30"/>
                <w:szCs w:val="30"/>
              </w:rPr>
            </w:pPr>
            <w:r>
              <w:rPr>
                <w:rFonts w:ascii="Times New Roman" w:eastAsia="Times New Roman" w:hAnsi="Times New Roman" w:cs="Times New Roman"/>
                <w:sz w:val="30"/>
                <w:szCs w:val="30"/>
                <w:rtl/>
              </w:rPr>
              <w:t>ن</w:t>
            </w:r>
            <w:r>
              <w:rPr>
                <w:rFonts w:ascii="Garamond" w:eastAsia="Garamond" w:hAnsi="Garamond" w:cs="Garamond"/>
                <w:sz w:val="30"/>
                <w:szCs w:val="30"/>
              </w:rPr>
              <w:t xml:space="preserve"> = n</w:t>
            </w:r>
          </w:p>
        </w:tc>
      </w:tr>
      <w:tr w:rsidR="00A24EEF">
        <w:trPr>
          <w:trHeight w:val="705"/>
        </w:trPr>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140"/>
              <w:rPr>
                <w:rFonts w:ascii="Garamond" w:eastAsia="Garamond" w:hAnsi="Garamond" w:cs="Garamond"/>
                <w:sz w:val="30"/>
                <w:szCs w:val="30"/>
              </w:rPr>
            </w:pPr>
            <w:r>
              <w:rPr>
                <w:rFonts w:ascii="Times New Roman" w:eastAsia="Times New Roman" w:hAnsi="Times New Roman" w:cs="Times New Roman"/>
                <w:sz w:val="30"/>
                <w:szCs w:val="30"/>
                <w:rtl/>
              </w:rPr>
              <w:t>ب</w:t>
            </w:r>
            <w:r>
              <w:rPr>
                <w:rFonts w:ascii="Garamond" w:eastAsia="Garamond" w:hAnsi="Garamond" w:cs="Garamond"/>
                <w:sz w:val="30"/>
                <w:szCs w:val="30"/>
              </w:rPr>
              <w:t xml:space="preserve"> = b</w:t>
            </w:r>
          </w:p>
        </w:tc>
        <w:tc>
          <w:tcPr>
            <w:tcW w:w="1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100"/>
              <w:rPr>
                <w:rFonts w:ascii="Garamond" w:eastAsia="Garamond" w:hAnsi="Garamond" w:cs="Garamond"/>
                <w:sz w:val="30"/>
                <w:szCs w:val="30"/>
              </w:rPr>
            </w:pPr>
            <w:r>
              <w:rPr>
                <w:rFonts w:ascii="Times New Roman" w:eastAsia="Times New Roman" w:hAnsi="Times New Roman" w:cs="Times New Roman"/>
                <w:sz w:val="30"/>
                <w:szCs w:val="30"/>
                <w:rtl/>
              </w:rPr>
              <w:t>د</w:t>
            </w:r>
            <w:r>
              <w:rPr>
                <w:rFonts w:ascii="Garamond" w:eastAsia="Garamond" w:hAnsi="Garamond" w:cs="Garamond"/>
                <w:sz w:val="30"/>
                <w:szCs w:val="30"/>
              </w:rPr>
              <w:t xml:space="preserve">  = d</w:t>
            </w:r>
          </w:p>
        </w:tc>
        <w:tc>
          <w:tcPr>
            <w:tcW w:w="10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120"/>
              <w:rPr>
                <w:rFonts w:ascii="Garamond" w:eastAsia="Garamond" w:hAnsi="Garamond" w:cs="Garamond"/>
                <w:sz w:val="30"/>
                <w:szCs w:val="30"/>
              </w:rPr>
            </w:pPr>
            <w:r>
              <w:rPr>
                <w:rFonts w:ascii="Times New Roman" w:eastAsia="Times New Roman" w:hAnsi="Times New Roman" w:cs="Times New Roman"/>
                <w:sz w:val="30"/>
                <w:szCs w:val="30"/>
                <w:rtl/>
              </w:rPr>
              <w:t>ص</w:t>
            </w:r>
            <w:r>
              <w:rPr>
                <w:rFonts w:ascii="Garamond" w:eastAsia="Garamond" w:hAnsi="Garamond" w:cs="Garamond"/>
                <w:sz w:val="30"/>
                <w:szCs w:val="30"/>
              </w:rPr>
              <w:t xml:space="preserve"> = sh</w:t>
            </w:r>
          </w:p>
        </w:tc>
        <w:tc>
          <w:tcPr>
            <w:tcW w:w="1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80"/>
              <w:rPr>
                <w:rFonts w:ascii="Garamond" w:eastAsia="Garamond" w:hAnsi="Garamond" w:cs="Garamond"/>
                <w:sz w:val="30"/>
                <w:szCs w:val="30"/>
              </w:rPr>
            </w:pPr>
            <w:r>
              <w:rPr>
                <w:rFonts w:ascii="Times New Roman" w:eastAsia="Times New Roman" w:hAnsi="Times New Roman" w:cs="Times New Roman"/>
                <w:sz w:val="30"/>
                <w:szCs w:val="30"/>
                <w:rtl/>
              </w:rPr>
              <w:t>ف</w:t>
            </w:r>
            <w:r>
              <w:rPr>
                <w:rFonts w:ascii="Garamond" w:eastAsia="Garamond" w:hAnsi="Garamond" w:cs="Garamond"/>
                <w:sz w:val="30"/>
                <w:szCs w:val="30"/>
              </w:rPr>
              <w:t xml:space="preserve"> = f</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80"/>
              <w:rPr>
                <w:rFonts w:ascii="Garamond" w:eastAsia="Garamond" w:hAnsi="Garamond" w:cs="Garamond"/>
                <w:sz w:val="30"/>
                <w:szCs w:val="30"/>
              </w:rPr>
            </w:pPr>
            <w:r>
              <w:rPr>
                <w:rFonts w:ascii="Times New Roman" w:eastAsia="Times New Roman" w:hAnsi="Times New Roman" w:cs="Times New Roman"/>
                <w:sz w:val="30"/>
                <w:szCs w:val="30"/>
                <w:rtl/>
              </w:rPr>
              <w:t>و</w:t>
            </w:r>
            <w:r>
              <w:rPr>
                <w:rFonts w:ascii="Garamond" w:eastAsia="Garamond" w:hAnsi="Garamond" w:cs="Garamond"/>
                <w:sz w:val="30"/>
                <w:szCs w:val="30"/>
              </w:rPr>
              <w:t xml:space="preserve"> = w</w:t>
            </w:r>
          </w:p>
        </w:tc>
      </w:tr>
      <w:tr w:rsidR="00A24EEF">
        <w:trPr>
          <w:trHeight w:val="705"/>
        </w:trPr>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140"/>
              <w:rPr>
                <w:rFonts w:ascii="Garamond" w:eastAsia="Garamond" w:hAnsi="Garamond" w:cs="Garamond"/>
                <w:sz w:val="30"/>
                <w:szCs w:val="30"/>
              </w:rPr>
            </w:pPr>
            <w:r>
              <w:rPr>
                <w:rFonts w:ascii="Times New Roman" w:eastAsia="Times New Roman" w:hAnsi="Times New Roman" w:cs="Times New Roman"/>
                <w:sz w:val="30"/>
                <w:szCs w:val="30"/>
                <w:rtl/>
              </w:rPr>
              <w:t>ت</w:t>
            </w:r>
            <w:r>
              <w:rPr>
                <w:rFonts w:ascii="Garamond" w:eastAsia="Garamond" w:hAnsi="Garamond" w:cs="Garamond"/>
                <w:sz w:val="30"/>
                <w:szCs w:val="30"/>
              </w:rPr>
              <w:t xml:space="preserve"> = t</w:t>
            </w:r>
          </w:p>
        </w:tc>
        <w:tc>
          <w:tcPr>
            <w:tcW w:w="1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100"/>
              <w:rPr>
                <w:rFonts w:ascii="Garamond" w:eastAsia="Garamond" w:hAnsi="Garamond" w:cs="Garamond"/>
                <w:sz w:val="30"/>
                <w:szCs w:val="30"/>
              </w:rPr>
            </w:pPr>
            <w:r>
              <w:rPr>
                <w:rFonts w:ascii="Times New Roman" w:eastAsia="Times New Roman" w:hAnsi="Times New Roman" w:cs="Times New Roman"/>
                <w:sz w:val="30"/>
                <w:szCs w:val="30"/>
                <w:rtl/>
              </w:rPr>
              <w:t>ذ</w:t>
            </w:r>
            <w:r>
              <w:rPr>
                <w:rFonts w:ascii="Garamond" w:eastAsia="Garamond" w:hAnsi="Garamond" w:cs="Garamond"/>
                <w:sz w:val="30"/>
                <w:szCs w:val="30"/>
              </w:rPr>
              <w:t xml:space="preserve">  = dz</w:t>
            </w:r>
          </w:p>
        </w:tc>
        <w:tc>
          <w:tcPr>
            <w:tcW w:w="10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120"/>
              <w:rPr>
                <w:rFonts w:ascii="Garamond" w:eastAsia="Garamond" w:hAnsi="Garamond" w:cs="Garamond"/>
                <w:sz w:val="30"/>
                <w:szCs w:val="30"/>
              </w:rPr>
            </w:pPr>
            <w:r>
              <w:rPr>
                <w:rFonts w:ascii="Times New Roman" w:eastAsia="Times New Roman" w:hAnsi="Times New Roman" w:cs="Times New Roman"/>
                <w:sz w:val="30"/>
                <w:szCs w:val="30"/>
                <w:rtl/>
              </w:rPr>
              <w:t>ض</w:t>
            </w:r>
            <w:r>
              <w:rPr>
                <w:rFonts w:ascii="Garamond" w:eastAsia="Garamond" w:hAnsi="Garamond" w:cs="Garamond"/>
                <w:sz w:val="30"/>
                <w:szCs w:val="30"/>
              </w:rPr>
              <w:t xml:space="preserve"> = dh</w:t>
            </w:r>
          </w:p>
        </w:tc>
        <w:tc>
          <w:tcPr>
            <w:tcW w:w="1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80"/>
              <w:rPr>
                <w:rFonts w:ascii="Garamond" w:eastAsia="Garamond" w:hAnsi="Garamond" w:cs="Garamond"/>
                <w:sz w:val="30"/>
                <w:szCs w:val="30"/>
              </w:rPr>
            </w:pPr>
            <w:r>
              <w:rPr>
                <w:rFonts w:ascii="Times New Roman" w:eastAsia="Times New Roman" w:hAnsi="Times New Roman" w:cs="Times New Roman"/>
                <w:sz w:val="30"/>
                <w:szCs w:val="30"/>
                <w:rtl/>
              </w:rPr>
              <w:t>ق</w:t>
            </w:r>
            <w:r>
              <w:rPr>
                <w:rFonts w:ascii="Garamond" w:eastAsia="Garamond" w:hAnsi="Garamond" w:cs="Garamond"/>
                <w:sz w:val="30"/>
                <w:szCs w:val="30"/>
              </w:rPr>
              <w:t xml:space="preserve"> = q</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80"/>
              <w:rPr>
                <w:rFonts w:ascii="Garamond" w:eastAsia="Garamond" w:hAnsi="Garamond" w:cs="Garamond"/>
                <w:sz w:val="30"/>
                <w:szCs w:val="30"/>
              </w:rPr>
            </w:pPr>
            <w:r>
              <w:rPr>
                <w:rFonts w:ascii="Times New Roman" w:eastAsia="Times New Roman" w:hAnsi="Times New Roman" w:cs="Times New Roman"/>
                <w:sz w:val="30"/>
                <w:szCs w:val="30"/>
                <w:rtl/>
              </w:rPr>
              <w:t>ه</w:t>
            </w:r>
            <w:r>
              <w:rPr>
                <w:rFonts w:ascii="Garamond" w:eastAsia="Garamond" w:hAnsi="Garamond" w:cs="Garamond"/>
                <w:sz w:val="30"/>
                <w:szCs w:val="30"/>
              </w:rPr>
              <w:t xml:space="preserve"> = h</w:t>
            </w:r>
          </w:p>
        </w:tc>
      </w:tr>
      <w:tr w:rsidR="00A24EEF">
        <w:trPr>
          <w:trHeight w:val="705"/>
        </w:trPr>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140"/>
              <w:rPr>
                <w:rFonts w:ascii="Garamond" w:eastAsia="Garamond" w:hAnsi="Garamond" w:cs="Garamond"/>
                <w:sz w:val="30"/>
                <w:szCs w:val="30"/>
              </w:rPr>
            </w:pPr>
            <w:r>
              <w:rPr>
                <w:rFonts w:ascii="Times New Roman" w:eastAsia="Times New Roman" w:hAnsi="Times New Roman" w:cs="Times New Roman"/>
                <w:sz w:val="30"/>
                <w:szCs w:val="30"/>
                <w:rtl/>
              </w:rPr>
              <w:t>ث</w:t>
            </w:r>
            <w:r>
              <w:rPr>
                <w:rFonts w:ascii="Garamond" w:eastAsia="Garamond" w:hAnsi="Garamond" w:cs="Garamond"/>
                <w:sz w:val="30"/>
                <w:szCs w:val="30"/>
              </w:rPr>
              <w:t xml:space="preserve"> = ts</w:t>
            </w:r>
          </w:p>
        </w:tc>
        <w:tc>
          <w:tcPr>
            <w:tcW w:w="1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100"/>
              <w:rPr>
                <w:rFonts w:ascii="Garamond" w:eastAsia="Garamond" w:hAnsi="Garamond" w:cs="Garamond"/>
                <w:sz w:val="30"/>
                <w:szCs w:val="30"/>
              </w:rPr>
            </w:pPr>
            <w:r>
              <w:rPr>
                <w:rFonts w:ascii="Times New Roman" w:eastAsia="Times New Roman" w:hAnsi="Times New Roman" w:cs="Times New Roman"/>
                <w:sz w:val="30"/>
                <w:szCs w:val="30"/>
                <w:rtl/>
              </w:rPr>
              <w:t>ر</w:t>
            </w:r>
            <w:r>
              <w:rPr>
                <w:rFonts w:ascii="Garamond" w:eastAsia="Garamond" w:hAnsi="Garamond" w:cs="Garamond"/>
                <w:sz w:val="30"/>
                <w:szCs w:val="30"/>
              </w:rPr>
              <w:t xml:space="preserve">  = r</w:t>
            </w:r>
          </w:p>
        </w:tc>
        <w:tc>
          <w:tcPr>
            <w:tcW w:w="10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120"/>
              <w:rPr>
                <w:rFonts w:ascii="Garamond" w:eastAsia="Garamond" w:hAnsi="Garamond" w:cs="Garamond"/>
                <w:sz w:val="30"/>
                <w:szCs w:val="30"/>
              </w:rPr>
            </w:pPr>
            <w:r>
              <w:rPr>
                <w:rFonts w:ascii="Times New Roman" w:eastAsia="Times New Roman" w:hAnsi="Times New Roman" w:cs="Times New Roman"/>
                <w:sz w:val="30"/>
                <w:szCs w:val="30"/>
                <w:rtl/>
              </w:rPr>
              <w:t>ط</w:t>
            </w:r>
            <w:r>
              <w:rPr>
                <w:rFonts w:ascii="Garamond" w:eastAsia="Garamond" w:hAnsi="Garamond" w:cs="Garamond"/>
                <w:sz w:val="30"/>
                <w:szCs w:val="30"/>
              </w:rPr>
              <w:t xml:space="preserve">   = th</w:t>
            </w:r>
          </w:p>
        </w:tc>
        <w:tc>
          <w:tcPr>
            <w:tcW w:w="1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80"/>
              <w:rPr>
                <w:rFonts w:ascii="Garamond" w:eastAsia="Garamond" w:hAnsi="Garamond" w:cs="Garamond"/>
                <w:sz w:val="30"/>
                <w:szCs w:val="30"/>
              </w:rPr>
            </w:pPr>
            <w:r>
              <w:rPr>
                <w:rFonts w:ascii="Times New Roman" w:eastAsia="Times New Roman" w:hAnsi="Times New Roman" w:cs="Times New Roman"/>
                <w:sz w:val="30"/>
                <w:szCs w:val="30"/>
                <w:rtl/>
              </w:rPr>
              <w:t>ك</w:t>
            </w:r>
            <w:r>
              <w:rPr>
                <w:rFonts w:ascii="Garamond" w:eastAsia="Garamond" w:hAnsi="Garamond" w:cs="Garamond"/>
                <w:sz w:val="30"/>
                <w:szCs w:val="30"/>
              </w:rPr>
              <w:t xml:space="preserve"> = k</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80"/>
              <w:rPr>
                <w:rFonts w:ascii="Garamond" w:eastAsia="Garamond" w:hAnsi="Garamond" w:cs="Garamond"/>
                <w:sz w:val="30"/>
                <w:szCs w:val="30"/>
              </w:rPr>
            </w:pPr>
            <w:r>
              <w:rPr>
                <w:rFonts w:ascii="Times New Roman" w:eastAsia="Times New Roman" w:hAnsi="Times New Roman" w:cs="Times New Roman"/>
                <w:sz w:val="30"/>
                <w:szCs w:val="30"/>
                <w:rtl/>
              </w:rPr>
              <w:t>ء</w:t>
            </w:r>
            <w:r>
              <w:rPr>
                <w:rFonts w:ascii="Garamond" w:eastAsia="Garamond" w:hAnsi="Garamond" w:cs="Garamond"/>
                <w:sz w:val="30"/>
                <w:szCs w:val="30"/>
              </w:rPr>
              <w:t xml:space="preserve"> = ’</w:t>
            </w:r>
          </w:p>
        </w:tc>
      </w:tr>
      <w:tr w:rsidR="00A24EEF">
        <w:trPr>
          <w:trHeight w:val="705"/>
        </w:trPr>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140"/>
              <w:rPr>
                <w:rFonts w:ascii="Garamond" w:eastAsia="Garamond" w:hAnsi="Garamond" w:cs="Garamond"/>
                <w:sz w:val="30"/>
                <w:szCs w:val="30"/>
              </w:rPr>
            </w:pPr>
            <w:r>
              <w:rPr>
                <w:rFonts w:ascii="Times New Roman" w:eastAsia="Times New Roman" w:hAnsi="Times New Roman" w:cs="Times New Roman"/>
                <w:sz w:val="30"/>
                <w:szCs w:val="30"/>
                <w:rtl/>
              </w:rPr>
              <w:t>ج</w:t>
            </w:r>
            <w:r>
              <w:rPr>
                <w:rFonts w:ascii="Garamond" w:eastAsia="Garamond" w:hAnsi="Garamond" w:cs="Garamond"/>
                <w:sz w:val="30"/>
                <w:szCs w:val="30"/>
              </w:rPr>
              <w:t xml:space="preserve"> = j</w:t>
            </w:r>
          </w:p>
        </w:tc>
        <w:tc>
          <w:tcPr>
            <w:tcW w:w="1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100"/>
              <w:rPr>
                <w:rFonts w:ascii="Garamond" w:eastAsia="Garamond" w:hAnsi="Garamond" w:cs="Garamond"/>
                <w:sz w:val="30"/>
                <w:szCs w:val="30"/>
              </w:rPr>
            </w:pPr>
            <w:r>
              <w:rPr>
                <w:rFonts w:ascii="Times New Roman" w:eastAsia="Times New Roman" w:hAnsi="Times New Roman" w:cs="Times New Roman"/>
                <w:sz w:val="30"/>
                <w:szCs w:val="30"/>
                <w:rtl/>
              </w:rPr>
              <w:t>ز</w:t>
            </w:r>
            <w:r>
              <w:rPr>
                <w:rFonts w:ascii="Garamond" w:eastAsia="Garamond" w:hAnsi="Garamond" w:cs="Garamond"/>
                <w:sz w:val="30"/>
                <w:szCs w:val="30"/>
              </w:rPr>
              <w:t xml:space="preserve">  = z</w:t>
            </w:r>
          </w:p>
        </w:tc>
        <w:tc>
          <w:tcPr>
            <w:tcW w:w="10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120"/>
              <w:rPr>
                <w:rFonts w:ascii="Garamond" w:eastAsia="Garamond" w:hAnsi="Garamond" w:cs="Garamond"/>
                <w:sz w:val="30"/>
                <w:szCs w:val="30"/>
              </w:rPr>
            </w:pPr>
            <w:r>
              <w:rPr>
                <w:rFonts w:ascii="Times New Roman" w:eastAsia="Times New Roman" w:hAnsi="Times New Roman" w:cs="Times New Roman"/>
                <w:sz w:val="30"/>
                <w:szCs w:val="30"/>
                <w:rtl/>
              </w:rPr>
              <w:t>ظ</w:t>
            </w:r>
            <w:r>
              <w:rPr>
                <w:rFonts w:ascii="Garamond" w:eastAsia="Garamond" w:hAnsi="Garamond" w:cs="Garamond"/>
                <w:sz w:val="30"/>
                <w:szCs w:val="30"/>
              </w:rPr>
              <w:t xml:space="preserve">   = zh</w:t>
            </w:r>
          </w:p>
        </w:tc>
        <w:tc>
          <w:tcPr>
            <w:tcW w:w="1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80"/>
              <w:rPr>
                <w:rFonts w:ascii="Garamond" w:eastAsia="Garamond" w:hAnsi="Garamond" w:cs="Garamond"/>
                <w:sz w:val="30"/>
                <w:szCs w:val="30"/>
              </w:rPr>
            </w:pPr>
            <w:r>
              <w:rPr>
                <w:rFonts w:ascii="Times New Roman" w:eastAsia="Times New Roman" w:hAnsi="Times New Roman" w:cs="Times New Roman"/>
                <w:sz w:val="30"/>
                <w:szCs w:val="30"/>
                <w:rtl/>
              </w:rPr>
              <w:t>ل</w:t>
            </w:r>
            <w:r>
              <w:rPr>
                <w:rFonts w:ascii="Garamond" w:eastAsia="Garamond" w:hAnsi="Garamond" w:cs="Garamond"/>
                <w:sz w:val="30"/>
                <w:szCs w:val="30"/>
              </w:rPr>
              <w:t xml:space="preserve"> = l</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80"/>
              <w:rPr>
                <w:rFonts w:ascii="Garamond" w:eastAsia="Garamond" w:hAnsi="Garamond" w:cs="Garamond"/>
                <w:sz w:val="30"/>
                <w:szCs w:val="30"/>
              </w:rPr>
            </w:pPr>
            <w:r>
              <w:rPr>
                <w:rFonts w:ascii="Times New Roman" w:eastAsia="Times New Roman" w:hAnsi="Times New Roman" w:cs="Times New Roman"/>
                <w:sz w:val="30"/>
                <w:szCs w:val="30"/>
                <w:rtl/>
              </w:rPr>
              <w:t>ي</w:t>
            </w:r>
            <w:r>
              <w:rPr>
                <w:rFonts w:ascii="Garamond" w:eastAsia="Garamond" w:hAnsi="Garamond" w:cs="Garamond"/>
                <w:sz w:val="30"/>
                <w:szCs w:val="30"/>
              </w:rPr>
              <w:t xml:space="preserve"> = ya</w:t>
            </w:r>
          </w:p>
        </w:tc>
      </w:tr>
      <w:tr w:rsidR="00A24EEF">
        <w:trPr>
          <w:trHeight w:val="360"/>
        </w:trPr>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140"/>
              <w:rPr>
                <w:rFonts w:ascii="Garamond" w:eastAsia="Garamond" w:hAnsi="Garamond" w:cs="Garamond"/>
                <w:sz w:val="30"/>
                <w:szCs w:val="30"/>
              </w:rPr>
            </w:pPr>
            <w:r>
              <w:rPr>
                <w:rFonts w:ascii="Times New Roman" w:eastAsia="Times New Roman" w:hAnsi="Times New Roman" w:cs="Times New Roman"/>
                <w:sz w:val="30"/>
                <w:szCs w:val="30"/>
                <w:rtl/>
              </w:rPr>
              <w:t>ح</w:t>
            </w:r>
            <w:r>
              <w:rPr>
                <w:rFonts w:ascii="Garamond" w:eastAsia="Garamond" w:hAnsi="Garamond" w:cs="Garamond"/>
                <w:sz w:val="30"/>
                <w:szCs w:val="30"/>
              </w:rPr>
              <w:t xml:space="preserve"> = h</w:t>
            </w:r>
          </w:p>
        </w:tc>
        <w:tc>
          <w:tcPr>
            <w:tcW w:w="1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100"/>
              <w:rPr>
                <w:rFonts w:ascii="Garamond" w:eastAsia="Garamond" w:hAnsi="Garamond" w:cs="Garamond"/>
                <w:sz w:val="30"/>
                <w:szCs w:val="30"/>
              </w:rPr>
            </w:pPr>
            <w:r>
              <w:rPr>
                <w:rFonts w:ascii="Times New Roman" w:eastAsia="Times New Roman" w:hAnsi="Times New Roman" w:cs="Times New Roman"/>
                <w:sz w:val="30"/>
                <w:szCs w:val="30"/>
                <w:rtl/>
              </w:rPr>
              <w:t>س</w:t>
            </w:r>
            <w:r>
              <w:rPr>
                <w:rFonts w:ascii="Garamond" w:eastAsia="Garamond" w:hAnsi="Garamond" w:cs="Garamond"/>
                <w:sz w:val="30"/>
                <w:szCs w:val="30"/>
              </w:rPr>
              <w:t xml:space="preserve"> = s</w:t>
            </w:r>
          </w:p>
        </w:tc>
        <w:tc>
          <w:tcPr>
            <w:tcW w:w="10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120"/>
              <w:rPr>
                <w:rFonts w:ascii="Garamond" w:eastAsia="Garamond" w:hAnsi="Garamond" w:cs="Garamond"/>
                <w:sz w:val="30"/>
                <w:szCs w:val="30"/>
              </w:rPr>
            </w:pPr>
            <w:r>
              <w:rPr>
                <w:rFonts w:ascii="Times New Roman" w:eastAsia="Times New Roman" w:hAnsi="Times New Roman" w:cs="Times New Roman"/>
                <w:sz w:val="30"/>
                <w:szCs w:val="30"/>
                <w:rtl/>
              </w:rPr>
              <w:t>ع</w:t>
            </w:r>
            <w:r>
              <w:rPr>
                <w:rFonts w:ascii="Garamond" w:eastAsia="Garamond" w:hAnsi="Garamond" w:cs="Garamond"/>
                <w:sz w:val="30"/>
                <w:szCs w:val="30"/>
              </w:rPr>
              <w:t xml:space="preserve">   = ‘</w:t>
            </w:r>
          </w:p>
        </w:tc>
        <w:tc>
          <w:tcPr>
            <w:tcW w:w="1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after="0"/>
              <w:ind w:left="80"/>
              <w:rPr>
                <w:rFonts w:ascii="Garamond" w:eastAsia="Garamond" w:hAnsi="Garamond" w:cs="Garamond"/>
                <w:sz w:val="30"/>
                <w:szCs w:val="30"/>
              </w:rPr>
            </w:pPr>
            <w:r>
              <w:rPr>
                <w:rFonts w:ascii="Times New Roman" w:eastAsia="Times New Roman" w:hAnsi="Times New Roman" w:cs="Times New Roman"/>
                <w:sz w:val="30"/>
                <w:szCs w:val="30"/>
                <w:rtl/>
              </w:rPr>
              <w:t>م</w:t>
            </w:r>
            <w:r>
              <w:rPr>
                <w:rFonts w:ascii="Garamond" w:eastAsia="Garamond" w:hAnsi="Garamond" w:cs="Garamond"/>
                <w:sz w:val="30"/>
                <w:szCs w:val="30"/>
              </w:rPr>
              <w:t xml:space="preserve"> = m</w:t>
            </w:r>
          </w:p>
        </w:tc>
        <w:tc>
          <w:tcPr>
            <w:tcW w:w="13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24EEF" w:rsidRDefault="003C36B1">
            <w:pPr>
              <w:spacing w:before="240" w:after="0"/>
              <w:rPr>
                <w:rFonts w:ascii="Garamond" w:eastAsia="Garamond" w:hAnsi="Garamond" w:cs="Garamond"/>
                <w:sz w:val="30"/>
                <w:szCs w:val="30"/>
              </w:rPr>
            </w:pPr>
            <w:r>
              <w:rPr>
                <w:rFonts w:ascii="Garamond" w:eastAsia="Garamond" w:hAnsi="Garamond" w:cs="Garamond"/>
                <w:sz w:val="30"/>
                <w:szCs w:val="30"/>
              </w:rPr>
              <w:t xml:space="preserve"> </w:t>
            </w:r>
          </w:p>
        </w:tc>
      </w:tr>
    </w:tbl>
    <w:p w:rsidR="00A24EEF" w:rsidRDefault="003C36B1">
      <w:pPr>
        <w:spacing w:before="80" w:after="0"/>
        <w:rPr>
          <w:rFonts w:ascii="Garamond" w:eastAsia="Garamond" w:hAnsi="Garamond" w:cs="Garamond"/>
          <w:i/>
          <w:iCs/>
          <w:sz w:val="30"/>
          <w:szCs w:val="30"/>
        </w:rPr>
      </w:pPr>
      <w:r>
        <w:rPr>
          <w:rFonts w:ascii="Garamond" w:eastAsia="Garamond" w:hAnsi="Garamond" w:cs="Garamond"/>
          <w:sz w:val="30"/>
          <w:szCs w:val="30"/>
          <w:highlight w:val="white"/>
        </w:rPr>
        <w:t xml:space="preserve"> </w:t>
      </w:r>
      <w:r>
        <w:rPr>
          <w:rFonts w:ascii="Garamond" w:eastAsia="Garamond" w:hAnsi="Garamond" w:cs="Garamond"/>
          <w:sz w:val="30"/>
          <w:szCs w:val="30"/>
          <w:highlight w:val="white"/>
        </w:rPr>
        <w:br/>
      </w:r>
      <w:r>
        <w:rPr>
          <w:rFonts w:ascii="Garamond" w:eastAsia="Garamond" w:hAnsi="Garamond" w:cs="Garamond"/>
          <w:sz w:val="30"/>
          <w:szCs w:val="30"/>
        </w:rPr>
        <w:t xml:space="preserve"> </w:t>
      </w:r>
      <w:r>
        <w:rPr>
          <w:rFonts w:ascii="Garamond" w:eastAsia="Garamond" w:hAnsi="Garamond" w:cs="Garamond"/>
          <w:i/>
          <w:iCs/>
          <w:sz w:val="30"/>
          <w:szCs w:val="30"/>
        </w:rPr>
        <w:t xml:space="preserve">â </w:t>
      </w:r>
      <w:r>
        <w:rPr>
          <w:rFonts w:ascii="Garamond" w:eastAsia="Garamond" w:hAnsi="Garamond" w:cs="Garamond"/>
          <w:sz w:val="30"/>
          <w:szCs w:val="30"/>
          <w:highlight w:val="white"/>
        </w:rPr>
        <w:t xml:space="preserve">= a – long, such, </w:t>
      </w:r>
      <w:r>
        <w:rPr>
          <w:rFonts w:ascii="Garamond" w:eastAsia="Garamond" w:hAnsi="Garamond" w:cs="Garamond"/>
          <w:i/>
          <w:iCs/>
          <w:sz w:val="30"/>
          <w:szCs w:val="30"/>
        </w:rPr>
        <w:t>al-islâmiyah</w:t>
      </w:r>
      <w:r>
        <w:rPr>
          <w:rFonts w:ascii="Garamond" w:eastAsia="Garamond" w:hAnsi="Garamond" w:cs="Garamond"/>
          <w:i/>
          <w:iCs/>
          <w:sz w:val="30"/>
          <w:szCs w:val="30"/>
        </w:rPr>
        <w:br/>
      </w:r>
      <w:r>
        <w:rPr>
          <w:rFonts w:ascii="Garamond" w:eastAsia="Garamond" w:hAnsi="Garamond" w:cs="Garamond"/>
          <w:sz w:val="30"/>
          <w:szCs w:val="30"/>
        </w:rPr>
        <w:t xml:space="preserve"> </w:t>
      </w:r>
      <w:r>
        <w:rPr>
          <w:rFonts w:ascii="Garamond" w:eastAsia="Garamond" w:hAnsi="Garamond" w:cs="Garamond"/>
          <w:i/>
          <w:iCs/>
          <w:sz w:val="30"/>
          <w:szCs w:val="30"/>
        </w:rPr>
        <w:t xml:space="preserve">î  =  </w:t>
      </w:r>
      <w:r>
        <w:rPr>
          <w:rFonts w:ascii="Garamond" w:eastAsia="Garamond" w:hAnsi="Garamond" w:cs="Garamond"/>
          <w:sz w:val="30"/>
          <w:szCs w:val="30"/>
          <w:highlight w:val="white"/>
        </w:rPr>
        <w:t>i – long, such</w:t>
      </w:r>
      <w:r>
        <w:rPr>
          <w:rFonts w:ascii="Garamond" w:eastAsia="Garamond" w:hAnsi="Garamond" w:cs="Garamond"/>
          <w:i/>
          <w:iCs/>
          <w:sz w:val="30"/>
          <w:szCs w:val="30"/>
        </w:rPr>
        <w:t>, al-‘aqîdah wa al-syarî‘ah</w:t>
      </w:r>
      <w:r>
        <w:rPr>
          <w:rFonts w:ascii="Garamond" w:eastAsia="Garamond" w:hAnsi="Garamond" w:cs="Garamond"/>
          <w:i/>
          <w:iCs/>
          <w:sz w:val="30"/>
          <w:szCs w:val="30"/>
        </w:rPr>
        <w:br/>
      </w:r>
      <w:r>
        <w:rPr>
          <w:rFonts w:ascii="Garamond" w:eastAsia="Garamond" w:hAnsi="Garamond" w:cs="Garamond"/>
          <w:sz w:val="30"/>
          <w:szCs w:val="30"/>
        </w:rPr>
        <w:t xml:space="preserve"> </w:t>
      </w:r>
      <w:r>
        <w:rPr>
          <w:rFonts w:ascii="Garamond" w:eastAsia="Garamond" w:hAnsi="Garamond" w:cs="Garamond"/>
          <w:i/>
          <w:iCs/>
          <w:sz w:val="30"/>
          <w:szCs w:val="30"/>
        </w:rPr>
        <w:t xml:space="preserve">û = </w:t>
      </w:r>
      <w:r>
        <w:rPr>
          <w:rFonts w:ascii="Garamond" w:eastAsia="Garamond" w:hAnsi="Garamond" w:cs="Garamond"/>
          <w:sz w:val="30"/>
          <w:szCs w:val="30"/>
          <w:highlight w:val="white"/>
        </w:rPr>
        <w:t>u</w:t>
      </w:r>
      <w:r>
        <w:rPr>
          <w:rFonts w:ascii="Garamond" w:eastAsia="Garamond" w:hAnsi="Garamond" w:cs="Garamond"/>
          <w:i/>
          <w:iCs/>
          <w:sz w:val="30"/>
          <w:szCs w:val="30"/>
        </w:rPr>
        <w:t xml:space="preserve"> </w:t>
      </w:r>
      <w:r>
        <w:rPr>
          <w:rFonts w:ascii="Garamond" w:eastAsia="Garamond" w:hAnsi="Garamond" w:cs="Garamond"/>
          <w:sz w:val="30"/>
          <w:szCs w:val="30"/>
          <w:highlight w:val="white"/>
        </w:rPr>
        <w:t xml:space="preserve">– long, such </w:t>
      </w:r>
      <w:r>
        <w:rPr>
          <w:rFonts w:ascii="Garamond" w:eastAsia="Garamond" w:hAnsi="Garamond" w:cs="Garamond"/>
          <w:i/>
          <w:iCs/>
          <w:sz w:val="30"/>
          <w:szCs w:val="30"/>
        </w:rPr>
        <w:t>al-dustûr</w:t>
      </w:r>
    </w:p>
    <w:p w:rsidR="00A24EEF" w:rsidRDefault="003C36B1">
      <w:pPr>
        <w:spacing w:before="100" w:after="0" w:line="360" w:lineRule="auto"/>
        <w:ind w:firstLine="560"/>
        <w:jc w:val="both"/>
        <w:rPr>
          <w:rFonts w:ascii="Garamond" w:eastAsia="Garamond" w:hAnsi="Garamond" w:cs="Garamond"/>
          <w:b/>
          <w:bCs/>
          <w:sz w:val="30"/>
          <w:szCs w:val="30"/>
        </w:rPr>
      </w:pPr>
      <w:r>
        <w:rPr>
          <w:rFonts w:ascii="Garamond" w:eastAsia="Garamond" w:hAnsi="Garamond" w:cs="Garamond"/>
          <w:b/>
          <w:bCs/>
          <w:sz w:val="30"/>
          <w:szCs w:val="30"/>
        </w:rPr>
        <w:lastRenderedPageBreak/>
        <w:t xml:space="preserve"> </w:t>
      </w:r>
    </w:p>
    <w:p w:rsidR="00A24EEF" w:rsidRDefault="00A24EEF">
      <w:pPr>
        <w:rPr>
          <w:rFonts w:ascii="Garamond" w:eastAsia="Garamond" w:hAnsi="Garamond" w:cs="Garamond"/>
        </w:rPr>
      </w:pPr>
    </w:p>
    <w:p w:rsidR="00A24EEF" w:rsidRDefault="003C36B1">
      <w:pPr>
        <w:rPr>
          <w:rFonts w:ascii="Garamond" w:eastAsia="Garamond" w:hAnsi="Garamond" w:cs="Garamond"/>
        </w:rPr>
      </w:pPr>
      <w:r>
        <w:pict>
          <v:rect id="_x0000_i1025" style="width:0;height:1.5pt" o:hralign="center" o:hrstd="t" o:hr="t" fillcolor="#a0a0a0" stroked="f"/>
        </w:pict>
      </w:r>
    </w:p>
    <w:p w:rsidR="00A24EEF" w:rsidRDefault="003C36B1">
      <w:pPr>
        <w:spacing w:before="240" w:after="240"/>
        <w:rPr>
          <w:rFonts w:ascii="Garamond" w:eastAsia="Garamond" w:hAnsi="Garamond" w:cs="Garamond"/>
        </w:rPr>
      </w:pPr>
      <w:r>
        <w:rPr>
          <w:rFonts w:ascii="Garamond" w:eastAsia="Garamond" w:hAnsi="Garamond" w:cs="Garamond"/>
          <w:sz w:val="20"/>
          <w:szCs w:val="20"/>
        </w:rPr>
        <w:t>[*]</w:t>
      </w:r>
      <w:r>
        <w:rPr>
          <w:rFonts w:ascii="Garamond" w:eastAsia="Garamond" w:hAnsi="Garamond" w:cs="Garamond"/>
        </w:rPr>
        <w:t xml:space="preserve"> </w:t>
      </w:r>
      <w:r>
        <w:rPr>
          <w:rFonts w:ascii="Garamond" w:eastAsia="Garamond" w:hAnsi="Garamond" w:cs="Garamond"/>
          <w:sz w:val="24"/>
          <w:szCs w:val="24"/>
        </w:rPr>
        <w:t>Corresponding author</w:t>
      </w:r>
    </w:p>
    <w:sectPr w:rsidR="00A24EEF">
      <w:headerReference w:type="default" r:id="rId7"/>
      <w:footerReference w:type="default" r:id="rId8"/>
      <w:pgSz w:w="11907" w:h="16840"/>
      <w:pgMar w:top="2268" w:right="1699" w:bottom="1699" w:left="1699" w:header="864"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6B1" w:rsidRDefault="003C36B1">
      <w:pPr>
        <w:spacing w:after="0" w:line="240" w:lineRule="auto"/>
      </w:pPr>
      <w:r>
        <w:separator/>
      </w:r>
    </w:p>
  </w:endnote>
  <w:endnote w:type="continuationSeparator" w:id="0">
    <w:p w:rsidR="003C36B1" w:rsidRDefault="003C3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embedRegular r:id="rId1" w:fontKey="{B63ACC0B-B380-4E3C-8AE5-6379FBCE7623}"/>
    <w:embedBold r:id="rId2" w:fontKey="{0ACC2D27-0831-4947-B24E-A769411E3749}"/>
    <w:embedBoldItalic r:id="rId3" w:fontKey="{C2BEABFF-447E-48DA-A096-9DE78B0AC15B}"/>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4" w:fontKey="{390560BE-F965-444F-857F-2564A340771D}"/>
    <w:embedBold r:id="rId5" w:fontKey="{06FE9DA4-AEB1-401E-BFC3-B7B19E155C27}"/>
    <w:embedItalic r:id="rId6" w:fontKey="{A60E9788-0A3D-4870-AF41-A109D77F73A3}"/>
    <w:embedBoldItalic r:id="rId7" w:fontKey="{27A2A7E0-B661-498B-A48B-056A176F03EF}"/>
  </w:font>
  <w:font w:name="Cousine">
    <w:charset w:val="00"/>
    <w:family w:val="auto"/>
    <w:pitch w:val="default"/>
    <w:embedBoldItalic r:id="rId8" w:fontKey="{6FB9D668-0D0E-46F2-BD7D-D6B8C5C0EAFF}"/>
  </w:font>
  <w:font w:name="Bodoni">
    <w:charset w:val="00"/>
    <w:family w:val="auto"/>
    <w:pitch w:val="default"/>
    <w:embedRegular r:id="rId9" w:fontKey="{FB9E2893-2277-41BE-AA09-EBD4B65E28A2}"/>
  </w:font>
  <w:font w:name="Cambria">
    <w:panose1 w:val="02040503050406030204"/>
    <w:charset w:val="00"/>
    <w:family w:val="roman"/>
    <w:pitch w:val="variable"/>
    <w:sig w:usb0="E00006FF" w:usb1="420024FF" w:usb2="02000000" w:usb3="00000000" w:csb0="0000019F" w:csb1="00000000"/>
    <w:embedRegular r:id="rId10" w:fontKey="{3C37D706-334F-4BF7-9542-CB59849B151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EEF" w:rsidRDefault="003C36B1">
    <w:pPr>
      <w:pBdr>
        <w:top w:val="nil"/>
        <w:left w:val="nil"/>
        <w:bottom w:val="nil"/>
        <w:right w:val="nil"/>
        <w:between w:val="nil"/>
      </w:pBdr>
      <w:tabs>
        <w:tab w:val="center" w:pos="4513"/>
        <w:tab w:val="right" w:pos="9026"/>
      </w:tabs>
      <w:spacing w:after="0" w:line="240" w:lineRule="auto"/>
      <w:jc w:val="center"/>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sidR="00303000">
      <w:rPr>
        <w:rFonts w:ascii="Arial" w:eastAsia="Arial" w:hAnsi="Arial" w:cs="Arial"/>
        <w:color w:val="000000"/>
      </w:rPr>
      <w:fldChar w:fldCharType="separate"/>
    </w:r>
    <w:r w:rsidR="00303000">
      <w:rPr>
        <w:rFonts w:ascii="Arial" w:eastAsia="Arial" w:hAnsi="Arial" w:cs="Arial"/>
        <w:noProof/>
        <w:color w:val="000000"/>
      </w:rPr>
      <w:t>7</w:t>
    </w:r>
    <w:r>
      <w:rPr>
        <w:rFonts w:ascii="Arial" w:eastAsia="Arial" w:hAnsi="Arial" w:cs="Arial"/>
        <w:color w:val="000000"/>
      </w:rPr>
      <w:fldChar w:fldCharType="end"/>
    </w:r>
  </w:p>
  <w:p w:rsidR="00A24EEF" w:rsidRDefault="00A24EEF">
    <w:pPr>
      <w:pBdr>
        <w:top w:val="nil"/>
        <w:left w:val="nil"/>
        <w:bottom w:val="nil"/>
        <w:right w:val="nil"/>
        <w:between w:val="nil"/>
      </w:pBdr>
      <w:tabs>
        <w:tab w:val="center" w:pos="4513"/>
        <w:tab w:val="right" w:pos="9026"/>
      </w:tabs>
      <w:spacing w:after="0" w:line="240" w:lineRule="auto"/>
      <w:jc w:val="center"/>
      <w:rPr>
        <w:rFonts w:ascii="Arial" w:eastAsia="Arial" w:hAnsi="Arial" w:cs="Arial"/>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6B1" w:rsidRDefault="003C36B1">
      <w:pPr>
        <w:spacing w:after="0" w:line="240" w:lineRule="auto"/>
      </w:pPr>
      <w:r>
        <w:separator/>
      </w:r>
    </w:p>
  </w:footnote>
  <w:footnote w:type="continuationSeparator" w:id="0">
    <w:p w:rsidR="003C36B1" w:rsidRDefault="003C36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EEF" w:rsidRDefault="003C36B1">
    <w:pPr>
      <w:pBdr>
        <w:top w:val="nil"/>
        <w:left w:val="nil"/>
        <w:bottom w:val="nil"/>
        <w:right w:val="nil"/>
        <w:between w:val="nil"/>
      </w:pBdr>
      <w:tabs>
        <w:tab w:val="center" w:pos="4513"/>
        <w:tab w:val="right" w:pos="9026"/>
      </w:tabs>
      <w:spacing w:after="0" w:line="240" w:lineRule="auto"/>
      <w:rPr>
        <w:rFonts w:ascii="Arial" w:eastAsia="Arial" w:hAnsi="Arial" w:cs="Arial"/>
        <w:color w:val="000000"/>
        <w:sz w:val="16"/>
        <w:szCs w:val="16"/>
        <w:highlight w:val="white"/>
      </w:rPr>
    </w:pPr>
    <w:r>
      <w:rPr>
        <w:rFonts w:ascii="Bodoni" w:eastAsia="Bodoni" w:hAnsi="Bodoni" w:cs="Bodoni"/>
        <w:color w:val="000000"/>
      </w:rPr>
      <w:t>JOURNAL OF CONTEMPORARY ISLAM AND MUSLIM SOCIETIES</w:t>
    </w:r>
    <w:r>
      <w:rPr>
        <w:rFonts w:ascii="Bodoni" w:eastAsia="Bodoni" w:hAnsi="Bodoni" w:cs="Bodoni"/>
        <w:color w:val="000000"/>
      </w:rPr>
      <w:tab/>
      <w:t xml:space="preserve">                                 </w:t>
    </w:r>
    <w:r>
      <w:rPr>
        <w:rFonts w:ascii="Arial" w:eastAsia="Arial" w:hAnsi="Arial" w:cs="Arial"/>
        <w:color w:val="000000"/>
        <w:sz w:val="16"/>
        <w:szCs w:val="16"/>
        <w:highlight w:val="white"/>
      </w:rPr>
      <w:t>VOL. 7 NO. 2 JULY-DECEMBER 202</w:t>
    </w:r>
    <w:r>
      <w:rPr>
        <w:rFonts w:ascii="Arial" w:eastAsia="Arial" w:hAnsi="Arial" w:cs="Arial"/>
        <w:sz w:val="16"/>
        <w:szCs w:val="16"/>
        <w:highlight w:val="white"/>
      </w:rPr>
      <w:t>5</w:t>
    </w:r>
  </w:p>
  <w:p w:rsidR="00A24EEF" w:rsidRDefault="003C36B1">
    <w:pPr>
      <w:pBdr>
        <w:top w:val="nil"/>
        <w:left w:val="nil"/>
        <w:bottom w:val="nil"/>
        <w:right w:val="nil"/>
        <w:between w:val="nil"/>
      </w:pBdr>
      <w:tabs>
        <w:tab w:val="center" w:pos="4513"/>
        <w:tab w:val="right" w:pos="9026"/>
      </w:tabs>
      <w:spacing w:after="0" w:line="240" w:lineRule="auto"/>
      <w:rPr>
        <w:rFonts w:ascii="Bodoni" w:eastAsia="Bodoni" w:hAnsi="Bodoni" w:cs="Bodoni"/>
        <w:color w:val="000000"/>
      </w:rPr>
    </w:pPr>
    <w:r>
      <w:rPr>
        <w:rFonts w:ascii="Arial" w:eastAsia="Arial" w:hAnsi="Arial" w:cs="Arial"/>
        <w:color w:val="000000"/>
        <w:sz w:val="16"/>
        <w:szCs w:val="16"/>
        <w:highlight w:val="white"/>
      </w:rPr>
      <w:tab/>
    </w:r>
    <w:r>
      <w:rPr>
        <w:rFonts w:ascii="Arial" w:eastAsia="Arial" w:hAnsi="Arial" w:cs="Arial"/>
        <w:color w:val="000000"/>
        <w:sz w:val="16"/>
        <w:szCs w:val="16"/>
        <w:highlight w:val="white"/>
      </w:rPr>
      <w:t xml:space="preserve">                                                                                                            DOI: </w:t>
    </w:r>
    <w:hyperlink r:id="rId1">
      <w:r>
        <w:rPr>
          <w:rFonts w:ascii="Arial" w:eastAsia="Arial" w:hAnsi="Arial" w:cs="Arial"/>
          <w:color w:val="000000"/>
          <w:sz w:val="16"/>
          <w:szCs w:val="16"/>
          <w:highlight w:val="white"/>
        </w:rPr>
        <w:t>http://dx.doi.org/10.30821/jcims.v7i2.17177</w:t>
      </w:r>
    </w:hyperlink>
    <w:r>
      <w:rPr>
        <w:rFonts w:ascii="Arial" w:eastAsia="Arial" w:hAnsi="Arial" w:cs="Arial"/>
        <w:color w:val="000000"/>
        <w:sz w:val="16"/>
        <w:szCs w:val="16"/>
        <w:highlight w:val="white"/>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A24EEF"/>
    <w:rsid w:val="00303000"/>
    <w:rsid w:val="003C36B1"/>
    <w:rsid w:val="00A24E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pBdr>
        <w:top w:val="nil"/>
        <w:left w:val="nil"/>
        <w:bottom w:val="nil"/>
        <w:right w:val="nil"/>
        <w:between w:val="nil"/>
      </w:pBdr>
      <w:spacing w:before="240" w:after="60"/>
      <w:outlineLvl w:val="0"/>
    </w:pPr>
    <w:rPr>
      <w:rFonts w:ascii="Arial" w:eastAsia="Arial" w:hAnsi="Arial" w:cs="Arial"/>
      <w:b/>
      <w:bCs/>
      <w:sz w:val="32"/>
      <w:szCs w:val="32"/>
    </w:rPr>
  </w:style>
  <w:style w:type="paragraph" w:styleId="Heading2">
    <w:name w:val="heading 2"/>
    <w:basedOn w:val="Normal"/>
    <w:next w:val="Normal"/>
    <w:pPr>
      <w:keepNext/>
      <w:pBdr>
        <w:top w:val="nil"/>
        <w:left w:val="nil"/>
        <w:bottom w:val="nil"/>
        <w:right w:val="nil"/>
        <w:between w:val="nil"/>
      </w:pBdr>
      <w:spacing w:before="240" w:after="60"/>
      <w:outlineLvl w:val="1"/>
    </w:pPr>
    <w:rPr>
      <w:rFonts w:ascii="Arial" w:eastAsia="Arial" w:hAnsi="Arial" w:cs="Arial"/>
      <w:b/>
      <w:bCs/>
      <w:i/>
      <w:iCs/>
      <w:sz w:val="28"/>
      <w:szCs w:val="28"/>
    </w:rPr>
  </w:style>
  <w:style w:type="paragraph" w:styleId="Heading3">
    <w:name w:val="heading 3"/>
    <w:basedOn w:val="Normal"/>
    <w:next w:val="Normal"/>
    <w:pPr>
      <w:keepNext/>
      <w:pBdr>
        <w:top w:val="nil"/>
        <w:left w:val="nil"/>
        <w:bottom w:val="nil"/>
        <w:right w:val="nil"/>
        <w:between w:val="nil"/>
      </w:pBdr>
      <w:spacing w:before="240" w:after="60"/>
      <w:outlineLvl w:val="2"/>
    </w:pPr>
    <w:rPr>
      <w:rFonts w:ascii="Arial" w:eastAsia="Arial" w:hAnsi="Arial" w:cs="Arial"/>
      <w:b/>
      <w:bCs/>
      <w:sz w:val="26"/>
      <w:szCs w:val="26"/>
    </w:rPr>
  </w:style>
  <w:style w:type="paragraph" w:styleId="Heading4">
    <w:name w:val="heading 4"/>
    <w:basedOn w:val="Normal"/>
    <w:next w:val="Normal"/>
    <w:pPr>
      <w:keepNext/>
      <w:pBdr>
        <w:top w:val="nil"/>
        <w:left w:val="nil"/>
        <w:bottom w:val="nil"/>
        <w:right w:val="nil"/>
        <w:between w:val="nil"/>
      </w:pBdr>
      <w:spacing w:before="240" w:after="60"/>
      <w:outlineLvl w:val="3"/>
    </w:pPr>
    <w:rPr>
      <w:b/>
      <w:bCs/>
      <w:sz w:val="28"/>
      <w:szCs w:val="28"/>
    </w:rPr>
  </w:style>
  <w:style w:type="paragraph" w:styleId="Heading5">
    <w:name w:val="heading 5"/>
    <w:basedOn w:val="Normal"/>
    <w:next w:val="Normal"/>
    <w:pPr>
      <w:pBdr>
        <w:top w:val="nil"/>
        <w:left w:val="nil"/>
        <w:bottom w:val="nil"/>
        <w:right w:val="nil"/>
        <w:between w:val="nil"/>
      </w:pBdr>
      <w:spacing w:before="240" w:after="60"/>
      <w:outlineLvl w:val="4"/>
    </w:pPr>
    <w:rPr>
      <w:b/>
      <w:bCs/>
      <w:i/>
      <w:iCs/>
      <w:sz w:val="26"/>
      <w:szCs w:val="26"/>
    </w:rPr>
  </w:style>
  <w:style w:type="paragraph" w:styleId="Heading6">
    <w:name w:val="heading 6"/>
    <w:basedOn w:val="Normal"/>
    <w:next w:val="Normal"/>
    <w:pPr>
      <w:pBdr>
        <w:top w:val="nil"/>
        <w:left w:val="nil"/>
        <w:bottom w:val="nil"/>
        <w:right w:val="nil"/>
        <w:between w:val="nil"/>
      </w:pBd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top w:val="nil"/>
        <w:left w:val="nil"/>
        <w:bottom w:val="nil"/>
        <w:right w:val="nil"/>
        <w:between w:val="nil"/>
      </w:pBdr>
      <w:spacing w:before="240" w:after="60"/>
      <w:jc w:val="center"/>
    </w:pPr>
    <w:rPr>
      <w:rFonts w:ascii="Arial" w:eastAsia="Arial" w:hAnsi="Arial" w:cs="Arial"/>
      <w:b/>
      <w:bCs/>
      <w:sz w:val="32"/>
      <w:szCs w:val="32"/>
    </w:rPr>
  </w:style>
  <w:style w:type="paragraph" w:styleId="Subtitle">
    <w:name w:val="Subtitle"/>
    <w:basedOn w:val="Normal"/>
    <w:next w:val="Normal"/>
    <w:pPr>
      <w:pBdr>
        <w:top w:val="nil"/>
        <w:left w:val="nil"/>
        <w:bottom w:val="nil"/>
        <w:right w:val="nil"/>
        <w:between w:val="nil"/>
      </w:pBdr>
      <w:spacing w:after="60"/>
      <w:jc w:val="center"/>
    </w:pPr>
    <w:rPr>
      <w:rFonts w:ascii="Arial" w:eastAsia="Arial" w:hAnsi="Arial" w:cs="Arial"/>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pBdr>
        <w:top w:val="nil"/>
        <w:left w:val="nil"/>
        <w:bottom w:val="nil"/>
        <w:right w:val="nil"/>
        <w:between w:val="nil"/>
      </w:pBdr>
      <w:spacing w:before="240" w:after="60"/>
      <w:outlineLvl w:val="0"/>
    </w:pPr>
    <w:rPr>
      <w:rFonts w:ascii="Arial" w:eastAsia="Arial" w:hAnsi="Arial" w:cs="Arial"/>
      <w:b/>
      <w:bCs/>
      <w:sz w:val="32"/>
      <w:szCs w:val="32"/>
    </w:rPr>
  </w:style>
  <w:style w:type="paragraph" w:styleId="Heading2">
    <w:name w:val="heading 2"/>
    <w:basedOn w:val="Normal"/>
    <w:next w:val="Normal"/>
    <w:pPr>
      <w:keepNext/>
      <w:pBdr>
        <w:top w:val="nil"/>
        <w:left w:val="nil"/>
        <w:bottom w:val="nil"/>
        <w:right w:val="nil"/>
        <w:between w:val="nil"/>
      </w:pBdr>
      <w:spacing w:before="240" w:after="60"/>
      <w:outlineLvl w:val="1"/>
    </w:pPr>
    <w:rPr>
      <w:rFonts w:ascii="Arial" w:eastAsia="Arial" w:hAnsi="Arial" w:cs="Arial"/>
      <w:b/>
      <w:bCs/>
      <w:i/>
      <w:iCs/>
      <w:sz w:val="28"/>
      <w:szCs w:val="28"/>
    </w:rPr>
  </w:style>
  <w:style w:type="paragraph" w:styleId="Heading3">
    <w:name w:val="heading 3"/>
    <w:basedOn w:val="Normal"/>
    <w:next w:val="Normal"/>
    <w:pPr>
      <w:keepNext/>
      <w:pBdr>
        <w:top w:val="nil"/>
        <w:left w:val="nil"/>
        <w:bottom w:val="nil"/>
        <w:right w:val="nil"/>
        <w:between w:val="nil"/>
      </w:pBdr>
      <w:spacing w:before="240" w:after="60"/>
      <w:outlineLvl w:val="2"/>
    </w:pPr>
    <w:rPr>
      <w:rFonts w:ascii="Arial" w:eastAsia="Arial" w:hAnsi="Arial" w:cs="Arial"/>
      <w:b/>
      <w:bCs/>
      <w:sz w:val="26"/>
      <w:szCs w:val="26"/>
    </w:rPr>
  </w:style>
  <w:style w:type="paragraph" w:styleId="Heading4">
    <w:name w:val="heading 4"/>
    <w:basedOn w:val="Normal"/>
    <w:next w:val="Normal"/>
    <w:pPr>
      <w:keepNext/>
      <w:pBdr>
        <w:top w:val="nil"/>
        <w:left w:val="nil"/>
        <w:bottom w:val="nil"/>
        <w:right w:val="nil"/>
        <w:between w:val="nil"/>
      </w:pBdr>
      <w:spacing w:before="240" w:after="60"/>
      <w:outlineLvl w:val="3"/>
    </w:pPr>
    <w:rPr>
      <w:b/>
      <w:bCs/>
      <w:sz w:val="28"/>
      <w:szCs w:val="28"/>
    </w:rPr>
  </w:style>
  <w:style w:type="paragraph" w:styleId="Heading5">
    <w:name w:val="heading 5"/>
    <w:basedOn w:val="Normal"/>
    <w:next w:val="Normal"/>
    <w:pPr>
      <w:pBdr>
        <w:top w:val="nil"/>
        <w:left w:val="nil"/>
        <w:bottom w:val="nil"/>
        <w:right w:val="nil"/>
        <w:between w:val="nil"/>
      </w:pBdr>
      <w:spacing w:before="240" w:after="60"/>
      <w:outlineLvl w:val="4"/>
    </w:pPr>
    <w:rPr>
      <w:b/>
      <w:bCs/>
      <w:i/>
      <w:iCs/>
      <w:sz w:val="26"/>
      <w:szCs w:val="26"/>
    </w:rPr>
  </w:style>
  <w:style w:type="paragraph" w:styleId="Heading6">
    <w:name w:val="heading 6"/>
    <w:basedOn w:val="Normal"/>
    <w:next w:val="Normal"/>
    <w:pPr>
      <w:pBdr>
        <w:top w:val="nil"/>
        <w:left w:val="nil"/>
        <w:bottom w:val="nil"/>
        <w:right w:val="nil"/>
        <w:between w:val="nil"/>
      </w:pBd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top w:val="nil"/>
        <w:left w:val="nil"/>
        <w:bottom w:val="nil"/>
        <w:right w:val="nil"/>
        <w:between w:val="nil"/>
      </w:pBdr>
      <w:spacing w:before="240" w:after="60"/>
      <w:jc w:val="center"/>
    </w:pPr>
    <w:rPr>
      <w:rFonts w:ascii="Arial" w:eastAsia="Arial" w:hAnsi="Arial" w:cs="Arial"/>
      <w:b/>
      <w:bCs/>
      <w:sz w:val="32"/>
      <w:szCs w:val="32"/>
    </w:rPr>
  </w:style>
  <w:style w:type="paragraph" w:styleId="Subtitle">
    <w:name w:val="Subtitle"/>
    <w:basedOn w:val="Normal"/>
    <w:next w:val="Normal"/>
    <w:pPr>
      <w:pBdr>
        <w:top w:val="nil"/>
        <w:left w:val="nil"/>
        <w:bottom w:val="nil"/>
        <w:right w:val="nil"/>
        <w:between w:val="nil"/>
      </w:pBdr>
      <w:spacing w:after="60"/>
      <w:jc w:val="center"/>
    </w:pPr>
    <w:rPr>
      <w:rFonts w:ascii="Arial" w:eastAsia="Arial" w:hAnsi="Arial" w:cs="Arial"/>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hyperlink" Target="http://dx.doi.org/10.30821/jcims.v7i2.171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7690</Words>
  <Characters>43839</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2026-05-19T03:19:00Z</dcterms:created>
  <dcterms:modified xsi:type="dcterms:W3CDTF">2026-05-19T03:19:00Z</dcterms:modified>
</cp:coreProperties>
</file>