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BA9DE" w14:textId="0D1F925E" w:rsidR="00EF4656" w:rsidRPr="00E44568" w:rsidRDefault="00D53199">
      <w:pPr>
        <w:jc w:val="center"/>
        <w:rPr>
          <w:rFonts w:asciiTheme="minorHAnsi" w:eastAsia="Quattrocento Sans" w:hAnsiTheme="minorHAnsi" w:cs="Quattrocento Sans"/>
          <w:b/>
          <w:sz w:val="28"/>
          <w:szCs w:val="28"/>
        </w:rPr>
      </w:pPr>
      <w:r w:rsidRPr="00E44568">
        <w:rPr>
          <w:rFonts w:asciiTheme="minorHAnsi" w:eastAsia="Quattrocento Sans" w:hAnsiTheme="minorHAnsi" w:cs="Quattrocento Sans"/>
          <w:b/>
          <w:sz w:val="28"/>
          <w:szCs w:val="28"/>
        </w:rPr>
        <w:t>PE</w:t>
      </w:r>
      <w:r w:rsidR="00E44568" w:rsidRPr="00E44568">
        <w:rPr>
          <w:rFonts w:asciiTheme="minorHAnsi" w:eastAsia="Quattrocento Sans" w:hAnsiTheme="minorHAnsi" w:cs="Quattrocento Sans"/>
          <w:b/>
          <w:sz w:val="28"/>
          <w:szCs w:val="28"/>
        </w:rPr>
        <w:t xml:space="preserve">RADABAN </w:t>
      </w:r>
      <w:r w:rsidR="00E44568" w:rsidRPr="00E44568">
        <w:rPr>
          <w:rFonts w:asciiTheme="minorHAnsi" w:hAnsiTheme="minorHAnsi"/>
          <w:b/>
          <w:bCs/>
          <w:sz w:val="28"/>
          <w:szCs w:val="28"/>
        </w:rPr>
        <w:t>DAN PEMIKIRAN ISLAM PADA MASA DINASTI UMAYYAH DI TIMUR (DAMASKUS) DAN BARAT (ANDALUSIA</w:t>
      </w:r>
      <w:r w:rsidR="00E44568">
        <w:rPr>
          <w:rFonts w:asciiTheme="minorHAnsi" w:hAnsiTheme="minorHAnsi"/>
          <w:b/>
          <w:bCs/>
          <w:sz w:val="28"/>
          <w:szCs w:val="28"/>
        </w:rPr>
        <w:t>)</w:t>
      </w:r>
    </w:p>
    <w:p w14:paraId="707085E2" w14:textId="0EED0FEC" w:rsidR="00EF4656" w:rsidRPr="00E44568" w:rsidRDefault="00D53199">
      <w:pPr>
        <w:tabs>
          <w:tab w:val="left" w:pos="1033"/>
        </w:tabs>
        <w:rPr>
          <w:rFonts w:asciiTheme="minorHAnsi" w:eastAsia="Quattrocento Sans" w:hAnsiTheme="minorHAnsi" w:cs="Quattrocento Sans"/>
          <w:b/>
          <w:sz w:val="22"/>
          <w:szCs w:val="22"/>
          <w:vertAlign w:val="superscript"/>
        </w:rPr>
      </w:pPr>
      <w:r w:rsidRPr="00E44568">
        <w:rPr>
          <w:rFonts w:asciiTheme="minorHAnsi" w:eastAsia="Quattrocento Sans" w:hAnsiTheme="minorHAnsi" w:cs="Quattrocento Sans"/>
          <w:b/>
          <w:sz w:val="22"/>
          <w:szCs w:val="22"/>
        </w:rPr>
        <w:t>Muhammad Roisul Muttaqin</w:t>
      </w:r>
      <w:r w:rsidR="00F3645D" w:rsidRPr="00E44568">
        <w:rPr>
          <w:rFonts w:asciiTheme="minorHAnsi" w:eastAsia="Quattrocento Sans" w:hAnsiTheme="minorHAnsi" w:cs="Quattrocento Sans"/>
          <w:b/>
          <w:sz w:val="22"/>
          <w:szCs w:val="22"/>
          <w:vertAlign w:val="superscript"/>
        </w:rPr>
        <w:t>1</w:t>
      </w:r>
      <w:r w:rsidR="00E44568" w:rsidRPr="00E44568">
        <w:rPr>
          <w:rFonts w:asciiTheme="minorHAnsi" w:eastAsia="Quattrocento Sans" w:hAnsiTheme="minorHAnsi" w:cs="Quattrocento Sans"/>
          <w:b/>
          <w:sz w:val="22"/>
          <w:szCs w:val="22"/>
        </w:rPr>
        <w:t>, Izah Ulya Qadam</w:t>
      </w:r>
      <w:r w:rsidR="00E44568" w:rsidRPr="00E44568">
        <w:rPr>
          <w:rFonts w:asciiTheme="minorHAnsi" w:eastAsia="Quattrocento Sans" w:hAnsiTheme="minorHAnsi" w:cs="Quattrocento Sans"/>
          <w:b/>
          <w:sz w:val="22"/>
          <w:szCs w:val="22"/>
          <w:vertAlign w:val="superscript"/>
        </w:rPr>
        <w:t>2</w:t>
      </w:r>
      <w:r w:rsidR="00E44568" w:rsidRPr="00E44568">
        <w:rPr>
          <w:rFonts w:asciiTheme="minorHAnsi" w:eastAsia="Quattrocento Sans" w:hAnsiTheme="minorHAnsi" w:cs="Quattrocento Sans"/>
          <w:b/>
          <w:sz w:val="22"/>
          <w:szCs w:val="22"/>
        </w:rPr>
        <w:t>, Ryan Muhammad Ridwan</w:t>
      </w:r>
      <w:r w:rsidR="00E44568" w:rsidRPr="00E44568">
        <w:rPr>
          <w:rFonts w:asciiTheme="minorHAnsi" w:eastAsia="Quattrocento Sans" w:hAnsiTheme="minorHAnsi" w:cs="Quattrocento Sans"/>
          <w:b/>
          <w:sz w:val="22"/>
          <w:szCs w:val="22"/>
          <w:vertAlign w:val="superscript"/>
        </w:rPr>
        <w:t>3</w:t>
      </w:r>
      <w:r w:rsidR="00F3645D" w:rsidRPr="00E44568">
        <w:rPr>
          <w:rFonts w:asciiTheme="minorHAnsi" w:hAnsiTheme="minorHAnsi"/>
          <w:sz w:val="22"/>
          <w:szCs w:val="22"/>
        </w:rPr>
        <w:t xml:space="preserve">   </w:t>
      </w:r>
      <w:r w:rsidR="00F3645D" w:rsidRPr="00E44568">
        <w:rPr>
          <w:rFonts w:asciiTheme="minorHAnsi" w:eastAsia="Quattrocento Sans" w:hAnsiTheme="minorHAnsi" w:cs="Quattrocento Sans"/>
          <w:b/>
          <w:sz w:val="22"/>
          <w:szCs w:val="22"/>
        </w:rPr>
        <w:t xml:space="preserve">    </w:t>
      </w:r>
      <w:r w:rsidR="00F3645D" w:rsidRPr="00E44568">
        <w:rPr>
          <w:rFonts w:asciiTheme="minorHAnsi" w:hAnsiTheme="minorHAnsi"/>
          <w:noProof/>
        </w:rPr>
        <w:drawing>
          <wp:anchor distT="0" distB="0" distL="0" distR="0" simplePos="0" relativeHeight="251658240" behindDoc="1" locked="0" layoutInCell="1" hidden="0" allowOverlap="1" wp14:anchorId="09296532" wp14:editId="141BF5D3">
            <wp:simplePos x="0" y="0"/>
            <wp:positionH relativeFrom="column">
              <wp:posOffset>3019425</wp:posOffset>
            </wp:positionH>
            <wp:positionV relativeFrom="paragraph">
              <wp:posOffset>28575</wp:posOffset>
            </wp:positionV>
            <wp:extent cx="142875" cy="142875"/>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2875" cy="142875"/>
                    </a:xfrm>
                    <a:prstGeom prst="rect">
                      <a:avLst/>
                    </a:prstGeom>
                    <a:ln/>
                  </pic:spPr>
                </pic:pic>
              </a:graphicData>
            </a:graphic>
          </wp:anchor>
        </w:drawing>
      </w:r>
      <w:r w:rsidR="00F3645D" w:rsidRPr="00E44568">
        <w:rPr>
          <w:rFonts w:asciiTheme="minorHAnsi" w:hAnsiTheme="minorHAnsi"/>
          <w:noProof/>
        </w:rPr>
        <w:drawing>
          <wp:anchor distT="0" distB="0" distL="0" distR="0" simplePos="0" relativeHeight="251659264" behindDoc="1" locked="0" layoutInCell="1" hidden="0" allowOverlap="1" wp14:anchorId="0FB25E25" wp14:editId="48D277A6">
            <wp:simplePos x="0" y="0"/>
            <wp:positionH relativeFrom="column">
              <wp:posOffset>4152900</wp:posOffset>
            </wp:positionH>
            <wp:positionV relativeFrom="paragraph">
              <wp:posOffset>28575</wp:posOffset>
            </wp:positionV>
            <wp:extent cx="142875" cy="142875"/>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2875" cy="142875"/>
                    </a:xfrm>
                    <a:prstGeom prst="rect">
                      <a:avLst/>
                    </a:prstGeom>
                    <a:ln/>
                  </pic:spPr>
                </pic:pic>
              </a:graphicData>
            </a:graphic>
          </wp:anchor>
        </w:drawing>
      </w:r>
      <w:r w:rsidR="00F3645D" w:rsidRPr="00E44568">
        <w:rPr>
          <w:rFonts w:asciiTheme="minorHAnsi" w:hAnsiTheme="minorHAnsi"/>
          <w:noProof/>
        </w:rPr>
        <w:drawing>
          <wp:anchor distT="0" distB="0" distL="0" distR="0" simplePos="0" relativeHeight="251660288" behindDoc="1" locked="0" layoutInCell="1" hidden="0" allowOverlap="1" wp14:anchorId="4D44FCB6" wp14:editId="6A9FB10D">
            <wp:simplePos x="0" y="0"/>
            <wp:positionH relativeFrom="column">
              <wp:posOffset>2190750</wp:posOffset>
            </wp:positionH>
            <wp:positionV relativeFrom="paragraph">
              <wp:posOffset>28575</wp:posOffset>
            </wp:positionV>
            <wp:extent cx="142875" cy="142875"/>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2875" cy="142875"/>
                    </a:xfrm>
                    <a:prstGeom prst="rect">
                      <a:avLst/>
                    </a:prstGeom>
                    <a:ln/>
                  </pic:spPr>
                </pic:pic>
              </a:graphicData>
            </a:graphic>
          </wp:anchor>
        </w:drawing>
      </w:r>
    </w:p>
    <w:p w14:paraId="27CD1FF2" w14:textId="13518C9A" w:rsidR="00EF4656" w:rsidRDefault="00F3645D">
      <w:pPr>
        <w:spacing w:before="2"/>
        <w:rPr>
          <w:rFonts w:asciiTheme="minorHAnsi" w:eastAsia="Quattrocento Sans" w:hAnsiTheme="minorHAnsi" w:cs="Quattrocento Sans"/>
        </w:rPr>
      </w:pPr>
      <w:r>
        <w:rPr>
          <w:rFonts w:ascii="Quattrocento Sans" w:eastAsia="Quattrocento Sans" w:hAnsi="Quattrocento Sans" w:cs="Quattrocento Sans"/>
          <w:vertAlign w:val="superscript"/>
        </w:rPr>
        <w:t>1</w:t>
      </w:r>
      <w:r w:rsidR="00D53199">
        <w:rPr>
          <w:rFonts w:asciiTheme="minorHAnsi" w:eastAsia="Quattrocento Sans" w:hAnsiTheme="minorHAnsi" w:cs="Quattrocento Sans"/>
        </w:rPr>
        <w:t>IAIN Kudus</w:t>
      </w:r>
    </w:p>
    <w:p w14:paraId="3A8B9928" w14:textId="3FDF16CC" w:rsidR="00DE6D53" w:rsidRDefault="00DE6D53">
      <w:pPr>
        <w:spacing w:before="2"/>
        <w:rPr>
          <w:rFonts w:asciiTheme="minorHAnsi" w:eastAsia="Quattrocento Sans" w:hAnsiTheme="minorHAnsi" w:cs="Quattrocento Sans"/>
        </w:rPr>
      </w:pPr>
      <w:r>
        <w:rPr>
          <w:rFonts w:asciiTheme="minorHAnsi" w:eastAsia="Quattrocento Sans" w:hAnsiTheme="minorHAnsi" w:cs="Quattrocento Sans"/>
          <w:vertAlign w:val="superscript"/>
        </w:rPr>
        <w:t>2</w:t>
      </w:r>
      <w:r>
        <w:rPr>
          <w:rFonts w:asciiTheme="minorHAnsi" w:eastAsia="Quattrocento Sans" w:hAnsiTheme="minorHAnsi" w:cs="Quattrocento Sans"/>
        </w:rPr>
        <w:t>IAIN Kudus</w:t>
      </w:r>
    </w:p>
    <w:p w14:paraId="6C7A6A05" w14:textId="0EF86490" w:rsidR="00DE6D53" w:rsidRPr="00DE6D53" w:rsidRDefault="00DE6D53">
      <w:pPr>
        <w:spacing w:before="2"/>
        <w:rPr>
          <w:rFonts w:asciiTheme="minorHAnsi" w:eastAsia="Quattrocento Sans" w:hAnsiTheme="minorHAnsi" w:cs="Quattrocento Sans"/>
        </w:rPr>
      </w:pPr>
      <w:r>
        <w:rPr>
          <w:rFonts w:asciiTheme="minorHAnsi" w:eastAsia="Quattrocento Sans" w:hAnsiTheme="minorHAnsi" w:cs="Quattrocento Sans"/>
          <w:vertAlign w:val="superscript"/>
        </w:rPr>
        <w:t>3</w:t>
      </w:r>
      <w:r>
        <w:rPr>
          <w:rFonts w:asciiTheme="minorHAnsi" w:eastAsia="Quattrocento Sans" w:hAnsiTheme="minorHAnsi" w:cs="Quattrocento Sans"/>
        </w:rPr>
        <w:t>IAIN Kudus</w:t>
      </w:r>
      <w:bookmarkStart w:id="0" w:name="_GoBack"/>
      <w:bookmarkEnd w:id="0"/>
    </w:p>
    <w:p w14:paraId="034F4FAC" w14:textId="77777777" w:rsidR="00EF4656" w:rsidRDefault="00F3645D">
      <w:pPr>
        <w:spacing w:before="3" w:line="241" w:lineRule="auto"/>
        <w:rPr>
          <w:rFonts w:ascii="Quattrocento Sans" w:eastAsia="Quattrocento Sans" w:hAnsi="Quattrocento Sans" w:cs="Quattrocento Sans"/>
        </w:rPr>
      </w:pPr>
      <w:r>
        <w:rPr>
          <w:rFonts w:ascii="Quattrocento Sans" w:eastAsia="Quattrocento Sans" w:hAnsi="Quattrocento Sans" w:cs="Quattrocento Sans"/>
        </w:rPr>
        <w:t xml:space="preserve">Corresponding Author: </w:t>
      </w:r>
      <w:hyperlink r:id="rId10">
        <w:r>
          <w:rPr>
            <w:rFonts w:ascii="Quattrocento Sans" w:eastAsia="Quattrocento Sans" w:hAnsi="Quattrocento Sans" w:cs="Quattrocento Sans"/>
            <w:color w:val="0000FF"/>
            <w:u w:val="single"/>
          </w:rPr>
          <w:t>azhari@uinsu.ac.id</w:t>
        </w:r>
      </w:hyperlink>
    </w:p>
    <w:p w14:paraId="14B03B46" w14:textId="77777777" w:rsidR="00EF4656" w:rsidRDefault="00F3645D">
      <w:pPr>
        <w:jc w:val="center"/>
      </w:pPr>
      <w:r>
        <w:t>\</w:t>
      </w:r>
    </w:p>
    <w:tbl>
      <w:tblPr>
        <w:tblStyle w:val="a"/>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4"/>
        <w:gridCol w:w="271"/>
        <w:gridCol w:w="4972"/>
      </w:tblGrid>
      <w:tr w:rsidR="00EF4656" w14:paraId="4071A972" w14:textId="77777777">
        <w:tc>
          <w:tcPr>
            <w:tcW w:w="3654" w:type="dxa"/>
            <w:tcBorders>
              <w:top w:val="single" w:sz="4" w:space="0" w:color="000000"/>
              <w:left w:val="nil"/>
              <w:right w:val="nil"/>
            </w:tcBorders>
          </w:tcPr>
          <w:p w14:paraId="47DEB257" w14:textId="77777777" w:rsidR="00EF4656" w:rsidRDefault="00F3645D">
            <w:pPr>
              <w:spacing w:before="120"/>
              <w:jc w:val="both"/>
              <w:rPr>
                <w:rFonts w:ascii="Libre Baskerville" w:eastAsia="Libre Baskerville" w:hAnsi="Libre Baskerville" w:cs="Libre Baskerville"/>
                <w:b/>
                <w:sz w:val="22"/>
                <w:szCs w:val="22"/>
              </w:rPr>
            </w:pPr>
            <w:r>
              <w:rPr>
                <w:rFonts w:ascii="Libre Baskerville" w:eastAsia="Libre Baskerville" w:hAnsi="Libre Baskerville" w:cs="Libre Baskerville"/>
                <w:b/>
                <w:sz w:val="22"/>
                <w:szCs w:val="22"/>
              </w:rPr>
              <w:t>Article Info</w:t>
            </w:r>
          </w:p>
        </w:tc>
        <w:tc>
          <w:tcPr>
            <w:tcW w:w="271" w:type="dxa"/>
            <w:tcBorders>
              <w:top w:val="single" w:sz="4" w:space="0" w:color="000000"/>
              <w:left w:val="nil"/>
              <w:bottom w:val="nil"/>
              <w:right w:val="nil"/>
            </w:tcBorders>
          </w:tcPr>
          <w:p w14:paraId="456C9024" w14:textId="77777777" w:rsidR="00EF4656" w:rsidRDefault="00EF4656">
            <w:pPr>
              <w:spacing w:before="120"/>
              <w:jc w:val="both"/>
              <w:rPr>
                <w:rFonts w:ascii="Libre Baskerville" w:eastAsia="Libre Baskerville" w:hAnsi="Libre Baskerville" w:cs="Libre Baskerville"/>
                <w:sz w:val="22"/>
                <w:szCs w:val="22"/>
              </w:rPr>
            </w:pPr>
          </w:p>
        </w:tc>
        <w:tc>
          <w:tcPr>
            <w:tcW w:w="4972" w:type="dxa"/>
            <w:tcBorders>
              <w:top w:val="single" w:sz="4" w:space="0" w:color="000000"/>
              <w:left w:val="nil"/>
              <w:right w:val="nil"/>
            </w:tcBorders>
          </w:tcPr>
          <w:p w14:paraId="70E29B6D" w14:textId="77777777" w:rsidR="00EF4656" w:rsidRDefault="00F3645D">
            <w:pPr>
              <w:spacing w:before="120"/>
              <w:jc w:val="both"/>
              <w:rPr>
                <w:rFonts w:ascii="Libre Baskerville" w:eastAsia="Libre Baskerville" w:hAnsi="Libre Baskerville" w:cs="Libre Baskerville"/>
                <w:color w:val="000000"/>
                <w:sz w:val="22"/>
                <w:szCs w:val="22"/>
              </w:rPr>
            </w:pPr>
            <w:r>
              <w:rPr>
                <w:rFonts w:ascii="Libre Baskerville" w:eastAsia="Libre Baskerville" w:hAnsi="Libre Baskerville" w:cs="Libre Baskerville"/>
                <w:b/>
                <w:color w:val="000000"/>
                <w:sz w:val="22"/>
                <w:szCs w:val="22"/>
              </w:rPr>
              <w:t xml:space="preserve">ABSTRACT </w:t>
            </w:r>
          </w:p>
        </w:tc>
      </w:tr>
      <w:tr w:rsidR="00EF4656" w14:paraId="3182BF06" w14:textId="77777777">
        <w:trPr>
          <w:trHeight w:val="1268"/>
        </w:trPr>
        <w:tc>
          <w:tcPr>
            <w:tcW w:w="3654" w:type="dxa"/>
            <w:tcBorders>
              <w:left w:val="nil"/>
              <w:bottom w:val="nil"/>
              <w:right w:val="nil"/>
            </w:tcBorders>
          </w:tcPr>
          <w:p w14:paraId="637E5633" w14:textId="77777777" w:rsidR="00EF4656" w:rsidRDefault="00F3645D">
            <w:pPr>
              <w:spacing w:before="120" w:after="120"/>
              <w:jc w:val="both"/>
              <w:rPr>
                <w:rFonts w:ascii="Libre Baskerville" w:eastAsia="Libre Baskerville" w:hAnsi="Libre Baskerville" w:cs="Libre Baskerville"/>
                <w:b/>
                <w:i/>
                <w:color w:val="000000"/>
                <w:sz w:val="22"/>
                <w:szCs w:val="22"/>
              </w:rPr>
            </w:pPr>
            <w:r>
              <w:rPr>
                <w:rFonts w:ascii="Libre Baskerville" w:eastAsia="Libre Baskerville" w:hAnsi="Libre Baskerville" w:cs="Libre Baskerville"/>
                <w:b/>
                <w:i/>
                <w:color w:val="000000"/>
                <w:sz w:val="22"/>
                <w:szCs w:val="22"/>
              </w:rPr>
              <w:t>Article history:</w:t>
            </w:r>
          </w:p>
          <w:p w14:paraId="00BDCFED" w14:textId="77777777" w:rsidR="00EF4656" w:rsidRPr="009F7740" w:rsidRDefault="00F3645D">
            <w:pPr>
              <w:tabs>
                <w:tab w:val="left" w:pos="1029"/>
              </w:tabs>
              <w:jc w:val="both"/>
              <w:rPr>
                <w:rFonts w:asciiTheme="minorHAnsi" w:eastAsia="Libre Baskerville" w:hAnsiTheme="minorHAnsi" w:cs="Libre Baskerville"/>
                <w:color w:val="000000"/>
                <w:sz w:val="22"/>
                <w:szCs w:val="22"/>
              </w:rPr>
            </w:pPr>
            <w:r>
              <w:rPr>
                <w:rFonts w:ascii="Libre Baskerville" w:eastAsia="Libre Baskerville" w:hAnsi="Libre Baskerville" w:cs="Libre Baskerville"/>
                <w:color w:val="000000"/>
                <w:sz w:val="22"/>
                <w:szCs w:val="22"/>
              </w:rPr>
              <w:t xml:space="preserve">Received   : </w:t>
            </w:r>
          </w:p>
          <w:p w14:paraId="0CDE7212" w14:textId="77777777" w:rsidR="00EF4656" w:rsidRPr="009F7740" w:rsidRDefault="00F3645D">
            <w:pPr>
              <w:jc w:val="both"/>
              <w:rPr>
                <w:rFonts w:asciiTheme="minorHAnsi" w:eastAsia="Libre Baskerville" w:hAnsiTheme="minorHAnsi" w:cs="Libre Baskerville"/>
                <w:color w:val="000000"/>
                <w:sz w:val="22"/>
                <w:szCs w:val="22"/>
              </w:rPr>
            </w:pPr>
            <w:r>
              <w:rPr>
                <w:rFonts w:ascii="Libre Baskerville" w:eastAsia="Libre Baskerville" w:hAnsi="Libre Baskerville" w:cs="Libre Baskerville"/>
                <w:color w:val="000000"/>
                <w:sz w:val="22"/>
                <w:szCs w:val="22"/>
              </w:rPr>
              <w:t xml:space="preserve">Revised     : </w:t>
            </w:r>
          </w:p>
          <w:p w14:paraId="4CCACE24" w14:textId="77777777" w:rsidR="00EF4656" w:rsidRPr="009F7740" w:rsidRDefault="00F3645D">
            <w:pPr>
              <w:jc w:val="both"/>
              <w:rPr>
                <w:rFonts w:asciiTheme="minorHAnsi" w:eastAsia="Libre Baskerville" w:hAnsiTheme="minorHAnsi" w:cs="Libre Baskerville"/>
                <w:color w:val="000000"/>
                <w:sz w:val="22"/>
                <w:szCs w:val="22"/>
              </w:rPr>
            </w:pPr>
            <w:r>
              <w:rPr>
                <w:rFonts w:ascii="Libre Baskerville" w:eastAsia="Libre Baskerville" w:hAnsi="Libre Baskerville" w:cs="Libre Baskerville"/>
                <w:color w:val="000000"/>
                <w:sz w:val="22"/>
                <w:szCs w:val="22"/>
              </w:rPr>
              <w:t xml:space="preserve">Accepted  : </w:t>
            </w:r>
          </w:p>
          <w:p w14:paraId="1B5329DD" w14:textId="77777777" w:rsidR="00EF4656" w:rsidRPr="009F7740" w:rsidRDefault="00F3645D">
            <w:pPr>
              <w:jc w:val="both"/>
              <w:rPr>
                <w:rFonts w:asciiTheme="minorHAnsi" w:eastAsia="Libre Baskerville" w:hAnsiTheme="minorHAnsi" w:cs="Libre Baskerville"/>
                <w:color w:val="000000"/>
                <w:sz w:val="22"/>
                <w:szCs w:val="22"/>
              </w:rPr>
            </w:pPr>
            <w:r>
              <w:rPr>
                <w:rFonts w:ascii="Libre Baskerville" w:eastAsia="Libre Baskerville" w:hAnsi="Libre Baskerville" w:cs="Libre Baskerville"/>
                <w:color w:val="000000"/>
                <w:sz w:val="22"/>
                <w:szCs w:val="22"/>
              </w:rPr>
              <w:t>Available</w:t>
            </w:r>
            <w:r w:rsidR="009F7740">
              <w:rPr>
                <w:rFonts w:asciiTheme="minorHAnsi" w:eastAsia="Libre Baskerville" w:hAnsiTheme="minorHAnsi" w:cs="Libre Baskerville"/>
                <w:color w:val="000000"/>
                <w:sz w:val="22"/>
                <w:szCs w:val="22"/>
              </w:rPr>
              <w:t xml:space="preserve"> </w:t>
            </w:r>
            <w:r>
              <w:rPr>
                <w:rFonts w:ascii="Libre Baskerville" w:eastAsia="Libre Baskerville" w:hAnsi="Libre Baskerville" w:cs="Libre Baskerville"/>
                <w:color w:val="000000"/>
                <w:sz w:val="22"/>
                <w:szCs w:val="22"/>
              </w:rPr>
              <w:t xml:space="preserve">online </w:t>
            </w:r>
            <w:hyperlink r:id="rId11">
              <w:r>
                <w:rPr>
                  <w:rFonts w:ascii="Libre Baskerville" w:eastAsia="Libre Baskerville" w:hAnsi="Libre Baskerville" w:cs="Libre Baskerville"/>
                  <w:color w:val="000000"/>
                  <w:sz w:val="22"/>
                  <w:szCs w:val="22"/>
                </w:rPr>
                <w:t>http://jurnal.uinsu.ac.id/index.php/analytica</w:t>
              </w:r>
            </w:hyperlink>
            <w:r>
              <w:rPr>
                <w:rFonts w:ascii="Libre Baskerville" w:eastAsia="Libre Baskerville" w:hAnsi="Libre Baskerville" w:cs="Libre Baskerville"/>
                <w:color w:val="000000"/>
                <w:sz w:val="22"/>
                <w:szCs w:val="22"/>
              </w:rPr>
              <w:t xml:space="preserve"> </w:t>
            </w:r>
          </w:p>
          <w:p w14:paraId="6079B8EF" w14:textId="77777777" w:rsidR="00EF4656" w:rsidRDefault="00EF4656">
            <w:pPr>
              <w:jc w:val="both"/>
              <w:rPr>
                <w:rFonts w:ascii="Libre Baskerville" w:eastAsia="Libre Baskerville" w:hAnsi="Libre Baskerville" w:cs="Libre Baskerville"/>
                <w:color w:val="000000"/>
                <w:sz w:val="22"/>
                <w:szCs w:val="22"/>
              </w:rPr>
            </w:pPr>
          </w:p>
          <w:p w14:paraId="38B884C3" w14:textId="77777777" w:rsidR="00EF4656" w:rsidRDefault="00EF4656">
            <w:pPr>
              <w:jc w:val="both"/>
              <w:rPr>
                <w:rFonts w:ascii="Libre Baskerville" w:eastAsia="Libre Baskerville" w:hAnsi="Libre Baskerville" w:cs="Libre Baskerville"/>
                <w:color w:val="000000"/>
                <w:sz w:val="22"/>
                <w:szCs w:val="22"/>
              </w:rPr>
            </w:pPr>
          </w:p>
          <w:p w14:paraId="19CA01D0" w14:textId="77777777" w:rsidR="00EF4656" w:rsidRDefault="00F3645D">
            <w:pPr>
              <w:spacing w:before="1"/>
              <w:jc w:val="both"/>
              <w:rPr>
                <w:rFonts w:ascii="Libre Baskerville" w:eastAsia="Libre Baskerville" w:hAnsi="Libre Baskerville" w:cs="Libre Baskerville"/>
                <w:color w:val="000000"/>
                <w:sz w:val="22"/>
                <w:szCs w:val="22"/>
              </w:rPr>
            </w:pPr>
            <w:r>
              <w:rPr>
                <w:rFonts w:ascii="Libre Baskerville" w:eastAsia="Libre Baskerville" w:hAnsi="Libre Baskerville" w:cs="Libre Baskerville"/>
                <w:color w:val="000000"/>
                <w:sz w:val="22"/>
                <w:szCs w:val="22"/>
              </w:rPr>
              <w:t>E-ISSN: 2541-5263</w:t>
            </w:r>
          </w:p>
          <w:p w14:paraId="75B43B49" w14:textId="77777777" w:rsidR="00EF4656" w:rsidRDefault="00F3645D">
            <w:pPr>
              <w:spacing w:before="30"/>
              <w:jc w:val="both"/>
              <w:rPr>
                <w:rFonts w:ascii="Libre Baskerville" w:eastAsia="Libre Baskerville" w:hAnsi="Libre Baskerville" w:cs="Libre Baskerville"/>
                <w:color w:val="000000"/>
                <w:sz w:val="22"/>
                <w:szCs w:val="22"/>
              </w:rPr>
            </w:pPr>
            <w:r>
              <w:rPr>
                <w:rFonts w:ascii="Libre Baskerville" w:eastAsia="Libre Baskerville" w:hAnsi="Libre Baskerville" w:cs="Libre Baskerville"/>
                <w:color w:val="000000"/>
                <w:sz w:val="22"/>
                <w:szCs w:val="22"/>
              </w:rPr>
              <w:t>P-ISSN: 1411-4380</w:t>
            </w:r>
          </w:p>
          <w:p w14:paraId="1E535E9A" w14:textId="77777777" w:rsidR="00EF4656" w:rsidRDefault="00EF4656">
            <w:pPr>
              <w:jc w:val="both"/>
              <w:rPr>
                <w:rFonts w:ascii="Libre Baskerville" w:eastAsia="Libre Baskerville" w:hAnsi="Libre Baskerville" w:cs="Libre Baskerville"/>
                <w:color w:val="000000"/>
                <w:sz w:val="22"/>
                <w:szCs w:val="22"/>
              </w:rPr>
            </w:pPr>
          </w:p>
        </w:tc>
        <w:tc>
          <w:tcPr>
            <w:tcW w:w="271" w:type="dxa"/>
            <w:vMerge w:val="restart"/>
            <w:tcBorders>
              <w:top w:val="nil"/>
              <w:left w:val="nil"/>
              <w:bottom w:val="nil"/>
              <w:right w:val="nil"/>
            </w:tcBorders>
          </w:tcPr>
          <w:p w14:paraId="7F60EFD1" w14:textId="77777777" w:rsidR="00EF4656" w:rsidRDefault="00EF4656">
            <w:pPr>
              <w:spacing w:before="120"/>
              <w:jc w:val="both"/>
              <w:rPr>
                <w:rFonts w:ascii="Libre Baskerville" w:eastAsia="Libre Baskerville" w:hAnsi="Libre Baskerville" w:cs="Libre Baskerville"/>
                <w:color w:val="000000"/>
                <w:sz w:val="22"/>
                <w:szCs w:val="22"/>
              </w:rPr>
            </w:pPr>
          </w:p>
        </w:tc>
        <w:tc>
          <w:tcPr>
            <w:tcW w:w="4972" w:type="dxa"/>
            <w:vMerge w:val="restart"/>
            <w:tcBorders>
              <w:left w:val="nil"/>
              <w:bottom w:val="nil"/>
              <w:right w:val="nil"/>
            </w:tcBorders>
          </w:tcPr>
          <w:p w14:paraId="44DD15C5" w14:textId="26687DD5" w:rsidR="00A30B34" w:rsidRPr="00423284" w:rsidRDefault="00A30B34" w:rsidP="00423284">
            <w:pPr>
              <w:pStyle w:val="HTMLPreformatted"/>
              <w:jc w:val="both"/>
            </w:pPr>
            <w:r w:rsidRPr="00E44568">
              <w:rPr>
                <w:rFonts w:ascii="Libre Baskerville" w:hAnsi="Libre Baskerville"/>
                <w:i/>
                <w:iCs/>
                <w:color w:val="202124"/>
                <w:lang w:val="en"/>
              </w:rPr>
              <w:t xml:space="preserve"> </w:t>
            </w:r>
            <w:r w:rsidR="00E44568" w:rsidRPr="00E44568">
              <w:rPr>
                <w:rFonts w:ascii="Libre Baskerville" w:hAnsi="Libre Baskerville"/>
                <w:i/>
                <w:iCs/>
                <w:color w:val="202124"/>
                <w:lang w:val="en"/>
              </w:rPr>
              <w:t>The development of Islam after the Khulafaurrasyidin era was continued by the Umayyad dynasty. During its journey, the Umayyad dynasty was divided into two periods, namely the Eastern Umayyad dynasty (Damascus), now known as Syria, and the Western Umayyad dynasty (Andalusia), now known as Spain. This research aims to explain Islamic civilization and thought during the Umayyad dynasty. This research uses descriptive qualitative methods with literature. This research data obtained from the literature comes from books and journals related to the research title. This research resulted in a reign of 90 years in Damascus and 280 years in Andalusia. The development of science in Damascus was concentrated on the science of tafsir, hadith, qiro'at, nahwu, hadith and language, while from an economic perspective during the Umayyad dynasty there was also a significant increase. significant and also the factors that caused the decline of the Umayyad dynasty in Andalusia</w:t>
            </w:r>
            <w:r w:rsidRPr="00A30B34">
              <w:rPr>
                <w:rFonts w:ascii="Libre Baskerville" w:hAnsi="Libre Baskerville"/>
                <w:i/>
                <w:iCs/>
                <w:color w:val="202124"/>
                <w:lang w:val="en"/>
              </w:rPr>
              <w:t>.</w:t>
            </w:r>
          </w:p>
          <w:p w14:paraId="7098EF52" w14:textId="7D725772" w:rsidR="00EF4656" w:rsidRPr="00A30B34" w:rsidRDefault="00F3645D" w:rsidP="00A30B34">
            <w:pPr>
              <w:spacing w:before="120"/>
              <w:jc w:val="both"/>
              <w:rPr>
                <w:rFonts w:ascii="Libre Baskerville" w:eastAsia="Libre Baskerville" w:hAnsi="Libre Baskerville" w:cs="Libre Baskerville"/>
                <w:i/>
                <w:iCs/>
              </w:rPr>
            </w:pPr>
            <w:r w:rsidRPr="00A30B34">
              <w:rPr>
                <w:rFonts w:ascii="Libre Baskerville" w:eastAsia="Libre Baskerville" w:hAnsi="Libre Baskerville" w:cs="Libre Baskerville"/>
                <w:b/>
                <w:i/>
                <w:iCs/>
              </w:rPr>
              <w:t>Keywords</w:t>
            </w:r>
            <w:r w:rsidRPr="00A30B34">
              <w:rPr>
                <w:rFonts w:ascii="Libre Baskerville" w:eastAsia="Libre Baskerville" w:hAnsi="Libre Baskerville" w:cs="Libre Baskerville"/>
                <w:i/>
                <w:iCs/>
              </w:rPr>
              <w:t xml:space="preserve">: </w:t>
            </w:r>
            <w:r w:rsidR="00E44568" w:rsidRPr="00E44568">
              <w:rPr>
                <w:rFonts w:ascii="Libre Baskerville" w:hAnsi="Libre Baskerville"/>
                <w:bCs/>
                <w:i/>
                <w:iCs/>
              </w:rPr>
              <w:t>Civilization, Umayyad Dynasty, Damascus, Andalusia</w:t>
            </w:r>
            <w:r w:rsidR="009F7740" w:rsidRPr="00E44568">
              <w:rPr>
                <w:rFonts w:ascii="Libre Baskerville" w:eastAsia="Libre Baskerville" w:hAnsi="Libre Baskerville" w:cs="Libre Baskerville"/>
                <w:i/>
                <w:iCs/>
              </w:rPr>
              <w:t>.</w:t>
            </w:r>
          </w:p>
          <w:p w14:paraId="362204F1" w14:textId="77777777" w:rsidR="00EF4656" w:rsidRPr="00A30B34" w:rsidRDefault="00F3645D" w:rsidP="00A30B34">
            <w:pPr>
              <w:spacing w:before="120"/>
              <w:jc w:val="both"/>
              <w:rPr>
                <w:rFonts w:ascii="Libre Baskerville" w:eastAsia="Libre Baskerville" w:hAnsi="Libre Baskerville" w:cs="Libre Baskerville"/>
                <w:b/>
                <w:i/>
                <w:iCs/>
              </w:rPr>
            </w:pPr>
            <w:r w:rsidRPr="00A30B34">
              <w:rPr>
                <w:rFonts w:ascii="Libre Baskerville" w:eastAsia="Libre Baskerville" w:hAnsi="Libre Baskerville" w:cs="Libre Baskerville"/>
                <w:b/>
                <w:i/>
                <w:iCs/>
              </w:rPr>
              <w:t>ABSTRAK</w:t>
            </w:r>
          </w:p>
          <w:p w14:paraId="5224579C" w14:textId="29844B63" w:rsidR="00EF4656" w:rsidRPr="00423284" w:rsidRDefault="00E44568" w:rsidP="00A30B34">
            <w:pPr>
              <w:spacing w:before="120"/>
              <w:jc w:val="both"/>
              <w:rPr>
                <w:rFonts w:ascii="Libre Baskerville" w:eastAsia="Libre Baskerville" w:hAnsi="Libre Baskerville" w:cs="Libre Baskerville"/>
                <w:i/>
                <w:iCs/>
              </w:rPr>
            </w:pPr>
            <w:r w:rsidRPr="00E44568">
              <w:rPr>
                <w:rFonts w:ascii="Libre Baskerville" w:hAnsi="Libre Baskerville"/>
                <w:i/>
                <w:iCs/>
              </w:rPr>
              <w:t xml:space="preserve">Perkembangan agama islam setelah masa khulafaurrasyidin dilanjutkan oleh dinasti umayyah. Dalam perjalanannya dinasti umayyah dibagi menjadi dua periode, yakni dinasti umayyah timur (damaskus) sekarang dikenal dengan negara siria dan dinasti umayyah barat (andalusia) yang sekarang dikenal dengan negara spanyol. Penelitian kali ini bermaksud untuk menjelaskan mengenai peradaban serta pemikiran islam pada masa dinasti umayyah. Penelitian ini menggunakan metode kualitatif deskriptif dengan kepustakaan. Data penelitian ini yang diperoleh dengan kepustakaan berasal dari buku-buku maupun jurnal yang terkait dengan judul penelitian. Penelitian ini menghasilkan masa pemerintahan 90 tahun di damaskus dan 280 tahun di andalusia, perkembangan ilmu pengetahuan di damaskus terkonsentrasikan pada ilmu tafsir, hadits, qiro’at, nahwu, hadits dan bahasa, sedangkan dari segi ekonomi pada masa dinasti umayyah </w:t>
            </w:r>
            <w:r w:rsidRPr="00E44568">
              <w:rPr>
                <w:rFonts w:ascii="Libre Baskerville" w:hAnsi="Libre Baskerville"/>
                <w:i/>
                <w:iCs/>
              </w:rPr>
              <w:lastRenderedPageBreak/>
              <w:t>juga telah mengalami peningkatan yang signifikan dan juga faktor-faktor yang menjadi kemunduran pada dinasti umayyah di andalusia</w:t>
            </w:r>
            <w:r w:rsidR="004B55F1" w:rsidRPr="00423284">
              <w:rPr>
                <w:rFonts w:ascii="Libre Baskerville" w:hAnsi="Libre Baskerville"/>
                <w:i/>
                <w:iCs/>
              </w:rPr>
              <w:t>.</w:t>
            </w:r>
          </w:p>
          <w:p w14:paraId="12B47F42" w14:textId="0B32BB0C" w:rsidR="00EF4656" w:rsidRPr="00F44ABD" w:rsidRDefault="00F3645D" w:rsidP="00A30B34">
            <w:pPr>
              <w:spacing w:before="120"/>
              <w:jc w:val="both"/>
              <w:rPr>
                <w:rFonts w:ascii="Libre Baskerville" w:eastAsia="Libre Baskerville" w:hAnsi="Libre Baskerville" w:cs="Libre Baskerville"/>
                <w:i/>
                <w:iCs/>
              </w:rPr>
            </w:pPr>
            <w:r w:rsidRPr="00A30B34">
              <w:rPr>
                <w:rFonts w:ascii="Libre Baskerville" w:eastAsia="Libre Baskerville" w:hAnsi="Libre Baskerville" w:cs="Libre Baskerville"/>
                <w:b/>
                <w:i/>
                <w:iCs/>
              </w:rPr>
              <w:t>Kata Kunci :</w:t>
            </w:r>
            <w:r w:rsidRPr="00A30B34">
              <w:rPr>
                <w:rFonts w:ascii="Libre Baskerville" w:eastAsia="Libre Baskerville" w:hAnsi="Libre Baskerville" w:cs="Libre Baskerville"/>
                <w:i/>
                <w:iCs/>
              </w:rPr>
              <w:t xml:space="preserve"> </w:t>
            </w:r>
            <w:r w:rsidR="009F7740" w:rsidRPr="00A30B34">
              <w:rPr>
                <w:rFonts w:ascii="Libre Baskerville" w:eastAsia="Libre Baskerville" w:hAnsi="Libre Baskerville" w:cs="Libre Baskerville"/>
                <w:i/>
                <w:iCs/>
              </w:rPr>
              <w:t>Pe</w:t>
            </w:r>
            <w:r w:rsidR="00E44568">
              <w:rPr>
                <w:rFonts w:ascii="Libre Baskerville" w:eastAsia="Libre Baskerville" w:hAnsi="Libre Baskerville" w:cs="Libre Baskerville"/>
                <w:i/>
                <w:iCs/>
              </w:rPr>
              <w:t>radaban, Dinasti Umayyah, Damaskus, Andalusia</w:t>
            </w:r>
            <w:r w:rsidRPr="00A30B34">
              <w:rPr>
                <w:rFonts w:ascii="Libre Baskerville" w:eastAsia="Libre Baskerville" w:hAnsi="Libre Baskerville" w:cs="Libre Baskerville"/>
                <w:i/>
                <w:iCs/>
              </w:rPr>
              <w:t>.</w:t>
            </w:r>
          </w:p>
        </w:tc>
      </w:tr>
      <w:tr w:rsidR="00EF4656" w14:paraId="2F878D35" w14:textId="77777777">
        <w:trPr>
          <w:trHeight w:val="1231"/>
        </w:trPr>
        <w:tc>
          <w:tcPr>
            <w:tcW w:w="3654" w:type="dxa"/>
            <w:tcBorders>
              <w:top w:val="nil"/>
              <w:left w:val="nil"/>
              <w:bottom w:val="nil"/>
              <w:right w:val="nil"/>
            </w:tcBorders>
          </w:tcPr>
          <w:p w14:paraId="7FE71DEC" w14:textId="77777777" w:rsidR="00EF4656" w:rsidRDefault="00F3645D">
            <w:pPr>
              <w:spacing w:before="230"/>
              <w:jc w:val="both"/>
              <w:rPr>
                <w:rFonts w:ascii="Libre Baskerville" w:eastAsia="Libre Baskerville" w:hAnsi="Libre Baskerville" w:cs="Libre Baskerville"/>
                <w:b/>
                <w:sz w:val="22"/>
                <w:szCs w:val="22"/>
              </w:rPr>
            </w:pPr>
            <w:r>
              <w:rPr>
                <w:rFonts w:ascii="Libre Baskerville" w:eastAsia="Libre Baskerville" w:hAnsi="Libre Baskerville" w:cs="Libre Baskerville"/>
                <w:b/>
                <w:sz w:val="22"/>
                <w:szCs w:val="22"/>
              </w:rPr>
              <w:t>How to cite:</w:t>
            </w:r>
          </w:p>
          <w:p w14:paraId="6073D148" w14:textId="4FCA0E40" w:rsidR="00EF4656" w:rsidRDefault="009F7740">
            <w:pPr>
              <w:ind w:right="37"/>
              <w:jc w:val="both"/>
              <w:rPr>
                <w:rFonts w:ascii="Libre Baskerville" w:eastAsia="Libre Baskerville" w:hAnsi="Libre Baskerville" w:cs="Libre Baskerville"/>
                <w:sz w:val="22"/>
                <w:szCs w:val="22"/>
              </w:rPr>
            </w:pPr>
            <w:r>
              <w:rPr>
                <w:rFonts w:asciiTheme="minorHAnsi" w:eastAsia="Libre Baskerville" w:hAnsiTheme="minorHAnsi" w:cs="Libre Baskerville"/>
                <w:sz w:val="22"/>
                <w:szCs w:val="22"/>
              </w:rPr>
              <w:t>Muhammad Rois</w:t>
            </w:r>
            <w:r w:rsidR="00E44568">
              <w:rPr>
                <w:rFonts w:asciiTheme="minorHAnsi" w:eastAsia="Libre Baskerville" w:hAnsiTheme="minorHAnsi" w:cs="Libre Baskerville"/>
                <w:sz w:val="22"/>
                <w:szCs w:val="22"/>
              </w:rPr>
              <w:t>ul Muttaqin, Izah Uya Qadam, Ryan Muhammad Ridwan</w:t>
            </w:r>
            <w:r w:rsidR="00F3645D">
              <w:rPr>
                <w:rFonts w:ascii="Libre Baskerville" w:eastAsia="Libre Baskerville" w:hAnsi="Libre Baskerville" w:cs="Libre Baskerville"/>
                <w:sz w:val="22"/>
                <w:szCs w:val="22"/>
              </w:rPr>
              <w:t xml:space="preserve">. (2023). </w:t>
            </w:r>
            <w:r>
              <w:rPr>
                <w:rFonts w:asciiTheme="minorHAnsi" w:eastAsia="Libre Baskerville" w:hAnsiTheme="minorHAnsi" w:cs="Libre Baskerville"/>
                <w:i/>
                <w:sz w:val="22"/>
                <w:szCs w:val="22"/>
              </w:rPr>
              <w:t>Pe</w:t>
            </w:r>
            <w:r w:rsidR="00E44568">
              <w:rPr>
                <w:rFonts w:asciiTheme="minorHAnsi" w:eastAsia="Libre Baskerville" w:hAnsiTheme="minorHAnsi" w:cs="Libre Baskerville"/>
                <w:i/>
                <w:sz w:val="22"/>
                <w:szCs w:val="22"/>
              </w:rPr>
              <w:t>radaban dan Pemikiran Islam Pada Masa Dinasti Umayyah di Timur (Damaskus) dan Barat (Andalusia)</w:t>
            </w:r>
            <w:r w:rsidR="00F3645D">
              <w:rPr>
                <w:rFonts w:ascii="Libre Baskerville" w:eastAsia="Libre Baskerville" w:hAnsi="Libre Baskerville" w:cs="Libre Baskerville"/>
                <w:i/>
                <w:sz w:val="22"/>
                <w:szCs w:val="22"/>
              </w:rPr>
              <w:t xml:space="preserve">. </w:t>
            </w:r>
            <w:r w:rsidR="00F3645D">
              <w:rPr>
                <w:rFonts w:ascii="Libre Baskerville" w:eastAsia="Libre Baskerville" w:hAnsi="Libre Baskerville" w:cs="Libre Baskerville"/>
                <w:sz w:val="22"/>
                <w:szCs w:val="22"/>
              </w:rPr>
              <w:t>Journal Analytica Islamica. 12 (2) (2023), 39-44</w:t>
            </w:r>
          </w:p>
          <w:p w14:paraId="56309C62" w14:textId="77777777" w:rsidR="00EF4656" w:rsidRDefault="00EF4656">
            <w:pPr>
              <w:jc w:val="both"/>
              <w:rPr>
                <w:rFonts w:ascii="Libre Baskerville" w:eastAsia="Libre Baskerville" w:hAnsi="Libre Baskerville" w:cs="Libre Baskerville"/>
                <w:i/>
                <w:color w:val="000000"/>
                <w:sz w:val="22"/>
                <w:szCs w:val="22"/>
              </w:rPr>
            </w:pPr>
          </w:p>
          <w:p w14:paraId="21EC44A7" w14:textId="77777777" w:rsidR="00EF4656" w:rsidRDefault="00EF4656">
            <w:pPr>
              <w:jc w:val="both"/>
              <w:rPr>
                <w:rFonts w:ascii="Libre Baskerville" w:eastAsia="Libre Baskerville" w:hAnsi="Libre Baskerville" w:cs="Libre Baskerville"/>
                <w:i/>
                <w:color w:val="000000"/>
                <w:sz w:val="22"/>
                <w:szCs w:val="22"/>
              </w:rPr>
            </w:pPr>
          </w:p>
          <w:p w14:paraId="00128779" w14:textId="77777777" w:rsidR="00EF4656" w:rsidRDefault="00EF4656">
            <w:pPr>
              <w:jc w:val="both"/>
              <w:rPr>
                <w:rFonts w:ascii="Libre Baskerville" w:eastAsia="Libre Baskerville" w:hAnsi="Libre Baskerville" w:cs="Libre Baskerville"/>
                <w:i/>
                <w:color w:val="000000"/>
                <w:sz w:val="22"/>
                <w:szCs w:val="22"/>
              </w:rPr>
            </w:pPr>
          </w:p>
          <w:p w14:paraId="61E3E766" w14:textId="77777777" w:rsidR="00EF4656" w:rsidRDefault="00F3645D">
            <w:pPr>
              <w:jc w:val="both"/>
              <w:rPr>
                <w:rFonts w:ascii="Libre Baskerville" w:eastAsia="Libre Baskerville" w:hAnsi="Libre Baskerville" w:cs="Libre Baskerville"/>
                <w:i/>
                <w:color w:val="000000"/>
                <w:sz w:val="22"/>
                <w:szCs w:val="22"/>
              </w:rPr>
            </w:pPr>
            <w:r>
              <w:rPr>
                <w:noProof/>
              </w:rPr>
              <w:drawing>
                <wp:anchor distT="0" distB="0" distL="0" distR="0" simplePos="0" relativeHeight="251662336" behindDoc="1" locked="0" layoutInCell="1" hidden="0" allowOverlap="1" wp14:anchorId="40D74D2C" wp14:editId="1EB879D0">
                  <wp:simplePos x="0" y="0"/>
                  <wp:positionH relativeFrom="column">
                    <wp:posOffset>1905</wp:posOffset>
                  </wp:positionH>
                  <wp:positionV relativeFrom="paragraph">
                    <wp:posOffset>92972</wp:posOffset>
                  </wp:positionV>
                  <wp:extent cx="1057275" cy="371475"/>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057275" cy="371475"/>
                          </a:xfrm>
                          <a:prstGeom prst="rect">
                            <a:avLst/>
                          </a:prstGeom>
                          <a:ln/>
                        </pic:spPr>
                      </pic:pic>
                    </a:graphicData>
                  </a:graphic>
                </wp:anchor>
              </w:drawing>
            </w:r>
          </w:p>
          <w:p w14:paraId="7F3127F7" w14:textId="77777777" w:rsidR="00EF4656" w:rsidRDefault="00EF4656">
            <w:pPr>
              <w:jc w:val="both"/>
              <w:rPr>
                <w:rFonts w:ascii="Libre Baskerville" w:eastAsia="Libre Baskerville" w:hAnsi="Libre Baskerville" w:cs="Libre Baskerville"/>
                <w:i/>
                <w:color w:val="000000"/>
                <w:sz w:val="22"/>
                <w:szCs w:val="22"/>
              </w:rPr>
            </w:pPr>
          </w:p>
          <w:p w14:paraId="1BD73C7F" w14:textId="77777777" w:rsidR="00EF4656" w:rsidRDefault="00EF4656">
            <w:pPr>
              <w:jc w:val="both"/>
              <w:rPr>
                <w:rFonts w:ascii="Libre Baskerville" w:eastAsia="Libre Baskerville" w:hAnsi="Libre Baskerville" w:cs="Libre Baskerville"/>
                <w:i/>
                <w:color w:val="000000"/>
                <w:sz w:val="22"/>
                <w:szCs w:val="22"/>
              </w:rPr>
            </w:pPr>
          </w:p>
          <w:p w14:paraId="2B38A117" w14:textId="77777777" w:rsidR="00EF4656" w:rsidRDefault="00F3645D">
            <w:pPr>
              <w:jc w:val="both"/>
              <w:rPr>
                <w:rFonts w:ascii="Libre Baskerville" w:eastAsia="Libre Baskerville" w:hAnsi="Libre Baskerville" w:cs="Libre Baskerville"/>
                <w:sz w:val="22"/>
                <w:szCs w:val="22"/>
              </w:rPr>
            </w:pPr>
            <w:r>
              <w:rPr>
                <w:rFonts w:ascii="Libre Baskerville" w:eastAsia="Libre Baskerville" w:hAnsi="Libre Baskerville" w:cs="Libre Baskerville"/>
                <w:i/>
                <w:color w:val="000000"/>
                <w:sz w:val="22"/>
                <w:szCs w:val="22"/>
              </w:rPr>
              <w:t xml:space="preserve">This is an open access article under the </w:t>
            </w:r>
            <w:hyperlink r:id="rId13">
              <w:r>
                <w:rPr>
                  <w:rFonts w:ascii="Libre Baskerville" w:eastAsia="Libre Baskerville" w:hAnsi="Libre Baskerville" w:cs="Libre Baskerville"/>
                  <w:i/>
                  <w:color w:val="000000"/>
                  <w:sz w:val="22"/>
                  <w:szCs w:val="22"/>
                  <w:u w:val="single"/>
                </w:rPr>
                <w:t>CC BY-</w:t>
              </w:r>
            </w:hyperlink>
            <w:r>
              <w:rPr>
                <w:rFonts w:ascii="Libre Baskerville" w:eastAsia="Libre Baskerville" w:hAnsi="Libre Baskerville" w:cs="Libre Baskerville"/>
                <w:i/>
                <w:color w:val="000000"/>
                <w:sz w:val="22"/>
                <w:szCs w:val="22"/>
                <w:u w:val="single"/>
              </w:rPr>
              <w:t>NC</w:t>
            </w:r>
            <w:r>
              <w:rPr>
                <w:rFonts w:ascii="Libre Baskerville" w:eastAsia="Libre Baskerville" w:hAnsi="Libre Baskerville" w:cs="Libre Baskerville"/>
                <w:sz w:val="22"/>
                <w:szCs w:val="22"/>
              </w:rPr>
              <w:t xml:space="preserve"> </w:t>
            </w:r>
            <w:r>
              <w:rPr>
                <w:rFonts w:ascii="Libre Baskerville" w:eastAsia="Libre Baskerville" w:hAnsi="Libre Baskerville" w:cs="Libre Baskerville"/>
                <w:color w:val="000000"/>
                <w:sz w:val="22"/>
                <w:szCs w:val="22"/>
              </w:rPr>
              <w:t>license</w:t>
            </w:r>
            <w:r>
              <w:rPr>
                <w:rFonts w:ascii="Libre Baskerville" w:eastAsia="Libre Baskerville" w:hAnsi="Libre Baskerville" w:cs="Libre Baskerville"/>
                <w:sz w:val="22"/>
                <w:szCs w:val="22"/>
              </w:rPr>
              <w:t xml:space="preserve"> </w:t>
            </w:r>
          </w:p>
          <w:p w14:paraId="3688B7BD" w14:textId="77777777" w:rsidR="00EF4656" w:rsidRDefault="00EF4656">
            <w:pPr>
              <w:jc w:val="both"/>
              <w:rPr>
                <w:rFonts w:ascii="Libre Baskerville" w:eastAsia="Libre Baskerville" w:hAnsi="Libre Baskerville" w:cs="Libre Baskerville"/>
                <w:sz w:val="22"/>
                <w:szCs w:val="22"/>
              </w:rPr>
            </w:pPr>
          </w:p>
          <w:p w14:paraId="35FD92F8" w14:textId="77777777" w:rsidR="00EF4656" w:rsidRDefault="00EF4656">
            <w:pPr>
              <w:jc w:val="both"/>
              <w:rPr>
                <w:rFonts w:ascii="Libre Baskerville" w:eastAsia="Libre Baskerville" w:hAnsi="Libre Baskerville" w:cs="Libre Baskerville"/>
                <w:sz w:val="22"/>
                <w:szCs w:val="22"/>
              </w:rPr>
            </w:pPr>
          </w:p>
          <w:p w14:paraId="5BFC0E9B" w14:textId="77777777" w:rsidR="00EF4656" w:rsidRDefault="00EF4656">
            <w:pPr>
              <w:jc w:val="both"/>
              <w:rPr>
                <w:rFonts w:ascii="Libre Baskerville" w:eastAsia="Libre Baskerville" w:hAnsi="Libre Baskerville" w:cs="Libre Baskerville"/>
                <w:sz w:val="22"/>
                <w:szCs w:val="22"/>
              </w:rPr>
            </w:pPr>
          </w:p>
          <w:p w14:paraId="6FC93A54" w14:textId="77777777" w:rsidR="00EF4656" w:rsidRDefault="00EF4656">
            <w:pPr>
              <w:jc w:val="both"/>
              <w:rPr>
                <w:rFonts w:ascii="Libre Baskerville" w:eastAsia="Libre Baskerville" w:hAnsi="Libre Baskerville" w:cs="Libre Baskerville"/>
                <w:sz w:val="22"/>
                <w:szCs w:val="22"/>
              </w:rPr>
            </w:pPr>
          </w:p>
          <w:p w14:paraId="15CFA98C" w14:textId="77777777" w:rsidR="00EF4656" w:rsidRDefault="00F3645D">
            <w:pPr>
              <w:tabs>
                <w:tab w:val="left" w:pos="2372"/>
              </w:tabs>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ab/>
            </w:r>
          </w:p>
        </w:tc>
        <w:tc>
          <w:tcPr>
            <w:tcW w:w="271" w:type="dxa"/>
            <w:vMerge/>
            <w:tcBorders>
              <w:top w:val="nil"/>
              <w:left w:val="nil"/>
              <w:bottom w:val="nil"/>
              <w:right w:val="nil"/>
            </w:tcBorders>
          </w:tcPr>
          <w:p w14:paraId="5AA80B3E" w14:textId="77777777" w:rsidR="00EF4656" w:rsidRDefault="00EF4656">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c>
          <w:tcPr>
            <w:tcW w:w="4972" w:type="dxa"/>
            <w:vMerge/>
            <w:tcBorders>
              <w:left w:val="nil"/>
              <w:bottom w:val="nil"/>
              <w:right w:val="nil"/>
            </w:tcBorders>
          </w:tcPr>
          <w:p w14:paraId="7BC429E1" w14:textId="77777777" w:rsidR="00EF4656" w:rsidRDefault="00EF4656">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r>
    </w:tbl>
    <w:p w14:paraId="7E40F674" w14:textId="77777777" w:rsidR="00EF4656" w:rsidRDefault="00EF4656">
      <w:pPr>
        <w:tabs>
          <w:tab w:val="left" w:pos="426"/>
        </w:tabs>
        <w:ind w:left="426"/>
        <w:jc w:val="both"/>
        <w:rPr>
          <w:rFonts w:ascii="Libre Baskerville" w:eastAsia="Libre Baskerville" w:hAnsi="Libre Baskerville" w:cs="Libre Baskerville"/>
          <w:b/>
          <w:sz w:val="22"/>
          <w:szCs w:val="22"/>
        </w:rPr>
      </w:pPr>
    </w:p>
    <w:p w14:paraId="1D3BB5EE" w14:textId="77777777" w:rsidR="00EF4656" w:rsidRPr="00436586" w:rsidRDefault="00F3645D" w:rsidP="00F44ABD">
      <w:pPr>
        <w:numPr>
          <w:ilvl w:val="0"/>
          <w:numId w:val="1"/>
        </w:numPr>
        <w:spacing w:before="240" w:after="240"/>
        <w:ind w:left="567" w:hanging="567"/>
        <w:jc w:val="both"/>
        <w:rPr>
          <w:rFonts w:ascii="Libre Baskerville" w:eastAsia="Libre Baskerville" w:hAnsi="Libre Baskerville" w:cs="Libre Baskerville"/>
          <w:sz w:val="24"/>
          <w:szCs w:val="24"/>
        </w:rPr>
      </w:pPr>
      <w:r w:rsidRPr="00436586">
        <w:rPr>
          <w:rFonts w:ascii="Libre Baskerville" w:eastAsia="Libre Baskerville" w:hAnsi="Libre Baskerville" w:cs="Libre Baskerville"/>
          <w:b/>
          <w:sz w:val="24"/>
          <w:szCs w:val="24"/>
        </w:rPr>
        <w:t>PENDAHULUAN</w:t>
      </w:r>
    </w:p>
    <w:p w14:paraId="1E1A0C17" w14:textId="77777777" w:rsidR="00436586" w:rsidRPr="00436586" w:rsidRDefault="00436586" w:rsidP="00436586">
      <w:pPr>
        <w:ind w:left="567" w:firstLine="284"/>
        <w:jc w:val="both"/>
        <w:rPr>
          <w:rFonts w:ascii="Libre Baskerville" w:hAnsi="Libre Baskerville"/>
          <w:sz w:val="24"/>
          <w:szCs w:val="24"/>
        </w:rPr>
      </w:pPr>
      <w:r w:rsidRPr="00436586">
        <w:rPr>
          <w:rFonts w:ascii="Libre Baskerville" w:hAnsi="Libre Baskerville"/>
          <w:sz w:val="24"/>
          <w:szCs w:val="24"/>
        </w:rPr>
        <w:t>Perkembangan peradaban islam setelah berakhirnya kepemimpinan masa Khulafaurrasyidin dilanjutkan oleh Dinasti ataupun Daulah Umayyah yakni pada tahun 661-750 M. Daulah Umayyah ini sendiri merupakan dinasti besar yang menggunakan gaya kepemimpinan yang berbeda dengan masa-masa sebelumnya, yaitu menggunakan sistem monarki heridetis atau yang biasa disebut dengan sistem khalifah.</w:t>
      </w:r>
    </w:p>
    <w:p w14:paraId="684E96F5" w14:textId="77777777" w:rsidR="00436586" w:rsidRPr="00436586" w:rsidRDefault="00436586" w:rsidP="00436586">
      <w:pPr>
        <w:ind w:left="567" w:firstLine="284"/>
        <w:jc w:val="both"/>
        <w:rPr>
          <w:rFonts w:ascii="Libre Baskerville" w:hAnsi="Libre Baskerville"/>
          <w:sz w:val="24"/>
          <w:szCs w:val="24"/>
        </w:rPr>
      </w:pPr>
      <w:r w:rsidRPr="00436586">
        <w:rPr>
          <w:rFonts w:ascii="Libre Baskerville" w:hAnsi="Libre Baskerville"/>
          <w:sz w:val="24"/>
          <w:szCs w:val="24"/>
        </w:rPr>
        <w:t>Muawiyah bin Abi Sufyan yang memimpin Daulah Umayyah memiliki latar belakang keluarga pedagang besar yang berasal dari suku quraisy dan berpusat di kota Makkah. Pada awal mulanya, Daulah Umayyah ini sangat menentang ajaran-ajaran dari agama islam yang disebabkan oleh permusuhan dengan Bani Hasyim. Daulah umayyah ini lebih dominan serta menguasai kepada pemerintahan dan perdagangan untuk masyarakat makkah. Hal tersebut dilatarbelakangi oleh banyaknya masyarakat daulah umayyah yang berkunjung ke ka’bah, daripada Bani Hasyim yang kebanyakan merupakan orang yang sederhana. Sejalan dengan perkembangan ajaran-ajaran islam, Daulah Umayyah merasa posisinya terancam serta menjadi aktor utama dalam melakukan penentang utama terutama dalam perjuangan-perjuangan yang dilakukan oleh Nabi Muhammad SAW.</w:t>
      </w:r>
    </w:p>
    <w:p w14:paraId="2A023595" w14:textId="77777777" w:rsidR="00436586" w:rsidRPr="00436586" w:rsidRDefault="00436586" w:rsidP="00436586">
      <w:pPr>
        <w:ind w:left="567" w:firstLine="284"/>
        <w:jc w:val="both"/>
        <w:rPr>
          <w:rFonts w:ascii="Libre Baskerville" w:hAnsi="Libre Baskerville"/>
          <w:sz w:val="24"/>
          <w:szCs w:val="24"/>
        </w:rPr>
      </w:pPr>
      <w:r w:rsidRPr="00436586">
        <w:rPr>
          <w:rFonts w:ascii="Libre Baskerville" w:hAnsi="Libre Baskerville"/>
          <w:sz w:val="24"/>
          <w:szCs w:val="24"/>
        </w:rPr>
        <w:t>Peran Daulah Umayyah ini sendiri dimulai ketika Daulah Umayyah menjadi administrator yang saat itu dipimpin oleh Nabi Muhammad Shallallahu Alaihi Wasallam. Pada masa khalifah ketiga, yakni pada saat Khalifah Utsman bin Affan, saat itu Muawiyah bin Abi Sofyan menjadi gubernur Siria. Lalu pada masa khalifah yang keempat, yakni Khalifah Ali bin Abi Thalib, Muawiyah bin Abi Sufyan melakukan agitasi serta ingin mengungkap siapa yang menjadi dalang atas pembunuhan Khalifah Utsman bin Affan, sehingga saat itu terjadilah perang saudara antar umat islam yang pertama kalinya dalam sejarah yang terjadi pada tahun 656-661 M. Pada perang tersebut, Muawiyah bin Abi Sufyan menang atas Khalifah Ali bin Abi Thalib berkat tipu-tipu muslihatnya. Lalu Muawiyah bin Abi Sufyan mengumumkan dirinya menjadi khalifah Daulah Umayyah yang pertama dan basis kekuatan utama di Suriah serta Damaskus sebagai ibu kotanya.</w:t>
      </w:r>
    </w:p>
    <w:p w14:paraId="31CE6348" w14:textId="77777777" w:rsidR="00436586" w:rsidRPr="00436586" w:rsidRDefault="00436586" w:rsidP="00436586">
      <w:pPr>
        <w:ind w:left="567" w:firstLine="284"/>
        <w:jc w:val="both"/>
        <w:rPr>
          <w:rFonts w:ascii="Libre Baskerville" w:hAnsi="Libre Baskerville"/>
          <w:sz w:val="24"/>
          <w:szCs w:val="24"/>
        </w:rPr>
      </w:pPr>
      <w:r w:rsidRPr="00436586">
        <w:rPr>
          <w:rFonts w:ascii="Libre Baskerville" w:hAnsi="Libre Baskerville"/>
          <w:sz w:val="24"/>
          <w:szCs w:val="24"/>
        </w:rPr>
        <w:t>Dalam perjalanannya, Daulah Umayyah ini dibedakan menjadi 2 periode. Pertama, Daulah Umayyah didirikan serta dirintis oleh Muawiyah bin Abi Sufyan ini dipusatkan di daerah Siria. Dalam perjalanannya fase di Damaskus ini berlangsung selama satu abad dengan mengubah sistem yang mulanya khilafah dirubah menjadi sistem kerajaan. Kedua, Daulah Umayyah di Andalusia pada awalnya gubernur Walid bin Abdul Malik memimpin di wilayah taklukan Daulah Umayyah, selanjutnya sistem pemerintahan dirubah menjadi sistem kerajaan setelah berhasil mengalahkan Bani Umayyah yang saat itu di Damaskus.</w:t>
      </w:r>
      <w:r w:rsidRPr="00436586">
        <w:rPr>
          <w:rFonts w:ascii="Libre Baskerville" w:hAnsi="Libre Baskerville"/>
          <w:sz w:val="24"/>
          <w:szCs w:val="24"/>
        </w:rPr>
        <w:fldChar w:fldCharType="begin" w:fldLock="1"/>
      </w:r>
      <w:r w:rsidRPr="00436586">
        <w:rPr>
          <w:rFonts w:ascii="Libre Baskerville" w:hAnsi="Libre Baskerville"/>
          <w:sz w:val="24"/>
          <w:szCs w:val="24"/>
        </w:rPr>
        <w:instrText>ADDIN CSL_CITATION {"citationItems":[{"id":"ITEM-1","itemData":{"author":[{"dropping-particle":"","family":"Mubarok","given":"Jaih","non-dropping-particle":"","parse-names":false,"suffix":""}],"container-title":"Sejarah Peradaban Islam","id":"ITEM-1","issued":{"date-parts":[["2005"]]},"publisher":"Bani Quraisy","publisher-place":"Bandung","title":"No Title","type":"chapter"},"uris":["http://www.mendeley.com/documents/?uuid=1bc5abf7-1660-4bac-9b56-d375d8cf4bf3"]}],"mendeley":{"formattedCitation":"(Mubarok, 2005)","plainTextFormattedCitation":"(Mubarok, 2005)","previouslyFormattedCitation":"(Mubarok, 2005)"},"properties":{"noteIndex":0},"schema":"https://github.com/citation-style-language/schema/raw/master/csl-citation.json"}</w:instrText>
      </w:r>
      <w:r w:rsidRPr="00436586">
        <w:rPr>
          <w:rFonts w:ascii="Libre Baskerville" w:hAnsi="Libre Baskerville"/>
          <w:sz w:val="24"/>
          <w:szCs w:val="24"/>
        </w:rPr>
        <w:fldChar w:fldCharType="separate"/>
      </w:r>
      <w:r w:rsidRPr="00436586">
        <w:rPr>
          <w:rFonts w:ascii="Libre Baskerville" w:hAnsi="Libre Baskerville"/>
          <w:noProof/>
          <w:sz w:val="24"/>
          <w:szCs w:val="24"/>
        </w:rPr>
        <w:t>(Mubarok, 2005)</w:t>
      </w:r>
      <w:r w:rsidRPr="00436586">
        <w:rPr>
          <w:rFonts w:ascii="Libre Baskerville" w:hAnsi="Libre Baskerville"/>
          <w:sz w:val="24"/>
          <w:szCs w:val="24"/>
        </w:rPr>
        <w:fldChar w:fldCharType="end"/>
      </w:r>
      <w:r w:rsidRPr="00436586">
        <w:rPr>
          <w:rFonts w:ascii="Libre Baskerville" w:hAnsi="Libre Baskerville"/>
          <w:sz w:val="24"/>
          <w:szCs w:val="24"/>
        </w:rPr>
        <w:t xml:space="preserve"> </w:t>
      </w:r>
    </w:p>
    <w:p w14:paraId="1337527B" w14:textId="55C385F0" w:rsidR="00A07AD3" w:rsidRPr="00436586" w:rsidRDefault="00436586" w:rsidP="00436586">
      <w:pPr>
        <w:ind w:left="567" w:firstLine="284"/>
        <w:jc w:val="both"/>
        <w:rPr>
          <w:rFonts w:ascii="Libre Baskerville" w:hAnsi="Libre Baskerville"/>
          <w:sz w:val="24"/>
          <w:szCs w:val="24"/>
        </w:rPr>
      </w:pPr>
      <w:r w:rsidRPr="00436586">
        <w:rPr>
          <w:rFonts w:ascii="Libre Baskerville" w:hAnsi="Libre Baskerville"/>
          <w:sz w:val="24"/>
          <w:szCs w:val="24"/>
        </w:rPr>
        <w:lastRenderedPageBreak/>
        <w:t>Berdasarkan pendahuluan di atas, ada artikel yang ditulis oleh Taufik Rachman bahwa Bani Umayyah Dilihat dari Tiga Fase yakni fase terbentuk, kejayaan dan kemunduran. Hal ini juga sama terhadap apa yang akan diteliti oleh peneliti. Tetapi belum banyak peneliti yang membahas terkait perkembangan ilmu pengetahuan serta perkembangan ekonomi yang dilakukan oleh Bani Umayyah. Maka dari itu peneliti ingin membahas tentang perkembangan ilmu, ekonomi serta faktor-faktor kemunduran yang dialami oleh Dinasti Umayyah di Andalusia/Spanyol</w:t>
      </w:r>
      <w:r w:rsidR="00A30B34" w:rsidRPr="00436586">
        <w:rPr>
          <w:rFonts w:ascii="Libre Baskerville" w:hAnsi="Libre Baskerville"/>
          <w:sz w:val="24"/>
          <w:szCs w:val="24"/>
        </w:rPr>
        <w:t>.</w:t>
      </w:r>
    </w:p>
    <w:p w14:paraId="4C63FB5F" w14:textId="77777777" w:rsidR="00EF4656" w:rsidRPr="00436586" w:rsidRDefault="00F3645D" w:rsidP="00F44ABD">
      <w:pPr>
        <w:numPr>
          <w:ilvl w:val="0"/>
          <w:numId w:val="1"/>
        </w:numPr>
        <w:spacing w:before="240" w:after="240"/>
        <w:ind w:left="567" w:hanging="567"/>
        <w:jc w:val="both"/>
        <w:rPr>
          <w:rFonts w:ascii="Libre Baskerville" w:eastAsia="Libre Baskerville" w:hAnsi="Libre Baskerville" w:cs="Libre Baskerville"/>
          <w:sz w:val="24"/>
          <w:szCs w:val="24"/>
        </w:rPr>
      </w:pPr>
      <w:r w:rsidRPr="00436586">
        <w:rPr>
          <w:rFonts w:ascii="Libre Baskerville" w:eastAsia="Libre Baskerville" w:hAnsi="Libre Baskerville" w:cs="Libre Baskerville"/>
          <w:b/>
          <w:sz w:val="24"/>
          <w:szCs w:val="24"/>
        </w:rPr>
        <w:t>METODE PENELITIAN</w:t>
      </w:r>
    </w:p>
    <w:p w14:paraId="32AF3850" w14:textId="52DD762B" w:rsidR="00EF4656" w:rsidRPr="00436586" w:rsidRDefault="00436586" w:rsidP="00436586">
      <w:pPr>
        <w:ind w:left="567" w:firstLine="284"/>
        <w:jc w:val="both"/>
        <w:rPr>
          <w:rFonts w:ascii="Libre Baskerville" w:eastAsia="Libre Baskerville" w:hAnsi="Libre Baskerville" w:cs="Libre Baskerville"/>
          <w:color w:val="000000"/>
          <w:sz w:val="24"/>
          <w:szCs w:val="24"/>
        </w:rPr>
      </w:pPr>
      <w:r w:rsidRPr="00436586">
        <w:rPr>
          <w:rFonts w:ascii="Libre Baskerville" w:hAnsi="Libre Baskerville"/>
          <w:sz w:val="24"/>
          <w:szCs w:val="24"/>
        </w:rPr>
        <w:t>Metode penelitian ini adalah library research atau metode dengan kajian kepustakaan mengenai Peradaban Dan Pemikiran Islam Pada Masa Dinasti Umayyah di timur yakni di kota Damaskus dan Dinasti Umayyah di barat yakni di kota Andalusia.  Adapun pendekatan yang digunakan adalah deskriptif kualitatif sehingga dalam penelitian ini menghasilkan informasi serta deskripsi yang berasal dari berbagai sumber. Sedangkan sumber informasi mengenai penelitian ini berasal dari beberapa buku dan  artikel jurnal. Oleh karena itu, proses pengumpulan data diperoleh dengan cara membaca buku, literatur-literatur serta juga jurnal ilmiah yang tentunya ada kaitannya dengan topik urgensi sejarah dalam praktik moderasi beragama di Indonesia. Data yang telah diperoleh kemudian dicatat, dikaji, dan dianalisis. Analisis data ini dilakukan melalui analisis isi. Teknik ini dimulai dari pengklasifikasian data berdasarkan rumusan masalah, kemudian menyusun data yang telah diklasifikasi, kemudian dilanjutkan untuk menganalisis data yang telah disusun, dan yang terakhir yakni perumusan kesimpulan</w:t>
      </w:r>
      <w:r w:rsidR="00F3645D" w:rsidRPr="00436586">
        <w:rPr>
          <w:rFonts w:ascii="Libre Baskerville" w:eastAsia="Libre Baskerville" w:hAnsi="Libre Baskerville" w:cs="Libre Baskerville"/>
          <w:sz w:val="24"/>
          <w:szCs w:val="24"/>
        </w:rPr>
        <w:t>.</w:t>
      </w:r>
    </w:p>
    <w:p w14:paraId="071035E0" w14:textId="369526A1" w:rsidR="00EF4656" w:rsidRPr="00436586" w:rsidRDefault="00F3645D" w:rsidP="00436586">
      <w:pPr>
        <w:pStyle w:val="ListParagraph"/>
        <w:numPr>
          <w:ilvl w:val="0"/>
          <w:numId w:val="1"/>
        </w:numPr>
        <w:spacing w:before="240" w:after="240" w:line="240" w:lineRule="auto"/>
        <w:ind w:left="567" w:hanging="567"/>
        <w:jc w:val="both"/>
        <w:rPr>
          <w:rFonts w:ascii="Libre Baskerville" w:eastAsia="Libre Baskerville" w:hAnsi="Libre Baskerville" w:cs="Libre Baskerville"/>
          <w:b/>
          <w:sz w:val="24"/>
          <w:szCs w:val="24"/>
        </w:rPr>
      </w:pPr>
      <w:r w:rsidRPr="00436586">
        <w:rPr>
          <w:rFonts w:ascii="Libre Baskerville" w:eastAsia="Libre Baskerville" w:hAnsi="Libre Baskerville" w:cs="Libre Baskerville"/>
          <w:b/>
          <w:sz w:val="24"/>
          <w:szCs w:val="24"/>
        </w:rPr>
        <w:t>HASIL PEMBAHASAN</w:t>
      </w:r>
    </w:p>
    <w:p w14:paraId="13EF7991" w14:textId="08CDC081" w:rsidR="00800F7C" w:rsidRPr="00A87C3D" w:rsidRDefault="00436586" w:rsidP="00A87C3D">
      <w:pPr>
        <w:numPr>
          <w:ilvl w:val="0"/>
          <w:numId w:val="8"/>
        </w:numPr>
        <w:ind w:left="1134" w:hanging="567"/>
        <w:jc w:val="both"/>
        <w:rPr>
          <w:rFonts w:ascii="Libre Baskerville" w:eastAsia="Libre Baskerville" w:hAnsi="Libre Baskerville" w:cs="Libre Baskerville"/>
          <w:b/>
          <w:sz w:val="24"/>
          <w:szCs w:val="24"/>
        </w:rPr>
      </w:pPr>
      <w:r w:rsidRPr="00A87C3D">
        <w:rPr>
          <w:rFonts w:ascii="Libre Baskerville" w:eastAsia="Libre Baskerville" w:hAnsi="Libre Baskerville" w:cs="Libre Baskerville"/>
          <w:b/>
          <w:sz w:val="24"/>
          <w:szCs w:val="24"/>
        </w:rPr>
        <w:t>Peradaban dan Pemikiran Islam Pada Masa Dinasti Umayyah di Timur (Damaskus)</w:t>
      </w:r>
    </w:p>
    <w:p w14:paraId="585EC929" w14:textId="36A2C9BB" w:rsidR="00436586" w:rsidRPr="00A87C3D" w:rsidRDefault="00436586" w:rsidP="00A87C3D">
      <w:pPr>
        <w:pStyle w:val="ListParagraph"/>
        <w:numPr>
          <w:ilvl w:val="0"/>
          <w:numId w:val="15"/>
        </w:numPr>
        <w:spacing w:after="0" w:line="240" w:lineRule="auto"/>
        <w:ind w:left="1418" w:hanging="284"/>
        <w:jc w:val="both"/>
        <w:rPr>
          <w:rFonts w:ascii="Libre Baskerville" w:eastAsia="Libre Baskerville" w:hAnsi="Libre Baskerville" w:cs="Libre Baskerville"/>
          <w:b/>
          <w:sz w:val="24"/>
          <w:szCs w:val="24"/>
        </w:rPr>
      </w:pPr>
      <w:r w:rsidRPr="00A87C3D">
        <w:rPr>
          <w:rFonts w:ascii="Libre Baskerville" w:eastAsia="Libre Baskerville" w:hAnsi="Libre Baskerville" w:cs="Libre Baskerville"/>
          <w:b/>
          <w:sz w:val="24"/>
          <w:szCs w:val="24"/>
        </w:rPr>
        <w:t>Sejarah Berdirinya Dinasti Umayyah</w:t>
      </w:r>
    </w:p>
    <w:p w14:paraId="3B66842B" w14:textId="77777777" w:rsidR="00436586" w:rsidRPr="00A87C3D" w:rsidRDefault="00436586" w:rsidP="00A87C3D">
      <w:pPr>
        <w:ind w:left="1418" w:firstLine="283"/>
        <w:jc w:val="both"/>
        <w:rPr>
          <w:rFonts w:ascii="Libre Baskerville" w:hAnsi="Libre Baskerville"/>
          <w:sz w:val="24"/>
          <w:szCs w:val="24"/>
        </w:rPr>
      </w:pPr>
      <w:r w:rsidRPr="00A87C3D">
        <w:rPr>
          <w:rFonts w:ascii="Libre Baskerville" w:hAnsi="Libre Baskerville"/>
          <w:sz w:val="24"/>
          <w:szCs w:val="24"/>
        </w:rPr>
        <w:t>Dinasti Umayyah adalah pemerintahan muslim yang lahir setelah masa Khulafaurrasyidin. Dinasti yang berdiri pada tahun 661 M / 41 H ini  didirikan oleh Muawiyah bin Abu Sufyan bin Harb. Nasab Nabi Muhammad SAW bertemu dengan Muawiyah bin Abu Sufyan pada tingkat Abdi Manaf. Keluarga Nabi dikenal sebagai Bani Hasyim.</w:t>
      </w:r>
    </w:p>
    <w:p w14:paraId="66E94946" w14:textId="77777777" w:rsidR="00436586" w:rsidRPr="00A87C3D" w:rsidRDefault="00436586" w:rsidP="00A87C3D">
      <w:pPr>
        <w:ind w:left="1418" w:firstLine="283"/>
        <w:jc w:val="both"/>
        <w:rPr>
          <w:rFonts w:ascii="Libre Baskerville" w:hAnsi="Libre Baskerville"/>
          <w:sz w:val="24"/>
          <w:szCs w:val="24"/>
        </w:rPr>
      </w:pPr>
      <w:r w:rsidRPr="00A87C3D">
        <w:rPr>
          <w:rFonts w:ascii="Libre Baskerville" w:hAnsi="Libre Baskerville" w:cstheme="majorBidi"/>
          <w:sz w:val="24"/>
          <w:szCs w:val="24"/>
        </w:rPr>
        <w:t>Dinasti Umayyah ini namanya diambil dari Umayyah bin Abdi Syams bin Abdi Manaf, salah satu pemimpin suku Quraisy pada masa Jahiliya. Umayyah terus-menerus berkompetisi dengan pamannya Hasyim bin Abdi Manaf demi mendapatkan kepemimpinan dan penghormatan dari bangsa serta masyarakatnya. Dia mempunyai pandangan-pandangan yang diperlukan untuk memerintah pada saat itu, dikarenakan ia berlatarbelakang keluarga yang bangsawan,  mempunyai harta yang melimpah serta mempunyai 10 orang putra yang sangan dihormati dalam kalangan masyarakat. Di Zaman Jahiliah, ketiga elemen ini sangat berarti bagi mereka yang memilikinya dijamin mendapat akses terhadap kehormatan dan kekuasaan</w:t>
      </w:r>
      <w:r w:rsidRPr="00A87C3D">
        <w:rPr>
          <w:rFonts w:ascii="Libre Baskerville" w:hAnsi="Libre Baskerville"/>
          <w:sz w:val="24"/>
          <w:szCs w:val="24"/>
        </w:rPr>
        <w:t>.</w:t>
      </w:r>
      <w:r w:rsidRPr="00A87C3D">
        <w:rPr>
          <w:rFonts w:ascii="Libre Baskerville" w:hAnsi="Libre Baskerville"/>
          <w:sz w:val="24"/>
          <w:szCs w:val="24"/>
        </w:rPr>
        <w:fldChar w:fldCharType="begin" w:fldLock="1"/>
      </w:r>
      <w:r w:rsidRPr="00A87C3D">
        <w:rPr>
          <w:rFonts w:ascii="Libre Baskerville" w:hAnsi="Libre Baskerville"/>
          <w:sz w:val="24"/>
          <w:szCs w:val="24"/>
        </w:rPr>
        <w:instrText>ADDIN CSL_CITATION {"citationItems":[{"id":"ITEM-1","itemData":{"author":[{"dropping-particle":"","family":"Syalabi","given":"Ahmad","non-dropping-particle":"","parse-names":false,"suffix":""}],"container-title":"Sejarah Kebudayaan Islam","id":"ITEM-1","issued":{"date-parts":[["2003"]]},"publisher":"Pustaka Al-Husna Baru","publisher-place":"Jakarta","title":"No Title","type":"chapter"},"uris":["http://www.mendeley.com/documents/?uuid=921c293e-a82f-4edf-8d06-7c451e985f5b"]}],"mendeley":{"formattedCitation":"(Syalabi, 2003)","plainTextFormattedCitation":"(Syalabi, 2003)","previouslyFormattedCitation":"(Syalabi, 2003)"},"properties":{"noteIndex":0},"schema":"https://github.com/citation-style-language/schema/raw/master/csl-citation.json"}</w:instrText>
      </w:r>
      <w:r w:rsidRPr="00A87C3D">
        <w:rPr>
          <w:rFonts w:ascii="Libre Baskerville" w:hAnsi="Libre Baskerville"/>
          <w:sz w:val="24"/>
          <w:szCs w:val="24"/>
        </w:rPr>
        <w:fldChar w:fldCharType="separate"/>
      </w:r>
      <w:r w:rsidRPr="00A87C3D">
        <w:rPr>
          <w:rFonts w:ascii="Libre Baskerville" w:hAnsi="Libre Baskerville"/>
          <w:noProof/>
          <w:sz w:val="24"/>
          <w:szCs w:val="24"/>
        </w:rPr>
        <w:t>(Syalabi, 2003)</w:t>
      </w:r>
      <w:r w:rsidRPr="00A87C3D">
        <w:rPr>
          <w:rFonts w:ascii="Libre Baskerville" w:hAnsi="Libre Baskerville"/>
          <w:sz w:val="24"/>
          <w:szCs w:val="24"/>
        </w:rPr>
        <w:fldChar w:fldCharType="end"/>
      </w:r>
    </w:p>
    <w:p w14:paraId="1EACF29A" w14:textId="77777777" w:rsidR="00436586" w:rsidRPr="00A87C3D" w:rsidRDefault="00436586" w:rsidP="00A87C3D">
      <w:pPr>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lastRenderedPageBreak/>
        <w:t xml:space="preserve">Berdirinya Dinasti Bani Umayyah  sendiri dipicu oleh Peristiwa Tahkim pada Perang Shiffin. Setelah pembunuhan Utsman bin Affan, Muawiyah bin Abi Sufyan dan para sahabatnya berbicara terhadap masyarakat dan mendorong mereka untuk mengungkap siapa yang membunuh Utsman. Tragedi meninggalnya Utsman bin Affan kemudian menjadi </w:t>
      </w:r>
      <w:r w:rsidRPr="00A87C3D">
        <w:rPr>
          <w:rFonts w:ascii="Libre Baskerville" w:hAnsi="Libre Baskerville" w:cstheme="majorBidi"/>
          <w:sz w:val="24"/>
          <w:szCs w:val="24"/>
          <w:lang w:val="da-DK"/>
        </w:rPr>
        <w:t>alasan</w:t>
      </w:r>
      <w:r w:rsidRPr="00A87C3D">
        <w:rPr>
          <w:rFonts w:ascii="Libre Baskerville" w:hAnsi="Libre Baskerville" w:cstheme="majorBidi"/>
          <w:sz w:val="24"/>
          <w:szCs w:val="24"/>
        </w:rPr>
        <w:t xml:space="preserve"> untuk mewujudkan keinginannya.</w:t>
      </w:r>
      <w:r w:rsidRPr="00A87C3D">
        <w:rPr>
          <w:rFonts w:ascii="Libre Baskerville" w:hAnsi="Libre Baskerville" w:cstheme="majorBidi"/>
          <w:sz w:val="24"/>
          <w:szCs w:val="24"/>
          <w:lang w:val="da-DK"/>
        </w:rPr>
        <w:t xml:space="preserve"> </w:t>
      </w:r>
      <w:r w:rsidRPr="00A87C3D">
        <w:rPr>
          <w:rFonts w:ascii="Libre Baskerville" w:hAnsi="Libre Baskerville" w:cstheme="majorBidi"/>
          <w:sz w:val="24"/>
          <w:szCs w:val="24"/>
        </w:rPr>
        <w:t xml:space="preserve">Muawiyah dan pengikutnya selalu menuntut penerus Utsman, </w:t>
      </w:r>
      <w:r w:rsidRPr="00A87C3D">
        <w:rPr>
          <w:rFonts w:ascii="Libre Baskerville" w:hAnsi="Libre Baskerville" w:cstheme="majorBidi"/>
          <w:sz w:val="24"/>
          <w:szCs w:val="24"/>
          <w:lang w:val="da-DK"/>
        </w:rPr>
        <w:t xml:space="preserve">yaitu </w:t>
      </w:r>
      <w:r w:rsidRPr="00A87C3D">
        <w:rPr>
          <w:rFonts w:ascii="Libre Baskerville" w:hAnsi="Libre Baskerville" w:cstheme="majorBidi"/>
          <w:sz w:val="24"/>
          <w:szCs w:val="24"/>
        </w:rPr>
        <w:t>Ali</w:t>
      </w:r>
      <w:r w:rsidRPr="00A87C3D">
        <w:rPr>
          <w:rFonts w:ascii="Libre Baskerville" w:hAnsi="Libre Baskerville" w:cstheme="majorBidi"/>
          <w:sz w:val="24"/>
          <w:szCs w:val="24"/>
          <w:lang w:val="da-DK"/>
        </w:rPr>
        <w:t xml:space="preserve"> untuk </w:t>
      </w:r>
      <w:r w:rsidRPr="00A87C3D">
        <w:rPr>
          <w:rFonts w:ascii="Libre Baskerville" w:hAnsi="Libre Baskerville" w:cstheme="majorBidi"/>
          <w:sz w:val="24"/>
          <w:szCs w:val="24"/>
        </w:rPr>
        <w:t>menyerahkan orang yang bertanggung jawab atas pembunuhan Utsman.</w:t>
      </w:r>
      <w:r w:rsidRPr="00A87C3D">
        <w:rPr>
          <w:rFonts w:ascii="Libre Baskerville" w:hAnsi="Libre Baskerville" w:cstheme="majorBidi"/>
          <w:sz w:val="24"/>
          <w:szCs w:val="24"/>
          <w:lang w:val="da-DK"/>
        </w:rPr>
        <w:t xml:space="preserve"> </w:t>
      </w:r>
      <w:r w:rsidRPr="00A87C3D">
        <w:rPr>
          <w:rFonts w:ascii="Libre Baskerville" w:hAnsi="Libre Baskerville" w:cstheme="majorBidi"/>
          <w:sz w:val="24"/>
          <w:szCs w:val="24"/>
        </w:rPr>
        <w:t>Ketika tuntutan tersebut tidak dipenuhi, Mu'awiyah menggunakan hal tersebut sebagai dalih untuk menolak Ali bin Abi Thalib dan memisahkan diri dari pemerintah pusat.</w:t>
      </w:r>
    </w:p>
    <w:p w14:paraId="1E21EBF8" w14:textId="7F2C0E3E" w:rsidR="00436586" w:rsidRPr="00A87C3D" w:rsidRDefault="00436586" w:rsidP="00A87C3D">
      <w:pPr>
        <w:ind w:left="1418" w:firstLine="283"/>
        <w:jc w:val="both"/>
        <w:rPr>
          <w:rFonts w:ascii="Libre Baskerville" w:eastAsia="Libre Baskerville" w:hAnsi="Libre Baskerville" w:cs="Libre Baskerville"/>
          <w:bCs/>
          <w:sz w:val="24"/>
          <w:szCs w:val="24"/>
        </w:rPr>
      </w:pPr>
      <w:r w:rsidRPr="00A87C3D">
        <w:rPr>
          <w:rFonts w:ascii="Libre Baskerville" w:hAnsi="Libre Baskerville"/>
          <w:sz w:val="24"/>
          <w:szCs w:val="24"/>
        </w:rPr>
        <w:t xml:space="preserve">Mu'awiyah menyarankan agar Ali kembali kepada hukum Allah dan memenangkan arbitrase ini. Dalam perang tahkim, Ali tertipu dengan strategi </w:t>
      </w:r>
      <w:r w:rsidRPr="00A87C3D">
        <w:rPr>
          <w:rFonts w:ascii="Libre Baskerville" w:hAnsi="Libre Baskerville"/>
          <w:sz w:val="24"/>
          <w:szCs w:val="24"/>
          <w:lang w:val="da-DK"/>
        </w:rPr>
        <w:t xml:space="preserve">dengan </w:t>
      </w:r>
      <w:r w:rsidRPr="00A87C3D">
        <w:rPr>
          <w:rFonts w:ascii="Libre Baskerville" w:hAnsi="Libre Baskerville"/>
          <w:sz w:val="24"/>
          <w:szCs w:val="24"/>
        </w:rPr>
        <w:t xml:space="preserve">Muawiyah yang </w:t>
      </w:r>
      <w:r w:rsidRPr="00A87C3D">
        <w:rPr>
          <w:rFonts w:ascii="Libre Baskerville" w:hAnsi="Libre Baskerville"/>
          <w:sz w:val="24"/>
          <w:szCs w:val="24"/>
          <w:lang w:val="da-DK"/>
        </w:rPr>
        <w:t>berimbas</w:t>
      </w:r>
      <w:r w:rsidRPr="00A87C3D">
        <w:rPr>
          <w:rFonts w:ascii="Libre Baskerville" w:hAnsi="Libre Baskerville"/>
          <w:sz w:val="24"/>
          <w:szCs w:val="24"/>
        </w:rPr>
        <w:t xml:space="preserve"> pada kekalahan politiknya.</w:t>
      </w:r>
      <w:r w:rsidRPr="00A87C3D">
        <w:rPr>
          <w:rFonts w:ascii="Libre Baskerville" w:hAnsi="Libre Baskerville"/>
          <w:sz w:val="24"/>
          <w:szCs w:val="24"/>
          <w:lang w:val="da-DK"/>
        </w:rPr>
        <w:t xml:space="preserve"> </w:t>
      </w:r>
      <w:r w:rsidRPr="00A87C3D">
        <w:rPr>
          <w:rFonts w:ascii="Libre Baskerville" w:hAnsi="Libre Baskerville"/>
          <w:sz w:val="24"/>
          <w:szCs w:val="24"/>
        </w:rPr>
        <w:t>Sebaliknya Muawiyah berpeluang naik jabatan baik khalifah maupun raja.</w:t>
      </w:r>
      <w:r w:rsidRPr="00A87C3D">
        <w:rPr>
          <w:rFonts w:ascii="Libre Baskerville" w:hAnsi="Libre Baskerville"/>
          <w:sz w:val="24"/>
          <w:szCs w:val="24"/>
          <w:lang w:val="da-DK"/>
        </w:rPr>
        <w:t xml:space="preserve"> </w:t>
      </w:r>
      <w:r w:rsidRPr="00A87C3D">
        <w:rPr>
          <w:rFonts w:ascii="Libre Baskerville" w:hAnsi="Libre Baskerville"/>
          <w:sz w:val="24"/>
          <w:szCs w:val="24"/>
        </w:rPr>
        <w:t xml:space="preserve">Muawiyah </w:t>
      </w:r>
      <w:r w:rsidRPr="00A87C3D">
        <w:rPr>
          <w:rFonts w:ascii="Libre Baskerville" w:hAnsi="Libre Baskerville"/>
          <w:sz w:val="24"/>
          <w:szCs w:val="24"/>
          <w:lang w:val="da-DK"/>
        </w:rPr>
        <w:t xml:space="preserve">mulai </w:t>
      </w:r>
      <w:r w:rsidRPr="00A87C3D">
        <w:rPr>
          <w:rFonts w:ascii="Libre Baskerville" w:hAnsi="Libre Baskerville"/>
          <w:sz w:val="24"/>
          <w:szCs w:val="24"/>
        </w:rPr>
        <w:t>menjabat khalifah pada tahun 41</w:t>
      </w:r>
      <w:r w:rsidRPr="00A87C3D">
        <w:rPr>
          <w:rFonts w:ascii="Libre Baskerville" w:hAnsi="Libre Baskerville"/>
          <w:sz w:val="24"/>
          <w:szCs w:val="24"/>
          <w:lang w:val="da-DK"/>
        </w:rPr>
        <w:t xml:space="preserve"> H</w:t>
      </w:r>
      <w:r w:rsidRPr="00A87C3D">
        <w:rPr>
          <w:rFonts w:ascii="Libre Baskerville" w:hAnsi="Libre Baskerville"/>
          <w:sz w:val="24"/>
          <w:szCs w:val="24"/>
        </w:rPr>
        <w:t xml:space="preserve"> setelah</w:t>
      </w:r>
      <w:r w:rsidRPr="00A87C3D">
        <w:rPr>
          <w:rFonts w:ascii="Libre Baskerville" w:hAnsi="Libre Baskerville"/>
          <w:sz w:val="24"/>
          <w:szCs w:val="24"/>
          <w:lang w:val="da-DK"/>
        </w:rPr>
        <w:t xml:space="preserve"> terjadi perdamaian antara</w:t>
      </w:r>
      <w:r w:rsidRPr="00A87C3D">
        <w:rPr>
          <w:rFonts w:ascii="Libre Baskerville" w:hAnsi="Libre Baskerville"/>
          <w:sz w:val="24"/>
          <w:szCs w:val="24"/>
        </w:rPr>
        <w:t xml:space="preserve"> Hasan bin Ali dengan Muawiyah.</w:t>
      </w:r>
      <w:r w:rsidRPr="00A87C3D">
        <w:rPr>
          <w:rFonts w:ascii="Libre Baskerville" w:hAnsi="Libre Baskerville"/>
          <w:sz w:val="24"/>
          <w:szCs w:val="24"/>
          <w:lang w:val="da-DK"/>
        </w:rPr>
        <w:t xml:space="preserve"> </w:t>
      </w:r>
      <w:r w:rsidRPr="00A87C3D">
        <w:rPr>
          <w:rFonts w:ascii="Libre Baskerville" w:hAnsi="Libre Baskerville"/>
          <w:sz w:val="24"/>
          <w:szCs w:val="24"/>
        </w:rPr>
        <w:t xml:space="preserve">Hal ini disebabkan karena sepeninggal Ali bin Abi Thalib, banyak umat Islam berjanji setia kepada Hasan untuk meneruskan estafet kepemimpinan umat Islam, </w:t>
      </w:r>
      <w:r w:rsidRPr="00A87C3D">
        <w:rPr>
          <w:rFonts w:ascii="Libre Baskerville" w:hAnsi="Libre Baskerville"/>
          <w:sz w:val="24"/>
          <w:szCs w:val="24"/>
          <w:lang w:val="da-DK"/>
        </w:rPr>
        <w:t>tetapi</w:t>
      </w:r>
      <w:r w:rsidRPr="00A87C3D">
        <w:rPr>
          <w:rFonts w:ascii="Libre Baskerville" w:hAnsi="Libre Baskerville"/>
          <w:sz w:val="24"/>
          <w:szCs w:val="24"/>
        </w:rPr>
        <w:t xml:space="preserve"> Hasan sadar diri </w:t>
      </w:r>
      <w:r w:rsidRPr="00A87C3D">
        <w:rPr>
          <w:rFonts w:ascii="Libre Baskerville" w:hAnsi="Libre Baskerville"/>
          <w:sz w:val="24"/>
          <w:szCs w:val="24"/>
          <w:lang w:val="da-DK"/>
        </w:rPr>
        <w:t xml:space="preserve">akan </w:t>
      </w:r>
      <w:r w:rsidRPr="00A87C3D">
        <w:rPr>
          <w:rFonts w:ascii="Libre Baskerville" w:hAnsi="Libre Baskerville"/>
          <w:sz w:val="24"/>
          <w:szCs w:val="24"/>
        </w:rPr>
        <w:t>kelemahannya akhirnya mereka berdamai serta menyerahkan kepemimpinannya pada Mu'awiyah</w:t>
      </w:r>
      <w:r w:rsidRPr="00A87C3D">
        <w:rPr>
          <w:rFonts w:ascii="Libre Baskerville" w:hAnsi="Libre Baskerville"/>
          <w:sz w:val="24"/>
          <w:szCs w:val="24"/>
          <w:lang w:val="da-DK"/>
        </w:rPr>
        <w:t xml:space="preserve">, </w:t>
      </w:r>
      <w:r w:rsidRPr="00A87C3D">
        <w:rPr>
          <w:rFonts w:ascii="Libre Baskerville" w:hAnsi="Libre Baskerville"/>
          <w:sz w:val="24"/>
          <w:szCs w:val="24"/>
        </w:rPr>
        <w:t>Hingga akhirnya pada saat tahun itu disebut sebagai Am</w:t>
      </w:r>
      <w:r w:rsidRPr="00A87C3D">
        <w:rPr>
          <w:rFonts w:ascii="Libre Baskerville" w:hAnsi="Libre Baskerville"/>
          <w:sz w:val="24"/>
          <w:szCs w:val="24"/>
          <w:lang w:val="da-DK"/>
        </w:rPr>
        <w:t>ul</w:t>
      </w:r>
      <w:r w:rsidRPr="00A87C3D">
        <w:rPr>
          <w:rFonts w:ascii="Libre Baskerville" w:hAnsi="Libre Baskerville"/>
          <w:sz w:val="24"/>
          <w:szCs w:val="24"/>
        </w:rPr>
        <w:t xml:space="preserve"> Jamaa</w:t>
      </w:r>
      <w:r w:rsidRPr="00A87C3D">
        <w:rPr>
          <w:rFonts w:ascii="Libre Baskerville" w:hAnsi="Libre Baskerville"/>
          <w:sz w:val="24"/>
          <w:szCs w:val="24"/>
          <w:lang w:val="da-DK"/>
        </w:rPr>
        <w:t>h</w:t>
      </w:r>
      <w:r w:rsidRPr="00A87C3D">
        <w:rPr>
          <w:rFonts w:ascii="Libre Baskerville" w:hAnsi="Libre Baskerville"/>
          <w:sz w:val="24"/>
          <w:szCs w:val="24"/>
        </w:rPr>
        <w:t xml:space="preserve"> atau tahun persatuan</w:t>
      </w:r>
      <w:r w:rsidRPr="00A87C3D">
        <w:rPr>
          <w:rFonts w:ascii="Libre Baskerville" w:hAnsi="Libre Baskerville"/>
          <w:sz w:val="24"/>
          <w:szCs w:val="24"/>
        </w:rPr>
        <w:t>.</w:t>
      </w:r>
    </w:p>
    <w:p w14:paraId="28D0CE28" w14:textId="3AA4B769" w:rsidR="00436586" w:rsidRPr="00A87C3D" w:rsidRDefault="00436586" w:rsidP="00A87C3D">
      <w:pPr>
        <w:pStyle w:val="ListParagraph"/>
        <w:numPr>
          <w:ilvl w:val="0"/>
          <w:numId w:val="15"/>
        </w:numPr>
        <w:spacing w:after="0" w:line="240" w:lineRule="auto"/>
        <w:ind w:left="1418" w:hanging="284"/>
        <w:jc w:val="both"/>
        <w:rPr>
          <w:rFonts w:ascii="Libre Baskerville" w:eastAsia="Libre Baskerville" w:hAnsi="Libre Baskerville" w:cs="Libre Baskerville"/>
          <w:b/>
          <w:sz w:val="24"/>
          <w:szCs w:val="24"/>
        </w:rPr>
      </w:pPr>
      <w:r w:rsidRPr="00A87C3D">
        <w:rPr>
          <w:rFonts w:ascii="Libre Baskerville" w:eastAsia="Libre Baskerville" w:hAnsi="Libre Baskerville" w:cs="Libre Baskerville"/>
          <w:b/>
          <w:sz w:val="24"/>
          <w:szCs w:val="24"/>
        </w:rPr>
        <w:t>Masa Pemerintahan</w:t>
      </w:r>
    </w:p>
    <w:p w14:paraId="2EF3F1A3" w14:textId="4262A8BB"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Dinasti Umayyah memimpin selama 90 tahun (40-132 H/661-750 M) dan 14 orang khalifah menjadi pemimpinnya. Masa pemerintahan khalifah ini terbagi menjadi 3 masa, yaitu masa perkembangan, masa puncak dan juga masa kemunduran.</w:t>
      </w:r>
      <w:r w:rsidRPr="00A87C3D">
        <w:rPr>
          <w:rFonts w:ascii="Libre Baskerville" w:hAnsi="Libre Baskerville"/>
          <w:sz w:val="24"/>
          <w:szCs w:val="24"/>
        </w:rPr>
        <w:fldChar w:fldCharType="begin" w:fldLock="1"/>
      </w:r>
      <w:r w:rsidR="00A2348E">
        <w:rPr>
          <w:rFonts w:ascii="Libre Baskerville" w:hAnsi="Libre Baskerville"/>
          <w:sz w:val="24"/>
          <w:szCs w:val="24"/>
        </w:rPr>
        <w:instrText>ADDIN CSL_CITATION {"citationItems":[{"id":"ITEM-1","itemData":{"author":[{"dropping-particle":"","family":"Nasution","given":"Syamruddin","non-dropping-particle":"","parse-names":false,"suffix":""}],"container-title":"Sejarah Peradaban Islam","id":"ITEM-1","issued":{"date-parts":[["2013"]]},"publisher":"Yayasan Pusaka","publisher-place":"Riau","title":"No Title","type":"chapter"},"uris":["http://www.mendeley.com/documents/?uuid=f5b075d1-f325-4fe0-be2d-aa193079697c"]}],"mendeley":{"formattedCitation":"(S. Nasution, 2013)","plainTextFormattedCitation":"(S. Nasution, 2013)","previouslyFormattedCitation":"(S. Nasution, 2013)"},"properties":{"noteIndex":0},"schema":"https://github.com/citation-style-language/schema/raw/master/csl-citation.json"}</w:instrText>
      </w:r>
      <w:r w:rsidRPr="00A87C3D">
        <w:rPr>
          <w:rFonts w:ascii="Libre Baskerville" w:hAnsi="Libre Baskerville"/>
          <w:sz w:val="24"/>
          <w:szCs w:val="24"/>
        </w:rPr>
        <w:fldChar w:fldCharType="separate"/>
      </w:r>
      <w:r w:rsidRPr="00A87C3D">
        <w:rPr>
          <w:rFonts w:ascii="Libre Baskerville" w:hAnsi="Libre Baskerville"/>
          <w:noProof/>
          <w:sz w:val="24"/>
          <w:szCs w:val="24"/>
        </w:rPr>
        <w:t>(S. Nasution, 2013)</w:t>
      </w:r>
      <w:r w:rsidRPr="00A87C3D">
        <w:rPr>
          <w:rFonts w:ascii="Libre Baskerville" w:hAnsi="Libre Baskerville"/>
          <w:sz w:val="24"/>
          <w:szCs w:val="24"/>
        </w:rPr>
        <w:fldChar w:fldCharType="end"/>
      </w:r>
    </w:p>
    <w:p w14:paraId="5F89C67E" w14:textId="77777777"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Masa Perkembangan: termasuk Muawiyah bin abi sofyan (661–680 M), Yazid bin Muawiyah (680–683 M), Muawiyah bin Yazid (683–683 M), serta juga Marwan bin Hakam (684–685 M).</w:t>
      </w:r>
    </w:p>
    <w:p w14:paraId="4390A62A" w14:textId="77777777"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Masa Puncak, masa puncak atau kejayaaan ini berlangsung kurang lebih sekitar 30 tahun (685–715 M). Ini dimulai dengan pemerintahan Abdul Malik bin Marwan (685–705 M) dan juga putranya Walid bin Abdul Malik (705–715 M).</w:t>
      </w:r>
    </w:p>
    <w:p w14:paraId="5C1D1A20" w14:textId="582D9C81" w:rsidR="00436586" w:rsidRPr="00A87C3D" w:rsidRDefault="00A87C3D" w:rsidP="00A87C3D">
      <w:pPr>
        <w:ind w:left="1418" w:firstLine="283"/>
        <w:jc w:val="both"/>
        <w:rPr>
          <w:rFonts w:ascii="Libre Baskerville" w:eastAsia="Libre Baskerville" w:hAnsi="Libre Baskerville" w:cs="Libre Baskerville"/>
          <w:b/>
          <w:sz w:val="24"/>
          <w:szCs w:val="24"/>
        </w:rPr>
      </w:pPr>
      <w:r w:rsidRPr="00A87C3D">
        <w:rPr>
          <w:rFonts w:ascii="Libre Baskerville" w:hAnsi="Libre Baskerville"/>
          <w:sz w:val="24"/>
          <w:szCs w:val="24"/>
        </w:rPr>
        <w:t>Masa Kemunduran</w:t>
      </w:r>
      <w:r w:rsidRPr="00A87C3D">
        <w:rPr>
          <w:rFonts w:ascii="Libre Baskerville" w:hAnsi="Libre Baskerville"/>
          <w:sz w:val="24"/>
          <w:szCs w:val="24"/>
          <w:lang w:val="en-ID"/>
        </w:rPr>
        <w:t xml:space="preserve">, </w:t>
      </w:r>
      <w:r w:rsidRPr="00A87C3D">
        <w:rPr>
          <w:rFonts w:ascii="Libre Baskerville" w:hAnsi="Libre Baskerville"/>
          <w:sz w:val="24"/>
          <w:szCs w:val="24"/>
        </w:rPr>
        <w:t>Selama periode ini</w:t>
      </w:r>
      <w:r w:rsidRPr="00A87C3D">
        <w:rPr>
          <w:rFonts w:ascii="Libre Baskerville" w:hAnsi="Libre Baskerville"/>
          <w:sz w:val="24"/>
          <w:szCs w:val="24"/>
          <w:lang w:val="en-ID"/>
        </w:rPr>
        <w:t xml:space="preserve"> </w:t>
      </w:r>
      <w:r w:rsidRPr="00A87C3D">
        <w:rPr>
          <w:rFonts w:ascii="Libre Baskerville" w:hAnsi="Libre Baskerville"/>
          <w:sz w:val="24"/>
          <w:szCs w:val="24"/>
        </w:rPr>
        <w:t>ada delapan khalifah: Sulaiman bin Abdul Malik (715–717 M), Umar bin Abdul Aziz (717–720 M), Yazid bin Abdul Malik (720–724 M), Hisyam bin Abdul Malik (724–743 M), Al-Walid bin Yazid (743–744 M), Yazid bin Al-Walid (744–744 M), Ibrahim bin Sulaiman (744–750 M) serta juga Marwan bin Muhammad (744–750 M)</w:t>
      </w:r>
      <w:r w:rsidRPr="00A87C3D">
        <w:rPr>
          <w:rFonts w:ascii="Libre Baskerville" w:hAnsi="Libre Baskerville"/>
          <w:sz w:val="24"/>
          <w:szCs w:val="24"/>
        </w:rPr>
        <w:t>.</w:t>
      </w:r>
    </w:p>
    <w:p w14:paraId="12651566" w14:textId="68D9F3E0" w:rsidR="00436586" w:rsidRPr="00A87C3D" w:rsidRDefault="00436586" w:rsidP="00A87C3D">
      <w:pPr>
        <w:pStyle w:val="ListParagraph"/>
        <w:numPr>
          <w:ilvl w:val="0"/>
          <w:numId w:val="15"/>
        </w:numPr>
        <w:spacing w:after="0" w:line="240" w:lineRule="auto"/>
        <w:ind w:left="1418" w:hanging="284"/>
        <w:jc w:val="both"/>
        <w:rPr>
          <w:rFonts w:ascii="Libre Baskerville" w:eastAsia="Libre Baskerville" w:hAnsi="Libre Baskerville" w:cs="Libre Baskerville"/>
          <w:b/>
          <w:sz w:val="24"/>
          <w:szCs w:val="24"/>
        </w:rPr>
      </w:pPr>
      <w:r w:rsidRPr="00A87C3D">
        <w:rPr>
          <w:rFonts w:ascii="Libre Baskerville" w:eastAsia="Libre Baskerville" w:hAnsi="Libre Baskerville" w:cs="Libre Baskerville"/>
          <w:b/>
          <w:sz w:val="24"/>
          <w:szCs w:val="24"/>
        </w:rPr>
        <w:t>Perkembangan Ilmu Pengetahuan</w:t>
      </w:r>
    </w:p>
    <w:p w14:paraId="04B62583" w14:textId="77777777" w:rsidR="00A87C3D" w:rsidRPr="00A87C3D" w:rsidRDefault="00A87C3D" w:rsidP="00A87C3D">
      <w:pPr>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t>Ilmu pengetahuan yang berkembang di kalangan bani umayyah ini terbagi menjadi tiga bidang, yaitu sejarah, diniyah, dan juga filsafat. Saat itu, perkembangan umat islam sangatlah pesat baik menyebarkan agama Islam maupun dalam penemuan ilmiah lainnya.</w:t>
      </w:r>
    </w:p>
    <w:p w14:paraId="5AC9B37B" w14:textId="77777777" w:rsidR="00A87C3D" w:rsidRPr="00A87C3D" w:rsidRDefault="00A87C3D" w:rsidP="00A87C3D">
      <w:pPr>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t>Perkembangan budaya, filosofi, dan juga ilmu pengetahuan terkonsentrasi di beberapa bidang, antara lain:</w:t>
      </w:r>
      <w:r w:rsidRPr="00A87C3D">
        <w:rPr>
          <w:rFonts w:ascii="Libre Baskerville" w:hAnsi="Libre Baskerville" w:cstheme="majorBidi"/>
          <w:sz w:val="24"/>
          <w:szCs w:val="24"/>
        </w:rPr>
        <w:fldChar w:fldCharType="begin" w:fldLock="1"/>
      </w:r>
      <w:r w:rsidRPr="00A87C3D">
        <w:rPr>
          <w:rFonts w:ascii="Libre Baskerville" w:hAnsi="Libre Baskerville" w:cstheme="majorBidi"/>
          <w:sz w:val="24"/>
          <w:szCs w:val="24"/>
        </w:rPr>
        <w:instrText>ADDIN CSL_CITATION {"citationItems":[{"id":"ITEM-1","itemData":{"author":[{"dropping-particle":"","family":"Kulsum","given":"Ummu","non-dropping-particle":"","parse-names":false,"suffix":""}],"container-title":"Sejarah Peradaban Islam Klasik dan Pertengahan","id":"ITEM-1","issued":{"date-parts":[["2021"]]},"publisher":"Duta Media Publishing","publisher-place":"Pamekasan","title":"No Title","type":"chapter"},"uris":["http://www.mendeley.com/documents/?uuid=f618d013-9725-45c4-90de-7e9f62f38169"]}],"mendeley":{"formattedCitation":"(Kulsum, 2021)","plainTextFormattedCitation":"(Kulsum, 2021)","previouslyFormattedCitation":"(Kulsum, 2021)"},"properties":{"noteIndex":0},"schema":"https://github.com/citation-style-language/schema/raw/master/csl-citation.json"}</w:instrText>
      </w:r>
      <w:r w:rsidRPr="00A87C3D">
        <w:rPr>
          <w:rFonts w:ascii="Libre Baskerville" w:hAnsi="Libre Baskerville" w:cstheme="majorBidi"/>
          <w:sz w:val="24"/>
          <w:szCs w:val="24"/>
        </w:rPr>
        <w:fldChar w:fldCharType="separate"/>
      </w:r>
      <w:r w:rsidRPr="00A87C3D">
        <w:rPr>
          <w:rFonts w:ascii="Libre Baskerville" w:hAnsi="Libre Baskerville" w:cstheme="majorBidi"/>
          <w:noProof/>
          <w:sz w:val="24"/>
          <w:szCs w:val="24"/>
        </w:rPr>
        <w:t>(Kulsum, 2021)</w:t>
      </w:r>
      <w:r w:rsidRPr="00A87C3D">
        <w:rPr>
          <w:rFonts w:ascii="Libre Baskerville" w:hAnsi="Libre Baskerville" w:cstheme="majorBidi"/>
          <w:sz w:val="24"/>
          <w:szCs w:val="24"/>
        </w:rPr>
        <w:fldChar w:fldCharType="end"/>
      </w:r>
    </w:p>
    <w:p w14:paraId="06F76BED" w14:textId="77777777" w:rsidR="00A87C3D" w:rsidRPr="00A87C3D" w:rsidRDefault="00A87C3D" w:rsidP="00A87C3D">
      <w:pPr>
        <w:pStyle w:val="ListParagraph"/>
        <w:numPr>
          <w:ilvl w:val="0"/>
          <w:numId w:val="18"/>
        </w:numPr>
        <w:spacing w:after="0" w:line="240" w:lineRule="auto"/>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lastRenderedPageBreak/>
        <w:t>Ilmu Tafsir. Umat Islam mulai mencari undang-undang serta hukum dari al-Qur'an setelah Daulah Umayyah berdiri di Damaskus, dan para mufassirin dan qurra menjadi tempat bertanya masyarakat tentang hukum, karena kitab tafsir berkembangnya masih melalui lisan serta belum juga adanya pembukuan pada saat itu.</w:t>
      </w:r>
    </w:p>
    <w:p w14:paraId="5CF40856" w14:textId="77777777" w:rsidR="00A87C3D" w:rsidRPr="00A87C3D" w:rsidRDefault="00A87C3D" w:rsidP="00A87C3D">
      <w:pPr>
        <w:pStyle w:val="ListParagraph"/>
        <w:numPr>
          <w:ilvl w:val="0"/>
          <w:numId w:val="18"/>
        </w:numPr>
        <w:spacing w:after="0" w:line="240" w:lineRule="auto"/>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t>Ilmu Hadis.</w:t>
      </w:r>
      <w:r w:rsidRPr="00A87C3D">
        <w:rPr>
          <w:rFonts w:ascii="Libre Baskerville" w:hAnsi="Libre Baskerville" w:cstheme="majorBidi"/>
          <w:sz w:val="24"/>
          <w:szCs w:val="24"/>
          <w:rtl/>
        </w:rPr>
        <w:t xml:space="preserve"> </w:t>
      </w:r>
      <w:r w:rsidRPr="00A87C3D">
        <w:rPr>
          <w:rFonts w:ascii="Libre Baskerville" w:hAnsi="Libre Baskerville" w:cstheme="majorBidi"/>
          <w:sz w:val="24"/>
          <w:szCs w:val="24"/>
          <w:lang w:val="en-ID"/>
        </w:rPr>
        <w:t xml:space="preserve">Pada masa ini </w:t>
      </w:r>
      <w:r w:rsidRPr="00A87C3D">
        <w:rPr>
          <w:rFonts w:ascii="Libre Baskerville" w:hAnsi="Libre Baskerville" w:cstheme="majorBidi"/>
          <w:sz w:val="24"/>
          <w:szCs w:val="24"/>
        </w:rPr>
        <w:t>para ahli hadis terkadang</w:t>
      </w:r>
      <w:r w:rsidRPr="00A87C3D">
        <w:rPr>
          <w:rFonts w:ascii="Libre Baskerville" w:hAnsi="Libre Baskerville" w:cstheme="majorBidi"/>
          <w:sz w:val="24"/>
          <w:szCs w:val="24"/>
          <w:lang w:val="en-ID"/>
        </w:rPr>
        <w:t xml:space="preserve"> masih</w:t>
      </w:r>
      <w:r w:rsidRPr="00A87C3D">
        <w:rPr>
          <w:rFonts w:ascii="Libre Baskerville" w:hAnsi="Libre Baskerville" w:cstheme="majorBidi"/>
          <w:sz w:val="24"/>
          <w:szCs w:val="24"/>
        </w:rPr>
        <w:t xml:space="preserve"> kesulitan  dalam memahami makna hadis, karena </w:t>
      </w:r>
      <w:r w:rsidRPr="00A87C3D">
        <w:rPr>
          <w:rFonts w:ascii="Libre Baskerville" w:hAnsi="Libre Baskerville" w:cstheme="majorBidi"/>
          <w:sz w:val="24"/>
          <w:szCs w:val="24"/>
          <w:lang w:val="en-ID"/>
        </w:rPr>
        <w:t>pada saat itu</w:t>
      </w:r>
      <w:r w:rsidRPr="00A87C3D">
        <w:rPr>
          <w:rFonts w:ascii="Libre Baskerville" w:hAnsi="Libre Baskerville" w:cstheme="majorBidi"/>
          <w:sz w:val="24"/>
          <w:szCs w:val="24"/>
        </w:rPr>
        <w:t xml:space="preserve"> banyak hadis yang sebenarnya bukan hadis. Dari situasi inilah muncul upaya Muhadditsin untuk mendalami sejarah dan sanad hadis. Pada akhirnya, ilmu hadis dengan segala cabangnya berkembang melalui proses ini. Selama pemerintahan Umar bin Abdul Aziz, mulai ada kemajuan terutama dalam bidang hadits.  Ibnu Az-Zuhri adalah seorang ulama yang diperintah oleh Khalifah Umar untuk membukukan hadits. </w:t>
      </w:r>
    </w:p>
    <w:p w14:paraId="18F0AFA6" w14:textId="77777777" w:rsidR="00A87C3D" w:rsidRPr="00A87C3D" w:rsidRDefault="00A87C3D" w:rsidP="00A87C3D">
      <w:pPr>
        <w:pStyle w:val="ListParagraph"/>
        <w:numPr>
          <w:ilvl w:val="0"/>
          <w:numId w:val="18"/>
        </w:numPr>
        <w:spacing w:after="0" w:line="240" w:lineRule="auto"/>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t xml:space="preserve">Ilmu Qira’at. Ilmu qiraat adalah yang pertama kali berkembang dalam sejarah ilmu. Pada awal Islam, ilmu ini sangat penting sehingga membuat orang-orang pandai membaca Al-Qur'an. Setelah Al-Qur'an dibukukan dan disempurnakan oleh Khulafaur Rasyidin dan dikirim ke setiap kota di setiap wilayah, kemudian muncul dialek bacaan yang berbeda-beda di setiap kota atau daerah. Kemudian orang-orang  mengikuti bacaan setiap qari yang dianggapnya sah. Dari situlah salah satu yang melatar belakangi munculnya tujuh jenis bacaan, yang sekarang dikenal sebagai Qiraat sab'ah, dan kemudian menjadi standar bacaan bagi umat islam. </w:t>
      </w:r>
    </w:p>
    <w:p w14:paraId="648F3610" w14:textId="77777777" w:rsidR="00A87C3D" w:rsidRPr="00A87C3D" w:rsidRDefault="00A87C3D" w:rsidP="00A87C3D">
      <w:pPr>
        <w:pStyle w:val="ListParagraph"/>
        <w:numPr>
          <w:ilvl w:val="0"/>
          <w:numId w:val="18"/>
        </w:numPr>
        <w:spacing w:after="0" w:line="240" w:lineRule="auto"/>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t>Ilmu Nahwu. Ilmu tata bahasa Arab sangat penting seiring dengan berkembangnya wilayah Islam, yang didukung oleh upaya Arabisasi. Ilmu nahwu menjadi salah satu bidang yang harus dipelajari dan dibukukan. Ilmu nahwu dikenal sebagai salah satu alat mempelajari tata Bahasa Arab. Tanpa tata bahasa</w:t>
      </w:r>
      <w:r w:rsidRPr="00A87C3D">
        <w:rPr>
          <w:rFonts w:ascii="Libre Baskerville" w:hAnsi="Libre Baskerville" w:cstheme="majorBidi"/>
          <w:sz w:val="24"/>
          <w:szCs w:val="24"/>
          <w:lang w:val="en-ID"/>
        </w:rPr>
        <w:t xml:space="preserve"> </w:t>
      </w:r>
      <w:r w:rsidRPr="00A87C3D">
        <w:rPr>
          <w:rFonts w:ascii="Libre Baskerville" w:hAnsi="Libre Baskerville" w:cstheme="majorBidi"/>
          <w:sz w:val="24"/>
          <w:szCs w:val="24"/>
        </w:rPr>
        <w:t xml:space="preserve">komunikasi tidak akan efektif. Dalam sejarah perkembangan ilmu Abu Aswad Ad Dualy dari Baghdad adalah ilmuwan pertama yang menulis  ilmu nahwu. Salah satu kontribusi Abu Aswad adalah menyusun gramatika Arab dengan menempatkan titik pada huruf hijaiyah yang sebelumnya belum ada. Pada tahun 69 H, Abu Aswad Ad Dualy ini meninngal dunia. Ada sebuah riwayat yang mengatakan bahwasanya sahabat Ali bin Abi Thalib lah yang mengajarkannya dalam mempelajari Ilmu Nahwu. </w:t>
      </w:r>
    </w:p>
    <w:p w14:paraId="6519FDF2" w14:textId="77777777" w:rsidR="00A87C3D" w:rsidRPr="00A87C3D" w:rsidRDefault="00A87C3D" w:rsidP="00A87C3D">
      <w:pPr>
        <w:pStyle w:val="ListParagraph"/>
        <w:numPr>
          <w:ilvl w:val="0"/>
          <w:numId w:val="18"/>
        </w:numPr>
        <w:spacing w:after="0" w:line="240" w:lineRule="auto"/>
        <w:ind w:left="1418" w:firstLine="283"/>
        <w:jc w:val="both"/>
        <w:rPr>
          <w:rFonts w:ascii="Libre Baskerville" w:hAnsi="Libre Baskerville" w:cstheme="majorBidi"/>
          <w:sz w:val="24"/>
          <w:szCs w:val="24"/>
        </w:rPr>
      </w:pPr>
      <w:r w:rsidRPr="00A87C3D">
        <w:rPr>
          <w:rFonts w:ascii="Libre Baskerville" w:hAnsi="Libre Baskerville" w:cstheme="majorBidi"/>
          <w:sz w:val="24"/>
          <w:szCs w:val="24"/>
        </w:rPr>
        <w:t xml:space="preserve">Geografi dan tarikh. Pada saat ini, geografi dan tarikh telah dipisahkan menjadi disiplin ilmu yang berbeda. Dalam pengembangan ilmu tarikh, para ilmuwan lebih memfokuskan serta mengumpulkan cerita-cerita tentang Nabi dan juga cerita tentang para Sahabatnya. Kisah-kisah ini kemudian menjadi sebuah landasan untuk penulisan buku tentang biografi mapupun penaklukan. Berkembangnya dakwah Islam yang luas menyebabkan munculnya ilmu geografi. Sejarah Islam ditulis ketika mulai adanya peristiwa-peristiwa penting dalam Islam terjadi. Penulisan ini dimulai selama pemerintahan Bani Umayyah dan berkembang dengan cepat selama pemerintahan Bani Abbasiyah. Karena sejarah Islam berkembang dengan cepat membuat para ilmuan yang terlibat di bidang itu menulis </w:t>
      </w:r>
      <w:r w:rsidRPr="00A87C3D">
        <w:rPr>
          <w:rFonts w:ascii="Libre Baskerville" w:hAnsi="Libre Baskerville" w:cstheme="majorBidi"/>
          <w:sz w:val="24"/>
          <w:szCs w:val="24"/>
        </w:rPr>
        <w:lastRenderedPageBreak/>
        <w:t>banyak kitab sejarah. Prestasi penulisan Bani Umayyah dan Abbasiyah begitu luar biasa, dengan berhasil menulis lebih dari 1.300 judul buku.</w:t>
      </w:r>
    </w:p>
    <w:p w14:paraId="0C6DD19D" w14:textId="58B963FC" w:rsidR="00A87C3D" w:rsidRPr="00A87C3D" w:rsidRDefault="00A87C3D" w:rsidP="00A87C3D">
      <w:pPr>
        <w:pStyle w:val="ListParagraph"/>
        <w:spacing w:after="0" w:line="240" w:lineRule="auto"/>
        <w:ind w:left="1418" w:firstLine="283"/>
        <w:jc w:val="both"/>
        <w:rPr>
          <w:rFonts w:ascii="Libre Baskerville" w:eastAsia="Libre Baskerville" w:hAnsi="Libre Baskerville" w:cs="Libre Baskerville"/>
          <w:b/>
          <w:sz w:val="24"/>
          <w:szCs w:val="24"/>
        </w:rPr>
      </w:pPr>
      <w:r w:rsidRPr="00A87C3D">
        <w:rPr>
          <w:rFonts w:ascii="Libre Baskerville" w:hAnsi="Libre Baskerville" w:cstheme="majorBidi"/>
          <w:sz w:val="24"/>
          <w:szCs w:val="24"/>
        </w:rPr>
        <w:t>Seni Bahasa. Umat Islam pada masa Bani Umayyah juga berkembang dalam hal seni bahasa. Penyair Arab baru, seperti Umar Ibn Abi Rabi' (Wafat 719 M), Jamil Al Udhri (Wafat 701 M), dan Qays Ibn Al Mulawwah (Wafat 699 M), atau yang dikenal sebagai Majnun Laila, Al-Farazdaq (Wafat 732 M), Ummu Jarir (Wafat 792 M), dan Al-Akhtal (Wafat 710 M), muncul ketika adanya perhatian terhadap syair Arab Jahiliyah mulai muncul kembali</w:t>
      </w:r>
      <w:r w:rsidRPr="00A87C3D">
        <w:rPr>
          <w:rFonts w:ascii="Libre Baskerville" w:hAnsi="Libre Baskerville" w:cstheme="majorBidi"/>
          <w:sz w:val="24"/>
          <w:szCs w:val="24"/>
        </w:rPr>
        <w:t>.</w:t>
      </w:r>
    </w:p>
    <w:p w14:paraId="3A731D88" w14:textId="5B3D95F5" w:rsidR="00436586" w:rsidRPr="00A87C3D" w:rsidRDefault="00436586" w:rsidP="00A87C3D">
      <w:pPr>
        <w:pStyle w:val="ListParagraph"/>
        <w:numPr>
          <w:ilvl w:val="0"/>
          <w:numId w:val="15"/>
        </w:numPr>
        <w:spacing w:after="0" w:line="240" w:lineRule="auto"/>
        <w:ind w:left="1418" w:hanging="284"/>
        <w:jc w:val="both"/>
        <w:rPr>
          <w:rFonts w:ascii="Libre Baskerville" w:eastAsia="Libre Baskerville" w:hAnsi="Libre Baskerville" w:cs="Libre Baskerville"/>
          <w:b/>
          <w:sz w:val="24"/>
          <w:szCs w:val="24"/>
        </w:rPr>
      </w:pPr>
      <w:r w:rsidRPr="00A87C3D">
        <w:rPr>
          <w:rFonts w:ascii="Libre Baskerville" w:eastAsia="Libre Baskerville" w:hAnsi="Libre Baskerville" w:cs="Libre Baskerville"/>
          <w:b/>
          <w:sz w:val="24"/>
          <w:szCs w:val="24"/>
        </w:rPr>
        <w:t>Perkembangan Ekonomi</w:t>
      </w:r>
    </w:p>
    <w:p w14:paraId="7EC01825" w14:textId="77777777"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Ekonomi menjadi faktor penting terutama dalam perkembangan sebuah negara, karena perekonomian dari suatu negaralah yang akan mempengaruhi dalam hal proses pembangunannya.</w:t>
      </w:r>
    </w:p>
    <w:p w14:paraId="2A6B2F91" w14:textId="77777777"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 xml:space="preserve">Pada tahun 693 M saat </w:t>
      </w:r>
      <w:r w:rsidRPr="00A87C3D">
        <w:rPr>
          <w:rFonts w:ascii="Libre Baskerville" w:hAnsi="Libre Baskerville"/>
          <w:sz w:val="24"/>
          <w:szCs w:val="24"/>
          <w:lang w:val="da-DK"/>
        </w:rPr>
        <w:t xml:space="preserve">masa </w:t>
      </w:r>
      <w:r w:rsidRPr="00A87C3D">
        <w:rPr>
          <w:rFonts w:ascii="Libre Baskerville" w:hAnsi="Libre Baskerville"/>
          <w:sz w:val="24"/>
          <w:szCs w:val="24"/>
        </w:rPr>
        <w:t>khalifah Abdul Malik</w:t>
      </w:r>
      <w:r w:rsidRPr="00A87C3D">
        <w:rPr>
          <w:rFonts w:ascii="Libre Baskerville" w:hAnsi="Libre Baskerville"/>
          <w:sz w:val="24"/>
          <w:szCs w:val="24"/>
          <w:lang w:val="da-DK"/>
        </w:rPr>
        <w:t>, ia dengan tegas</w:t>
      </w:r>
      <w:r w:rsidRPr="00A87C3D">
        <w:rPr>
          <w:rFonts w:ascii="Libre Baskerville" w:hAnsi="Libre Baskerville"/>
          <w:sz w:val="24"/>
          <w:szCs w:val="24"/>
        </w:rPr>
        <w:t xml:space="preserve"> menetapkan serta menginginkan untuk dapat mencetak uang sendiri di Damaskus. Uang yang dicetak dibuat dari perak dan emas serta dihiasi dengan Khat Al-Qur’an. Sementara saat tahun berikutnya hajjaj melakukan hal yang sama. Akibat dari itu masyarakat Arab sudah mulai mengenal sistem perhitungan. Hal ini juga diterima di Yaman, Syiria, dan juga Irak.</w:t>
      </w:r>
      <w:r w:rsidRPr="00A87C3D">
        <w:rPr>
          <w:rFonts w:ascii="Libre Baskerville" w:hAnsi="Libre Baskerville"/>
          <w:sz w:val="24"/>
          <w:szCs w:val="24"/>
        </w:rPr>
        <w:fldChar w:fldCharType="begin" w:fldLock="1"/>
      </w:r>
      <w:r w:rsidRPr="00A87C3D">
        <w:rPr>
          <w:rFonts w:ascii="Libre Baskerville" w:hAnsi="Libre Baskerville"/>
          <w:sz w:val="24"/>
          <w:szCs w:val="24"/>
        </w:rPr>
        <w:instrText>ADDIN CSL_CITATION {"citationItems":[{"id":"ITEM-1","itemData":{"author":[{"dropping-particle":"","family":"Kulsum","given":"Ummu","non-dropping-particle":"","parse-names":false,"suffix":""}],"container-title":"Sejarah Peradaban Islam Klasik dan Pertengahan","id":"ITEM-1","issued":{"date-parts":[["2021"]]},"publisher":"Duta Media Publishing","publisher-place":"Pamekasan","title":"No Title","type":"chapter"},"uris":["http://www.mendeley.com/documents/?uuid=f618d013-9725-45c4-90de-7e9f62f38169"]}],"mendeley":{"formattedCitation":"(Kulsum, 2021)","plainTextFormattedCitation":"(Kulsum, 2021)","previouslyFormattedCitation":"(Kulsum, 2021)"},"properties":{"noteIndex":0},"schema":"https://github.com/citation-style-language/schema/raw/master/csl-citation.json"}</w:instrText>
      </w:r>
      <w:r w:rsidRPr="00A87C3D">
        <w:rPr>
          <w:rFonts w:ascii="Libre Baskerville" w:hAnsi="Libre Baskerville"/>
          <w:sz w:val="24"/>
          <w:szCs w:val="24"/>
        </w:rPr>
        <w:fldChar w:fldCharType="separate"/>
      </w:r>
      <w:r w:rsidRPr="00A87C3D">
        <w:rPr>
          <w:rFonts w:ascii="Libre Baskerville" w:hAnsi="Libre Baskerville"/>
          <w:noProof/>
          <w:sz w:val="24"/>
          <w:szCs w:val="24"/>
        </w:rPr>
        <w:t>(Kulsum, 2021)</w:t>
      </w:r>
      <w:r w:rsidRPr="00A87C3D">
        <w:rPr>
          <w:rFonts w:ascii="Libre Baskerville" w:hAnsi="Libre Baskerville"/>
          <w:sz w:val="24"/>
          <w:szCs w:val="24"/>
        </w:rPr>
        <w:fldChar w:fldCharType="end"/>
      </w:r>
      <w:r w:rsidRPr="00A87C3D">
        <w:rPr>
          <w:rFonts w:ascii="Libre Baskerville" w:hAnsi="Libre Baskerville"/>
          <w:sz w:val="24"/>
          <w:szCs w:val="24"/>
        </w:rPr>
        <w:t xml:space="preserve"> </w:t>
      </w:r>
    </w:p>
    <w:p w14:paraId="6D0C8558" w14:textId="77777777"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Kebijakan Khalifah Abdul Malik sangatlah mempunyai pengaruh besar utamanya</w:t>
      </w:r>
      <w:r w:rsidRPr="00A87C3D">
        <w:rPr>
          <w:rFonts w:ascii="Libre Baskerville" w:hAnsi="Libre Baskerville"/>
          <w:sz w:val="24"/>
          <w:szCs w:val="24"/>
          <w:lang w:val="da-DK"/>
        </w:rPr>
        <w:t xml:space="preserve"> bagi</w:t>
      </w:r>
      <w:r w:rsidRPr="00A87C3D">
        <w:rPr>
          <w:rFonts w:ascii="Libre Baskerville" w:hAnsi="Libre Baskerville"/>
          <w:sz w:val="24"/>
          <w:szCs w:val="24"/>
        </w:rPr>
        <w:t xml:space="preserve"> perekonomian dinasti tersebut. Karena kita tahu bahwa sebelum kebijakan ini diterapkan, mata uang Romawi dan Persia yaitu dirham (drachma) dan dinar (dinarius) sudah beredar sebagai alat tukar. Apalagi keberadaan Baitul Mal menjadi bukti berkembangnya perekonomian saat itu.</w:t>
      </w:r>
      <w:r w:rsidRPr="00A87C3D">
        <w:rPr>
          <w:rFonts w:ascii="Libre Baskerville" w:hAnsi="Libre Baskerville"/>
          <w:sz w:val="24"/>
          <w:szCs w:val="24"/>
          <w:lang w:val="da-DK"/>
        </w:rPr>
        <w:t xml:space="preserve"> </w:t>
      </w:r>
      <w:r w:rsidRPr="00A87C3D">
        <w:rPr>
          <w:rFonts w:ascii="Libre Baskerville" w:hAnsi="Libre Baskerville"/>
          <w:sz w:val="24"/>
          <w:szCs w:val="24"/>
        </w:rPr>
        <w:t xml:space="preserve">Keberadaan Baitul Mal di masa Bani Umayyah berperan sangat penting dalam penaklukan besar-besaran yang membentang dari Afrika Utara hingga Andalusia di barat  dan hingga perbatasan India dan </w:t>
      </w:r>
      <w:r w:rsidRPr="00A87C3D">
        <w:rPr>
          <w:rFonts w:ascii="Libre Baskerville" w:hAnsi="Libre Baskerville"/>
          <w:sz w:val="24"/>
          <w:szCs w:val="24"/>
          <w:lang w:val="da-DK"/>
        </w:rPr>
        <w:t>China</w:t>
      </w:r>
      <w:r w:rsidRPr="00A87C3D">
        <w:rPr>
          <w:rFonts w:ascii="Libre Baskerville" w:hAnsi="Libre Baskerville"/>
          <w:sz w:val="24"/>
          <w:szCs w:val="24"/>
        </w:rPr>
        <w:t>.</w:t>
      </w:r>
      <w:r w:rsidRPr="00A87C3D">
        <w:rPr>
          <w:rFonts w:ascii="Libre Baskerville" w:hAnsi="Libre Baskerville"/>
          <w:sz w:val="24"/>
          <w:szCs w:val="24"/>
          <w:lang w:val="da-DK"/>
        </w:rPr>
        <w:t xml:space="preserve"> </w:t>
      </w:r>
      <w:r w:rsidRPr="00A87C3D">
        <w:rPr>
          <w:rFonts w:ascii="Libre Baskerville" w:hAnsi="Libre Baskerville"/>
          <w:sz w:val="24"/>
          <w:szCs w:val="24"/>
        </w:rPr>
        <w:t xml:space="preserve">Daerah yang ditaklukkan ini terkenal dengan tanahnya yang kaya dan subur. </w:t>
      </w:r>
    </w:p>
    <w:p w14:paraId="14647F9A" w14:textId="77777777"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Selama Umar bin Abdul Aziz menjadi pemerintah, masyarakat Bani Umayyah juga makmur. Perekonomian dalam kondisi yang sangat baik. Selain itu juga menetapkan kebijakan di bidang ekonomi dengan mengeluarkan peraturan tentang takaran dan timbangan yang bertujuan untuk mengurangi pemalsuan dan penipuan dalam menggunakan sarana tersebut.</w:t>
      </w:r>
      <w:r w:rsidRPr="00A87C3D">
        <w:rPr>
          <w:rFonts w:ascii="Libre Baskerville" w:hAnsi="Libre Baskerville"/>
          <w:sz w:val="24"/>
          <w:szCs w:val="24"/>
        </w:rPr>
        <w:fldChar w:fldCharType="begin" w:fldLock="1"/>
      </w:r>
      <w:r w:rsidRPr="00A87C3D">
        <w:rPr>
          <w:rFonts w:ascii="Libre Baskerville" w:hAnsi="Libre Baskerville"/>
          <w:sz w:val="24"/>
          <w:szCs w:val="24"/>
        </w:rPr>
        <w:instrText>ADDIN CSL_CITATION {"citationItems":[{"id":"ITEM-1","itemData":{"author":[{"dropping-particle":"","family":"Kulsum","given":"Ummu","non-dropping-particle":"","parse-names":false,"suffix":""}],"container-title":"Sejarah Peradaban Islam Klasik dan Pertengahan","id":"ITEM-1","issued":{"date-parts":[["2021"]]},"publisher":"Duta Media Publishing","publisher-place":"Pamekasan","title":"No Title","type":"chapter"},"uris":["http://www.mendeley.com/documents/?uuid=f618d013-9725-45c4-90de-7e9f62f38169"]}],"mendeley":{"formattedCitation":"(Kulsum, 2021)","plainTextFormattedCitation":"(Kulsum, 2021)","previouslyFormattedCitation":"(Kulsum, 2021)"},"properties":{"noteIndex":0},"schema":"https://github.com/citation-style-language/schema/raw/master/csl-citation.json"}</w:instrText>
      </w:r>
      <w:r w:rsidRPr="00A87C3D">
        <w:rPr>
          <w:rFonts w:ascii="Libre Baskerville" w:hAnsi="Libre Baskerville"/>
          <w:sz w:val="24"/>
          <w:szCs w:val="24"/>
        </w:rPr>
        <w:fldChar w:fldCharType="separate"/>
      </w:r>
      <w:r w:rsidRPr="00A87C3D">
        <w:rPr>
          <w:rFonts w:ascii="Libre Baskerville" w:hAnsi="Libre Baskerville"/>
          <w:noProof/>
          <w:sz w:val="24"/>
          <w:szCs w:val="24"/>
        </w:rPr>
        <w:t>(Kulsum, 2021)</w:t>
      </w:r>
      <w:r w:rsidRPr="00A87C3D">
        <w:rPr>
          <w:rFonts w:ascii="Libre Baskerville" w:hAnsi="Libre Baskerville"/>
          <w:sz w:val="24"/>
          <w:szCs w:val="24"/>
        </w:rPr>
        <w:fldChar w:fldCharType="end"/>
      </w:r>
      <w:r w:rsidRPr="00A87C3D">
        <w:rPr>
          <w:rFonts w:ascii="Libre Baskerville" w:hAnsi="Libre Baskerville"/>
          <w:sz w:val="24"/>
          <w:szCs w:val="24"/>
        </w:rPr>
        <w:t xml:space="preserve"> </w:t>
      </w:r>
    </w:p>
    <w:p w14:paraId="64AEC8EB" w14:textId="28F85889" w:rsidR="00A87C3D" w:rsidRPr="00A87C3D" w:rsidRDefault="00A87C3D" w:rsidP="00A87C3D">
      <w:pPr>
        <w:ind w:left="1418" w:firstLine="283"/>
        <w:jc w:val="both"/>
        <w:rPr>
          <w:rFonts w:ascii="Libre Baskerville" w:hAnsi="Libre Baskerville"/>
          <w:sz w:val="24"/>
          <w:szCs w:val="24"/>
        </w:rPr>
      </w:pPr>
      <w:r w:rsidRPr="00A87C3D">
        <w:rPr>
          <w:rFonts w:ascii="Libre Baskerville" w:hAnsi="Libre Baskerville"/>
          <w:sz w:val="24"/>
          <w:szCs w:val="24"/>
        </w:rPr>
        <w:t>Dari uraian diatas dapat disimpulkan perkembangan dalam hal ekonomi pada masa Dinasti Umayyah sudah mengalami peningkatan yang signifikan daripada masa-masa sebelumnya. Kebijakan-kebijakan para khalifah yang di dukung oleh masyarakat membawa perekonomian pada Dinasti Umayyah dalam kemakmuran dan kesejahteraan rakyat dan negaranya</w:t>
      </w:r>
      <w:r w:rsidRPr="00A87C3D">
        <w:rPr>
          <w:rFonts w:ascii="Libre Baskerville" w:hAnsi="Libre Baskerville"/>
          <w:sz w:val="24"/>
          <w:szCs w:val="24"/>
        </w:rPr>
        <w:t>.</w:t>
      </w:r>
    </w:p>
    <w:p w14:paraId="5A693CAF" w14:textId="77777777" w:rsidR="00A87C3D" w:rsidRPr="00A87C3D" w:rsidRDefault="00A87C3D" w:rsidP="00A87C3D">
      <w:pPr>
        <w:ind w:left="1418" w:firstLine="283"/>
        <w:jc w:val="both"/>
        <w:rPr>
          <w:rFonts w:ascii="Libre Baskerville" w:eastAsia="Libre Baskerville" w:hAnsi="Libre Baskerville" w:cs="Libre Baskerville"/>
          <w:b/>
        </w:rPr>
      </w:pPr>
    </w:p>
    <w:p w14:paraId="298CBAD2" w14:textId="19E5CBC4" w:rsidR="00436586" w:rsidRPr="00A2348E" w:rsidRDefault="00436586" w:rsidP="00A2348E">
      <w:pPr>
        <w:numPr>
          <w:ilvl w:val="0"/>
          <w:numId w:val="17"/>
        </w:numPr>
        <w:ind w:left="1134" w:hanging="567"/>
        <w:jc w:val="both"/>
        <w:rPr>
          <w:rFonts w:ascii="Libre Baskerville" w:eastAsia="Libre Baskerville" w:hAnsi="Libre Baskerville" w:cs="Libre Baskerville"/>
          <w:b/>
          <w:sz w:val="24"/>
          <w:szCs w:val="24"/>
        </w:rPr>
      </w:pPr>
      <w:r w:rsidRPr="00A2348E">
        <w:rPr>
          <w:rFonts w:ascii="Libre Baskerville" w:eastAsia="Libre Baskerville" w:hAnsi="Libre Baskerville" w:cs="Libre Baskerville"/>
          <w:b/>
          <w:sz w:val="24"/>
          <w:szCs w:val="24"/>
        </w:rPr>
        <w:t xml:space="preserve">Peradaban dan Pemikiran Islam Pada Masa Dinasti Umayyah di </w:t>
      </w:r>
      <w:r w:rsidRPr="00A2348E">
        <w:rPr>
          <w:rFonts w:ascii="Libre Baskerville" w:eastAsia="Libre Baskerville" w:hAnsi="Libre Baskerville" w:cs="Libre Baskerville"/>
          <w:b/>
          <w:sz w:val="24"/>
          <w:szCs w:val="24"/>
        </w:rPr>
        <w:t>Barat</w:t>
      </w:r>
      <w:r w:rsidRPr="00A2348E">
        <w:rPr>
          <w:rFonts w:ascii="Libre Baskerville" w:eastAsia="Libre Baskerville" w:hAnsi="Libre Baskerville" w:cs="Libre Baskerville"/>
          <w:b/>
          <w:sz w:val="24"/>
          <w:szCs w:val="24"/>
        </w:rPr>
        <w:t xml:space="preserve"> (</w:t>
      </w:r>
      <w:r w:rsidRPr="00A2348E">
        <w:rPr>
          <w:rFonts w:ascii="Libre Baskerville" w:eastAsia="Libre Baskerville" w:hAnsi="Libre Baskerville" w:cs="Libre Baskerville"/>
          <w:b/>
          <w:sz w:val="24"/>
          <w:szCs w:val="24"/>
        </w:rPr>
        <w:t>Andalusia</w:t>
      </w:r>
      <w:r w:rsidRPr="00A2348E">
        <w:rPr>
          <w:rFonts w:ascii="Libre Baskerville" w:eastAsia="Libre Baskerville" w:hAnsi="Libre Baskerville" w:cs="Libre Baskerville"/>
          <w:b/>
          <w:sz w:val="24"/>
          <w:szCs w:val="24"/>
        </w:rPr>
        <w:t>)</w:t>
      </w:r>
    </w:p>
    <w:p w14:paraId="703B2F26" w14:textId="421DEC11" w:rsidR="00436586" w:rsidRPr="00A2348E" w:rsidRDefault="00A87C3D" w:rsidP="00A2348E">
      <w:pPr>
        <w:pStyle w:val="ListParagraph"/>
        <w:numPr>
          <w:ilvl w:val="0"/>
          <w:numId w:val="20"/>
        </w:numPr>
        <w:spacing w:after="0" w:line="240" w:lineRule="auto"/>
        <w:ind w:left="1418" w:hanging="284"/>
        <w:jc w:val="both"/>
        <w:rPr>
          <w:rFonts w:ascii="Libre Baskerville" w:eastAsia="Libre Baskerville" w:hAnsi="Libre Baskerville" w:cs="Libre Baskerville"/>
          <w:b/>
          <w:sz w:val="24"/>
          <w:szCs w:val="24"/>
        </w:rPr>
      </w:pPr>
      <w:r w:rsidRPr="00A2348E">
        <w:rPr>
          <w:rFonts w:ascii="Libre Baskerville" w:eastAsia="Libre Baskerville" w:hAnsi="Libre Baskerville" w:cs="Libre Baskerville"/>
          <w:b/>
          <w:sz w:val="24"/>
          <w:szCs w:val="24"/>
        </w:rPr>
        <w:t>Sejarah Dinasti Umayyah di Andalusia</w:t>
      </w:r>
    </w:p>
    <w:p w14:paraId="54231E4B" w14:textId="77777777" w:rsidR="00A87C3D" w:rsidRPr="00A2348E" w:rsidRDefault="00A87C3D" w:rsidP="00A2348E">
      <w:pPr>
        <w:ind w:left="1418" w:firstLine="283"/>
        <w:jc w:val="both"/>
        <w:rPr>
          <w:rFonts w:ascii="Libre Baskerville" w:hAnsi="Libre Baskerville"/>
          <w:sz w:val="24"/>
          <w:szCs w:val="24"/>
        </w:rPr>
      </w:pPr>
      <w:r w:rsidRPr="00A2348E">
        <w:rPr>
          <w:rFonts w:ascii="Libre Baskerville" w:hAnsi="Libre Baskerville"/>
          <w:sz w:val="24"/>
          <w:szCs w:val="24"/>
        </w:rPr>
        <w:lastRenderedPageBreak/>
        <w:t>Pada tahun 750, Dawlah Abbasiyah berhasil merebut kekuasaan dan ditandai dengan pembantaian masal Bani Umayyah. Namun, hanya sedikit orang yang berhasil lolos dari pembantaian tersebut, termasuk Abdulrahman bin Muawiyah, cucu Hisyam, Khalifah Bani Umayyah ke-10 di Damaskus.</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{"citationItems":[{"id":"ITEM-1","itemData":{"author":[{"dropping-particle":"","family":"K. Hitti","given":"Philip","non-dropping-particle":"","parse-names":false,"suffix":""}],"container-title":"History of The Arab","id":"ITEM-1","issued":{"date-parts":[["2013"]]},"publisher":"Serambi Ilmu Semesta","publisher-place":"Jakarta","title":"No Title","type":"chapter"},"uris":["http://www.mendeley.com/documents/?uuid=0de271b7-42c5-4892-a0d7-2b1535b4acc5"]}],"mendeley":{"formattedCitation":"(K. Hitti, 2013)","plainTextFormattedCitation":"(K. Hitti, 2013)","previouslyFormattedCitation":"(K. Hitti, 2013)"},"properties":{"noteIndex":0},"schema":"https://github.com/citation-style-language/schema/raw/master/csl-citation.json"}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(K. Hitti, 2013)</w:t>
      </w:r>
      <w:r w:rsidRPr="00A2348E">
        <w:rPr>
          <w:rFonts w:ascii="Libre Baskerville" w:hAnsi="Libre Baskerville"/>
          <w:sz w:val="24"/>
          <w:szCs w:val="24"/>
        </w:rPr>
        <w:fldChar w:fldCharType="end"/>
      </w:r>
      <w:r w:rsidRPr="00A2348E">
        <w:rPr>
          <w:rFonts w:ascii="Libre Baskerville" w:hAnsi="Libre Baskerville"/>
          <w:sz w:val="24"/>
          <w:szCs w:val="24"/>
        </w:rPr>
        <w:t xml:space="preserve"> Pelarian dirinya didampingi oleh Baddar, ajudannya. Pada saat Abdurrahman melarikan diri dari kecaman Daulah Abbasiyah, dia masih berusia dua puluh dua tahun. Ia kemudian melewati Mesir, Barca (Libya), dan Afrika Utara. Abdurrahman memasuki Andalusia setelah enam tahun berjuang. Karena dukungan Suku Yamani  Ia akhirnya berhasil menguasai suku Mudari. Dia dijuluki 'Abd al-Rahman al-Dakil,   Karena ia adalah pangeran Daulah Umayyah pertama yang memasuki wilayah Andalusia, dia diberi nama al-Dakhil</w:t>
      </w:r>
      <w:r w:rsidRPr="00A2348E">
        <w:rPr>
          <w:rFonts w:ascii="Libre Baskerville" w:hAnsi="Libre Baskerville"/>
          <w:sz w:val="24"/>
          <w:szCs w:val="24"/>
          <w:lang w:val="da-DK"/>
        </w:rPr>
        <w:t>.</w:t>
      </w:r>
      <w:r w:rsidRPr="00A2348E">
        <w:rPr>
          <w:rFonts w:ascii="Libre Baskerville" w:hAnsi="Libre Baskerville"/>
          <w:sz w:val="24"/>
          <w:szCs w:val="24"/>
          <w:lang w:val="da-DK"/>
        </w:rPr>
        <w:fldChar w:fldCharType="begin" w:fldLock="1"/>
      </w:r>
      <w:r w:rsidRPr="00A2348E">
        <w:rPr>
          <w:rFonts w:ascii="Libre Baskerville" w:hAnsi="Libre Baskerville"/>
          <w:sz w:val="24"/>
          <w:szCs w:val="24"/>
          <w:lang w:val="da-DK"/>
        </w:rPr>
        <w:instrText>ADDIN CSL_CITATION {"citationItems":[{"id":"ITEM-1","itemData":{"author":[{"dropping-particle":"","family":"Ismail","given":"Faisal","non-dropping-particle":"","parse-names":false,"suffix":""}],"container-title":"Paradigma Kebudayaan Islam, Studi Kritis dan Refleksi Historis","id":"ITEM-1","issued":{"date-parts":[["1996"]]},"publisher":"Titian Ilahi Press","publisher-place":"Yogyakarta","title":"No Title","type":"chapter"},"uris":["http://www.mendeley.com/documents/?uuid=f92613b8-9c7c-4101-be8a-01c9366488a2"]}],"mendeley":{"formattedCitation":"(Ismail, 1996)","plainTextFormattedCitation":"(Ismail, 1996)","previouslyFormattedCitation":"(Ismail, 1996)"},"properties":{"noteIndex":0},"schema":"https://github.com/citation-style-language/schema/raw/master/csl-citation.json"}</w:instrText>
      </w:r>
      <w:r w:rsidRPr="00A2348E">
        <w:rPr>
          <w:rFonts w:ascii="Libre Baskerville" w:hAnsi="Libre Baskerville"/>
          <w:sz w:val="24"/>
          <w:szCs w:val="24"/>
          <w:lang w:val="da-DK"/>
        </w:rPr>
        <w:fldChar w:fldCharType="separate"/>
      </w:r>
      <w:r w:rsidRPr="00A2348E">
        <w:rPr>
          <w:rFonts w:ascii="Libre Baskerville" w:hAnsi="Libre Baskerville"/>
          <w:noProof/>
          <w:sz w:val="24"/>
          <w:szCs w:val="24"/>
          <w:lang w:val="da-DK"/>
        </w:rPr>
        <w:t>(Ismail, 1996)</w:t>
      </w:r>
      <w:r w:rsidRPr="00A2348E">
        <w:rPr>
          <w:rFonts w:ascii="Libre Baskerville" w:hAnsi="Libre Baskerville"/>
          <w:sz w:val="24"/>
          <w:szCs w:val="24"/>
          <w:lang w:val="da-DK"/>
        </w:rPr>
        <w:fldChar w:fldCharType="end"/>
      </w:r>
      <w:r w:rsidRPr="00A2348E">
        <w:rPr>
          <w:rFonts w:ascii="Libre Baskerville" w:hAnsi="Libre Baskerville"/>
          <w:sz w:val="24"/>
          <w:szCs w:val="24"/>
        </w:rPr>
        <w:t xml:space="preserve"> </w:t>
      </w:r>
    </w:p>
    <w:p w14:paraId="624E06C0" w14:textId="77777777" w:rsidR="00A87C3D" w:rsidRPr="00A2348E" w:rsidRDefault="00A87C3D" w:rsidP="00A2348E">
      <w:pPr>
        <w:ind w:left="1418" w:firstLine="283"/>
        <w:jc w:val="both"/>
        <w:rPr>
          <w:rFonts w:ascii="Libre Baskerville" w:hAnsi="Libre Baskerville"/>
          <w:sz w:val="24"/>
          <w:szCs w:val="24"/>
        </w:rPr>
      </w:pPr>
      <w:r w:rsidRPr="00A2348E">
        <w:rPr>
          <w:rFonts w:ascii="Libre Baskerville" w:hAnsi="Libre Baskerville"/>
          <w:sz w:val="24"/>
          <w:szCs w:val="24"/>
        </w:rPr>
        <w:t>Pada tahun 756, gubernur Andalusia Yusuf bin Abdurrahman Al-Fihri dipecat. Pada tahun 757, ia mulai menghilangkan nama khalifah Abbasiyah dari khutbah Jum’at dan mengumumkan bahwa wilayah tersebut tidak lagi berada di bawah kekuasaan Daulah Abbasiyah. Ad-Dakhil menyebut dirinya sebagai pemimpin karena dia percaya bahwa khilafah adalah satu dan tidak dapat dibagi.</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{"citationItems":[{"id":"ITEM-1","itemData":{"author":[{"dropping-particle":"","family":"Maryam","given":"Siti","non-dropping-particle":"","parse-names":false,"suffix":""}],"container-title":"Sejarah Peradaban Islam dari Masa Klasik hingga Modern","id":"ITEM-1","issued":{"date-parts":[["2004"]]},"publisher":"Lesfi","publisher-place":"Yogyakarta","title":"No Title","type":"chapter"},"uris":["http://www.mendeley.com/documents/?uuid=3a723f4c-a4ba-4524-9087-6e07aecde018"]}],"mendeley":{"formattedCitation":"(Maryam, 2004)","plainTextFormattedCitation":"(Maryam, 2004)","previouslyFormattedCitation":"(Maryam, 2004)"},"properties":{"noteIndex":0},"schema":"https://github.com/citation-style-language/schema/raw/master/csl-citation.json"}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(Maryam, 2004)</w:t>
      </w:r>
      <w:r w:rsidRPr="00A2348E">
        <w:rPr>
          <w:rFonts w:ascii="Libre Baskerville" w:hAnsi="Libre Baskerville"/>
          <w:sz w:val="24"/>
          <w:szCs w:val="24"/>
        </w:rPr>
        <w:fldChar w:fldCharType="end"/>
      </w:r>
    </w:p>
    <w:p w14:paraId="6665D5FB" w14:textId="77777777" w:rsidR="00A87C3D" w:rsidRPr="00A2348E" w:rsidRDefault="00A87C3D" w:rsidP="00A2348E">
      <w:pPr>
        <w:ind w:left="1418" w:firstLine="283"/>
        <w:jc w:val="both"/>
        <w:rPr>
          <w:rFonts w:ascii="Libre Baskerville" w:hAnsi="Libre Baskerville" w:cstheme="majorBidi"/>
          <w:sz w:val="24"/>
          <w:szCs w:val="24"/>
        </w:rPr>
      </w:pPr>
      <w:bookmarkStart w:id="1" w:name="_Hlk153632610"/>
      <w:r w:rsidRPr="00A2348E">
        <w:rPr>
          <w:rFonts w:ascii="Libre Baskerville" w:hAnsi="Libre Baskerville"/>
          <w:sz w:val="24"/>
          <w:szCs w:val="24"/>
        </w:rPr>
        <w:t xml:space="preserve">Dengan </w:t>
      </w:r>
      <w:bookmarkEnd w:id="1"/>
      <w:r w:rsidRPr="00A2348E">
        <w:rPr>
          <w:rFonts w:ascii="Libre Baskerville" w:hAnsi="Libre Baskerville"/>
          <w:sz w:val="24"/>
          <w:szCs w:val="24"/>
        </w:rPr>
        <w:t>menanamkan pondasi yang kuat Ad-Dakhil mampu mendirikan Daulah Bani Umayyah (Daulah Umayyah II) di Andalusia. Dia mampu menghadapi berbagai ancaman dari internal dan eksternal selama 32 tahun menjabat. Sampai khalifah kedelapan, Abdurrahman III (912-961 M), posisi amir tetap dipegang.</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{"citationItems":[{"id":"ITEM-1","itemData":{"author":[{"dropping-particle":"","family":"Aravik, Hafis","given":"Ahmad Tohir","non-dropping-particle":"","parse-names":false,"suffix":""}],"container-title":"Adl Islamic Economic","id":"ITEM-1","issue":"Perekonomian pada Masa Dinasi Umayyah di Andalusia: Sejarah dan Pemikiran","issued":{"date-parts":[["2020"]]},"title":"No Title","type":"article-journal"},"uris":["http://www.mendeley.com/documents/?uuid=5b06c4ea-2bc4-4c19-ba6b-c1257b6c0b21"]}],"mendeley":{"formattedCitation":"(Aravik, Hafis, 2020)","plainTextFormattedCitation":"(Aravik, Hafis, 2020)","previouslyFormattedCitation":"(Aravik, Hafis, 2020)"},"properties":{"noteIndex":0},"schema":"https://github.com/citation-style-language/schema/raw/master/csl-citation.json"}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(Aravik, Hafis, 2020)</w:t>
      </w:r>
      <w:r w:rsidRPr="00A2348E">
        <w:rPr>
          <w:rFonts w:ascii="Libre Baskerville" w:hAnsi="Libre Baskerville"/>
          <w:sz w:val="24"/>
          <w:szCs w:val="24"/>
        </w:rPr>
        <w:fldChar w:fldCharType="end"/>
      </w:r>
      <w:r w:rsidRPr="00A2348E">
        <w:rPr>
          <w:rFonts w:ascii="Libre Baskerville" w:hAnsi="Libre Baskerville"/>
          <w:sz w:val="24"/>
          <w:szCs w:val="24"/>
        </w:rPr>
        <w:t xml:space="preserve"> </w:t>
      </w:r>
    </w:p>
    <w:p w14:paraId="6BCEDD0A" w14:textId="77777777" w:rsidR="00A87C3D" w:rsidRPr="00A2348E" w:rsidRDefault="00A87C3D" w:rsidP="00A2348E">
      <w:pPr>
        <w:ind w:left="1418" w:firstLine="283"/>
        <w:jc w:val="both"/>
        <w:rPr>
          <w:rFonts w:ascii="Libre Baskerville" w:hAnsi="Libre Baskerville"/>
          <w:sz w:val="24"/>
          <w:szCs w:val="24"/>
        </w:rPr>
      </w:pPr>
      <w:r w:rsidRPr="00A2348E">
        <w:rPr>
          <w:rFonts w:ascii="Libre Baskerville" w:hAnsi="Libre Baskerville"/>
          <w:sz w:val="24"/>
          <w:szCs w:val="24"/>
        </w:rPr>
        <w:t>Dinasti Umayyah di Andalusia memerintah dari tahun 756 hingga 1031 M dan berperan penting dalam membawa peradaban Eropa  keluar dari Abad Kegelapan, terutama di bawah pemerintahan Abdurrahman I, Abdurrahman III, Hakam II, dan Hajib Al Mansur Billa yang telah membawa banyak prestasi dan kemajuan. Dinasti Umayyah di Andalusia memerintah selama 275 tahun di bawah kepemimpinan 16 khalifah.</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{"citationItems":[{"id":"ITEM-1","itemData":{"author":[{"dropping-particle":"","family":"Aravik, Hafis","given":"Ahmad Tohir","non-dropping-particle":"","parse-names":false,"suffix":""}],"container-title":"Adl Islamic Economic","id":"ITEM-1","issue":"Perekonomian pada Masa Dinasi Umayyah di Andalusia: Sejarah dan Pemikiran","issued":{"date-parts":[["2020"]]},"title":"No Title","type":"article-journal"},"uris":["http://www.mendeley.com/documents/?uuid=5b06c4ea-2bc4-4c19-ba6b-c1257b6c0b21"]}],"mendeley":{"formattedCitation":"(Aravik, Hafis, 2020)","plainTextFormattedCitation":"(Aravik, Hafis, 2020)","previouslyFormattedCitation":"(Aravik, Hafis, 2020)"},"properties":{"noteIndex":0},"schema":"https://github.com/citation-style-language/schema/raw/master/csl-citation.json"}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(Aravik, Hafis, 2020)</w:t>
      </w:r>
      <w:r w:rsidRPr="00A2348E">
        <w:rPr>
          <w:rFonts w:ascii="Libre Baskerville" w:hAnsi="Libre Baskerville"/>
          <w:sz w:val="24"/>
          <w:szCs w:val="24"/>
        </w:rPr>
        <w:fldChar w:fldCharType="end"/>
      </w:r>
      <w:r w:rsidRPr="00A2348E">
        <w:rPr>
          <w:rFonts w:ascii="Libre Baskerville" w:hAnsi="Libre Baskerville"/>
          <w:sz w:val="24"/>
          <w:szCs w:val="24"/>
        </w:rPr>
        <w:t xml:space="preserve"> Andalusia mulai maju secara politik dan peradaban. Ad Dakhil mendirikan sekolah  di kota-kota besar Andalusia. Ia bekerja keras untuk menegakkan hukum Islam selama pemerintahan Hisyam</w:t>
      </w:r>
      <w:r w:rsidRPr="00A2348E">
        <w:rPr>
          <w:rFonts w:ascii="Libre Baskerville" w:hAnsi="Libre Baskerville"/>
          <w:sz w:val="24"/>
          <w:szCs w:val="24"/>
          <w:lang w:val="en-ID"/>
        </w:rPr>
        <w:t xml:space="preserve"> </w:t>
      </w:r>
      <w:r w:rsidRPr="00A2348E">
        <w:rPr>
          <w:rFonts w:ascii="Libre Baskerville" w:hAnsi="Libre Baskerville"/>
          <w:sz w:val="24"/>
          <w:szCs w:val="24"/>
        </w:rPr>
        <w:t>yakni sebagai pemimpin kedua.</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{"citationItems":[{"id":"ITEM-1","itemData":{"author":[{"dropping-particle":"","family":"Aravik, Hafis","given":"Ahmad Tohir","non-dropping-particle":"","parse-names":false,"suffix":""}],"container-title":"Adl Islamic Economic","id":"ITEM-1","issue":"Perekonomian pada Masa Dinasi Umayyah di Andalusia: Sejarah dan Pemikiran","issued":{"date-parts":[["2020"]]},"title":"No Title","type":"article-journal"},"uris":["http://www.mendeley.com/documents/?uuid=5b06c4ea-2bc4-4c19-ba6b-c1257b6c0b21"]}],"mendeley":{"formattedCitation":"(Aravik, Hafis, 2020)","plainTextFormattedCitation":"(Aravik, Hafis, 2020)","previouslyFormattedCitation":"(Aravik, Hafis, 2020)"},"properties":{"noteIndex":0},"schema":"https://github.com/citation-style-language/schema/raw/master/csl-citation.json"}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(Aravik, Hafis, 2020)</w:t>
      </w:r>
      <w:r w:rsidRPr="00A2348E">
        <w:rPr>
          <w:rFonts w:ascii="Libre Baskerville" w:hAnsi="Libre Baskerville"/>
          <w:sz w:val="24"/>
          <w:szCs w:val="24"/>
        </w:rPr>
        <w:fldChar w:fldCharType="end"/>
      </w:r>
      <w:r w:rsidRPr="00A2348E">
        <w:rPr>
          <w:rFonts w:ascii="Libre Baskerville" w:hAnsi="Libre Baskerville"/>
          <w:sz w:val="24"/>
          <w:szCs w:val="24"/>
        </w:rPr>
        <w:t xml:space="preserve"> </w:t>
      </w:r>
    </w:p>
    <w:p w14:paraId="7A02C72F" w14:textId="77777777" w:rsidR="00A87C3D" w:rsidRPr="00A2348E" w:rsidRDefault="00A87C3D" w:rsidP="00A2348E">
      <w:pPr>
        <w:ind w:left="1418" w:firstLine="283"/>
        <w:jc w:val="both"/>
        <w:rPr>
          <w:rFonts w:ascii="Libre Baskerville" w:hAnsi="Libre Baskerville"/>
          <w:sz w:val="24"/>
          <w:szCs w:val="24"/>
        </w:rPr>
      </w:pPr>
      <w:r w:rsidRPr="00A2348E">
        <w:rPr>
          <w:rFonts w:ascii="Libre Baskerville" w:hAnsi="Libre Baskerville"/>
          <w:sz w:val="24"/>
          <w:szCs w:val="24"/>
        </w:rPr>
        <w:t>Pada masa pemerintahan Abdulrahman III (912-961 M) yang bergelar An-Nasir, terjadi perubahan pengangkatan seorang raja  yang semula bernama Amir namun diubah menjadi Khalifah sebagai penguasa. Pada masa pemerintahannya sebagai Khalifah. Kerajaan Bani Umayyah II mencapai puncak kejayaannya pada masa An-Nasir dan dipertahankan di bawah kepemimpinan Hakam II (961-976 M). Pada masa kepemimpinan Abdullahman III, ia menghancurkan pemberontakan Umar bin Hafsun. Pada tahun 917 M, ia menguasai Tolox, yang menjadi pusat benteng Ibnu Hafsun.</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{"citationItems":[{"id":"ITEM-1","itemData":{"author":[{"dropping-particle":"","family":"Abdul Karim","given":"M","non-dropping-particle":"","parse-names":false,"suffix":""}],"container-title":"Sejarah Pemikiran dan Peradaban Islam","id":"ITEM-1","issued":{"date-parts":[["2011"]]},"publisher":"Bagaskara","publisher-place":"Yogyakarta","title":"No Title","type":"chapter"},"uris":["http://www.mendeley.com/documents/?uuid=639a0700-3cea-4a48-8aac-7c5254f07323"]}],"mendeley":{"formattedCitation":"(Abdul Karim, 2011)","plainTextFormattedCitation":"(Abdul Karim, 2011)","previouslyFormattedCitation":"(Abdul Karim, 2011)"},"properties":{"noteIndex":0},"schema":"https://github.com/citation-style-language/schema/raw/master/csl-citation.json"}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(Abdul Karim, 2011)</w:t>
      </w:r>
      <w:r w:rsidRPr="00A2348E">
        <w:rPr>
          <w:rFonts w:ascii="Libre Baskerville" w:hAnsi="Libre Baskerville"/>
          <w:sz w:val="24"/>
          <w:szCs w:val="24"/>
        </w:rPr>
        <w:fldChar w:fldCharType="end"/>
      </w:r>
    </w:p>
    <w:p w14:paraId="57A04E55" w14:textId="77777777" w:rsidR="00A87C3D" w:rsidRPr="00A2348E" w:rsidRDefault="00A87C3D"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Hakam II (961-976 M)  menggantikan tahta An-Nasir. Ia mendapatkan ketenaran sebagai  penguasa dan ilmuwan. Perpustakaannya berisi banyak manuskrip,  dia mampu memahami dengan buku-buku yang dia </w:t>
      </w:r>
      <w:r w:rsidRPr="00A2348E">
        <w:rPr>
          <w:rFonts w:ascii="Libre Baskerville" w:hAnsi="Libre Baskerville"/>
          <w:sz w:val="24"/>
          <w:szCs w:val="24"/>
        </w:rPr>
        <w:lastRenderedPageBreak/>
        <w:t xml:space="preserve">kumpulkannya. Era ini merupakan puncak kejayaan dalam hal intelektual. Banyak para ilmuwan dari berbagai daerah berkumpul di Cordoba. Pada periode ini, masyarakat terbebas dari buta huruf. Pada masa Raja Hakam II, Universitas Cordoba telah mempunyai Dewan Guru besar. </w:t>
      </w:r>
    </w:p>
    <w:p w14:paraId="3BEA0140" w14:textId="77777777" w:rsidR="00A87C3D" w:rsidRPr="00A2348E" w:rsidRDefault="00A87C3D" w:rsidP="00A2348E">
      <w:pPr>
        <w:ind w:left="1418" w:firstLine="283"/>
        <w:jc w:val="both"/>
        <w:rPr>
          <w:rFonts w:ascii="Libre Baskerville" w:hAnsi="Libre Baskerville"/>
          <w:sz w:val="24"/>
          <w:szCs w:val="24"/>
        </w:rPr>
      </w:pPr>
      <w:r w:rsidRPr="00A2348E">
        <w:rPr>
          <w:rFonts w:ascii="Libre Baskerville" w:hAnsi="Libre Baskerville"/>
          <w:sz w:val="24"/>
          <w:szCs w:val="24"/>
        </w:rPr>
        <w:t>Setelah kematian Hakam II, ia digantikan oleh putranya yang masih berusia 10 tahun dan menjadi khalifah. Oleh karena itu, kekuasaan sebenarnya ada di tangan  pejabat. Pada tahun 981 M, Khalifah mengangkat Ibnu Abi Amir sebagai pemegang kekuasaan absolut. Ia sangat ambisius dan berhasil melepaskan kekuasaan dan memperluaskan</w:t>
      </w:r>
      <w:r w:rsidRPr="00A2348E">
        <w:rPr>
          <w:rFonts w:ascii="Libre Baskerville" w:hAnsi="Libre Baskerville"/>
          <w:sz w:val="24"/>
          <w:szCs w:val="24"/>
          <w:lang w:val="en-ID"/>
        </w:rPr>
        <w:t>nya</w:t>
      </w:r>
      <w:r w:rsidRPr="00A2348E">
        <w:rPr>
          <w:rFonts w:ascii="Libre Baskerville" w:hAnsi="Libre Baskerville"/>
          <w:sz w:val="24"/>
          <w:szCs w:val="24"/>
        </w:rPr>
        <w:t>. Karena keberhasilannya, ia mendapat gelar Al-Mansur Billah. Ia wafat pada tahun 1002 M dan digantikan oleh putranya Al-Muzaffar (1003-1009 M) yang masih unggul dalam mempertahankan kepemimpinannya. Namun setelah kematiannya pada tahun 1009, ia digantikan oleh adiknya Abdurrahman bin Muhammad (1009 M). Krisis mulai muncul di negara ini, dan kedaulatan Bani Umayyah II runtuh.</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{"citationItems":[{"id":"ITEM-1","itemData":{"author":[{"dropping-particle":"","family":"Maryam","given":"Siti","non-dropping-particle":"","parse-names":false,"suffix":""}],"container-title":"Sejarah Peradaban Islam dari Masa Klasik hingga Modern","id":"ITEM-1","issued":{"date-parts":[["2004"]]},"publisher":"Lesfi","publisher-place":"Yogyakarta","title":"No Title","type":"chapter"},"uris":["http://www.mendeley.com/documents/?uuid=3a723f4c-a4ba-4524-9087-6e07aecde018"]}],"mendeley":{"formattedCitation":"(Maryam, 2004)","plainTextFormattedCitation":"(Maryam, 2004)","previouslyFormattedCitation":"(Maryam, 2004)"},"properties":{"noteIndex":0},"schema":"https://github.com/citation-style-language/schema/raw/master/csl-citation.json"}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(Maryam, 2004)</w:t>
      </w:r>
      <w:r w:rsidRPr="00A2348E">
        <w:rPr>
          <w:rFonts w:ascii="Libre Baskerville" w:hAnsi="Libre Baskerville"/>
          <w:sz w:val="24"/>
          <w:szCs w:val="24"/>
        </w:rPr>
        <w:fldChar w:fldCharType="end"/>
      </w:r>
      <w:r w:rsidRPr="00A2348E">
        <w:rPr>
          <w:rFonts w:ascii="Libre Baskerville" w:hAnsi="Libre Baskerville"/>
          <w:sz w:val="24"/>
          <w:szCs w:val="24"/>
        </w:rPr>
        <w:t xml:space="preserve"> </w:t>
      </w:r>
    </w:p>
    <w:p w14:paraId="10F60F10" w14:textId="1B3EBD15" w:rsidR="00A87C3D" w:rsidRPr="00A2348E" w:rsidRDefault="00A87C3D" w:rsidP="00A2348E">
      <w:pPr>
        <w:ind w:left="1418" w:firstLine="283"/>
        <w:jc w:val="both"/>
        <w:rPr>
          <w:rFonts w:ascii="Libre Baskerville" w:eastAsia="Libre Baskerville" w:hAnsi="Libre Baskerville" w:cs="Libre Baskerville"/>
          <w:bCs/>
          <w:sz w:val="24"/>
          <w:szCs w:val="24"/>
        </w:rPr>
      </w:pPr>
      <w:r w:rsidRPr="00A2348E">
        <w:rPr>
          <w:rFonts w:ascii="Libre Baskerville" w:hAnsi="Libre Baskerville"/>
          <w:sz w:val="24"/>
          <w:szCs w:val="24"/>
        </w:rPr>
        <w:t>Kehancuran dimulai ketika pemimpin Kerajaan Bani Umayyah II menggulingkan dinasti Muayyad dan menggantikannya dengan Abdurrahman bin Muhammad. Sepeninggal Abdurrahman bin Muhammad, kekhalifahan diperebutkan. Selama dua puluh dua tahun, kekhalifahan berpindah tangan empat belas kali, sebagian besar melalui kudeta, dan lima khalifah naik takhta dua kali. Dinasti Umayyah II akhirnya jatuh pada masa pemerintahan Hisyam III Bin Muhammad III yang memiliki gelar Al-Mu'atadi berhasil disingkirkan oleh kelompok bersenjata</w:t>
      </w:r>
    </w:p>
    <w:p w14:paraId="05C2341E" w14:textId="716C4836" w:rsidR="00A87C3D" w:rsidRPr="00A2348E" w:rsidRDefault="00A87C3D" w:rsidP="00A2348E">
      <w:pPr>
        <w:pStyle w:val="ListParagraph"/>
        <w:numPr>
          <w:ilvl w:val="0"/>
          <w:numId w:val="20"/>
        </w:numPr>
        <w:spacing w:after="0" w:line="240" w:lineRule="auto"/>
        <w:ind w:left="1418" w:hanging="284"/>
        <w:jc w:val="both"/>
        <w:rPr>
          <w:rFonts w:ascii="Libre Baskerville" w:eastAsia="Libre Baskerville" w:hAnsi="Libre Baskerville" w:cs="Libre Baskerville"/>
          <w:b/>
          <w:sz w:val="24"/>
          <w:szCs w:val="24"/>
        </w:rPr>
      </w:pPr>
      <w:r w:rsidRPr="00A2348E">
        <w:rPr>
          <w:rFonts w:ascii="Libre Baskerville" w:eastAsia="Libre Baskerville" w:hAnsi="Libre Baskerville" w:cs="Libre Baskerville"/>
          <w:b/>
          <w:sz w:val="24"/>
          <w:szCs w:val="24"/>
        </w:rPr>
        <w:t>Masa Pemerintahan Dinasti Umayyah di Andalusia</w:t>
      </w:r>
    </w:p>
    <w:p w14:paraId="165F75C8"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Abdurrahman I bin Mu’awiyyah (758-788 M) </w:t>
      </w:r>
    </w:p>
    <w:p w14:paraId="67363778"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Abdurrahman merupakan keturunan Hisyam bin Abdul Malik, yang merupakan khalifah ke-10 Dinasti Umayyah di Damaskus. Gelar yang diberikan kepada Abdurrahman adalah Ad Dakhil, yang berarti memasuki daratan Andalusia. Selama 33 tahun Abdurrahman memerintah Andalusia.</w:t>
      </w:r>
      <w:r w:rsidRPr="00A2348E">
        <w:rPr>
          <w:rFonts w:ascii="Libre Baskerville" w:hAnsi="Libre Baskerville"/>
          <w:sz w:val="24"/>
          <w:szCs w:val="24"/>
          <w:lang w:val="en-ID"/>
        </w:rPr>
        <w:t xml:space="preserve"> Abd</w:t>
      </w:r>
      <w:r w:rsidRPr="00A2348E">
        <w:rPr>
          <w:rFonts w:ascii="Libre Baskerville" w:hAnsi="Libre Baskerville"/>
          <w:sz w:val="24"/>
          <w:szCs w:val="24"/>
        </w:rPr>
        <w:t>urr</w:t>
      </w:r>
      <w:r w:rsidRPr="00A2348E">
        <w:rPr>
          <w:rFonts w:ascii="Libre Baskerville" w:hAnsi="Libre Baskerville"/>
          <w:sz w:val="24"/>
          <w:szCs w:val="24"/>
          <w:lang w:val="en-ID"/>
        </w:rPr>
        <w:t>ahman membangun istana dan masjid  saat tinggal di Cordova. Dia melarang propaganda yang mendukung kepentingan Abbasiyah di Andalusia. Ia membangun kerajaan besar dan mengembalikan kekhalifahan di sana</w:t>
      </w:r>
      <w:r w:rsidRPr="00A2348E">
        <w:rPr>
          <w:rFonts w:ascii="Libre Baskerville" w:hAnsi="Libre Baskerville"/>
          <w:sz w:val="24"/>
          <w:szCs w:val="24"/>
        </w:rPr>
        <w:t>. Ad-Dakhil juga tidak membedakan suku  dan agama. Beliau bukan hanya pemimpin pemerintahan tetapi juga menjadi Imam Masjid yang Tawadhuk.</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{"citationItems":[{"id":"ITEM-1","itemData":{"author":[{"dropping-particle":"","family":"Abdul Karim","given":"M","non-dropping-particle":"","parse-names":false,"suffix":""}],"container-title":"Sejarah Pemikiran dan Peradaban Islam","id":"ITEM-1","issued":{"date-parts":[["2011"]]},"publisher":"Bagaskara","publisher-place":"Yogyakarta","title":"No Title","type":"chapter"},"uris":["http://www.mendeley.com/documents/?uuid=639a0700-3cea-4a48-8aac-7c5254f07323"]}],"mendeley":{"formattedCitation":"(Abdul Karim, 2011)","plainTextFormattedCitation":"(Abdul Karim, 2011)","previouslyFormattedCitation":"(Abdul Karim, 2011)"},"properties":{"noteIndex":0},"schema":"https://github.com/citation-style-language/schema/raw/master/csl-citation.json"}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(Abdul Karim, 2011)</w:t>
      </w:r>
      <w:r w:rsidRPr="00A2348E">
        <w:rPr>
          <w:rFonts w:ascii="Libre Baskerville" w:hAnsi="Libre Baskerville"/>
          <w:sz w:val="24"/>
          <w:szCs w:val="24"/>
        </w:rPr>
        <w:fldChar w:fldCharType="end"/>
      </w:r>
    </w:p>
    <w:p w14:paraId="25FAF12E"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Hisyam I bin Abdurrahman (788-796 M) </w:t>
      </w:r>
    </w:p>
    <w:p w14:paraId="27032B7C"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Pada masa pemerintahan Hisyam I, dia bersikap adil dan perhatian terhadap umat Islam. Hisyam adalah orang yang alim dan bertakwa. Dia di masa pemerintahannya menebar kebaikan dan kemakmuran. Kota Cordova dihiasi gedung-gedung megah dan taman yang indah, dan ia juga memperbarui bangunan lama.</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{"citationItems":[{"id":"ITEM-1","itemData":{"author":[{"dropping-particle":"","family":"Ibrahim","given":"Hasan","non-dropping-particle":"","parse-names":false,"suffix":""}],"container-title":"Sejarah dan Kebudayaan Islam","id":"ITEM-1","issued":{"date-parts":[["2013"]]},"publisher":"Kalam Mulia","publisher-place":"Jakarta","title":"No Title","type":"chapter"},"uris":["http://www.mendeley.com/documents/?uuid=160bba1f-92bd-407a-b5eb-3e63786f145c"]}],"mendeley":{"formattedCitation":"(Ibrahim, 2013)","plainTextFormattedCitation":"(Ibrahim, 2013)","previouslyFormattedCitation":"(Ibrahim, 2013)"},"properties":{"noteIndex":0},"schema":"https://github.com/citation-style-language/schema/raw/master/csl-citation.json"}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(Ibrahim, 2013)</w:t>
      </w:r>
      <w:r w:rsidRPr="00A2348E">
        <w:rPr>
          <w:rFonts w:ascii="Libre Baskerville" w:hAnsi="Libre Baskerville"/>
          <w:sz w:val="24"/>
          <w:szCs w:val="24"/>
        </w:rPr>
        <w:fldChar w:fldCharType="end"/>
      </w:r>
    </w:p>
    <w:p w14:paraId="3FA7E93F"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Al Hakam I bin Hisyam (786-822 M) </w:t>
      </w:r>
    </w:p>
    <w:p w14:paraId="27ABEE61"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Pada masa pemerintahan Hakam, politiknya berbeda dengan politik ayahnya Hisyam I. Politik yang digunakannya justru mengurangi peran ahli </w:t>
      </w:r>
      <w:r w:rsidRPr="00A2348E">
        <w:rPr>
          <w:rFonts w:ascii="Libre Baskerville" w:hAnsi="Libre Baskerville"/>
          <w:sz w:val="24"/>
          <w:szCs w:val="24"/>
        </w:rPr>
        <w:lastRenderedPageBreak/>
        <w:t>fiqih terhadap agama. Orang pertama yang mengumpulkan senjata dan mengangkat tentara bergaji di Andalusia adalah Hisyam.</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{"citationItems":[{"id":"ITEM-1","itemData":{"author":[{"dropping-particle":"","family":"Ibrahim","given":"Hasan","non-dropping-particle":"","parse-names":false,"suffix":""}],"container-title":"Sejarah dan Kebudayaan Islam","id":"ITEM-1","issued":{"date-parts":[["2013"]]},"publisher":"Kalam Mulia","publisher-place":"Jakarta","title":"No Title","type":"chapter"},"uris":["http://www.mendeley.com/documents/?uuid=160bba1f-92bd-407a-b5eb-3e63786f145c"]}],"mendeley":{"formattedCitation":"(Ibrahim, 2013)","plainTextFormattedCitation":"(Ibrahim, 2013)","previouslyFormattedCitation":"(Ibrahim, 2013)"},"properties":{"noteIndex":0},"schema":"https://github.com/citation-style-language/schema/raw/master/csl-citation.json"}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(Ibrahim, 2013)</w:t>
      </w:r>
      <w:r w:rsidRPr="00A2348E">
        <w:rPr>
          <w:rFonts w:ascii="Libre Baskerville" w:hAnsi="Libre Baskerville"/>
          <w:sz w:val="24"/>
          <w:szCs w:val="24"/>
        </w:rPr>
        <w:fldChar w:fldCharType="end"/>
      </w:r>
    </w:p>
    <w:p w14:paraId="09E4C693"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Abdurrahman II bin al- Hakam I (822-852 M) </w:t>
      </w:r>
    </w:p>
    <w:p w14:paraId="28A2A5E2"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Abdurrahman II dianugrahi gelar al-Ausat atau yang mempunyai arti yang tengah-tengah. Pada masa pemerintahannya sangat istimewa karena masa tenang, kas negara melimpah, membangun istana dan tempat rekreasi. Pada masa pemerintahannya </w:t>
      </w:r>
      <w:r w:rsidRPr="00A2348E">
        <w:rPr>
          <w:rFonts w:ascii="Libre Baskerville" w:hAnsi="Libre Baskerville"/>
          <w:sz w:val="24"/>
          <w:szCs w:val="24"/>
          <w:lang w:val="en-ID"/>
        </w:rPr>
        <w:t>menciptakan</w:t>
      </w:r>
      <w:r w:rsidRPr="00A2348E">
        <w:rPr>
          <w:rFonts w:ascii="Libre Baskerville" w:hAnsi="Libre Baskerville"/>
          <w:sz w:val="24"/>
          <w:szCs w:val="24"/>
        </w:rPr>
        <w:t xml:space="preserve"> saluran air dari gunung ke Cordova, </w:t>
      </w:r>
      <w:r w:rsidRPr="00A2348E">
        <w:rPr>
          <w:rFonts w:ascii="Libre Baskerville" w:hAnsi="Libre Baskerville"/>
          <w:sz w:val="24"/>
          <w:szCs w:val="24"/>
          <w:lang w:val="en-ID"/>
        </w:rPr>
        <w:t>m</w:t>
      </w:r>
      <w:r w:rsidRPr="00A2348E">
        <w:rPr>
          <w:rFonts w:ascii="Libre Baskerville" w:hAnsi="Libre Baskerville"/>
          <w:sz w:val="24"/>
          <w:szCs w:val="24"/>
        </w:rPr>
        <w:t xml:space="preserve">embangunan masjid, </w:t>
      </w:r>
      <w:r w:rsidRPr="00A2348E">
        <w:rPr>
          <w:rFonts w:ascii="Libre Baskerville" w:hAnsi="Libre Baskerville"/>
          <w:sz w:val="24"/>
          <w:szCs w:val="24"/>
          <w:lang w:val="en-ID"/>
        </w:rPr>
        <w:t>m</w:t>
      </w:r>
      <w:r w:rsidRPr="00A2348E">
        <w:rPr>
          <w:rFonts w:ascii="Libre Baskerville" w:hAnsi="Libre Baskerville"/>
          <w:sz w:val="24"/>
          <w:szCs w:val="24"/>
        </w:rPr>
        <w:t>embangunan jalan-jalan. Ia juga melakukan renovasi terhadap bangunan sebelumnya.</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{"citationItems":[{"id":"ITEM-1","itemData":{"author":[{"dropping-particle":"","family":"Ibrahim","given":"Hasan","non-dropping-particle":"","parse-names":false,"suffix":""}],"container-title":"Sejarah dan Kebudayaan Islam","id":"ITEM-1","issued":{"date-parts":[["2013"]]},"publisher":"Kalam Mulia","publisher-place":"Jakarta","title":"No Title","type":"chapter"},"uris":["http://www.mendeley.com/documents/?uuid=160bba1f-92bd-407a-b5eb-3e63786f145c"]}],"mendeley":{"formattedCitation":"(Ibrahim, 2013)","plainTextFormattedCitation":"(Ibrahim, 2013)","previouslyFormattedCitation":"(Ibrahim, 2013)"},"properties":{"noteIndex":0},"schema":"https://github.com/citation-style-language/schema/raw/master/csl-citation.json"}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(Ibrahim, 2013)</w:t>
      </w:r>
      <w:r w:rsidRPr="00A2348E">
        <w:rPr>
          <w:rFonts w:ascii="Libre Baskerville" w:hAnsi="Libre Baskerville"/>
          <w:sz w:val="24"/>
          <w:szCs w:val="24"/>
        </w:rPr>
        <w:fldChar w:fldCharType="end"/>
      </w:r>
    </w:p>
    <w:p w14:paraId="02C29696"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Muhammad bin Abdurrahman II (852-886 M) </w:t>
      </w:r>
    </w:p>
    <w:p w14:paraId="7E17B6E7"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Ia terkenal sebagai pendamai antara mazhab Maliki dan Hambali. Mazhab Hambali dianggap baru di Andalusia. Ia </w:t>
      </w:r>
      <w:r w:rsidRPr="00A2348E">
        <w:rPr>
          <w:rFonts w:ascii="Libre Baskerville" w:hAnsi="Libre Baskerville"/>
          <w:sz w:val="24"/>
          <w:szCs w:val="24"/>
          <w:lang w:val="da-DK"/>
        </w:rPr>
        <w:t xml:space="preserve">memiliki </w:t>
      </w:r>
      <w:r w:rsidRPr="00A2348E">
        <w:rPr>
          <w:rFonts w:ascii="Libre Baskerville" w:hAnsi="Libre Baskerville"/>
          <w:sz w:val="24"/>
          <w:szCs w:val="24"/>
        </w:rPr>
        <w:t xml:space="preserve">anggapan </w:t>
      </w:r>
      <w:r w:rsidRPr="00A2348E">
        <w:rPr>
          <w:rFonts w:ascii="Libre Baskerville" w:hAnsi="Libre Baskerville"/>
          <w:sz w:val="24"/>
          <w:szCs w:val="24"/>
          <w:lang w:val="da-DK"/>
        </w:rPr>
        <w:t>jika</w:t>
      </w:r>
      <w:r w:rsidRPr="00A2348E">
        <w:rPr>
          <w:rFonts w:ascii="Libre Baskerville" w:hAnsi="Libre Baskerville"/>
          <w:sz w:val="24"/>
          <w:szCs w:val="24"/>
        </w:rPr>
        <w:t xml:space="preserve"> </w:t>
      </w:r>
      <w:r w:rsidRPr="00A2348E">
        <w:rPr>
          <w:rFonts w:ascii="Libre Baskerville" w:hAnsi="Libre Baskerville"/>
          <w:sz w:val="24"/>
          <w:szCs w:val="24"/>
          <w:lang w:val="da-DK"/>
        </w:rPr>
        <w:t>terjadi</w:t>
      </w:r>
      <w:r w:rsidRPr="00A2348E">
        <w:rPr>
          <w:rFonts w:ascii="Libre Baskerville" w:hAnsi="Libre Baskerville"/>
          <w:sz w:val="24"/>
          <w:szCs w:val="24"/>
        </w:rPr>
        <w:t xml:space="preserve"> pertentangan </w:t>
      </w:r>
      <w:r w:rsidRPr="00A2348E">
        <w:rPr>
          <w:rFonts w:ascii="Libre Baskerville" w:hAnsi="Libre Baskerville"/>
          <w:sz w:val="24"/>
          <w:szCs w:val="24"/>
          <w:lang w:val="da-DK"/>
        </w:rPr>
        <w:t>antara</w:t>
      </w:r>
      <w:r w:rsidRPr="00A2348E">
        <w:rPr>
          <w:rFonts w:ascii="Libre Baskerville" w:hAnsi="Libre Baskerville"/>
          <w:sz w:val="24"/>
          <w:szCs w:val="24"/>
        </w:rPr>
        <w:t xml:space="preserve"> umat Islam </w:t>
      </w:r>
      <w:r w:rsidRPr="00A2348E">
        <w:rPr>
          <w:rFonts w:ascii="Libre Baskerville" w:hAnsi="Libre Baskerville"/>
          <w:sz w:val="24"/>
          <w:szCs w:val="24"/>
          <w:lang w:val="da-DK"/>
        </w:rPr>
        <w:t>tentu</w:t>
      </w:r>
      <w:r w:rsidRPr="00A2348E">
        <w:rPr>
          <w:rFonts w:ascii="Libre Baskerville" w:hAnsi="Libre Baskerville"/>
          <w:sz w:val="24"/>
          <w:szCs w:val="24"/>
        </w:rPr>
        <w:t xml:space="preserve"> akan menguntungkan umat Kristen. Oleh sebab itu, ia menyerukan kepada sumua umat islam agar berdamai dan bersatu untuk menghadapi kekuatan Kristen.</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{"citationItems":[{"id":"ITEM-1","itemData":{"author":[{"dropping-particle":"","family":"Abdul Karim","given":"M","non-dropping-particle":"","parse-names":false,"suffix":""}],"container-title":"Sejarah Pemikiran dan Peradaban Islam","id":"ITEM-1","issued":{"date-parts":[["2011"]]},"publisher":"Bagaskara","publisher-place":"Yogyakarta","title":"No Title","type":"chapter"},"uris":["http://www.mendeley.com/documents/?uuid=639a0700-3cea-4a48-8aac-7c5254f07323"]}],"mendeley":{"formattedCitation":"(Abdul Karim, 2011)","plainTextFormattedCitation":"(Abdul Karim, 2011)","previouslyFormattedCitation":"(Abdul Karim, 2011)"},"properties":{"noteIndex":0},"schema":"https://github.com/citation-style-language/schema/raw/master/csl-citation.json"}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(Abdul Karim, 2011)</w:t>
      </w:r>
      <w:r w:rsidRPr="00A2348E">
        <w:rPr>
          <w:rFonts w:ascii="Libre Baskerville" w:hAnsi="Libre Baskerville"/>
          <w:sz w:val="24"/>
          <w:szCs w:val="24"/>
        </w:rPr>
        <w:fldChar w:fldCharType="end"/>
      </w:r>
    </w:p>
    <w:p w14:paraId="6ED0C7E2"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Al-Mundir (886-888 M) </w:t>
      </w:r>
    </w:p>
    <w:p w14:paraId="5A9125B5"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Pada tahun 886 M, Al-Mundir menggantikan ayahnya Muhammad I sebagai penguasa tertinggi Andalusia, menjadi khalifah keenam dalam sejarah Dawla Bani Umayyah  Andalusia. Dua tahun berkuasa, ia masih mewarisi suasana kacau. Terjadi pemberontakan yang dilakukan oleh Ghalib bin Umar, Pemberontakan di Barbastro.</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{"citationItems":[{"id":"ITEM-1","itemData":{"author":[{"dropping-particle":"","family":"Sou'yb","given":"Joesoef","non-dropping-particle":"","parse-names":false,"suffix":""}],"container-title":"Sejarah Daulah Umayyah di Cordova","id":"ITEM-1","issued":{"date-parts":[["1977"]]},"publisher":"Bulan Bintang","publisher-place":"Jakarta","title":"No Title","type":"chapter"},"uris":["http://www.mendeley.com/documents/?uuid=a3a6254d-a619-481c-b022-8771af930279"]}],"mendeley":{"formattedCitation":"(Sou’yb, 1977)","plainTextFormattedCitation":"(Sou’yb, 1977)","previouslyFormattedCitation":"(Sou’yb, 1977)"},"properties":{"noteIndex":0},"schema":"https://github.com/citation-style-language/schema/raw/master/csl-citation.json"}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(Sou’yb, 1977)</w:t>
      </w:r>
      <w:r w:rsidRPr="00A2348E">
        <w:rPr>
          <w:rFonts w:ascii="Libre Baskerville" w:hAnsi="Libre Baskerville"/>
          <w:sz w:val="24"/>
          <w:szCs w:val="24"/>
        </w:rPr>
        <w:fldChar w:fldCharType="end"/>
      </w:r>
    </w:p>
    <w:p w14:paraId="0D606D4B"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Abdullah (888-912 M) </w:t>
      </w:r>
    </w:p>
    <w:p w14:paraId="474D963C"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Ia mengambil alih posisi saudaranya Al-Mundir dan menjabat selama dua puluh lima tahun. Selama pemerintahannya, terjadi beberapa pemberontakan, termasuk  pembrontakan Muhammad bin Taquete, Ibnu Mirwan Al-Galaki dan Dinasti Aghlabites.</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{"citationItems":[{"id":"ITEM-1","itemData":{"author":[{"dropping-particle":"","family":"Sou'yb","given":"Joesoef","non-dropping-particle":"","parse-names":false,"suffix":""}],"container-title":"Sejarah Daulah Umayyah di Cordova","id":"ITEM-1","issued":{"date-parts":[["1977"]]},"publisher":"Bulan Bintang","publisher-place":"Jakarta","title":"No Title","type":"chapter"},"uris":["http://www.mendeley.com/documents/?uuid=a3a6254d-a619-481c-b022-8771af930279"]}],"mendeley":{"formattedCitation":"(Sou’yb, 1977)","plainTextFormattedCitation":"(Sou’yb, 1977)","previouslyFormattedCitation":"(Sou’yb, 1977)"},"properties":{"noteIndex":0},"schema":"https://github.com/citation-style-language/schema/raw/master/csl-citation.json"}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(Sou’yb, 1977)</w:t>
      </w:r>
      <w:r w:rsidRPr="00A2348E">
        <w:rPr>
          <w:rFonts w:ascii="Libre Baskerville" w:hAnsi="Libre Baskerville"/>
          <w:sz w:val="24"/>
          <w:szCs w:val="24"/>
        </w:rPr>
        <w:fldChar w:fldCharType="end"/>
      </w:r>
    </w:p>
    <w:p w14:paraId="06895A49"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Abdurrahman III (912-961 M) </w:t>
      </w:r>
    </w:p>
    <w:p w14:paraId="5E5957DE"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Pada masa kepemimpinan Abdurrahman kebudayaan Islam semakin berkembang. Abdurrahman III juga mengubah model kekuasaan dari amir menjadi khalifah. Ada tiga faktor yang melatarbelakangi tindakannya: a) Kekhalifahan Abbasiyah telah melemah setelah wafatnya Khalifah Al-Mutawakkil, karena khalifah bertindak sesuai keinginannya, b) Setelah menumbangkan Dinasti Aghlabiyah di Afrika, Daulah Fatimiyyah membebaskan diri dari kekuasaan pusat Baghdad dan menunjuk para pejabatnya sebagai khalifah. c) Daulah Fatimiyah mempunyai kendali penuh atas wilayah Afrika Utara.</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{"citationItems":[{"id":"ITEM-1","itemData":{"author":[{"dropping-particle":"","family":"Ismail","given":"Faisal","non-dropping-particle":"","parse-names":false,"suffix":""}],"container-title":"Paradigma Kebudayaan Islam, Studi Kritis dan Refleksi Historis","id":"ITEM-1","issued":{"date-parts":[["1996"]]},"publisher":"Titian Ilahi Press","publisher-place":"Yogyakarta","title":"No Title","type":"chapter"},"uris":["http://www.mendeley.com/documents/?uuid=f92613b8-9c7c-4101-be8a-01c9366488a2"]}],"mendeley":{"formattedCitation":"(Ismail, 1996)","plainTextFormattedCitation":"(Ismail, 1996)","previouslyFormattedCitation":"(Ismail, 1996)"},"properties":{"noteIndex":0},"schema":"https://github.com/citation-style-language/schema/raw/master/csl-citation.json"}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(Ismail, 1996)</w:t>
      </w:r>
      <w:r w:rsidRPr="00A2348E">
        <w:rPr>
          <w:rFonts w:ascii="Libre Baskerville" w:hAnsi="Libre Baskerville"/>
          <w:sz w:val="24"/>
          <w:szCs w:val="24"/>
        </w:rPr>
        <w:fldChar w:fldCharType="end"/>
      </w:r>
    </w:p>
    <w:p w14:paraId="248CC614"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Al-Hakam II (961-976 M) </w:t>
      </w:r>
    </w:p>
    <w:p w14:paraId="4797AC5B"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Pada bulan Ramadhan awal mula Al-Hakam II menjabat khalifah </w:t>
      </w:r>
      <w:r w:rsidRPr="00A2348E">
        <w:rPr>
          <w:rFonts w:ascii="Libre Baskerville" w:hAnsi="Libre Baskerville"/>
          <w:sz w:val="24"/>
          <w:szCs w:val="24"/>
          <w:lang w:val="da-DK"/>
        </w:rPr>
        <w:t xml:space="preserve">saat </w:t>
      </w:r>
      <w:r w:rsidRPr="00A2348E">
        <w:rPr>
          <w:rFonts w:ascii="Libre Baskerville" w:hAnsi="Libre Baskerville"/>
          <w:sz w:val="24"/>
          <w:szCs w:val="24"/>
        </w:rPr>
        <w:t>usia 45</w:t>
      </w:r>
      <w:r w:rsidRPr="00A2348E">
        <w:rPr>
          <w:rFonts w:ascii="Libre Baskerville" w:hAnsi="Libre Baskerville"/>
          <w:sz w:val="24"/>
          <w:szCs w:val="24"/>
          <w:lang w:val="da-DK"/>
        </w:rPr>
        <w:t xml:space="preserve"> </w:t>
      </w:r>
      <w:r w:rsidRPr="00A2348E">
        <w:rPr>
          <w:rFonts w:ascii="Libre Baskerville" w:hAnsi="Libre Baskerville"/>
          <w:sz w:val="24"/>
          <w:szCs w:val="24"/>
        </w:rPr>
        <w:t>tahun. Ayah Abdurrahman III memilihnya untuk menggantikan dia. Ia diberi gelar "khalifah cendekiawan" dan dianggap sebagai orang yang mencintai perdamaian. Ia memiliki kemampuan untuk mengendalikan segalanya karena keahliannya dalam memilih pelayan, tetapi kepercayaan terhadap pelayannya akan berdampak buruk pada kepemimpinan selanjutnya.</w:t>
      </w:r>
    </w:p>
    <w:p w14:paraId="20BBF6A7"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Hisyam II (976-1000 M) </w:t>
      </w:r>
    </w:p>
    <w:p w14:paraId="65F2251B"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lastRenderedPageBreak/>
        <w:t>Pada usia 10 tahun Hisyam II diangkat menjadi khalifah. Terbilang usia yang terlalu dini untuk menjadi seorang khalifah, maka saudara khalifah Hakam II yaitu amir Mughairah ibn Abdurrahman yang bertanggung jawab atas pemerintahan umum dan setelah khalifah Hisyam II meninggal, sering terjadi pergantian penguasa.</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{"citationItems":[{"id":"ITEM-1","itemData":{"author":[{"dropping-particle":"","family":"Sou'yb","given":"Joesoef","non-dropping-particle":"","parse-names":false,"suffix":""}],"container-title":"Sejarah Daulah Umayyah di Cordova","id":"ITEM-1","issued":{"date-parts":[["1977"]]},"publisher":"Bulan Bintang","publisher-place":"Jakarta","title":"No Title","type":"chapter"},"uris":["http://www.mendeley.com/documents/?uuid=a3a6254d-a619-481c-b022-8771af930279"]}],"mendeley":{"formattedCitation":"(Sou’yb, 1977)","plainTextFormattedCitation":"(Sou’yb, 1977)","previouslyFormattedCitation":"(Sou’yb, 1977)"},"properties":{"noteIndex":0},"schema":"https://github.com/citation-style-language/schema/raw/master/csl-citation.json"}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(Sou’yb, 1977)</w:t>
      </w:r>
      <w:r w:rsidRPr="00A2348E">
        <w:rPr>
          <w:rFonts w:ascii="Libre Baskerville" w:hAnsi="Libre Baskerville"/>
          <w:sz w:val="24"/>
          <w:szCs w:val="24"/>
        </w:rPr>
        <w:fldChar w:fldCharType="end"/>
      </w:r>
      <w:r w:rsidRPr="00A2348E">
        <w:rPr>
          <w:rFonts w:ascii="Libre Baskerville" w:hAnsi="Libre Baskerville"/>
          <w:sz w:val="24"/>
          <w:szCs w:val="24"/>
        </w:rPr>
        <w:t xml:space="preserve"> </w:t>
      </w:r>
    </w:p>
    <w:p w14:paraId="621B2478" w14:textId="02DF123F" w:rsidR="00A87C3D" w:rsidRPr="00A2348E" w:rsidRDefault="00A2348E" w:rsidP="00A2348E">
      <w:pPr>
        <w:ind w:left="1418" w:firstLine="283"/>
        <w:jc w:val="both"/>
        <w:rPr>
          <w:rFonts w:ascii="Libre Baskerville" w:eastAsia="Libre Baskerville" w:hAnsi="Libre Baskerville" w:cs="Libre Baskerville"/>
          <w:bCs/>
          <w:sz w:val="24"/>
          <w:szCs w:val="24"/>
        </w:rPr>
      </w:pPr>
      <w:r w:rsidRPr="00A2348E">
        <w:rPr>
          <w:rFonts w:ascii="Libre Baskerville" w:hAnsi="Libre Baskerville"/>
          <w:sz w:val="24"/>
          <w:szCs w:val="24"/>
        </w:rPr>
        <w:t>Adapun khalifah selanjutnya antara lain: Muhammad II (1009-1010 M), Sulaiman (1009-1010 M), Hisyam II (1010-1013 M), Sulaiman (1013-1016 M), Abdurrahman IV (1018 M), Abdurrahman V (1023 M), Muhammad III (1023-1025 M) dan Hisyam III (1027-1031 M)</w:t>
      </w:r>
      <w:r w:rsidRPr="00A2348E">
        <w:rPr>
          <w:rFonts w:ascii="Libre Baskerville" w:hAnsi="Libre Baskerville"/>
          <w:sz w:val="24"/>
          <w:szCs w:val="24"/>
        </w:rPr>
        <w:t>.</w:t>
      </w:r>
    </w:p>
    <w:p w14:paraId="119DB779" w14:textId="42CBBA6D" w:rsidR="00A87C3D" w:rsidRPr="00A2348E" w:rsidRDefault="00A87C3D" w:rsidP="00A2348E">
      <w:pPr>
        <w:pStyle w:val="ListParagraph"/>
        <w:numPr>
          <w:ilvl w:val="0"/>
          <w:numId w:val="20"/>
        </w:numPr>
        <w:spacing w:after="0" w:line="240" w:lineRule="auto"/>
        <w:ind w:left="1418" w:hanging="284"/>
        <w:jc w:val="both"/>
        <w:rPr>
          <w:rFonts w:ascii="Libre Baskerville" w:eastAsia="Libre Baskerville" w:hAnsi="Libre Baskerville" w:cs="Libre Baskerville"/>
          <w:b/>
          <w:sz w:val="24"/>
          <w:szCs w:val="24"/>
        </w:rPr>
      </w:pPr>
      <w:r w:rsidRPr="00A2348E">
        <w:rPr>
          <w:rFonts w:ascii="Libre Baskerville" w:eastAsia="Libre Baskerville" w:hAnsi="Libre Baskerville" w:cs="Libre Baskerville"/>
          <w:b/>
          <w:sz w:val="24"/>
          <w:szCs w:val="24"/>
        </w:rPr>
        <w:t>Perkembangan Ilmu Pengetahuan</w:t>
      </w:r>
    </w:p>
    <w:p w14:paraId="05F11FF9" w14:textId="77777777" w:rsidR="00A2348E" w:rsidRPr="00A2348E" w:rsidRDefault="00A2348E" w:rsidP="00A2348E">
      <w:pPr>
        <w:pStyle w:val="ListParagraph"/>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Pada masa kemajuan pemerintahan ini, ilmu pengetahuan juga berkembang dengan sangat cepat. Karena Spanyol adalah negara yang subur. Bangkitnya budaya ilmiah, sastra, dan kesenian di Andalusia didorong oleh pemahaman intelektual dari semua komunitas itu, kecuali yang Kristen, di antaranya:</w:t>
      </w:r>
    </w:p>
    <w:p w14:paraId="0E6444D7" w14:textId="77777777" w:rsidR="00A2348E" w:rsidRPr="00A2348E" w:rsidRDefault="00A2348E" w:rsidP="00A2348E">
      <w:pPr>
        <w:pStyle w:val="ListParagraph"/>
        <w:numPr>
          <w:ilvl w:val="0"/>
          <w:numId w:val="21"/>
        </w:numPr>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 xml:space="preserve">Filsafat </w:t>
      </w:r>
    </w:p>
    <w:p w14:paraId="37B1941E" w14:textId="77777777" w:rsidR="00A2348E" w:rsidRPr="00A2348E" w:rsidRDefault="00A2348E" w:rsidP="00A2348E">
      <w:pPr>
        <w:ind w:left="1418" w:firstLine="283"/>
        <w:jc w:val="both"/>
        <w:rPr>
          <w:rFonts w:ascii="Libre Baskerville" w:hAnsi="Libre Baskerville"/>
          <w:sz w:val="24"/>
          <w:szCs w:val="24"/>
        </w:rPr>
      </w:pPr>
      <w:bookmarkStart w:id="2" w:name="_Hlk153633762"/>
      <w:r w:rsidRPr="00A2348E">
        <w:rPr>
          <w:rFonts w:ascii="Libre Baskerville" w:hAnsi="Libre Baskerville"/>
          <w:sz w:val="24"/>
          <w:szCs w:val="24"/>
        </w:rPr>
        <w:t>Di bidang filsafat, atas prakarsa Al-Hakam II, banyak literatur ilmiah dan filosofis didatangkan dari Timur. Akhirnya Cordova dengan perpustakaan dan universitasnya, mampu menyaingi Baghdad sebagai pusat ilmu pengetahuan di Dunia Islam. Pada saat itu juga merupakan persiapan untuk kelahiran seorang filsuf besar Spanyol di masa depan. Abu Bakar Muhammad bin Sayyigh, juga dikenal sebagai Ibnu Bajjah, adalah tokoh pertama dalam filsafat Arab-Spanyol. Dia berasal dari Zaragoza dan kemudian pindah ke Seville dan Granada. Dia meninggal muda karena keracunan di Fez pada tahun 1138 M. Para sejarawan menganggapnya sebagai orang yang berpengetahuan luas, menguasai lebih dari selusin bidang ilmu Sains</w:t>
      </w:r>
      <w:bookmarkEnd w:id="2"/>
      <w:r w:rsidRPr="00A2348E">
        <w:rPr>
          <w:rFonts w:ascii="Libre Baskerville" w:hAnsi="Libre Baskerville"/>
          <w:sz w:val="24"/>
          <w:szCs w:val="24"/>
        </w:rPr>
        <w:t>.</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{"citationItems":[{"id":"ITEM-1","itemData":{"author":[{"dropping-particle":"","family":"Penulis","given":"Tim","non-dropping-particle":"","parse-names":false,"suffix":""}],"container-title":"Ensiklopedi Islam","id":"ITEM-1","issued":{"date-parts":[["2001"]]},"publisher":"PT. Ichtiar Baru Van Hoeve","publisher-place":"Jakarta","title":"No Title","type":"chapter"},"uris":["http://www.mendeley.com/documents/?uuid=91983682-5096-4352-abbf-1767587a7dbb"]}],"mendeley":{"formattedCitation":"(Penulis, 2001)","plainTextFormattedCitation":"(Penulis, 2001)","previouslyFormattedCitation":"(Penulis, 2001)"},"properties":{"noteIndex":0},"schema":"https://github.com/citation-style-language/schema/raw/master/csl-citation.json"}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(Penulis, 2001)</w:t>
      </w:r>
      <w:r w:rsidRPr="00A2348E">
        <w:rPr>
          <w:rFonts w:ascii="Libre Baskerville" w:hAnsi="Libre Baskerville"/>
          <w:sz w:val="24"/>
          <w:szCs w:val="24"/>
        </w:rPr>
        <w:fldChar w:fldCharType="end"/>
      </w:r>
      <w:r w:rsidRPr="00A2348E">
        <w:rPr>
          <w:rFonts w:ascii="Libre Baskerville" w:hAnsi="Libre Baskerville"/>
          <w:sz w:val="24"/>
          <w:szCs w:val="24"/>
        </w:rPr>
        <w:t xml:space="preserve"> </w:t>
      </w:r>
    </w:p>
    <w:p w14:paraId="328C1C97" w14:textId="77777777" w:rsidR="00A2348E" w:rsidRPr="00A2348E" w:rsidRDefault="00A2348E" w:rsidP="00A2348E">
      <w:pPr>
        <w:pStyle w:val="ListParagraph"/>
        <w:numPr>
          <w:ilvl w:val="0"/>
          <w:numId w:val="21"/>
        </w:numPr>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 xml:space="preserve">Sains </w:t>
      </w:r>
    </w:p>
    <w:p w14:paraId="44319097"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 xml:space="preserve">Di bidang medis atau kedokteran, Ahmad bin Ibas terkenal </w:t>
      </w:r>
      <w:r w:rsidRPr="00A2348E">
        <w:rPr>
          <w:rFonts w:ascii="Libre Baskerville" w:hAnsi="Libre Baskerville"/>
          <w:sz w:val="24"/>
          <w:szCs w:val="24"/>
          <w:lang w:val="en-ID"/>
        </w:rPr>
        <w:t>memiliki ke</w:t>
      </w:r>
      <w:r w:rsidRPr="00A2348E">
        <w:rPr>
          <w:rFonts w:ascii="Libre Baskerville" w:hAnsi="Libre Baskerville"/>
          <w:sz w:val="24"/>
          <w:szCs w:val="24"/>
        </w:rPr>
        <w:t>ahli</w:t>
      </w:r>
      <w:r w:rsidRPr="00A2348E">
        <w:rPr>
          <w:rFonts w:ascii="Libre Baskerville" w:hAnsi="Libre Baskerville"/>
          <w:sz w:val="24"/>
          <w:szCs w:val="24"/>
          <w:lang w:val="en-ID"/>
        </w:rPr>
        <w:t>an</w:t>
      </w:r>
      <w:r w:rsidRPr="00A2348E">
        <w:rPr>
          <w:rFonts w:ascii="Libre Baskerville" w:hAnsi="Libre Baskerville"/>
          <w:sz w:val="24"/>
          <w:szCs w:val="24"/>
        </w:rPr>
        <w:t xml:space="preserve"> di bidang medis bidang obat-obatan. Ummi Al Hasan binti Abi Ja'afar adalah seorang profesional medis dari golongan wanita. Abbas bin Farnas di bidang  kimia dan astronomi. Dialah orang pertama yang menemukan cara membuat kaca dari batu. Ibrahim bin Yahya Al-Nakash terkenal dengan astronominya. Ia dapat </w:t>
      </w:r>
      <w:r w:rsidRPr="00A2348E">
        <w:rPr>
          <w:rFonts w:ascii="Libre Baskerville" w:hAnsi="Libre Baskerville"/>
          <w:sz w:val="24"/>
          <w:szCs w:val="24"/>
          <w:lang w:val="da-DK"/>
        </w:rPr>
        <w:t>menghitung</w:t>
      </w:r>
      <w:r w:rsidRPr="00A2348E">
        <w:rPr>
          <w:rFonts w:ascii="Libre Baskerville" w:hAnsi="Libre Baskerville"/>
          <w:sz w:val="24"/>
          <w:szCs w:val="24"/>
        </w:rPr>
        <w:t xml:space="preserve"> waktu terjadinya gerhana matahari dan menentukan berapa lama gerhana tersebut akan berlangsung.</w:t>
      </w:r>
    </w:p>
    <w:p w14:paraId="3C84D27D" w14:textId="77777777" w:rsidR="00A2348E" w:rsidRPr="00A2348E" w:rsidRDefault="00A2348E" w:rsidP="00A2348E">
      <w:pPr>
        <w:pStyle w:val="ListParagraph"/>
        <w:numPr>
          <w:ilvl w:val="0"/>
          <w:numId w:val="21"/>
        </w:numPr>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 xml:space="preserve">Sejarah dan Geografi </w:t>
      </w:r>
    </w:p>
    <w:p w14:paraId="4E8BD2E3" w14:textId="77777777" w:rsidR="00A2348E" w:rsidRPr="00A2348E" w:rsidRDefault="00A2348E" w:rsidP="00A2348E">
      <w:pPr>
        <w:pStyle w:val="ListParagraph"/>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 xml:space="preserve">Ibn Jubeir dari Valencia (1145-1228 M.) adalah ahli sejarah dan geografi terkenal. Dia menulis tentang Sicilia dan negara muslim Mediterania lainnya. Ibn Batutah dari Tangier (1304–1377 M.) sampai ke Cina setelah melewati Samudra Pasai di Indonesia. Riwayat Granada ditulis oleh Ibnu Khatib yang hidup dari 1317 hingga 1374 M. Sedangkan Ibn Khaldun, yang berasal dari Tunis kemudian tinggal di Spanyol, adalah seorang ahli filsafat sejarah yang luar biasa. Semua sejarawan tersebut tinggal di Spanyol sebelum pindah ke Afrika. </w:t>
      </w:r>
    </w:p>
    <w:p w14:paraId="65262142" w14:textId="77777777" w:rsidR="00A2348E" w:rsidRPr="00A2348E" w:rsidRDefault="00A2348E" w:rsidP="00A2348E">
      <w:pPr>
        <w:pStyle w:val="ListParagraph"/>
        <w:numPr>
          <w:ilvl w:val="0"/>
          <w:numId w:val="21"/>
        </w:numPr>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lastRenderedPageBreak/>
        <w:t xml:space="preserve">Fiqih </w:t>
      </w:r>
    </w:p>
    <w:p w14:paraId="02D6D62B" w14:textId="77777777" w:rsidR="00A2348E" w:rsidRPr="00A2348E" w:rsidRDefault="00A2348E" w:rsidP="00A2348E">
      <w:pPr>
        <w:pStyle w:val="ListParagraph"/>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 xml:space="preserve">Di Spanyol, dikenal sebagai penganut mazhab Maliki dalam bidang fiqih. Ziyad bin Abd. al-Rahman memperkenalkan mazhab ini di tempat tersebut. Mazhab Maliki dianut oleh Hasyim I. Dia menghormati Imam Malik, yang merupakan salah satu dari empat mazhab fiqih Sunni. Dia menyarankan para ilmuan untuk pergi ke Madinah untuk mempelajari ajaran mazhab Maliki. Selain itu, agar kitab Imam Malik "Al-Muwatho" dapat diduplikas dan disebar keseluruh wilayah kekuasaannya. </w:t>
      </w:r>
    </w:p>
    <w:p w14:paraId="06E2E666" w14:textId="77777777" w:rsidR="00A2348E" w:rsidRPr="00A2348E" w:rsidRDefault="00A2348E" w:rsidP="00A2348E">
      <w:pPr>
        <w:pStyle w:val="ListParagraph"/>
        <w:numPr>
          <w:ilvl w:val="0"/>
          <w:numId w:val="21"/>
        </w:numPr>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 xml:space="preserve">Musik dan Kesenian </w:t>
      </w:r>
    </w:p>
    <w:p w14:paraId="49AD8211"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Hasan bin Nafi yang dikenal dengan Zaryab adalah tokoh dalam bidang musik dan seni khususnya seni suara. Di setiap pertemuan atau jamuan makan apa pun, Zaryab akan memamerkan keahliannya. Ia juga dikenal sebagai komposer lagu. Dia mewariskan ilmunya kepada anak-anaknya, baik laki-laki ataupun perempuan.</w:t>
      </w:r>
    </w:p>
    <w:p w14:paraId="20639AB0" w14:textId="77777777" w:rsidR="00A2348E" w:rsidRPr="00A2348E" w:rsidRDefault="00A2348E" w:rsidP="00A2348E">
      <w:pPr>
        <w:pStyle w:val="ListParagraph"/>
        <w:numPr>
          <w:ilvl w:val="0"/>
          <w:numId w:val="21"/>
        </w:numPr>
        <w:spacing w:after="0" w:line="240" w:lineRule="auto"/>
        <w:ind w:left="1418" w:firstLine="283"/>
        <w:jc w:val="both"/>
        <w:rPr>
          <w:rFonts w:ascii="Libre Baskerville" w:hAnsi="Libre Baskerville" w:cs="Times New Roman"/>
          <w:sz w:val="24"/>
          <w:szCs w:val="24"/>
        </w:rPr>
      </w:pPr>
      <w:r w:rsidRPr="00A2348E">
        <w:rPr>
          <w:rFonts w:ascii="Libre Baskerville" w:hAnsi="Libre Baskerville" w:cs="Times New Roman"/>
          <w:sz w:val="24"/>
          <w:szCs w:val="24"/>
        </w:rPr>
        <w:t xml:space="preserve">Arsitektur </w:t>
      </w:r>
    </w:p>
    <w:p w14:paraId="1CBBC2A4" w14:textId="28248DBA" w:rsidR="00A2348E" w:rsidRPr="00A2348E" w:rsidRDefault="00A2348E" w:rsidP="00A2348E">
      <w:pPr>
        <w:pStyle w:val="ListParagraph"/>
        <w:spacing w:after="0" w:line="240" w:lineRule="auto"/>
        <w:ind w:left="1418" w:firstLine="283"/>
        <w:jc w:val="both"/>
        <w:rPr>
          <w:rFonts w:ascii="Libre Baskerville" w:eastAsia="Libre Baskerville" w:hAnsi="Libre Baskerville" w:cs="Libre Baskerville"/>
          <w:bCs/>
          <w:sz w:val="24"/>
          <w:szCs w:val="24"/>
        </w:rPr>
      </w:pPr>
      <w:r w:rsidRPr="00A2348E">
        <w:rPr>
          <w:rFonts w:ascii="Libre Baskerville" w:hAnsi="Libre Baskerville" w:cs="Times New Roman"/>
          <w:sz w:val="24"/>
          <w:szCs w:val="24"/>
        </w:rPr>
        <w:t>Daulah Umayyah telah mengukir prestasi dalam bidang arsitektur, diantaranya membangun kota yang baru, memperbaharui kota yang sudah lama, dan masjid. Antara lain bukti prestasi daulah umayyah yaitu, Al-dakhil membangun Kembali dan memperindah kota cordova dan menjadikannya ibu kota negara, kemudian membuat danau dipegunungan  agar mendapat air bersih dan dapat mengairi rumah penduduk dan lahan pertaniannya. Dan salah satu Peninggalan al-Dakhil yang masih ada sampai sekarang yaitu masjid Cordova yang didirikan pada tahun 786 M. dengan dana 80.000 dinar</w:t>
      </w:r>
      <w:r w:rsidRPr="00A2348E">
        <w:rPr>
          <w:rFonts w:ascii="Libre Baskerville" w:hAnsi="Libre Baskerville" w:cs="Times New Roman"/>
          <w:sz w:val="24"/>
          <w:szCs w:val="24"/>
        </w:rPr>
        <w:t>.</w:t>
      </w:r>
    </w:p>
    <w:p w14:paraId="078DCA02" w14:textId="35F866DD" w:rsidR="00A87C3D" w:rsidRPr="00A2348E" w:rsidRDefault="00A87C3D" w:rsidP="00A2348E">
      <w:pPr>
        <w:pStyle w:val="ListParagraph"/>
        <w:numPr>
          <w:ilvl w:val="0"/>
          <w:numId w:val="20"/>
        </w:numPr>
        <w:spacing w:after="0" w:line="240" w:lineRule="auto"/>
        <w:ind w:left="1418" w:hanging="284"/>
        <w:jc w:val="both"/>
        <w:rPr>
          <w:rFonts w:ascii="Libre Baskerville" w:eastAsia="Libre Baskerville" w:hAnsi="Libre Baskerville" w:cs="Libre Baskerville"/>
          <w:b/>
          <w:sz w:val="24"/>
          <w:szCs w:val="24"/>
        </w:rPr>
      </w:pPr>
      <w:r w:rsidRPr="00A2348E">
        <w:rPr>
          <w:rFonts w:ascii="Libre Baskerville" w:eastAsia="Libre Baskerville" w:hAnsi="Libre Baskerville" w:cs="Libre Baskerville"/>
          <w:b/>
          <w:sz w:val="24"/>
          <w:szCs w:val="24"/>
        </w:rPr>
        <w:t>Masa Kemunduran Pemerintahan dan Faktor-faktornya</w:t>
      </w:r>
    </w:p>
    <w:p w14:paraId="77A48DF0"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lang w:val="da-DK"/>
        </w:rPr>
        <w:t>Pada p</w:t>
      </w:r>
      <w:r w:rsidRPr="00A2348E">
        <w:rPr>
          <w:rFonts w:ascii="Libre Baskerville" w:hAnsi="Libre Baskerville"/>
          <w:sz w:val="24"/>
          <w:szCs w:val="24"/>
        </w:rPr>
        <w:t>eriode ke</w:t>
      </w:r>
      <w:r w:rsidRPr="00A2348E">
        <w:rPr>
          <w:rFonts w:ascii="Libre Baskerville" w:hAnsi="Libre Baskerville"/>
          <w:sz w:val="24"/>
          <w:szCs w:val="24"/>
          <w:lang w:val="da-DK"/>
        </w:rPr>
        <w:t>-4</w:t>
      </w:r>
      <w:r w:rsidRPr="00A2348E">
        <w:rPr>
          <w:rFonts w:ascii="Libre Baskerville" w:hAnsi="Libre Baskerville"/>
          <w:sz w:val="24"/>
          <w:szCs w:val="24"/>
        </w:rPr>
        <w:t xml:space="preserve"> m</w:t>
      </w:r>
      <w:r w:rsidRPr="00A2348E">
        <w:rPr>
          <w:rFonts w:ascii="Libre Baskerville" w:hAnsi="Libre Baskerville"/>
          <w:sz w:val="24"/>
          <w:szCs w:val="24"/>
          <w:lang w:val="da-DK"/>
        </w:rPr>
        <w:t>enjadi</w:t>
      </w:r>
      <w:r w:rsidRPr="00A2348E">
        <w:rPr>
          <w:rFonts w:ascii="Libre Baskerville" w:hAnsi="Libre Baskerville"/>
          <w:sz w:val="24"/>
          <w:szCs w:val="24"/>
        </w:rPr>
        <w:t xml:space="preserve"> periode  kemunduran Islam di Spanyol dengan mu</w:t>
      </w:r>
      <w:r w:rsidRPr="00A2348E">
        <w:rPr>
          <w:rFonts w:ascii="Libre Baskerville" w:hAnsi="Libre Baskerville"/>
          <w:sz w:val="24"/>
          <w:szCs w:val="24"/>
          <w:lang w:val="da-DK"/>
        </w:rPr>
        <w:t>lai terbentuknya</w:t>
      </w:r>
      <w:r w:rsidRPr="00A2348E">
        <w:rPr>
          <w:rFonts w:ascii="Libre Baskerville" w:hAnsi="Libre Baskerville"/>
          <w:sz w:val="24"/>
          <w:szCs w:val="24"/>
        </w:rPr>
        <w:t xml:space="preserve"> mulk al-tawaif (negara kecil), yang merupakan negara yang independen dari pemerintah pusat. Pengganti Hajib al-Mansur adalah putranya Abdul Malik. Dia menggantikan ayahnya dalam menjalankan negara. Pada masa pemerintahannya, Spanyol Muslim tetap menjadi negara</w:t>
      </w:r>
      <w:r w:rsidRPr="00A2348E">
        <w:rPr>
          <w:rFonts w:ascii="Libre Baskerville" w:hAnsi="Libre Baskerville"/>
          <w:sz w:val="24"/>
          <w:szCs w:val="24"/>
          <w:lang w:val="en-ID"/>
        </w:rPr>
        <w:t xml:space="preserve"> yang</w:t>
      </w:r>
      <w:r w:rsidRPr="00A2348E">
        <w:rPr>
          <w:rFonts w:ascii="Libre Baskerville" w:hAnsi="Libre Baskerville"/>
          <w:sz w:val="24"/>
          <w:szCs w:val="24"/>
        </w:rPr>
        <w:t xml:space="preserve"> ma</w:t>
      </w:r>
      <w:r w:rsidRPr="00A2348E">
        <w:rPr>
          <w:rFonts w:ascii="Libre Baskerville" w:hAnsi="Libre Baskerville"/>
          <w:sz w:val="24"/>
          <w:szCs w:val="24"/>
          <w:lang w:val="en-ID"/>
        </w:rPr>
        <w:t>ju</w:t>
      </w:r>
      <w:r w:rsidRPr="00A2348E">
        <w:rPr>
          <w:rFonts w:ascii="Libre Baskerville" w:hAnsi="Libre Baskerville"/>
          <w:sz w:val="24"/>
          <w:szCs w:val="24"/>
        </w:rPr>
        <w:t xml:space="preserve">. Ia menghancurkan suku-suku dari kaum Kristen yang berusaha memberontak. Ia terus mempertahankan keunggulan kepemimpinan ayahnya dengan memerintah selama enam tahun, karena ia diracun  dan meninggal  pada tahun 1008. </w:t>
      </w:r>
    </w:p>
    <w:p w14:paraId="7EE623CC" w14:textId="77777777"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Sepeninggal Abdul Malik, Abdulrahman mengambil alih kekuasaan dan daulah umayyah dispanyol mulai terjadi kehancuran  karena  perebutan kekuasaan selain itu ia tidak memiliki kemampuan seperti ayah dan saudaranya, serta kebobrokan moralnya yang mencolok, masyarakat Cordoba memaksanya untuk mengundurkan diri, dan penggantinya adalah Muhammad bin Abdul Jabar Bin Abdulrahman III. Namun, mereka tidak berhasil memperbaiki keadaan. Akhirnya, pada tahun 1013 M, Dewan Menteri yang memimpin Cordova menghapuskan posisi khalifah. Mulai saat itu Spanyol terpecah terbagi menjadi Negara-negara kecil.</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{"citationItems":[{"id":"ITEM-1","itemData":{"author":[{"dropping-particle":"","family":"Montgomery","given":"Watt","non-dropping-particle":"","parse-names":false,"suffix":""}],"container-title":"Kejayaan Islam: Kajian Kritis dari Tokoh Orientalis","id":"ITEM-1","issued":{"date-parts":[["1990"]]},"publisher":"Tiara Wacana","publisher-place":"Yogyakarta","title":"No Title","type":"chapter"},"uris":["http://www.mendeley.com/documents/?uuid=a43acabb-bfc1-4d98-83dd-66339be7ede5"]}],"mendeley":{"formattedCitation":"(Montgomery, 1990)","plainTextFormattedCitation":"(Montgomery, 1990)","previouslyFormattedCitation":"(Montgomery, 1990)"},"properties":{"noteIndex":0},"schema":"https://github.com/citation-style-language/schema/raw/master/csl-citation.json"}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(Montgomery, 1990)</w:t>
      </w:r>
      <w:r w:rsidRPr="00A2348E">
        <w:rPr>
          <w:rFonts w:ascii="Libre Baskerville" w:hAnsi="Libre Baskerville"/>
          <w:sz w:val="24"/>
          <w:szCs w:val="24"/>
        </w:rPr>
        <w:fldChar w:fldCharType="end"/>
      </w:r>
      <w:r w:rsidRPr="00A2348E">
        <w:rPr>
          <w:rFonts w:ascii="Libre Baskerville" w:hAnsi="Libre Baskerville"/>
          <w:sz w:val="24"/>
          <w:szCs w:val="24"/>
        </w:rPr>
        <w:t xml:space="preserve"> </w:t>
      </w:r>
    </w:p>
    <w:p w14:paraId="5DF853CD" w14:textId="3F81CFA6" w:rsidR="00A2348E" w:rsidRPr="00A2348E" w:rsidRDefault="00A2348E" w:rsidP="00A2348E">
      <w:pPr>
        <w:ind w:left="1418" w:firstLine="283"/>
        <w:jc w:val="both"/>
        <w:rPr>
          <w:rFonts w:ascii="Libre Baskerville" w:hAnsi="Libre Baskerville"/>
          <w:sz w:val="24"/>
          <w:szCs w:val="24"/>
        </w:rPr>
      </w:pPr>
      <w:r w:rsidRPr="00A2348E">
        <w:rPr>
          <w:rFonts w:ascii="Libre Baskerville" w:hAnsi="Libre Baskerville"/>
          <w:sz w:val="24"/>
          <w:szCs w:val="24"/>
        </w:rPr>
        <w:t>Selama dua puluh dua tahun kepemimpinan, terjadi empat belas kali pergantian khalifah, sebagian besar melalui kudeta. Periode Muluk al-</w:t>
      </w:r>
      <w:r w:rsidRPr="00A2348E">
        <w:rPr>
          <w:rFonts w:ascii="Libre Baskerville" w:hAnsi="Libre Baskerville"/>
          <w:sz w:val="24"/>
          <w:szCs w:val="24"/>
        </w:rPr>
        <w:lastRenderedPageBreak/>
        <w:t>Thawaif dimulai setelah daulah Umayyah Spanyol runtuh. Setelah keluarga al-Mansur runtuh, orang-orang Barbar mulai memperalat keluarga Umiyah di Spanyol. Abdurrahman V, cucu Abdurrahman III, diangkat menjadi kekhalifahan, tetapi pengawal kerajaan membunuhnya. Tahun 1031 M, orang-orang Berber menggulingkan Hisyam III, khalifah Umayyah terakhir Spanyol. Pada saat kekuasaan Dinasti Umayyah akan berakhir, muncullah dua kerajaan besar di Spanyol, yakni Daulah Murabithun dan Daulah Muwahhidun, tetapi dua kerajaan itu tidak mampu menyatukan kembali kekuatan Islam Spanyol. Kekuasaan daulah Murabithun di spanyol berakhir pada 1143 M dan digantikan daulah Muwahhidun. Keadaan Islam di Spanyol menjadi lebih buruk setelah pemerintahan Muwahhidun berakhir karena tunduk pada penguasa-penguasa kecil. Umat Islam tidak dapat menahan serangan umat Kristen yang meningkat dalam situasi seperti itu. Akhirnya pada tahun 1238 M Cordova jatuh ke tangan Kristen, dan Seville jatuh tahun 1248 M. Ini menandakan bahwa seluruh Spanyol, kecuali Granada, telah bebas dari kekuasaan Islam.</w:t>
      </w:r>
      <w:r w:rsidRPr="00A2348E">
        <w:rPr>
          <w:rFonts w:ascii="Libre Baskerville" w:hAnsi="Libre Baskerville"/>
          <w:sz w:val="24"/>
          <w:szCs w:val="24"/>
        </w:rPr>
        <w:fldChar w:fldCharType="begin" w:fldLock="1"/>
      </w:r>
      <w:r w:rsidRPr="00A2348E">
        <w:rPr>
          <w:rFonts w:ascii="Libre Baskerville" w:hAnsi="Libre Baskerville"/>
          <w:sz w:val="24"/>
          <w:szCs w:val="24"/>
        </w:rPr>
        <w:instrText>ADDIN CSL_CITATION {"citationItems":[{"id":"ITEM-1","itemData":{"author":[{"dropping-particle":"","family":"Syalabi","given":"Ahmad","non-dropping-particle":"","parse-names":false,"suffix":""}],"container-title":"Mausu’ah al-Tarikhh al-Islami wa al-Hadharah al-Islamiyah","id":"ITEM-1","issued":{"date-parts":[["1979"]]},"publisher":"Maktabah al-Nahdhah al-Mishriyah","publisher-place":"Kairo","title":"No Title","type":"chapter"},"uris":["http://www.mendeley.com/documents/?uuid=d62b6a65-087e-4ec6-911f-bd26544669cf"]}],"mendeley":{"formattedCitation":"(Syalabi, 1979)","plainTextFormattedCitation":"(Syalabi, 1979)","previouslyFormattedCitation":"(Syalabi, 1979)"},"properties":{"noteIndex":0},"schema":"https://github.com/citation-style-language/schema/raw/master/csl-citation.json"}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(Syalabi, 1979)</w:t>
      </w:r>
      <w:r w:rsidRPr="00A2348E">
        <w:rPr>
          <w:rFonts w:ascii="Libre Baskerville" w:hAnsi="Libre Baskerville"/>
          <w:sz w:val="24"/>
          <w:szCs w:val="24"/>
        </w:rPr>
        <w:fldChar w:fldCharType="end"/>
      </w:r>
      <w:r w:rsidRPr="00A2348E">
        <w:rPr>
          <w:rFonts w:ascii="Libre Baskerville" w:hAnsi="Libre Baskerville"/>
          <w:sz w:val="24"/>
          <w:szCs w:val="24"/>
        </w:rPr>
        <w:t xml:space="preserve"> Kekuasaan Islam di Spanyol hanya tersisa di daerah Granada di bawah kepemimpinan daulah Bani Ahmar. Pada masa itu daulah ahmar mencoba mengembalikan kejayaan islam akan tetapai karena Granada merupakan daerah yang kecil secara system politik tidak dapat memberi pengaruh apapun. Abu Abdillah sepagai penguasa daulah Ahmar terakhir pun tidak mampu menahan banyaknya serangan dari umat Kristen, pada akhirnya mengalah dan menyerahkan kekuasaan kepada Isabella dan Ferdinand lalu berakhirlah kekuasaan islam di Spanyol di tahun 1492 M.</w:t>
      </w:r>
      <w:r w:rsidRPr="00A2348E">
        <w:rPr>
          <w:rFonts w:ascii="Libre Baskerville" w:hAnsi="Libre Baskerville"/>
          <w:sz w:val="24"/>
          <w:szCs w:val="24"/>
        </w:rPr>
        <w:fldChar w:fldCharType="begin" w:fldLock="1"/>
      </w:r>
      <w:r>
        <w:rPr>
          <w:rFonts w:ascii="Libre Baskerville" w:hAnsi="Libre Baskerville"/>
          <w:sz w:val="24"/>
          <w:szCs w:val="24"/>
        </w:rPr>
        <w:instrText>ADDIN CSL_CITATION {"citationItems":[{"id":"ITEM-1","itemData":{"author":[{"dropping-particle":"","family":"Nasution","given":"Harun","non-dropping-particle":"","parse-names":false,"suffix":""}],"container-title":"Islam Ditinjau Dari Berbagai Aspeknya","id":"ITEM-1","issued":{"date-parts":[["1985"]]},"publisher":"UI Press","publisher-place":"Jakarta","title":"No Title","type":"chapter"},"uris":["http://www.mendeley.com/documents/?uuid=e5849b56-f37c-4247-b86c-dff950a30e5d"]}],"mendeley":{"formattedCitation":"(H. Nasution, 1985)","plainTextFormattedCitation":"(H. Nasution, 1985)","previouslyFormattedCitation":"(H. Nasution, 1985)"},"properties":{"noteIndex":0},"schema":"https://github.com/citation-style-language/schema/raw/master/csl-citation.json"}</w:instrText>
      </w:r>
      <w:r w:rsidRPr="00A2348E">
        <w:rPr>
          <w:rFonts w:ascii="Libre Baskerville" w:hAnsi="Libre Baskerville"/>
          <w:sz w:val="24"/>
          <w:szCs w:val="24"/>
        </w:rPr>
        <w:fldChar w:fldCharType="separate"/>
      </w:r>
      <w:r w:rsidRPr="00A2348E">
        <w:rPr>
          <w:rFonts w:ascii="Libre Baskerville" w:hAnsi="Libre Baskerville"/>
          <w:noProof/>
          <w:sz w:val="24"/>
          <w:szCs w:val="24"/>
        </w:rPr>
        <w:t>(H. Nasution, 1985)</w:t>
      </w:r>
      <w:r w:rsidRPr="00A2348E">
        <w:rPr>
          <w:rFonts w:ascii="Libre Baskerville" w:hAnsi="Libre Baskerville"/>
          <w:sz w:val="24"/>
          <w:szCs w:val="24"/>
        </w:rPr>
        <w:fldChar w:fldCharType="end"/>
      </w:r>
    </w:p>
    <w:p w14:paraId="158F042E" w14:textId="77777777" w:rsidR="00A2348E" w:rsidRPr="00A2348E" w:rsidRDefault="00A2348E" w:rsidP="00A2348E">
      <w:pPr>
        <w:pStyle w:val="ListParagraph"/>
        <w:ind w:left="1418" w:firstLine="283"/>
        <w:jc w:val="both"/>
        <w:rPr>
          <w:rFonts w:ascii="Libre Baskerville" w:eastAsia="Libre Baskerville" w:hAnsi="Libre Baskerville" w:cs="Libre Baskerville"/>
          <w:bCs/>
        </w:rPr>
      </w:pPr>
    </w:p>
    <w:p w14:paraId="12C506E3" w14:textId="5A071262" w:rsidR="00EF4656" w:rsidRPr="00A2348E" w:rsidRDefault="00F3645D" w:rsidP="004B55F1">
      <w:pPr>
        <w:pStyle w:val="ListParagraph"/>
        <w:numPr>
          <w:ilvl w:val="0"/>
          <w:numId w:val="1"/>
        </w:numPr>
        <w:spacing w:before="240" w:after="240" w:line="240" w:lineRule="auto"/>
        <w:ind w:left="567" w:hanging="567"/>
        <w:jc w:val="both"/>
        <w:rPr>
          <w:rFonts w:ascii="Libre Baskerville" w:hAnsi="Libre Baskerville" w:cs="Times New Roman"/>
          <w:sz w:val="24"/>
          <w:szCs w:val="24"/>
        </w:rPr>
      </w:pPr>
      <w:r w:rsidRPr="00A2348E">
        <w:rPr>
          <w:rFonts w:ascii="Libre Baskerville" w:eastAsia="Libre Baskerville" w:hAnsi="Libre Baskerville" w:cs="Libre Baskerville"/>
          <w:b/>
          <w:sz w:val="24"/>
          <w:szCs w:val="24"/>
        </w:rPr>
        <w:t>KESIMPULAN</w:t>
      </w:r>
      <w:r w:rsidRPr="00A2348E">
        <w:rPr>
          <w:rFonts w:ascii="Libre Baskerville" w:eastAsia="Libre Baskerville" w:hAnsi="Libre Baskerville" w:cs="Libre Baskerville"/>
          <w:sz w:val="24"/>
          <w:szCs w:val="24"/>
        </w:rPr>
        <w:t xml:space="preserve"> </w:t>
      </w:r>
    </w:p>
    <w:p w14:paraId="683E2B3E" w14:textId="77777777" w:rsidR="00A2348E" w:rsidRPr="00A2348E" w:rsidRDefault="00A2348E" w:rsidP="00A2348E">
      <w:pPr>
        <w:ind w:left="567" w:firstLine="284"/>
        <w:jc w:val="both"/>
        <w:rPr>
          <w:rFonts w:ascii="Libre Baskerville" w:hAnsi="Libre Baskerville" w:cstheme="majorBidi"/>
          <w:sz w:val="24"/>
          <w:szCs w:val="24"/>
        </w:rPr>
      </w:pPr>
      <w:r w:rsidRPr="00A2348E">
        <w:rPr>
          <w:rFonts w:ascii="Libre Baskerville" w:hAnsi="Libre Baskerville" w:cstheme="majorBidi"/>
          <w:sz w:val="24"/>
          <w:szCs w:val="24"/>
        </w:rPr>
        <w:t>Dinasti Bani Umayyah ini berdiri dilatarbelakangi oleh peristiwa tahkim pada saat terjadi perang shiffin. Dinasti umayyah ini berkuasa kurang lebih selama 90 tahun dan dipimpin oleh 14 orang khalifah. Dalam masa pemerintahannya, Dinasti Umayyah ini terbagi menjadi tiga periode, yakni periode pertumbuhan, periode puncak dan juga periode kemunduran. Perkembangan-perkembangan yang di raih oleh Dinasti Umayyah saat di Damaskus antara lain: tafsir, hadits, qira’at, nahwu. Tarikh, geografi dan juga seni bahasa.</w:t>
      </w:r>
    </w:p>
    <w:p w14:paraId="190E0239" w14:textId="340DDF63" w:rsidR="00EF4656" w:rsidRPr="00A2348E" w:rsidRDefault="00A2348E" w:rsidP="00A2348E">
      <w:pPr>
        <w:ind w:left="567" w:firstLine="284"/>
        <w:jc w:val="both"/>
        <w:rPr>
          <w:rFonts w:ascii="Libre Baskerville" w:hAnsi="Libre Baskerville"/>
          <w:sz w:val="24"/>
          <w:szCs w:val="24"/>
        </w:rPr>
      </w:pPr>
      <w:r w:rsidRPr="00A2348E">
        <w:rPr>
          <w:rFonts w:ascii="Libre Baskerville" w:hAnsi="Libre Baskerville" w:cstheme="majorBidi"/>
          <w:sz w:val="24"/>
          <w:szCs w:val="24"/>
        </w:rPr>
        <w:t>Dinasti Bani Umayyah di Andalusia ini berdiri kurang lebih selama 275 tahun, yakni dari 756-1031 M. Pencapaian-pencapaian yang diraih banyak menjadikan inspirasi bagi bangsa eropa terutama saat dijabat oleh Abdurrahman I, Abdurrahman III, Hakam II dan juga Muhammad II. Di Andalusia, Dinasti Umayyah berlangsung selama 275 tahun dengan dipimpin oleh sebanyak 16 khalifah. Perkembangan ilmu pengetahuan Dinasti Umayyah di Andalusia meliputi: geografi, sejarah, filsafat, sains, kesenian, arsitektur dan musik. Kemunduran Dinasti Umayyah di Andalusia disebankan oleh perebutan kekuasaan sesaat setelah Abdul Malik wafat yang digantikan oleh Abdurrahman</w:t>
      </w:r>
      <w:r w:rsidR="00902277" w:rsidRPr="00A2348E">
        <w:rPr>
          <w:rFonts w:ascii="Libre Baskerville" w:hAnsi="Libre Baskerville"/>
          <w:sz w:val="24"/>
          <w:szCs w:val="24"/>
        </w:rPr>
        <w:t>.</w:t>
      </w:r>
      <w:r w:rsidR="00F46E8F" w:rsidRPr="00A2348E">
        <w:rPr>
          <w:rFonts w:ascii="Libre Baskerville" w:hAnsi="Libre Baskerville"/>
          <w:sz w:val="24"/>
          <w:szCs w:val="24"/>
        </w:rPr>
        <w:t xml:space="preserve"> </w:t>
      </w:r>
    </w:p>
    <w:p w14:paraId="4977FABB" w14:textId="77777777" w:rsidR="00EF4656" w:rsidRDefault="00EF4656">
      <w:pPr>
        <w:ind w:left="426"/>
        <w:rPr>
          <w:rFonts w:ascii="Libre Baskerville" w:eastAsia="Libre Baskerville" w:hAnsi="Libre Baskerville" w:cs="Libre Baskerville"/>
          <w:b/>
          <w:color w:val="000000"/>
          <w:sz w:val="22"/>
          <w:szCs w:val="22"/>
        </w:rPr>
      </w:pPr>
    </w:p>
    <w:p w14:paraId="1ADAB05A" w14:textId="77777777" w:rsidR="00EF4656" w:rsidRPr="00A2348E" w:rsidRDefault="00F3645D" w:rsidP="00A0147C">
      <w:pPr>
        <w:spacing w:line="360" w:lineRule="auto"/>
        <w:ind w:left="567"/>
        <w:jc w:val="both"/>
        <w:rPr>
          <w:rFonts w:ascii="Libre Baskerville" w:eastAsia="Libre Baskerville" w:hAnsi="Libre Baskerville" w:cs="Libre Baskerville"/>
          <w:b/>
          <w:color w:val="000000"/>
          <w:sz w:val="24"/>
          <w:szCs w:val="24"/>
        </w:rPr>
      </w:pPr>
      <w:r w:rsidRPr="00A2348E">
        <w:rPr>
          <w:rFonts w:ascii="Libre Baskerville" w:eastAsia="Libre Baskerville" w:hAnsi="Libre Baskerville" w:cs="Libre Baskerville"/>
          <w:b/>
          <w:sz w:val="24"/>
          <w:szCs w:val="24"/>
        </w:rPr>
        <w:t>DAFTAR PUSTAKA</w:t>
      </w:r>
    </w:p>
    <w:p w14:paraId="3187C82D" w14:textId="6397B38C"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eastAsia="Libre Baskerville" w:hAnsi="Libre Baskerville" w:cs="Libre Baskerville"/>
          <w:sz w:val="24"/>
          <w:szCs w:val="24"/>
        </w:rPr>
        <w:lastRenderedPageBreak/>
        <w:fldChar w:fldCharType="begin" w:fldLock="1"/>
      </w:r>
      <w:r w:rsidRPr="00A2348E">
        <w:rPr>
          <w:rFonts w:ascii="Libre Baskerville" w:eastAsia="Libre Baskerville" w:hAnsi="Libre Baskerville" w:cs="Libre Baskerville"/>
          <w:sz w:val="24"/>
          <w:szCs w:val="24"/>
        </w:rPr>
        <w:instrText xml:space="preserve">ADDIN Mendeley Bibliography CSL_BIBLIOGRAPHY </w:instrText>
      </w:r>
      <w:r w:rsidRPr="00A2348E">
        <w:rPr>
          <w:rFonts w:ascii="Libre Baskerville" w:eastAsia="Libre Baskerville" w:hAnsi="Libre Baskerville" w:cs="Libre Baskerville"/>
          <w:sz w:val="24"/>
          <w:szCs w:val="24"/>
        </w:rPr>
        <w:fldChar w:fldCharType="separate"/>
      </w:r>
      <w:r w:rsidRPr="00A2348E">
        <w:rPr>
          <w:rFonts w:ascii="Libre Baskerville" w:hAnsi="Libre Baskerville"/>
          <w:noProof/>
          <w:sz w:val="24"/>
          <w:szCs w:val="24"/>
        </w:rPr>
        <w:t xml:space="preserve">Abdul Karim, M. (2011). </w:t>
      </w:r>
      <w:r w:rsidRPr="00A2348E">
        <w:rPr>
          <w:rFonts w:ascii="Libre Baskerville" w:hAnsi="Libre Baskerville"/>
          <w:i/>
          <w:iCs/>
          <w:noProof/>
          <w:sz w:val="24"/>
          <w:szCs w:val="24"/>
        </w:rPr>
        <w:t>Sejarah Pemikiran dan Peradaban Islam</w:t>
      </w:r>
      <w:r w:rsidRPr="00A2348E">
        <w:rPr>
          <w:rFonts w:ascii="Libre Baskerville" w:hAnsi="Libre Baskerville"/>
          <w:noProof/>
          <w:sz w:val="24"/>
          <w:szCs w:val="24"/>
        </w:rPr>
        <w:t>. Yogyakarta: Bagaskara.</w:t>
      </w:r>
    </w:p>
    <w:p w14:paraId="41173E2A" w14:textId="3C4E5B21"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Aravik, Hafis, A. T. (2020). </w:t>
      </w:r>
      <w:r w:rsidRPr="00A2348E">
        <w:rPr>
          <w:rFonts w:ascii="Libre Baskerville" w:hAnsi="Libre Baskerville"/>
          <w:i/>
          <w:iCs/>
          <w:noProof/>
          <w:sz w:val="24"/>
          <w:szCs w:val="24"/>
        </w:rPr>
        <w:t>Islamic Economic</w:t>
      </w:r>
      <w:r w:rsidRPr="00A2348E">
        <w:rPr>
          <w:rFonts w:ascii="Libre Baskerville" w:hAnsi="Libre Baskerville"/>
          <w:noProof/>
          <w:sz w:val="24"/>
          <w:szCs w:val="24"/>
        </w:rPr>
        <w:t>, (Perekonomian pada Masa Dinasi Umayyah di Andalusia: Sejarah dan Pemikiran).</w:t>
      </w:r>
    </w:p>
    <w:p w14:paraId="33B8A69A" w14:textId="250ACAA5"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Ibrahim, H. (2013). </w:t>
      </w:r>
      <w:r w:rsidRPr="00A2348E">
        <w:rPr>
          <w:rFonts w:ascii="Libre Baskerville" w:hAnsi="Libre Baskerville"/>
          <w:i/>
          <w:iCs/>
          <w:noProof/>
          <w:sz w:val="24"/>
          <w:szCs w:val="24"/>
        </w:rPr>
        <w:t>Sejarah dan Kebudayaan Islam</w:t>
      </w:r>
      <w:r w:rsidRPr="00A2348E">
        <w:rPr>
          <w:rFonts w:ascii="Libre Baskerville" w:hAnsi="Libre Baskerville"/>
          <w:noProof/>
          <w:sz w:val="24"/>
          <w:szCs w:val="24"/>
        </w:rPr>
        <w:t>. Jakarta: Kalam Mulia.</w:t>
      </w:r>
    </w:p>
    <w:p w14:paraId="4DDC3783" w14:textId="2A0CE4A0"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Ismail, F. (1996). </w:t>
      </w:r>
      <w:r w:rsidRPr="00A2348E">
        <w:rPr>
          <w:rFonts w:ascii="Libre Baskerville" w:hAnsi="Libre Baskerville"/>
          <w:i/>
          <w:iCs/>
          <w:noProof/>
          <w:sz w:val="24"/>
          <w:szCs w:val="24"/>
        </w:rPr>
        <w:t>Paradigma Kebudayaan Islam, Studi Kritis dan Refleksi Historis</w:t>
      </w:r>
      <w:r w:rsidRPr="00A2348E">
        <w:rPr>
          <w:rFonts w:ascii="Libre Baskerville" w:hAnsi="Libre Baskerville"/>
          <w:noProof/>
          <w:sz w:val="24"/>
          <w:szCs w:val="24"/>
        </w:rPr>
        <w:t>. Yogyakarta: Titian Ilahi Press.</w:t>
      </w:r>
    </w:p>
    <w:p w14:paraId="144A8711" w14:textId="4BAB88F1"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K. Hitti, P. (2013). </w:t>
      </w:r>
      <w:r w:rsidRPr="00A2348E">
        <w:rPr>
          <w:rFonts w:ascii="Libre Baskerville" w:hAnsi="Libre Baskerville"/>
          <w:i/>
          <w:iCs/>
          <w:noProof/>
          <w:sz w:val="24"/>
          <w:szCs w:val="24"/>
        </w:rPr>
        <w:t>History of The Arab</w:t>
      </w:r>
      <w:r w:rsidRPr="00A2348E">
        <w:rPr>
          <w:rFonts w:ascii="Libre Baskerville" w:hAnsi="Libre Baskerville"/>
          <w:noProof/>
          <w:sz w:val="24"/>
          <w:szCs w:val="24"/>
        </w:rPr>
        <w:t>. Jakarta: Serambi Ilmu Semesta.</w:t>
      </w:r>
    </w:p>
    <w:p w14:paraId="0A2C4EED" w14:textId="0EB175F2"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Kulsum, U. (2021). </w:t>
      </w:r>
      <w:r w:rsidRPr="00A2348E">
        <w:rPr>
          <w:rFonts w:ascii="Libre Baskerville" w:hAnsi="Libre Baskerville"/>
          <w:i/>
          <w:iCs/>
          <w:noProof/>
          <w:sz w:val="24"/>
          <w:szCs w:val="24"/>
        </w:rPr>
        <w:t>Sejarah Peradaban Islam Klasik dan Pertengahan</w:t>
      </w:r>
      <w:r w:rsidRPr="00A2348E">
        <w:rPr>
          <w:rFonts w:ascii="Libre Baskerville" w:hAnsi="Libre Baskerville"/>
          <w:noProof/>
          <w:sz w:val="24"/>
          <w:szCs w:val="24"/>
        </w:rPr>
        <w:t>. Pamekasan: Duta Media Publishing.</w:t>
      </w:r>
    </w:p>
    <w:p w14:paraId="60DC92F7" w14:textId="49068A13"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Maryam, S. (2004). </w:t>
      </w:r>
      <w:r w:rsidRPr="00A2348E">
        <w:rPr>
          <w:rFonts w:ascii="Libre Baskerville" w:hAnsi="Libre Baskerville"/>
          <w:i/>
          <w:iCs/>
          <w:noProof/>
          <w:sz w:val="24"/>
          <w:szCs w:val="24"/>
        </w:rPr>
        <w:t>Sejarah Peradaban Islam dari Masa Klasik hingga Modern</w:t>
      </w:r>
      <w:r w:rsidRPr="00A2348E">
        <w:rPr>
          <w:rFonts w:ascii="Libre Baskerville" w:hAnsi="Libre Baskerville"/>
          <w:noProof/>
          <w:sz w:val="24"/>
          <w:szCs w:val="24"/>
        </w:rPr>
        <w:t>. Yogyakarta: Lesfi.</w:t>
      </w:r>
    </w:p>
    <w:p w14:paraId="08FF08C4" w14:textId="1AEBC77B"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Montgomery, W. (1990). </w:t>
      </w:r>
      <w:r w:rsidRPr="00A2348E">
        <w:rPr>
          <w:rFonts w:ascii="Libre Baskerville" w:hAnsi="Libre Baskerville"/>
          <w:i/>
          <w:iCs/>
          <w:noProof/>
          <w:sz w:val="24"/>
          <w:szCs w:val="24"/>
        </w:rPr>
        <w:t>Kejayaan Islam: Kajian Kritis dari Tokoh Orientalis</w:t>
      </w:r>
      <w:r w:rsidRPr="00A2348E">
        <w:rPr>
          <w:rFonts w:ascii="Libre Baskerville" w:hAnsi="Libre Baskerville"/>
          <w:noProof/>
          <w:sz w:val="24"/>
          <w:szCs w:val="24"/>
        </w:rPr>
        <w:t>. Yogyakarta: Tiara Wacana.</w:t>
      </w:r>
    </w:p>
    <w:p w14:paraId="3B00046C" w14:textId="62508596"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Mubarok, J. (2005). </w:t>
      </w:r>
      <w:r w:rsidRPr="00A2348E">
        <w:rPr>
          <w:rFonts w:ascii="Libre Baskerville" w:hAnsi="Libre Baskerville"/>
          <w:i/>
          <w:iCs/>
          <w:noProof/>
          <w:sz w:val="24"/>
          <w:szCs w:val="24"/>
        </w:rPr>
        <w:t>Sejarah Peradaban Islam</w:t>
      </w:r>
      <w:r w:rsidRPr="00A2348E">
        <w:rPr>
          <w:rFonts w:ascii="Libre Baskerville" w:hAnsi="Libre Baskerville"/>
          <w:noProof/>
          <w:sz w:val="24"/>
          <w:szCs w:val="24"/>
        </w:rPr>
        <w:t>. Bandung: Bani Quraisy.</w:t>
      </w:r>
    </w:p>
    <w:p w14:paraId="0AB66613" w14:textId="4621A568"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Nasution, H. (1985). </w:t>
      </w:r>
      <w:r w:rsidRPr="00A2348E">
        <w:rPr>
          <w:rFonts w:ascii="Libre Baskerville" w:hAnsi="Libre Baskerville"/>
          <w:i/>
          <w:iCs/>
          <w:noProof/>
          <w:sz w:val="24"/>
          <w:szCs w:val="24"/>
        </w:rPr>
        <w:t>Islam Ditinjau Dari Berbagai Aspeknya</w:t>
      </w:r>
      <w:r w:rsidRPr="00A2348E">
        <w:rPr>
          <w:rFonts w:ascii="Libre Baskerville" w:hAnsi="Libre Baskerville"/>
          <w:noProof/>
          <w:sz w:val="24"/>
          <w:szCs w:val="24"/>
        </w:rPr>
        <w:t>. Jakarta: UI Press.</w:t>
      </w:r>
    </w:p>
    <w:p w14:paraId="12769B48" w14:textId="13D35F6D"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Nasution, S. (2013). </w:t>
      </w:r>
      <w:r w:rsidRPr="00A2348E">
        <w:rPr>
          <w:rFonts w:ascii="Libre Baskerville" w:hAnsi="Libre Baskerville"/>
          <w:i/>
          <w:iCs/>
          <w:noProof/>
          <w:sz w:val="24"/>
          <w:szCs w:val="24"/>
        </w:rPr>
        <w:t>Sejarah Peradaban Islam</w:t>
      </w:r>
      <w:r w:rsidRPr="00A2348E">
        <w:rPr>
          <w:rFonts w:ascii="Libre Baskerville" w:hAnsi="Libre Baskerville"/>
          <w:noProof/>
          <w:sz w:val="24"/>
          <w:szCs w:val="24"/>
        </w:rPr>
        <w:t>. Riau: Yayasan Pusaka.</w:t>
      </w:r>
    </w:p>
    <w:p w14:paraId="6B2FCB5B" w14:textId="2F008781"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Penulis, T. (2001). </w:t>
      </w:r>
      <w:r w:rsidRPr="00A2348E">
        <w:rPr>
          <w:rFonts w:ascii="Libre Baskerville" w:hAnsi="Libre Baskerville"/>
          <w:i/>
          <w:iCs/>
          <w:noProof/>
          <w:sz w:val="24"/>
          <w:szCs w:val="24"/>
        </w:rPr>
        <w:t>Ensiklopedi Islam</w:t>
      </w:r>
      <w:r w:rsidRPr="00A2348E">
        <w:rPr>
          <w:rFonts w:ascii="Libre Baskerville" w:hAnsi="Libre Baskerville"/>
          <w:noProof/>
          <w:sz w:val="24"/>
          <w:szCs w:val="24"/>
        </w:rPr>
        <w:t>. Jakarta: PT. Ichtiar Baru Van Hoeve.</w:t>
      </w:r>
    </w:p>
    <w:p w14:paraId="239956B9" w14:textId="425B2E77"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Sou’yb, J. (1977). </w:t>
      </w:r>
      <w:r w:rsidRPr="00A2348E">
        <w:rPr>
          <w:rFonts w:ascii="Libre Baskerville" w:hAnsi="Libre Baskerville"/>
          <w:i/>
          <w:iCs/>
          <w:noProof/>
          <w:sz w:val="24"/>
          <w:szCs w:val="24"/>
        </w:rPr>
        <w:t>Sejarah Daulah Umayyah di Cordova</w:t>
      </w:r>
      <w:r w:rsidRPr="00A2348E">
        <w:rPr>
          <w:rFonts w:ascii="Libre Baskerville" w:hAnsi="Libre Baskerville"/>
          <w:noProof/>
          <w:sz w:val="24"/>
          <w:szCs w:val="24"/>
        </w:rPr>
        <w:t>. Jakarta: Bulan Bintang.</w:t>
      </w:r>
    </w:p>
    <w:p w14:paraId="4CA0CA01" w14:textId="3F125376"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Syalabi, A. (1979). </w:t>
      </w:r>
      <w:r w:rsidRPr="00A2348E">
        <w:rPr>
          <w:rFonts w:ascii="Libre Baskerville" w:hAnsi="Libre Baskerville"/>
          <w:i/>
          <w:iCs/>
          <w:noProof/>
          <w:sz w:val="24"/>
          <w:szCs w:val="24"/>
        </w:rPr>
        <w:t>Mausu’ah al-Tarikhh al-Islami wa al-Hadharah al-Islamiyah</w:t>
      </w:r>
      <w:r w:rsidRPr="00A2348E">
        <w:rPr>
          <w:rFonts w:ascii="Libre Baskerville" w:hAnsi="Libre Baskerville"/>
          <w:noProof/>
          <w:sz w:val="24"/>
          <w:szCs w:val="24"/>
        </w:rPr>
        <w:t>. Kairo: Maktabah al-Nahdhah al-Mishriyah.</w:t>
      </w:r>
    </w:p>
    <w:p w14:paraId="4F725730" w14:textId="3D18B39A" w:rsidR="00A2348E" w:rsidRPr="00A2348E" w:rsidRDefault="00A2348E" w:rsidP="00DE6D53">
      <w:pPr>
        <w:widowControl w:val="0"/>
        <w:autoSpaceDE w:val="0"/>
        <w:autoSpaceDN w:val="0"/>
        <w:adjustRightInd w:val="0"/>
        <w:ind w:left="851" w:hanging="284"/>
        <w:jc w:val="both"/>
        <w:rPr>
          <w:rFonts w:ascii="Libre Baskerville" w:hAnsi="Libre Baskerville"/>
          <w:noProof/>
          <w:sz w:val="24"/>
          <w:szCs w:val="24"/>
        </w:rPr>
      </w:pPr>
      <w:r w:rsidRPr="00A2348E">
        <w:rPr>
          <w:rFonts w:ascii="Libre Baskerville" w:hAnsi="Libre Baskerville"/>
          <w:noProof/>
          <w:sz w:val="24"/>
          <w:szCs w:val="24"/>
        </w:rPr>
        <w:t xml:space="preserve">Syalabi, A. (2003). </w:t>
      </w:r>
      <w:r w:rsidRPr="00A2348E">
        <w:rPr>
          <w:rFonts w:ascii="Libre Baskerville" w:hAnsi="Libre Baskerville"/>
          <w:i/>
          <w:iCs/>
          <w:noProof/>
          <w:sz w:val="24"/>
          <w:szCs w:val="24"/>
        </w:rPr>
        <w:t>Sejarah Kebudayaan Islam</w:t>
      </w:r>
      <w:r w:rsidRPr="00A2348E">
        <w:rPr>
          <w:rFonts w:ascii="Libre Baskerville" w:hAnsi="Libre Baskerville"/>
          <w:noProof/>
          <w:sz w:val="24"/>
          <w:szCs w:val="24"/>
        </w:rPr>
        <w:t>. Jakarta: Pustaka Al-Husna Baru.</w:t>
      </w:r>
    </w:p>
    <w:p w14:paraId="508493DD" w14:textId="3C2BB8F6" w:rsidR="00EF4656" w:rsidRDefault="00A2348E" w:rsidP="00DE6D53">
      <w:pPr>
        <w:ind w:left="851" w:hanging="284"/>
        <w:jc w:val="both"/>
        <w:rPr>
          <w:rFonts w:ascii="Libre Baskerville" w:eastAsia="Libre Baskerville" w:hAnsi="Libre Baskerville" w:cs="Libre Baskerville"/>
          <w:sz w:val="22"/>
          <w:szCs w:val="22"/>
        </w:rPr>
      </w:pPr>
      <w:r w:rsidRPr="00A2348E">
        <w:rPr>
          <w:rFonts w:ascii="Libre Baskerville" w:eastAsia="Libre Baskerville" w:hAnsi="Libre Baskerville" w:cs="Libre Baskerville"/>
          <w:sz w:val="24"/>
          <w:szCs w:val="24"/>
        </w:rPr>
        <w:fldChar w:fldCharType="end"/>
      </w:r>
    </w:p>
    <w:sectPr w:rsidR="00EF4656">
      <w:headerReference w:type="even" r:id="rId14"/>
      <w:headerReference w:type="default" r:id="rId15"/>
      <w:footerReference w:type="even" r:id="rId16"/>
      <w:headerReference w:type="first" r:id="rId17"/>
      <w:footerReference w:type="first" r:id="rId18"/>
      <w:pgSz w:w="11907" w:h="16840"/>
      <w:pgMar w:top="1618" w:right="1418" w:bottom="1418" w:left="170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CE7557" w14:textId="77777777" w:rsidR="00D90D12" w:rsidRDefault="00D90D12">
      <w:r>
        <w:separator/>
      </w:r>
    </w:p>
  </w:endnote>
  <w:endnote w:type="continuationSeparator" w:id="0">
    <w:p w14:paraId="06367524" w14:textId="77777777" w:rsidR="00D90D12" w:rsidRDefault="00D90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Quattrocento Sans">
    <w:altName w:val="Calibri"/>
    <w:charset w:val="00"/>
    <w:family w:val="swiss"/>
    <w:pitch w:val="variable"/>
    <w:sig w:usb0="800000BF" w:usb1="4000005B" w:usb2="00000000" w:usb3="00000000" w:csb0="00000001" w:csb1="00000000"/>
  </w:font>
  <w:font w:name="Libre Baskerville">
    <w:altName w:val="Calibri"/>
    <w:charset w:val="00"/>
    <w:family w:val="auto"/>
    <w:pitch w:val="variable"/>
    <w:sig w:usb0="A00000BF" w:usb1="5000005B" w:usb2="00000000" w:usb3="00000000" w:csb0="00000093"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5E614" w14:textId="77777777" w:rsidR="00EF4656" w:rsidRDefault="00F3645D">
    <w:pPr>
      <w:pBdr>
        <w:top w:val="nil"/>
        <w:left w:val="nil"/>
        <w:bottom w:val="nil"/>
        <w:right w:val="nil"/>
        <w:between w:val="nil"/>
      </w:pBdr>
      <w:tabs>
        <w:tab w:val="center" w:pos="4320"/>
        <w:tab w:val="right" w:pos="8640"/>
        <w:tab w:val="left" w:pos="2992"/>
      </w:tabs>
      <w:spacing w:before="240"/>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Journal Analytica Islamica</w:t>
    </w:r>
    <w:r>
      <w:rPr>
        <w:noProof/>
      </w:rPr>
      <mc:AlternateContent>
        <mc:Choice Requires="wps">
          <w:drawing>
            <wp:anchor distT="4294967294" distB="4294967294" distL="114300" distR="114300" simplePos="0" relativeHeight="251664384" behindDoc="0" locked="0" layoutInCell="1" hidden="0" allowOverlap="1" wp14:anchorId="78AFEDB8" wp14:editId="103F9C2A">
              <wp:simplePos x="0" y="0"/>
              <wp:positionH relativeFrom="column">
                <wp:posOffset>1</wp:posOffset>
              </wp:positionH>
              <wp:positionV relativeFrom="paragraph">
                <wp:posOffset>144795</wp:posOffset>
              </wp:positionV>
              <wp:extent cx="558038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2555810" y="3780000"/>
                        <a:ext cx="55803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oel="http://schemas.microsoft.com/office/2019/extlst"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144795</wp:posOffset>
              </wp:positionV>
              <wp:extent cx="5580380" cy="12700"/>
              <wp:effectExtent b="0" l="0" r="0" t="0"/>
              <wp:wrapNone/>
              <wp:docPr id="3"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58038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EAF10" w14:textId="77777777" w:rsidR="00EF4656" w:rsidRDefault="00F3645D">
    <w:pPr>
      <w:pBdr>
        <w:top w:val="single" w:sz="4" w:space="1" w:color="000000"/>
        <w:left w:val="nil"/>
        <w:bottom w:val="nil"/>
        <w:right w:val="nil"/>
        <w:between w:val="nil"/>
      </w:pBdr>
      <w:tabs>
        <w:tab w:val="center" w:pos="4320"/>
        <w:tab w:val="right" w:pos="8640"/>
      </w:tabs>
      <w:spacing w:before="240"/>
      <w:rPr>
        <w:rFonts w:ascii="Quattrocento Sans" w:eastAsia="Quattrocento Sans" w:hAnsi="Quattrocento Sans" w:cs="Quattrocento Sans"/>
        <w:color w:val="000000"/>
        <w:sz w:val="18"/>
        <w:szCs w:val="18"/>
      </w:rPr>
    </w:pPr>
    <w:r>
      <w:rPr>
        <w:rFonts w:ascii="Quattrocento Sans" w:eastAsia="Quattrocento Sans" w:hAnsi="Quattrocento Sans" w:cs="Quattrocento Sans"/>
        <w:b/>
        <w:color w:val="000000"/>
        <w:sz w:val="18"/>
        <w:szCs w:val="18"/>
      </w:rPr>
      <w:t>Journal homepage</w:t>
    </w:r>
    <w:r>
      <w:rPr>
        <w:rFonts w:ascii="Quattrocento Sans" w:eastAsia="Quattrocento Sans" w:hAnsi="Quattrocento Sans" w:cs="Quattrocento Sans"/>
        <w:color w:val="000000"/>
        <w:sz w:val="18"/>
        <w:szCs w:val="18"/>
      </w:rPr>
      <w:t>: http://jurnal.uinsu.ac.id/index.php/analytica/index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C4886" w14:textId="77777777" w:rsidR="00D90D12" w:rsidRDefault="00D90D12">
      <w:r>
        <w:separator/>
      </w:r>
    </w:p>
  </w:footnote>
  <w:footnote w:type="continuationSeparator" w:id="0">
    <w:p w14:paraId="06ACA615" w14:textId="77777777" w:rsidR="00D90D12" w:rsidRDefault="00D90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6EEAD" w14:textId="77777777" w:rsidR="00EF4656" w:rsidRDefault="00F3645D">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D53199">
      <w:rPr>
        <w:noProof/>
        <w:color w:val="000000"/>
      </w:rPr>
      <w:t>2</w:t>
    </w:r>
    <w:r>
      <w:rPr>
        <w:color w:val="000000"/>
      </w:rPr>
      <w:fldChar w:fldCharType="end"/>
    </w:r>
  </w:p>
  <w:p w14:paraId="695F3DCF" w14:textId="77777777" w:rsidR="00EF4656" w:rsidRDefault="00F3645D">
    <w:pPr>
      <w:pBdr>
        <w:top w:val="nil"/>
        <w:left w:val="nil"/>
        <w:bottom w:val="nil"/>
        <w:right w:val="nil"/>
        <w:between w:val="nil"/>
      </w:pBdr>
      <w:tabs>
        <w:tab w:val="center" w:pos="4320"/>
        <w:tab w:val="right" w:pos="8640"/>
        <w:tab w:val="right" w:pos="8789"/>
      </w:tabs>
      <w:rPr>
        <w:color w:val="000000"/>
      </w:rPr>
    </w:pPr>
    <w:r>
      <w:rPr>
        <w:rFonts w:ascii="Wingdings" w:eastAsia="Wingdings" w:hAnsi="Wingdings" w:cs="Wingdings"/>
        <w:color w:val="000000"/>
      </w:rPr>
      <w:t>❒</w:t>
    </w:r>
    <w:r>
      <w:rPr>
        <w:color w:val="000000"/>
      </w:rPr>
      <w:t xml:space="preserve"> </w:t>
    </w:r>
    <w:r>
      <w:rPr>
        <w:color w:val="000000"/>
      </w:rPr>
      <w:tab/>
    </w:r>
    <w:r>
      <w:rPr>
        <w:color w:val="000000"/>
      </w:rPr>
      <w:tab/>
    </w:r>
    <w:r>
      <w:rPr>
        <w:rFonts w:ascii="Quattrocento Sans" w:eastAsia="Quattrocento Sans" w:hAnsi="Quattrocento Sans" w:cs="Quattrocento Sans"/>
        <w:color w:val="000000"/>
        <w:sz w:val="18"/>
        <w:szCs w:val="18"/>
      </w:rPr>
      <w:t xml:space="preserve">E-ISSN 2541-5263; P-ISSN 1411-4380                                                                             </w:t>
    </w:r>
    <w:r>
      <w:rPr>
        <w:noProof/>
      </w:rPr>
      <mc:AlternateContent>
        <mc:Choice Requires="wps">
          <w:drawing>
            <wp:anchor distT="4294967294" distB="4294967294" distL="114300" distR="114300" simplePos="0" relativeHeight="251663360" behindDoc="0" locked="0" layoutInCell="1" hidden="0" allowOverlap="1" wp14:anchorId="4DD8533D" wp14:editId="7EFE3122">
              <wp:simplePos x="0" y="0"/>
              <wp:positionH relativeFrom="column">
                <wp:posOffset>25401</wp:posOffset>
              </wp:positionH>
              <wp:positionV relativeFrom="paragraph">
                <wp:posOffset>182895</wp:posOffset>
              </wp:positionV>
              <wp:extent cx="554482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2573590" y="3780000"/>
                        <a:ext cx="554482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oel="http://schemas.microsoft.com/office/2019/extlst"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4" distT="4294967294" distL="114300" distR="114300" hidden="0" layoutInCell="1" locked="0" relativeHeight="0" simplePos="0">
              <wp:simplePos x="0" y="0"/>
              <wp:positionH relativeFrom="column">
                <wp:posOffset>25401</wp:posOffset>
              </wp:positionH>
              <wp:positionV relativeFrom="paragraph">
                <wp:posOffset>182895</wp:posOffset>
              </wp:positionV>
              <wp:extent cx="5544820" cy="12700"/>
              <wp:effectExtent b="0" l="0" r="0" t="0"/>
              <wp:wrapNone/>
              <wp:docPr id="6"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5544820" cy="12700"/>
                      </a:xfrm>
                      <a:prstGeom prst="rect"/>
                      <a:ln/>
                    </pic:spPr>
                  </pic:pic>
                </a:graphicData>
              </a:graphic>
            </wp:anchor>
          </w:drawing>
        </mc:Fallback>
      </mc:AlternateContent>
    </w:r>
  </w:p>
  <w:p w14:paraId="05D31BAC" w14:textId="77777777" w:rsidR="00EF4656" w:rsidRDefault="00EF46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B9E14" w14:textId="77777777" w:rsidR="00EF4656" w:rsidRDefault="00F3645D">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D53199">
      <w:rPr>
        <w:noProof/>
        <w:color w:val="000000"/>
      </w:rPr>
      <w:t>3</w:t>
    </w:r>
    <w:r>
      <w:rPr>
        <w:color w:val="000000"/>
      </w:rPr>
      <w:fldChar w:fldCharType="end"/>
    </w:r>
  </w:p>
  <w:p w14:paraId="49EC48EC" w14:textId="77777777" w:rsidR="00EF4656" w:rsidRDefault="00F3645D">
    <w:pPr>
      <w:pBdr>
        <w:top w:val="nil"/>
        <w:left w:val="nil"/>
        <w:bottom w:val="single" w:sz="4" w:space="1" w:color="000000"/>
        <w:right w:val="nil"/>
        <w:between w:val="nil"/>
      </w:pBdr>
      <w:tabs>
        <w:tab w:val="center" w:pos="4320"/>
        <w:tab w:val="right" w:pos="8640"/>
        <w:tab w:val="left" w:pos="0"/>
        <w:tab w:val="center" w:pos="5954"/>
        <w:tab w:val="left" w:pos="7938"/>
      </w:tabs>
      <w:rPr>
        <w:color w:val="000000"/>
      </w:rPr>
    </w:pPr>
    <w:r>
      <w:rPr>
        <w:rFonts w:ascii="Quattrocento Sans" w:eastAsia="Quattrocento Sans" w:hAnsi="Quattrocento Sans" w:cs="Quattrocento Sans"/>
        <w:color w:val="000000"/>
        <w:sz w:val="18"/>
        <w:szCs w:val="18"/>
      </w:rPr>
      <w:t>Journal Analytica Islamica</w:t>
    </w:r>
    <w:r>
      <w:rPr>
        <w:color w:val="000000"/>
      </w:rPr>
      <w:tab/>
    </w:r>
    <w:r>
      <w:rPr>
        <w:color w:val="000000"/>
      </w:rPr>
      <w:tab/>
      <w:t xml:space="preserve">      </w:t>
    </w:r>
    <w:r>
      <w:rPr>
        <w:rFonts w:ascii="Wingdings" w:eastAsia="Wingdings" w:hAnsi="Wingdings" w:cs="Wingdings"/>
        <w:color w:val="000000"/>
      </w:rPr>
      <w:t>❒</w:t>
    </w:r>
  </w:p>
  <w:p w14:paraId="08B64F8B" w14:textId="77777777" w:rsidR="00EF4656" w:rsidRDefault="00EF4656">
    <w:pPr>
      <w:pBdr>
        <w:top w:val="nil"/>
        <w:left w:val="nil"/>
        <w:bottom w:val="nil"/>
        <w:right w:val="nil"/>
        <w:between w:val="nil"/>
      </w:pBdr>
      <w:tabs>
        <w:tab w:val="center" w:pos="4320"/>
        <w:tab w:val="right" w:pos="8640"/>
      </w:tabs>
      <w:ind w:right="360" w:firstLine="360"/>
      <w:rPr>
        <w:color w:val="000000"/>
      </w:rPr>
    </w:pPr>
  </w:p>
  <w:p w14:paraId="551637C0" w14:textId="77777777" w:rsidR="00EF4656" w:rsidRDefault="00EF46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0761E" w14:textId="77777777" w:rsidR="00EF4656" w:rsidRDefault="00EF4656">
    <w:pPr>
      <w:widowControl w:val="0"/>
      <w:pBdr>
        <w:top w:val="nil"/>
        <w:left w:val="nil"/>
        <w:bottom w:val="nil"/>
        <w:right w:val="nil"/>
        <w:between w:val="nil"/>
      </w:pBdr>
      <w:spacing w:line="276" w:lineRule="auto"/>
    </w:pPr>
  </w:p>
  <w:tbl>
    <w:tblPr>
      <w:tblStyle w:val="a0"/>
      <w:tblW w:w="7796" w:type="dxa"/>
      <w:tblInd w:w="993" w:type="dxa"/>
      <w:tblLayout w:type="fixed"/>
      <w:tblLook w:val="0400" w:firstRow="0" w:lastRow="0" w:firstColumn="0" w:lastColumn="0" w:noHBand="0" w:noVBand="1"/>
    </w:tblPr>
    <w:tblGrid>
      <w:gridCol w:w="7796"/>
    </w:tblGrid>
    <w:tr w:rsidR="00EF4656" w14:paraId="383D2C77" w14:textId="77777777">
      <w:tc>
        <w:tcPr>
          <w:tcW w:w="7796" w:type="dxa"/>
          <w:shd w:val="clear" w:color="auto" w:fill="66FF33"/>
        </w:tcPr>
        <w:p w14:paraId="1B502C8D" w14:textId="77777777" w:rsidR="00EF4656" w:rsidRDefault="00F3645D">
          <w:pPr>
            <w:pBdr>
              <w:top w:val="nil"/>
              <w:left w:val="nil"/>
              <w:bottom w:val="nil"/>
              <w:right w:val="nil"/>
              <w:between w:val="nil"/>
            </w:pBdr>
            <w:tabs>
              <w:tab w:val="center" w:pos="4320"/>
              <w:tab w:val="right" w:pos="8640"/>
              <w:tab w:val="center" w:pos="4394"/>
            </w:tabs>
            <w:ind w:right="-251"/>
            <w:jc w:val="center"/>
            <w:rPr>
              <w:rFonts w:ascii="Quattrocento Sans" w:eastAsia="Quattrocento Sans" w:hAnsi="Quattrocento Sans" w:cs="Quattrocento Sans"/>
              <w:b/>
              <w:color w:val="000000"/>
              <w:sz w:val="16"/>
              <w:szCs w:val="16"/>
            </w:rPr>
          </w:pPr>
          <w:r>
            <w:rPr>
              <w:rFonts w:ascii="Quattrocento Sans" w:eastAsia="Quattrocento Sans" w:hAnsi="Quattrocento Sans" w:cs="Quattrocento Sans"/>
              <w:b/>
              <w:color w:val="000000"/>
              <w:sz w:val="16"/>
              <w:szCs w:val="16"/>
            </w:rPr>
            <w:t xml:space="preserve">     Journal homepage: </w:t>
          </w:r>
          <w:hyperlink r:id="rId1">
            <w:r>
              <w:rPr>
                <w:rFonts w:ascii="Quattrocento Sans" w:eastAsia="Quattrocento Sans" w:hAnsi="Quattrocento Sans" w:cs="Quattrocento Sans"/>
                <w:color w:val="0000FF"/>
                <w:sz w:val="16"/>
                <w:szCs w:val="16"/>
                <w:u w:val="single"/>
              </w:rPr>
              <w:t>http://jurnal.uinsu.ac.id/index.php/analytica</w:t>
            </w:r>
          </w:hyperlink>
          <w:r>
            <w:rPr>
              <w:noProof/>
            </w:rPr>
            <w:drawing>
              <wp:anchor distT="0" distB="0" distL="114300" distR="114300" simplePos="0" relativeHeight="251658240" behindDoc="0" locked="0" layoutInCell="1" hidden="0" allowOverlap="1" wp14:anchorId="7356B585" wp14:editId="607EAD58">
                <wp:simplePos x="0" y="0"/>
                <wp:positionH relativeFrom="column">
                  <wp:posOffset>4039234</wp:posOffset>
                </wp:positionH>
                <wp:positionV relativeFrom="paragraph">
                  <wp:posOffset>3810</wp:posOffset>
                </wp:positionV>
                <wp:extent cx="842645" cy="895350"/>
                <wp:effectExtent l="0" t="0" r="0" b="0"/>
                <wp:wrapSquare wrapText="bothSides" distT="0" distB="0" distL="114300" distR="11430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842645" cy="895350"/>
                        </a:xfrm>
                        <a:prstGeom prst="rect">
                          <a:avLst/>
                        </a:prstGeom>
                        <a:ln/>
                      </pic:spPr>
                    </pic:pic>
                  </a:graphicData>
                </a:graphic>
              </wp:anchor>
            </w:drawing>
          </w:r>
        </w:p>
        <w:p w14:paraId="6DC9D3EB" w14:textId="77777777" w:rsidR="00EF4656" w:rsidRDefault="00F3645D">
          <w:pPr>
            <w:pBdr>
              <w:top w:val="nil"/>
              <w:left w:val="nil"/>
              <w:bottom w:val="nil"/>
              <w:right w:val="nil"/>
              <w:between w:val="nil"/>
            </w:pBdr>
            <w:tabs>
              <w:tab w:val="center" w:pos="4320"/>
              <w:tab w:val="right" w:pos="8640"/>
              <w:tab w:val="left" w:pos="1365"/>
              <w:tab w:val="center" w:pos="4394"/>
            </w:tabs>
            <w:ind w:left="-24" w:right="-251"/>
            <w:rPr>
              <w:rFonts w:ascii="Libre Baskerville" w:eastAsia="Libre Baskerville" w:hAnsi="Libre Baskerville" w:cs="Libre Baskerville"/>
              <w:b/>
              <w:color w:val="000000"/>
              <w:sz w:val="18"/>
              <w:szCs w:val="18"/>
            </w:rPr>
          </w:pPr>
          <w:r>
            <w:rPr>
              <w:rFonts w:ascii="Libre Baskerville" w:eastAsia="Libre Baskerville" w:hAnsi="Libre Baskerville" w:cs="Libre Baskerville"/>
              <w:b/>
              <w:color w:val="000000"/>
              <w:sz w:val="18"/>
              <w:szCs w:val="18"/>
            </w:rPr>
            <w:tab/>
          </w:r>
        </w:p>
        <w:p w14:paraId="72D3CF23" w14:textId="77777777" w:rsidR="00EF4656" w:rsidRDefault="00F3645D">
          <w:pPr>
            <w:tabs>
              <w:tab w:val="left" w:pos="225"/>
              <w:tab w:val="left" w:pos="968"/>
              <w:tab w:val="center" w:pos="4357"/>
            </w:tabs>
            <w:ind w:left="12" w:right="-251"/>
            <w:jc w:val="center"/>
            <w:rPr>
              <w:rFonts w:ascii="Quattrocento Sans" w:eastAsia="Quattrocento Sans" w:hAnsi="Quattrocento Sans" w:cs="Quattrocento Sans"/>
              <w:b/>
              <w:color w:val="0D0D0D"/>
              <w:sz w:val="36"/>
              <w:szCs w:val="36"/>
            </w:rPr>
          </w:pPr>
          <w:r>
            <w:rPr>
              <w:rFonts w:ascii="Quattrocento Sans" w:eastAsia="Quattrocento Sans" w:hAnsi="Quattrocento Sans" w:cs="Quattrocento Sans"/>
              <w:b/>
              <w:color w:val="0D0D0D"/>
              <w:sz w:val="36"/>
              <w:szCs w:val="36"/>
            </w:rPr>
            <w:t xml:space="preserve">  Journal Analytica Islamica</w:t>
          </w:r>
        </w:p>
        <w:p w14:paraId="42BE59CA" w14:textId="77777777" w:rsidR="00EF4656" w:rsidRDefault="00EF4656">
          <w:pPr>
            <w:tabs>
              <w:tab w:val="left" w:pos="4728"/>
            </w:tabs>
            <w:ind w:right="-251"/>
            <w:jc w:val="right"/>
            <w:rPr>
              <w:rFonts w:ascii="Quattrocento Sans" w:eastAsia="Quattrocento Sans" w:hAnsi="Quattrocento Sans" w:cs="Quattrocento Sans"/>
              <w:i/>
              <w:color w:val="244061"/>
              <w:sz w:val="16"/>
              <w:szCs w:val="16"/>
            </w:rPr>
          </w:pPr>
        </w:p>
        <w:p w14:paraId="1B877FC3" w14:textId="77777777" w:rsidR="00EF4656" w:rsidRDefault="00EF4656">
          <w:pPr>
            <w:tabs>
              <w:tab w:val="left" w:pos="4728"/>
            </w:tabs>
            <w:ind w:right="-251"/>
            <w:jc w:val="right"/>
            <w:rPr>
              <w:rFonts w:ascii="Quattrocento Sans" w:eastAsia="Quattrocento Sans" w:hAnsi="Quattrocento Sans" w:cs="Quattrocento Sans"/>
              <w:i/>
              <w:sz w:val="16"/>
              <w:szCs w:val="16"/>
            </w:rPr>
          </w:pPr>
        </w:p>
      </w:tc>
    </w:tr>
  </w:tbl>
  <w:p w14:paraId="1DDF95CB" w14:textId="77777777" w:rsidR="00EF4656" w:rsidRDefault="00F3645D">
    <w:pPr>
      <w:pBdr>
        <w:top w:val="nil"/>
        <w:left w:val="nil"/>
        <w:bottom w:val="nil"/>
        <w:right w:val="nil"/>
        <w:between w:val="nil"/>
      </w:pBdr>
      <w:tabs>
        <w:tab w:val="center" w:pos="4320"/>
        <w:tab w:val="right" w:pos="8640"/>
        <w:tab w:val="center" w:pos="4394"/>
      </w:tabs>
      <w:rPr>
        <w:color w:val="000000"/>
      </w:rPr>
    </w:pPr>
    <w:r>
      <w:rPr>
        <w:noProof/>
      </w:rPr>
      <mc:AlternateContent>
        <mc:Choice Requires="wps">
          <w:drawing>
            <wp:anchor distT="0" distB="0" distL="0" distR="0" simplePos="0" relativeHeight="251659264" behindDoc="1" locked="0" layoutInCell="1" hidden="0" allowOverlap="1" wp14:anchorId="76CCF6E3" wp14:editId="30284E37">
              <wp:simplePos x="0" y="0"/>
              <wp:positionH relativeFrom="column">
                <wp:posOffset>2209800</wp:posOffset>
              </wp:positionH>
              <wp:positionV relativeFrom="paragraph">
                <wp:posOffset>-1155699</wp:posOffset>
              </wp:positionV>
              <wp:extent cx="1915795" cy="267970"/>
              <wp:effectExtent l="0" t="0" r="0" b="0"/>
              <wp:wrapNone/>
              <wp:docPr id="2" name="Rectangle 2"/>
              <wp:cNvGraphicFramePr/>
              <a:graphic xmlns:a="http://schemas.openxmlformats.org/drawingml/2006/main">
                <a:graphicData uri="http://schemas.microsoft.com/office/word/2010/wordprocessingShape">
                  <wps:wsp>
                    <wps:cNvSpPr/>
                    <wps:spPr>
                      <a:xfrm>
                        <a:off x="4392865" y="3650778"/>
                        <a:ext cx="1906270" cy="258445"/>
                      </a:xfrm>
                      <a:prstGeom prst="rect">
                        <a:avLst/>
                      </a:prstGeom>
                      <a:solidFill>
                        <a:srgbClr val="FFFFFF"/>
                      </a:solidFill>
                      <a:ln>
                        <a:noFill/>
                      </a:ln>
                    </wps:spPr>
                    <wps:txbx>
                      <w:txbxContent>
                        <w:p w14:paraId="6A179B1B" w14:textId="77777777" w:rsidR="00EF4656" w:rsidRDefault="00F3645D">
                          <w:pPr>
                            <w:textDirection w:val="btLr"/>
                          </w:pPr>
                          <w:r>
                            <w:rPr>
                              <w:rFonts w:ascii="Quattrocento Sans" w:eastAsia="Quattrocento Sans" w:hAnsi="Quattrocento Sans" w:cs="Quattrocento Sans"/>
                              <w:i/>
                              <w:color w:val="548DD4"/>
                              <w:sz w:val="16"/>
                            </w:rPr>
                            <w:t>Analytica Islamica 12 (2) (2023) Pages:. 1-7</w:t>
                          </w:r>
                        </w:p>
                      </w:txbxContent>
                    </wps:txbx>
                    <wps:bodyPr spcFirstLastPara="1" wrap="square" lIns="91425" tIns="45700" rIns="91425" bIns="45700" anchor="t" anchorCtr="0">
                      <a:noAutofit/>
                    </wps:bodyPr>
                  </wps:wsp>
                </a:graphicData>
              </a:graphic>
            </wp:anchor>
          </w:drawing>
        </mc:Choice>
        <mc:Fallback>
          <w:pict>
            <v:rect w14:anchorId="76CCF6E3" id="Rectangle 2" o:spid="_x0000_s1026" style="position:absolute;margin-left:174pt;margin-top:-91pt;width:150.85pt;height:21.1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" stroked="f">
              <v:textbox inset="2.53958mm,1.2694mm,2.53958mm,1.2694mm">
                <w:txbxContent>
                  <w:p w14:paraId="6A179B1B" w14:textId="77777777" w:rsidR="00EF4656" w:rsidRDefault="00F3645D">
                    <w:pPr>
                      <w:textDirection w:val="btLr"/>
                    </w:pPr>
                    <w:r>
                      <w:rPr>
                        <w:rFonts w:ascii="Quattrocento Sans" w:eastAsia="Quattrocento Sans" w:hAnsi="Quattrocento Sans" w:cs="Quattrocento Sans"/>
                        <w:i/>
                        <w:color w:val="548DD4"/>
                        <w:sz w:val="16"/>
                      </w:rPr>
                      <w:t>Analytica Islamica 12 (2) (2023) Pages:. 1-7</w:t>
                    </w: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154D4F40" wp14:editId="51E617BA">
              <wp:simplePos x="0" y="0"/>
              <wp:positionH relativeFrom="column">
                <wp:posOffset>-88899</wp:posOffset>
              </wp:positionH>
              <wp:positionV relativeFrom="paragraph">
                <wp:posOffset>0</wp:posOffset>
              </wp:positionV>
              <wp:extent cx="5672305" cy="41275"/>
              <wp:effectExtent l="0" t="0" r="0" b="0"/>
              <wp:wrapNone/>
              <wp:docPr id="4" name="Straight Arrow Connector 4"/>
              <wp:cNvGraphicFramePr/>
              <a:graphic xmlns:a="http://schemas.openxmlformats.org/drawingml/2006/main">
                <a:graphicData uri="http://schemas.microsoft.com/office/word/2010/wordprocessingShape">
                  <wps:wsp>
                    <wps:cNvCnPr/>
                    <wps:spPr>
                      <a:xfrm>
                        <a:off x="2509848" y="3780000"/>
                        <a:ext cx="5672305" cy="0"/>
                      </a:xfrm>
                      <a:prstGeom prst="straightConnector1">
                        <a:avLst/>
                      </a:prstGeom>
                      <a:noFill/>
                      <a:ln w="412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oel="http://schemas.microsoft.com/office/2019/extlst"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-88899</wp:posOffset>
              </wp:positionH>
              <wp:positionV relativeFrom="paragraph">
                <wp:posOffset>0</wp:posOffset>
              </wp:positionV>
              <wp:extent cx="5672305" cy="41275"/>
              <wp:effectExtent b="0" l="0" r="0" t="0"/>
              <wp:wrapNone/>
              <wp:docPr id="4" name="image8.png"/>
              <a:graphic>
                <a:graphicData uri="http://schemas.openxmlformats.org/drawingml/2006/picture">
                  <pic:pic>
                    <pic:nvPicPr>
                      <pic:cNvPr id="0" name="image8.png"/>
                      <pic:cNvPicPr preferRelativeResize="0"/>
                    </pic:nvPicPr>
                    <pic:blipFill>
                      <a:blip r:embed="rId4"/>
                      <a:srcRect/>
                      <a:stretch>
                        <a:fillRect/>
                      </a:stretch>
                    </pic:blipFill>
                    <pic:spPr>
                      <a:xfrm>
                        <a:off x="0" y="0"/>
                        <a:ext cx="5672305" cy="4127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3290D5F" wp14:editId="58F29DF9">
              <wp:simplePos x="0" y="0"/>
              <wp:positionH relativeFrom="column">
                <wp:posOffset>-88899</wp:posOffset>
              </wp:positionH>
              <wp:positionV relativeFrom="paragraph">
                <wp:posOffset>-939799</wp:posOffset>
              </wp:positionV>
              <wp:extent cx="5688180" cy="59167"/>
              <wp:effectExtent l="0" t="0" r="0" b="0"/>
              <wp:wrapNone/>
              <wp:docPr id="5" name="Straight Arrow Connector 5"/>
              <wp:cNvGraphicFramePr/>
              <a:graphic xmlns:a="http://schemas.openxmlformats.org/drawingml/2006/main">
                <a:graphicData uri="http://schemas.microsoft.com/office/word/2010/wordprocessingShape">
                  <wps:wsp>
                    <wps:cNvCnPr/>
                    <wps:spPr>
                      <a:xfrm>
                        <a:off x="2509848" y="3758354"/>
                        <a:ext cx="5672305" cy="43292"/>
                      </a:xfrm>
                      <a:prstGeom prst="straightConnector1">
                        <a:avLst/>
                      </a:prstGeom>
                      <a:noFill/>
                      <a:ln w="158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oel="http://schemas.microsoft.com/office/2019/extlst"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-88899</wp:posOffset>
              </wp:positionH>
              <wp:positionV relativeFrom="paragraph">
                <wp:posOffset>-939799</wp:posOffset>
              </wp:positionV>
              <wp:extent cx="5688180" cy="59167"/>
              <wp:effectExtent b="0" l="0" r="0" t="0"/>
              <wp:wrapNone/>
              <wp:docPr id="5" name="image9.png"/>
              <a:graphic>
                <a:graphicData uri="http://schemas.openxmlformats.org/drawingml/2006/picture">
                  <pic:pic>
                    <pic:nvPicPr>
                      <pic:cNvPr id="0" name="image9.png"/>
                      <pic:cNvPicPr preferRelativeResize="0"/>
                    </pic:nvPicPr>
                    <pic:blipFill>
                      <a:blip r:embed="rId5"/>
                      <a:srcRect/>
                      <a:stretch>
                        <a:fillRect/>
                      </a:stretch>
                    </pic:blipFill>
                    <pic:spPr>
                      <a:xfrm>
                        <a:off x="0" y="0"/>
                        <a:ext cx="5688180" cy="59167"/>
                      </a:xfrm>
                      <a:prstGeom prst="rect"/>
                      <a:ln/>
                    </pic:spPr>
                  </pic:pic>
                </a:graphicData>
              </a:graphic>
            </wp:anchor>
          </w:drawing>
        </mc:Fallback>
      </mc:AlternateContent>
    </w:r>
    <w:r>
      <w:rPr>
        <w:noProof/>
      </w:rPr>
      <w:drawing>
        <wp:anchor distT="0" distB="0" distL="114300" distR="114300" simplePos="0" relativeHeight="251662336" behindDoc="0" locked="0" layoutInCell="1" hidden="0" allowOverlap="1" wp14:anchorId="6EA33698" wp14:editId="06724D99">
          <wp:simplePos x="0" y="0"/>
          <wp:positionH relativeFrom="column">
            <wp:posOffset>-89533</wp:posOffset>
          </wp:positionH>
          <wp:positionV relativeFrom="paragraph">
            <wp:posOffset>-891538</wp:posOffset>
          </wp:positionV>
          <wp:extent cx="781050" cy="890270"/>
          <wp:effectExtent l="0" t="0" r="0" b="0"/>
          <wp:wrapNone/>
          <wp:docPr id="1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781050" cy="8902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D61E5"/>
    <w:multiLevelType w:val="hybridMultilevel"/>
    <w:tmpl w:val="BAE2F4FA"/>
    <w:lvl w:ilvl="0" w:tplc="04210015">
      <w:start w:val="1"/>
      <w:numFmt w:val="upp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 w15:restartNumberingAfterBreak="0">
    <w:nsid w:val="022331E8"/>
    <w:multiLevelType w:val="hybridMultilevel"/>
    <w:tmpl w:val="B1D8176A"/>
    <w:lvl w:ilvl="0" w:tplc="7832726C">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E82A64"/>
    <w:multiLevelType w:val="multilevel"/>
    <w:tmpl w:val="7EF057BA"/>
    <w:lvl w:ilvl="0">
      <w:start w:val="4"/>
      <w:numFmt w:val="upperLetter"/>
      <w:lvlText w:val="%1."/>
      <w:lvlJc w:val="left"/>
      <w:pPr>
        <w:ind w:left="1440" w:hanging="360"/>
      </w:pPr>
      <w:rPr>
        <w:rFonts w:hint="default"/>
        <w:u w:val="none"/>
      </w:rPr>
    </w:lvl>
    <w:lvl w:ilvl="1">
      <w:start w:val="1"/>
      <w:numFmt w:val="lowerLetter"/>
      <w:lvlText w:val="%2."/>
      <w:lvlJc w:val="left"/>
      <w:pPr>
        <w:ind w:left="2160" w:hanging="360"/>
      </w:pPr>
      <w:rPr>
        <w:rFonts w:hint="default"/>
        <w:u w:val="none"/>
      </w:rPr>
    </w:lvl>
    <w:lvl w:ilvl="2">
      <w:start w:val="1"/>
      <w:numFmt w:val="lowerRoman"/>
      <w:lvlText w:val="%3."/>
      <w:lvlJc w:val="right"/>
      <w:pPr>
        <w:ind w:left="2880" w:hanging="360"/>
      </w:pPr>
      <w:rPr>
        <w:rFonts w:hint="default"/>
        <w:u w:val="none"/>
      </w:rPr>
    </w:lvl>
    <w:lvl w:ilvl="3">
      <w:start w:val="1"/>
      <w:numFmt w:val="decimal"/>
      <w:lvlText w:val="%4."/>
      <w:lvlJc w:val="left"/>
      <w:pPr>
        <w:ind w:left="3600" w:hanging="360"/>
      </w:pPr>
      <w:rPr>
        <w:rFonts w:hint="default"/>
        <w:u w:val="none"/>
      </w:rPr>
    </w:lvl>
    <w:lvl w:ilvl="4">
      <w:start w:val="1"/>
      <w:numFmt w:val="lowerLetter"/>
      <w:lvlText w:val="%5."/>
      <w:lvlJc w:val="left"/>
      <w:pPr>
        <w:ind w:left="4320" w:hanging="360"/>
      </w:pPr>
      <w:rPr>
        <w:rFonts w:hint="default"/>
        <w:u w:val="none"/>
      </w:rPr>
    </w:lvl>
    <w:lvl w:ilvl="5">
      <w:start w:val="1"/>
      <w:numFmt w:val="lowerRoman"/>
      <w:lvlText w:val="%6."/>
      <w:lvlJc w:val="right"/>
      <w:pPr>
        <w:ind w:left="5040" w:hanging="360"/>
      </w:pPr>
      <w:rPr>
        <w:rFonts w:hint="default"/>
        <w:u w:val="none"/>
      </w:rPr>
    </w:lvl>
    <w:lvl w:ilvl="6">
      <w:start w:val="1"/>
      <w:numFmt w:val="decimal"/>
      <w:lvlText w:val="%7."/>
      <w:lvlJc w:val="left"/>
      <w:pPr>
        <w:ind w:left="5760" w:hanging="360"/>
      </w:pPr>
      <w:rPr>
        <w:rFonts w:hint="default"/>
        <w:u w:val="none"/>
      </w:rPr>
    </w:lvl>
    <w:lvl w:ilvl="7">
      <w:start w:val="1"/>
      <w:numFmt w:val="lowerLetter"/>
      <w:lvlText w:val="%8."/>
      <w:lvlJc w:val="left"/>
      <w:pPr>
        <w:ind w:left="6480" w:hanging="360"/>
      </w:pPr>
      <w:rPr>
        <w:rFonts w:hint="default"/>
        <w:u w:val="none"/>
      </w:rPr>
    </w:lvl>
    <w:lvl w:ilvl="8">
      <w:start w:val="1"/>
      <w:numFmt w:val="lowerRoman"/>
      <w:lvlText w:val="%9."/>
      <w:lvlJc w:val="right"/>
      <w:pPr>
        <w:ind w:left="7200" w:hanging="360"/>
      </w:pPr>
      <w:rPr>
        <w:rFonts w:hint="default"/>
        <w:u w:val="none"/>
      </w:rPr>
    </w:lvl>
  </w:abstractNum>
  <w:abstractNum w:abstractNumId="3" w15:restartNumberingAfterBreak="0">
    <w:nsid w:val="12FE481D"/>
    <w:multiLevelType w:val="multilevel"/>
    <w:tmpl w:val="7FC87C9E"/>
    <w:lvl w:ilvl="0">
      <w:start w:val="2"/>
      <w:numFmt w:val="upperLetter"/>
      <w:lvlText w:val="%1."/>
      <w:lvlJc w:val="left"/>
      <w:pPr>
        <w:ind w:left="1440" w:hanging="360"/>
      </w:pPr>
      <w:rPr>
        <w:rFonts w:hint="default"/>
        <w:u w:val="none"/>
      </w:rPr>
    </w:lvl>
    <w:lvl w:ilvl="1">
      <w:start w:val="1"/>
      <w:numFmt w:val="lowerLetter"/>
      <w:lvlText w:val="%2."/>
      <w:lvlJc w:val="left"/>
      <w:pPr>
        <w:ind w:left="2160" w:hanging="360"/>
      </w:pPr>
      <w:rPr>
        <w:rFonts w:hint="default"/>
        <w:u w:val="none"/>
      </w:rPr>
    </w:lvl>
    <w:lvl w:ilvl="2">
      <w:start w:val="1"/>
      <w:numFmt w:val="lowerRoman"/>
      <w:lvlText w:val="%3."/>
      <w:lvlJc w:val="right"/>
      <w:pPr>
        <w:ind w:left="2880" w:hanging="360"/>
      </w:pPr>
      <w:rPr>
        <w:rFonts w:hint="default"/>
        <w:u w:val="none"/>
      </w:rPr>
    </w:lvl>
    <w:lvl w:ilvl="3">
      <w:start w:val="1"/>
      <w:numFmt w:val="decimal"/>
      <w:lvlText w:val="%4."/>
      <w:lvlJc w:val="left"/>
      <w:pPr>
        <w:ind w:left="3600" w:hanging="360"/>
      </w:pPr>
      <w:rPr>
        <w:rFonts w:hint="default"/>
        <w:u w:val="none"/>
      </w:rPr>
    </w:lvl>
    <w:lvl w:ilvl="4">
      <w:start w:val="1"/>
      <w:numFmt w:val="lowerLetter"/>
      <w:lvlText w:val="%5."/>
      <w:lvlJc w:val="left"/>
      <w:pPr>
        <w:ind w:left="4320" w:hanging="360"/>
      </w:pPr>
      <w:rPr>
        <w:rFonts w:hint="default"/>
        <w:u w:val="none"/>
      </w:rPr>
    </w:lvl>
    <w:lvl w:ilvl="5">
      <w:start w:val="1"/>
      <w:numFmt w:val="lowerRoman"/>
      <w:lvlText w:val="%6."/>
      <w:lvlJc w:val="right"/>
      <w:pPr>
        <w:ind w:left="5040" w:hanging="360"/>
      </w:pPr>
      <w:rPr>
        <w:rFonts w:hint="default"/>
        <w:u w:val="none"/>
      </w:rPr>
    </w:lvl>
    <w:lvl w:ilvl="6">
      <w:start w:val="1"/>
      <w:numFmt w:val="decimal"/>
      <w:lvlText w:val="%7."/>
      <w:lvlJc w:val="left"/>
      <w:pPr>
        <w:ind w:left="5760" w:hanging="360"/>
      </w:pPr>
      <w:rPr>
        <w:rFonts w:hint="default"/>
        <w:u w:val="none"/>
      </w:rPr>
    </w:lvl>
    <w:lvl w:ilvl="7">
      <w:start w:val="1"/>
      <w:numFmt w:val="lowerLetter"/>
      <w:lvlText w:val="%8."/>
      <w:lvlJc w:val="left"/>
      <w:pPr>
        <w:ind w:left="6480" w:hanging="360"/>
      </w:pPr>
      <w:rPr>
        <w:rFonts w:hint="default"/>
        <w:u w:val="none"/>
      </w:rPr>
    </w:lvl>
    <w:lvl w:ilvl="8">
      <w:start w:val="1"/>
      <w:numFmt w:val="lowerRoman"/>
      <w:lvlText w:val="%9."/>
      <w:lvlJc w:val="right"/>
      <w:pPr>
        <w:ind w:left="7200" w:hanging="360"/>
      </w:pPr>
      <w:rPr>
        <w:rFonts w:hint="default"/>
        <w:u w:val="none"/>
      </w:rPr>
    </w:lvl>
  </w:abstractNum>
  <w:abstractNum w:abstractNumId="4" w15:restartNumberingAfterBreak="0">
    <w:nsid w:val="1FD91021"/>
    <w:multiLevelType w:val="hybridMultilevel"/>
    <w:tmpl w:val="E538291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C7D6C82"/>
    <w:multiLevelType w:val="multilevel"/>
    <w:tmpl w:val="06F8BB3C"/>
    <w:lvl w:ilvl="0">
      <w:start w:val="1"/>
      <w:numFmt w:val="decimal"/>
      <w:lvlText w:val="[%1]"/>
      <w:lvlJc w:val="left"/>
      <w:pPr>
        <w:ind w:left="1710" w:hanging="360"/>
      </w:pPr>
      <w:rPr>
        <w:b w:val="0"/>
      </w:r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6" w15:restartNumberingAfterBreak="0">
    <w:nsid w:val="2C975305"/>
    <w:multiLevelType w:val="hybridMultilevel"/>
    <w:tmpl w:val="76BEE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32CD1"/>
    <w:multiLevelType w:val="hybridMultilevel"/>
    <w:tmpl w:val="FD1CDF0A"/>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 w15:restartNumberingAfterBreak="0">
    <w:nsid w:val="3BD47CE5"/>
    <w:multiLevelType w:val="hybridMultilevel"/>
    <w:tmpl w:val="7EAE7B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6741D97"/>
    <w:multiLevelType w:val="hybridMultilevel"/>
    <w:tmpl w:val="E6420754"/>
    <w:lvl w:ilvl="0" w:tplc="822A25AC">
      <w:start w:val="2"/>
      <w:numFmt w:val="upperLetter"/>
      <w:lvlText w:val="%1."/>
      <w:lvlJc w:val="left"/>
      <w:pPr>
        <w:ind w:left="185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A5F525A"/>
    <w:multiLevelType w:val="hybridMultilevel"/>
    <w:tmpl w:val="1B6668CE"/>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1" w15:restartNumberingAfterBreak="0">
    <w:nsid w:val="4A7B22BC"/>
    <w:multiLevelType w:val="multilevel"/>
    <w:tmpl w:val="8E0037D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4CCA2595"/>
    <w:multiLevelType w:val="multilevel"/>
    <w:tmpl w:val="F25A04A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50A05A32"/>
    <w:multiLevelType w:val="hybridMultilevel"/>
    <w:tmpl w:val="AFBC477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30E0C10"/>
    <w:multiLevelType w:val="hybridMultilevel"/>
    <w:tmpl w:val="0C36EFFA"/>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15:restartNumberingAfterBreak="0">
    <w:nsid w:val="57D1228C"/>
    <w:multiLevelType w:val="hybridMultilevel"/>
    <w:tmpl w:val="91D2CE96"/>
    <w:lvl w:ilvl="0" w:tplc="0421000F">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6" w15:restartNumberingAfterBreak="0">
    <w:nsid w:val="67DA6895"/>
    <w:multiLevelType w:val="multilevel"/>
    <w:tmpl w:val="2362E494"/>
    <w:lvl w:ilvl="0">
      <w:start w:val="3"/>
      <w:numFmt w:val="upperLetter"/>
      <w:lvlText w:val="%1."/>
      <w:lvlJc w:val="left"/>
      <w:pPr>
        <w:ind w:left="1440" w:hanging="360"/>
      </w:pPr>
      <w:rPr>
        <w:rFonts w:hint="default"/>
        <w:u w:val="none"/>
      </w:rPr>
    </w:lvl>
    <w:lvl w:ilvl="1">
      <w:start w:val="1"/>
      <w:numFmt w:val="lowerLetter"/>
      <w:lvlText w:val="%2."/>
      <w:lvlJc w:val="left"/>
      <w:pPr>
        <w:ind w:left="2160" w:hanging="360"/>
      </w:pPr>
      <w:rPr>
        <w:rFonts w:hint="default"/>
        <w:u w:val="none"/>
      </w:rPr>
    </w:lvl>
    <w:lvl w:ilvl="2">
      <w:start w:val="1"/>
      <w:numFmt w:val="lowerRoman"/>
      <w:lvlText w:val="%3."/>
      <w:lvlJc w:val="right"/>
      <w:pPr>
        <w:ind w:left="2880" w:hanging="360"/>
      </w:pPr>
      <w:rPr>
        <w:rFonts w:hint="default"/>
        <w:u w:val="none"/>
      </w:rPr>
    </w:lvl>
    <w:lvl w:ilvl="3">
      <w:start w:val="1"/>
      <w:numFmt w:val="decimal"/>
      <w:lvlText w:val="%4."/>
      <w:lvlJc w:val="left"/>
      <w:pPr>
        <w:ind w:left="3600" w:hanging="360"/>
      </w:pPr>
      <w:rPr>
        <w:rFonts w:hint="default"/>
        <w:u w:val="none"/>
      </w:rPr>
    </w:lvl>
    <w:lvl w:ilvl="4">
      <w:start w:val="1"/>
      <w:numFmt w:val="lowerLetter"/>
      <w:lvlText w:val="%5."/>
      <w:lvlJc w:val="left"/>
      <w:pPr>
        <w:ind w:left="4320" w:hanging="360"/>
      </w:pPr>
      <w:rPr>
        <w:rFonts w:hint="default"/>
        <w:u w:val="none"/>
      </w:rPr>
    </w:lvl>
    <w:lvl w:ilvl="5">
      <w:start w:val="1"/>
      <w:numFmt w:val="lowerRoman"/>
      <w:lvlText w:val="%6."/>
      <w:lvlJc w:val="right"/>
      <w:pPr>
        <w:ind w:left="5040" w:hanging="360"/>
      </w:pPr>
      <w:rPr>
        <w:rFonts w:hint="default"/>
        <w:u w:val="none"/>
      </w:rPr>
    </w:lvl>
    <w:lvl w:ilvl="6">
      <w:start w:val="1"/>
      <w:numFmt w:val="decimal"/>
      <w:lvlText w:val="%7."/>
      <w:lvlJc w:val="left"/>
      <w:pPr>
        <w:ind w:left="5760" w:hanging="360"/>
      </w:pPr>
      <w:rPr>
        <w:rFonts w:hint="default"/>
        <w:u w:val="none"/>
      </w:rPr>
    </w:lvl>
    <w:lvl w:ilvl="7">
      <w:start w:val="1"/>
      <w:numFmt w:val="lowerLetter"/>
      <w:lvlText w:val="%8."/>
      <w:lvlJc w:val="left"/>
      <w:pPr>
        <w:ind w:left="6480" w:hanging="360"/>
      </w:pPr>
      <w:rPr>
        <w:rFonts w:hint="default"/>
        <w:u w:val="none"/>
      </w:rPr>
    </w:lvl>
    <w:lvl w:ilvl="8">
      <w:start w:val="1"/>
      <w:numFmt w:val="lowerRoman"/>
      <w:lvlText w:val="%9."/>
      <w:lvlJc w:val="right"/>
      <w:pPr>
        <w:ind w:left="7200" w:hanging="360"/>
      </w:pPr>
      <w:rPr>
        <w:rFonts w:hint="default"/>
        <w:u w:val="none"/>
      </w:rPr>
    </w:lvl>
  </w:abstractNum>
  <w:abstractNum w:abstractNumId="17" w15:restartNumberingAfterBreak="0">
    <w:nsid w:val="71E77297"/>
    <w:multiLevelType w:val="hybridMultilevel"/>
    <w:tmpl w:val="BAF037A4"/>
    <w:lvl w:ilvl="0" w:tplc="04210017">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8" w15:restartNumberingAfterBreak="0">
    <w:nsid w:val="781B0931"/>
    <w:multiLevelType w:val="multilevel"/>
    <w:tmpl w:val="973C5C4C"/>
    <w:lvl w:ilvl="0">
      <w:start w:val="1"/>
      <w:numFmt w:val="decimal"/>
      <w:lvlText w:val="%1."/>
      <w:lvlJc w:val="left"/>
      <w:pPr>
        <w:ind w:left="786" w:hanging="360"/>
      </w:pPr>
      <w:rPr>
        <w:rFonts w:ascii="Times New Roman" w:eastAsia="Times New Roman" w:hAnsi="Times New Roman" w:cs="Times New Roman"/>
        <w:b/>
        <w:i w:val="0"/>
        <w:sz w:val="20"/>
        <w:szCs w:val="20"/>
      </w:rPr>
    </w:lvl>
    <w:lvl w:ilvl="1">
      <w:start w:val="5"/>
      <w:numFmt w:val="decimal"/>
      <w:lvlText w:val="%1.%2"/>
      <w:lvlJc w:val="left"/>
      <w:pPr>
        <w:ind w:left="810" w:hanging="360"/>
      </w:pPr>
    </w:lvl>
    <w:lvl w:ilvl="2">
      <w:start w:val="1"/>
      <w:numFmt w:val="decimal"/>
      <w:lvlText w:val="%1.%2.%3"/>
      <w:lvlJc w:val="left"/>
      <w:pPr>
        <w:ind w:left="1194" w:hanging="720"/>
      </w:pPr>
    </w:lvl>
    <w:lvl w:ilvl="3">
      <w:start w:val="1"/>
      <w:numFmt w:val="decimal"/>
      <w:lvlText w:val="%1.%2.%3.%4"/>
      <w:lvlJc w:val="left"/>
      <w:pPr>
        <w:ind w:left="1218" w:hanging="720"/>
      </w:pPr>
    </w:lvl>
    <w:lvl w:ilvl="4">
      <w:start w:val="1"/>
      <w:numFmt w:val="decimal"/>
      <w:lvlText w:val="%1.%2.%3.%4.%5"/>
      <w:lvlJc w:val="left"/>
      <w:pPr>
        <w:ind w:left="1242" w:hanging="720"/>
      </w:pPr>
    </w:lvl>
    <w:lvl w:ilvl="5">
      <w:start w:val="1"/>
      <w:numFmt w:val="decimal"/>
      <w:lvlText w:val="%1.%2.%3.%4.%5.%6"/>
      <w:lvlJc w:val="left"/>
      <w:pPr>
        <w:ind w:left="1626" w:hanging="1080"/>
      </w:pPr>
    </w:lvl>
    <w:lvl w:ilvl="6">
      <w:start w:val="1"/>
      <w:numFmt w:val="decimal"/>
      <w:lvlText w:val="%1.%2.%3.%4.%5.%6.%7"/>
      <w:lvlJc w:val="left"/>
      <w:pPr>
        <w:ind w:left="1650" w:hanging="1080"/>
      </w:pPr>
    </w:lvl>
    <w:lvl w:ilvl="7">
      <w:start w:val="1"/>
      <w:numFmt w:val="decimal"/>
      <w:lvlText w:val="%1.%2.%3.%4.%5.%6.%7.%8"/>
      <w:lvlJc w:val="left"/>
      <w:pPr>
        <w:ind w:left="2034" w:hanging="1440"/>
      </w:pPr>
    </w:lvl>
    <w:lvl w:ilvl="8">
      <w:start w:val="1"/>
      <w:numFmt w:val="decimal"/>
      <w:lvlText w:val="%1.%2.%3.%4.%5.%6.%7.%8.%9"/>
      <w:lvlJc w:val="left"/>
      <w:pPr>
        <w:ind w:left="2058" w:hanging="1440"/>
      </w:pPr>
    </w:lvl>
  </w:abstractNum>
  <w:abstractNum w:abstractNumId="19" w15:restartNumberingAfterBreak="0">
    <w:nsid w:val="7EE860E1"/>
    <w:multiLevelType w:val="hybridMultilevel"/>
    <w:tmpl w:val="2EB05A60"/>
    <w:lvl w:ilvl="0" w:tplc="A9EA11FA">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8"/>
  </w:num>
  <w:num w:numId="2">
    <w:abstractNumId w:val="5"/>
  </w:num>
  <w:num w:numId="3">
    <w:abstractNumId w:val="11"/>
  </w:num>
  <w:num w:numId="4">
    <w:abstractNumId w:val="4"/>
  </w:num>
  <w:num w:numId="5">
    <w:abstractNumId w:val="6"/>
  </w:num>
  <w:num w:numId="6">
    <w:abstractNumId w:val="13"/>
  </w:num>
  <w:num w:numId="7">
    <w:abstractNumId w:val="14"/>
  </w:num>
  <w:num w:numId="8">
    <w:abstractNumId w:val="12"/>
  </w:num>
  <w:num w:numId="9">
    <w:abstractNumId w:val="3"/>
  </w:num>
  <w:num w:numId="10">
    <w:abstractNumId w:val="16"/>
  </w:num>
  <w:num w:numId="11">
    <w:abstractNumId w:val="2"/>
  </w:num>
  <w:num w:numId="12">
    <w:abstractNumId w:val="8"/>
  </w:num>
  <w:num w:numId="13">
    <w:abstractNumId w:val="1"/>
  </w:num>
  <w:num w:numId="14">
    <w:abstractNumId w:val="15"/>
  </w:num>
  <w:num w:numId="15">
    <w:abstractNumId w:val="7"/>
  </w:num>
  <w:num w:numId="16">
    <w:abstractNumId w:val="0"/>
  </w:num>
  <w:num w:numId="17">
    <w:abstractNumId w:val="9"/>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656"/>
    <w:rsid w:val="0000105F"/>
    <w:rsid w:val="000D3CCF"/>
    <w:rsid w:val="0010756D"/>
    <w:rsid w:val="00153D90"/>
    <w:rsid w:val="001869B3"/>
    <w:rsid w:val="0019740C"/>
    <w:rsid w:val="003208F5"/>
    <w:rsid w:val="003724B5"/>
    <w:rsid w:val="00423284"/>
    <w:rsid w:val="00436586"/>
    <w:rsid w:val="004B55F1"/>
    <w:rsid w:val="004F5265"/>
    <w:rsid w:val="005B63AD"/>
    <w:rsid w:val="00800F7C"/>
    <w:rsid w:val="00813349"/>
    <w:rsid w:val="00852EF5"/>
    <w:rsid w:val="00902277"/>
    <w:rsid w:val="009F7740"/>
    <w:rsid w:val="00A0147C"/>
    <w:rsid w:val="00A07AD3"/>
    <w:rsid w:val="00A2348E"/>
    <w:rsid w:val="00A30B34"/>
    <w:rsid w:val="00A87C3D"/>
    <w:rsid w:val="00B23695"/>
    <w:rsid w:val="00BC17F7"/>
    <w:rsid w:val="00C408BB"/>
    <w:rsid w:val="00C6081D"/>
    <w:rsid w:val="00D53199"/>
    <w:rsid w:val="00D90D12"/>
    <w:rsid w:val="00DE6D53"/>
    <w:rsid w:val="00E44568"/>
    <w:rsid w:val="00E72648"/>
    <w:rsid w:val="00E7579C"/>
    <w:rsid w:val="00EF4656"/>
    <w:rsid w:val="00F3645D"/>
    <w:rsid w:val="00F44ABD"/>
    <w:rsid w:val="00F46E8F"/>
    <w:rsid w:val="00F704B2"/>
    <w:rsid w:val="00FB141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0E51C"/>
  <w15:docId w15:val="{5D0917ED-FAAD-499B-9BA8-599A784AA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480" w:lineRule="auto"/>
      <w:jc w:val="center"/>
      <w:outlineLvl w:val="0"/>
    </w:pPr>
    <w:rPr>
      <w:b/>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FootnoteText">
    <w:name w:val="footnote text"/>
    <w:basedOn w:val="Normal"/>
    <w:link w:val="FootnoteTextChar"/>
    <w:uiPriority w:val="99"/>
    <w:unhideWhenUsed/>
    <w:rsid w:val="00A07AD3"/>
    <w:rPr>
      <w:rFonts w:asciiTheme="minorHAnsi" w:eastAsiaTheme="minorHAnsi" w:hAnsiTheme="minorHAnsi" w:cstheme="minorBidi"/>
      <w:lang w:val="en-US" w:eastAsia="en-US"/>
    </w:rPr>
  </w:style>
  <w:style w:type="character" w:customStyle="1" w:styleId="FootnoteTextChar">
    <w:name w:val="Footnote Text Char"/>
    <w:basedOn w:val="DefaultParagraphFont"/>
    <w:link w:val="FootnoteText"/>
    <w:uiPriority w:val="99"/>
    <w:rsid w:val="00A07AD3"/>
    <w:rPr>
      <w:rFonts w:asciiTheme="minorHAnsi" w:eastAsiaTheme="minorHAnsi" w:hAnsiTheme="minorHAnsi" w:cstheme="minorBidi"/>
      <w:lang w:val="en-US" w:eastAsia="en-US"/>
    </w:rPr>
  </w:style>
  <w:style w:type="character" w:styleId="FootnoteReference">
    <w:name w:val="footnote reference"/>
    <w:basedOn w:val="DefaultParagraphFont"/>
    <w:uiPriority w:val="99"/>
    <w:semiHidden/>
    <w:unhideWhenUsed/>
    <w:rsid w:val="00A07AD3"/>
    <w:rPr>
      <w:vertAlign w:val="superscript"/>
    </w:rPr>
  </w:style>
  <w:style w:type="paragraph" w:styleId="HTMLPreformatted">
    <w:name w:val="HTML Preformatted"/>
    <w:basedOn w:val="Normal"/>
    <w:link w:val="HTMLPreformattedChar"/>
    <w:uiPriority w:val="99"/>
    <w:unhideWhenUsed/>
    <w:rsid w:val="00A3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A30B34"/>
    <w:rPr>
      <w:rFonts w:ascii="Courier New" w:hAnsi="Courier New" w:cs="Courier New"/>
    </w:rPr>
  </w:style>
  <w:style w:type="character" w:customStyle="1" w:styleId="y2iqfc">
    <w:name w:val="y2iqfc"/>
    <w:basedOn w:val="DefaultParagraphFont"/>
    <w:rsid w:val="00A30B34"/>
  </w:style>
  <w:style w:type="paragraph" w:styleId="ListParagraph">
    <w:name w:val="List Paragraph"/>
    <w:basedOn w:val="Normal"/>
    <w:uiPriority w:val="34"/>
    <w:qFormat/>
    <w:rsid w:val="00A30B34"/>
    <w:pPr>
      <w:spacing w:after="200" w:line="276" w:lineRule="auto"/>
      <w:ind w:left="720"/>
      <w:contextualSpacing/>
    </w:pPr>
    <w:rPr>
      <w:rFonts w:ascii="Calibri" w:eastAsia="Calibri" w:hAnsi="Calibri" w:cs="SimSun"/>
      <w:sz w:val="22"/>
      <w:szCs w:val="22"/>
      <w:lang w:eastAsia="en-US"/>
    </w:rPr>
  </w:style>
  <w:style w:type="paragraph" w:styleId="NormalWeb">
    <w:name w:val="Normal (Web)"/>
    <w:basedOn w:val="Normal"/>
    <w:uiPriority w:val="99"/>
    <w:unhideWhenUsed/>
    <w:rsid w:val="00C6081D"/>
    <w:pPr>
      <w:spacing w:before="100" w:beforeAutospacing="1" w:after="100" w:afterAutospacing="1"/>
    </w:pPr>
    <w:rPr>
      <w:sz w:val="24"/>
      <w:szCs w:val="24"/>
      <w:lang w:val="en-ID" w:eastAsia="en-ID"/>
    </w:rPr>
  </w:style>
  <w:style w:type="paragraph" w:styleId="BalloonText">
    <w:name w:val="Balloon Text"/>
    <w:basedOn w:val="Normal"/>
    <w:link w:val="BalloonTextChar"/>
    <w:uiPriority w:val="99"/>
    <w:semiHidden/>
    <w:unhideWhenUsed/>
    <w:rsid w:val="00A87C3D"/>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A87C3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4914036">
      <w:bodyDiv w:val="1"/>
      <w:marLeft w:val="0"/>
      <w:marRight w:val="0"/>
      <w:marTop w:val="0"/>
      <w:marBottom w:val="0"/>
      <w:divBdr>
        <w:top w:val="none" w:sz="0" w:space="0" w:color="auto"/>
        <w:left w:val="none" w:sz="0" w:space="0" w:color="auto"/>
        <w:bottom w:val="none" w:sz="0" w:space="0" w:color="auto"/>
        <w:right w:val="none" w:sz="0" w:space="0" w:color="auto"/>
      </w:divBdr>
    </w:div>
    <w:div w:id="386421922">
      <w:bodyDiv w:val="1"/>
      <w:marLeft w:val="0"/>
      <w:marRight w:val="0"/>
      <w:marTop w:val="0"/>
      <w:marBottom w:val="0"/>
      <w:divBdr>
        <w:top w:val="none" w:sz="0" w:space="0" w:color="auto"/>
        <w:left w:val="none" w:sz="0" w:space="0" w:color="auto"/>
        <w:bottom w:val="none" w:sz="0" w:space="0" w:color="auto"/>
        <w:right w:val="none" w:sz="0" w:space="0" w:color="auto"/>
      </w:divBdr>
    </w:div>
    <w:div w:id="532815337">
      <w:bodyDiv w:val="1"/>
      <w:marLeft w:val="0"/>
      <w:marRight w:val="0"/>
      <w:marTop w:val="0"/>
      <w:marBottom w:val="0"/>
      <w:divBdr>
        <w:top w:val="none" w:sz="0" w:space="0" w:color="auto"/>
        <w:left w:val="none" w:sz="0" w:space="0" w:color="auto"/>
        <w:bottom w:val="none" w:sz="0" w:space="0" w:color="auto"/>
        <w:right w:val="none" w:sz="0" w:space="0" w:color="auto"/>
      </w:divBdr>
    </w:div>
    <w:div w:id="618494943">
      <w:bodyDiv w:val="1"/>
      <w:marLeft w:val="0"/>
      <w:marRight w:val="0"/>
      <w:marTop w:val="0"/>
      <w:marBottom w:val="0"/>
      <w:divBdr>
        <w:top w:val="none" w:sz="0" w:space="0" w:color="auto"/>
        <w:left w:val="none" w:sz="0" w:space="0" w:color="auto"/>
        <w:bottom w:val="none" w:sz="0" w:space="0" w:color="auto"/>
        <w:right w:val="none" w:sz="0" w:space="0" w:color="auto"/>
      </w:divBdr>
    </w:div>
    <w:div w:id="1179345766">
      <w:bodyDiv w:val="1"/>
      <w:marLeft w:val="0"/>
      <w:marRight w:val="0"/>
      <w:marTop w:val="0"/>
      <w:marBottom w:val="0"/>
      <w:divBdr>
        <w:top w:val="none" w:sz="0" w:space="0" w:color="auto"/>
        <w:left w:val="none" w:sz="0" w:space="0" w:color="auto"/>
        <w:bottom w:val="none" w:sz="0" w:space="0" w:color="auto"/>
        <w:right w:val="none" w:sz="0" w:space="0" w:color="auto"/>
      </w:divBdr>
    </w:div>
    <w:div w:id="1859005012">
      <w:bodyDiv w:val="1"/>
      <w:marLeft w:val="0"/>
      <w:marRight w:val="0"/>
      <w:marTop w:val="0"/>
      <w:marBottom w:val="0"/>
      <w:divBdr>
        <w:top w:val="none" w:sz="0" w:space="0" w:color="auto"/>
        <w:left w:val="none" w:sz="0" w:space="0" w:color="auto"/>
        <w:bottom w:val="none" w:sz="0" w:space="0" w:color="auto"/>
        <w:right w:val="none" w:sz="0" w:space="0" w:color="auto"/>
      </w:divBdr>
    </w:div>
    <w:div w:id="1970742107">
      <w:bodyDiv w:val="1"/>
      <w:marLeft w:val="0"/>
      <w:marRight w:val="0"/>
      <w:marTop w:val="0"/>
      <w:marBottom w:val="0"/>
      <w:divBdr>
        <w:top w:val="none" w:sz="0" w:space="0" w:color="auto"/>
        <w:left w:val="none" w:sz="0" w:space="0" w:color="auto"/>
        <w:bottom w:val="none" w:sz="0" w:space="0" w:color="auto"/>
        <w:right w:val="none" w:sz="0" w:space="0" w:color="auto"/>
      </w:divBdr>
    </w:div>
    <w:div w:id="1979023163">
      <w:bodyDiv w:val="1"/>
      <w:marLeft w:val="0"/>
      <w:marRight w:val="0"/>
      <w:marTop w:val="0"/>
      <w:marBottom w:val="0"/>
      <w:divBdr>
        <w:top w:val="none" w:sz="0" w:space="0" w:color="auto"/>
        <w:left w:val="none" w:sz="0" w:space="0" w:color="auto"/>
        <w:bottom w:val="none" w:sz="0" w:space="0" w:color="auto"/>
        <w:right w:val="none" w:sz="0" w:space="0" w:color="auto"/>
      </w:divBdr>
      <w:divsChild>
        <w:div w:id="1471942520">
          <w:marLeft w:val="0"/>
          <w:marRight w:val="0"/>
          <w:marTop w:val="0"/>
          <w:marBottom w:val="0"/>
          <w:divBdr>
            <w:top w:val="none" w:sz="0" w:space="0" w:color="auto"/>
            <w:left w:val="none" w:sz="0" w:space="0" w:color="auto"/>
            <w:bottom w:val="none" w:sz="0" w:space="0" w:color="auto"/>
            <w:right w:val="none" w:sz="0" w:space="0" w:color="auto"/>
          </w:divBdr>
          <w:divsChild>
            <w:div w:id="2012635415">
              <w:marLeft w:val="0"/>
              <w:marRight w:val="0"/>
              <w:marTop w:val="0"/>
              <w:marBottom w:val="0"/>
              <w:divBdr>
                <w:top w:val="none" w:sz="0" w:space="0" w:color="auto"/>
                <w:left w:val="none" w:sz="0" w:space="0" w:color="auto"/>
                <w:bottom w:val="none" w:sz="0" w:space="0" w:color="auto"/>
                <w:right w:val="none" w:sz="0" w:space="0" w:color="auto"/>
              </w:divBdr>
              <w:divsChild>
                <w:div w:id="17443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50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reativecommons.org/licenses/by-sa/4.0/"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jurnal.uinsu.ac.id/index.php/analytica"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azhari@uinsu.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jurnal.uinsu.ac.id/index.php/analytica" TargetMode="External"/><Relationship Id="rId6" Type="http://schemas.openxmlformats.org/officeDocument/2006/relationships/image" Target="media/image4.jp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krIkmBcYzkD84CvxLhgxC8mv4Q==">CgMxLjA4AHIhMVlUM1JweFNJaURybUhCS3ZhTEs2TnB3MTdET1JiS0NI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6AB552-0187-49D1-AC78-530F7EEE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13</Pages>
  <Words>8265</Words>
  <Characters>47113</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nitro</dc:creator>
  <cp:lastModifiedBy>roismuttaqin11@gmail.com</cp:lastModifiedBy>
  <cp:revision>8</cp:revision>
  <dcterms:created xsi:type="dcterms:W3CDTF">2023-12-18T17:45:00Z</dcterms:created>
  <dcterms:modified xsi:type="dcterms:W3CDTF">2023-12-20T04:55:00Z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77a49971-ee4b-3374-a928-087d1d819792</vt:lpwstr>
  </property>
  <property fmtid="{D5CDD505-2E9C-101B-9397-08002B2CF9AE}" pid="4" name="Mendeley Citation Style_1">
    <vt:lpwstr>http://www.zotero.org/styles/apa-6th-edition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http://www.zotero.org/styles/apa-6th-edition</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