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74AE38E6" w14:textId="69208E04" w:rsidR="00E56E74" w:rsidRDefault="003559E6" w:rsidP="003559E6">
      <w:pPr>
        <w:pStyle w:val="BodyText"/>
        <w:jc w:val="center"/>
        <w:rPr>
          <w:b/>
          <w:bCs/>
          <w:sz w:val="28"/>
          <w:szCs w:val="28"/>
          <w:lang w:val="en-US"/>
        </w:rPr>
      </w:pPr>
      <w:bookmarkStart w:id="0" w:name="_Hlk183857604"/>
      <w:r w:rsidRPr="003559E6">
        <w:rPr>
          <w:b/>
          <w:bCs/>
          <w:sz w:val="28"/>
          <w:szCs w:val="28"/>
          <w:lang w:val="en-US"/>
        </w:rPr>
        <w:t xml:space="preserve">Analysis of Student Assistance in Making </w:t>
      </w:r>
      <w:proofErr w:type="spellStart"/>
      <w:r w:rsidRPr="003559E6">
        <w:rPr>
          <w:b/>
          <w:bCs/>
          <w:sz w:val="28"/>
          <w:szCs w:val="28"/>
          <w:lang w:val="en-US"/>
        </w:rPr>
        <w:t>Eflyer</w:t>
      </w:r>
      <w:proofErr w:type="spellEnd"/>
      <w:r w:rsidRPr="003559E6">
        <w:rPr>
          <w:b/>
          <w:bCs/>
          <w:sz w:val="28"/>
          <w:szCs w:val="28"/>
          <w:lang w:val="en-US"/>
        </w:rPr>
        <w:t xml:space="preserve"> and Webinar Activity Certificates Using Canva Application at CV Teman </w:t>
      </w:r>
      <w:proofErr w:type="spellStart"/>
      <w:r w:rsidRPr="003559E6">
        <w:rPr>
          <w:b/>
          <w:bCs/>
          <w:sz w:val="28"/>
          <w:szCs w:val="28"/>
          <w:lang w:val="en-US"/>
        </w:rPr>
        <w:t>Kolaborasi</w:t>
      </w:r>
      <w:proofErr w:type="spellEnd"/>
      <w:r w:rsidRPr="003559E6">
        <w:rPr>
          <w:b/>
          <w:bCs/>
          <w:sz w:val="28"/>
          <w:szCs w:val="28"/>
          <w:lang w:val="en-US"/>
        </w:rPr>
        <w:t xml:space="preserve"> Anda Depok City</w:t>
      </w:r>
      <w:bookmarkEnd w:id="0"/>
    </w:p>
    <w:p w14:paraId="75525E51" w14:textId="77777777" w:rsidR="003559E6" w:rsidRPr="003559E6" w:rsidRDefault="003559E6" w:rsidP="003559E6">
      <w:pPr>
        <w:pStyle w:val="BodyText"/>
        <w:jc w:val="center"/>
        <w:rPr>
          <w:b/>
          <w:bCs/>
          <w:sz w:val="28"/>
          <w:szCs w:val="28"/>
          <w:lang w:val="en-US"/>
        </w:rPr>
      </w:pPr>
    </w:p>
    <w:p w14:paraId="728FF525" w14:textId="281570FF" w:rsidR="00441E0A" w:rsidRPr="008B2DAC" w:rsidRDefault="003559E6" w:rsidP="00441E0A">
      <w:pPr>
        <w:ind w:left="0" w:firstLine="0"/>
        <w:jc w:val="center"/>
        <w:rPr>
          <w:rFonts w:eastAsia="Times New Roman" w:cs="Times New Roman"/>
          <w:b/>
          <w:vertAlign w:val="superscript"/>
          <w:lang w:val="en-US"/>
        </w:rPr>
      </w:pPr>
      <w:r>
        <w:rPr>
          <w:rFonts w:eastAsia="Times New Roman" w:cs="Times New Roman"/>
          <w:b/>
        </w:rPr>
        <w:t>Nika Sintesa</w:t>
      </w:r>
      <w:r w:rsidR="00441E0A">
        <w:rPr>
          <w:rFonts w:eastAsia="Times New Roman" w:cs="Times New Roman"/>
          <w:b/>
          <w:vertAlign w:val="superscript"/>
        </w:rPr>
        <w:t>1</w:t>
      </w:r>
      <w:r w:rsidR="00441E0A" w:rsidRPr="00CE6C1B">
        <w:rPr>
          <w:rFonts w:eastAsia="Times New Roman" w:cs="Times New Roman"/>
          <w:b/>
        </w:rPr>
        <w:t xml:space="preserve">, </w:t>
      </w:r>
      <w:r w:rsidR="003B64B1">
        <w:rPr>
          <w:rFonts w:eastAsia="Times New Roman" w:cs="Times New Roman"/>
          <w:b/>
        </w:rPr>
        <w:t>Harmaen</w:t>
      </w:r>
      <w:r w:rsidR="00441E0A">
        <w:rPr>
          <w:rFonts w:eastAsia="Times New Roman" w:cs="Times New Roman"/>
          <w:b/>
          <w:vertAlign w:val="superscript"/>
        </w:rPr>
        <w:t>2</w:t>
      </w:r>
      <w:r w:rsidR="00441E0A">
        <w:rPr>
          <w:rFonts w:eastAsia="Times New Roman" w:cs="Times New Roman"/>
          <w:b/>
        </w:rPr>
        <w:t>,</w:t>
      </w:r>
      <w:r>
        <w:rPr>
          <w:rFonts w:eastAsia="Times New Roman" w:cs="Times New Roman"/>
          <w:b/>
        </w:rPr>
        <w:t xml:space="preserve"> </w:t>
      </w:r>
      <w:r w:rsidR="003B64B1">
        <w:rPr>
          <w:rFonts w:eastAsia="Times New Roman" w:cs="Times New Roman"/>
          <w:b/>
        </w:rPr>
        <w:t>Yunita Indriany</w:t>
      </w:r>
      <w:r>
        <w:rPr>
          <w:rFonts w:eastAsia="Times New Roman" w:cs="Times New Roman"/>
          <w:b/>
          <w:vertAlign w:val="superscript"/>
        </w:rPr>
        <w:t>3</w:t>
      </w:r>
      <w:r w:rsidR="005E3C7C">
        <w:rPr>
          <w:rFonts w:eastAsia="Times New Roman" w:cs="Times New Roman"/>
          <w:b/>
        </w:rPr>
        <w:t xml:space="preserve">, </w:t>
      </w:r>
      <w:r w:rsidR="008B2DAC">
        <w:rPr>
          <w:rFonts w:eastAsia="Times New Roman" w:cs="Times New Roman"/>
          <w:b/>
        </w:rPr>
        <w:t>Iyan Irdiyansah</w:t>
      </w:r>
      <w:r w:rsidR="008B2DAC">
        <w:rPr>
          <w:rFonts w:eastAsia="Times New Roman" w:cs="Times New Roman"/>
          <w:b/>
          <w:vertAlign w:val="superscript"/>
        </w:rPr>
        <w:t>4</w:t>
      </w:r>
    </w:p>
    <w:p w14:paraId="17BC7724" w14:textId="6BF5CC7C" w:rsidR="00441E0A" w:rsidRDefault="003559E6" w:rsidP="00441E0A">
      <w:pPr>
        <w:ind w:left="0" w:firstLine="0"/>
        <w:jc w:val="center"/>
        <w:rPr>
          <w:rFonts w:eastAsia="Times New Roman" w:cs="Times New Roman"/>
          <w:sz w:val="20"/>
          <w:vertAlign w:val="superscript"/>
        </w:rPr>
      </w:pPr>
      <w:r>
        <w:rPr>
          <w:rFonts w:eastAsia="Times New Roman" w:cs="Times New Roman"/>
          <w:sz w:val="20"/>
        </w:rPr>
        <w:t>Bus</w:t>
      </w:r>
      <w:r w:rsidR="008B2DAC">
        <w:rPr>
          <w:rFonts w:eastAsia="Times New Roman" w:cs="Times New Roman"/>
          <w:sz w:val="20"/>
        </w:rPr>
        <w:t>ines</w:t>
      </w:r>
      <w:r>
        <w:rPr>
          <w:rFonts w:eastAsia="Times New Roman" w:cs="Times New Roman"/>
          <w:sz w:val="20"/>
        </w:rPr>
        <w:t>s Administration Departement Politeknik LP31Jakarta, Indonesi</w:t>
      </w:r>
      <w:r w:rsidR="00F931E4">
        <w:rPr>
          <w:rFonts w:eastAsia="Times New Roman" w:cs="Times New Roman"/>
          <w:sz w:val="20"/>
        </w:rPr>
        <w:t>a</w:t>
      </w:r>
      <w:r w:rsidR="002E2762">
        <w:rPr>
          <w:rFonts w:eastAsia="Times New Roman" w:cs="Times New Roman"/>
          <w:sz w:val="20"/>
          <w:vertAlign w:val="superscript"/>
        </w:rPr>
        <w:t>1</w:t>
      </w:r>
      <w:r w:rsidR="003B64B1">
        <w:rPr>
          <w:rFonts w:eastAsia="Times New Roman" w:cs="Times New Roman"/>
          <w:sz w:val="20"/>
          <w:vertAlign w:val="superscript"/>
        </w:rPr>
        <w:t>3</w:t>
      </w:r>
    </w:p>
    <w:p w14:paraId="7C213321" w14:textId="11898124" w:rsidR="008B2DAC" w:rsidRPr="008B2DAC" w:rsidRDefault="00F931E4" w:rsidP="008B2DAC">
      <w:pPr>
        <w:ind w:left="0" w:firstLine="0"/>
        <w:jc w:val="center"/>
        <w:rPr>
          <w:rFonts w:eastAsia="Times New Roman" w:cs="Times New Roman"/>
          <w:sz w:val="20"/>
          <w:vertAlign w:val="superscript"/>
        </w:rPr>
      </w:pPr>
      <w:r>
        <w:rPr>
          <w:rFonts w:eastAsia="Times New Roman" w:cs="Times New Roman"/>
          <w:sz w:val="20"/>
        </w:rPr>
        <w:t>Departemen Of Educational Administration</w:t>
      </w:r>
      <w:r w:rsidR="008B2DAC">
        <w:rPr>
          <w:rFonts w:eastAsia="Times New Roman" w:cs="Times New Roman"/>
          <w:sz w:val="20"/>
        </w:rPr>
        <w:t xml:space="preserve"> Universitas Mataram</w:t>
      </w:r>
      <w:r w:rsidR="003B64B1">
        <w:rPr>
          <w:rFonts w:eastAsia="Times New Roman" w:cs="Times New Roman"/>
          <w:sz w:val="20"/>
          <w:vertAlign w:val="superscript"/>
        </w:rPr>
        <w:t>2</w:t>
      </w:r>
    </w:p>
    <w:p w14:paraId="1BE71068" w14:textId="15743015" w:rsidR="008B2DAC" w:rsidRPr="00F931E4" w:rsidRDefault="008B2DAC" w:rsidP="008B2DAC">
      <w:pPr>
        <w:ind w:left="0" w:firstLine="0"/>
        <w:jc w:val="center"/>
        <w:rPr>
          <w:rFonts w:eastAsia="Times New Roman" w:cs="Times New Roman"/>
          <w:sz w:val="20"/>
          <w:vertAlign w:val="superscript"/>
        </w:rPr>
      </w:pPr>
      <w:r>
        <w:rPr>
          <w:rFonts w:eastAsia="Times New Roman" w:cs="Times New Roman"/>
          <w:sz w:val="20"/>
        </w:rPr>
        <w:t>Business Admnistration Department Universitas Pakuan</w:t>
      </w:r>
      <w:r>
        <w:rPr>
          <w:rFonts w:eastAsia="Times New Roman" w:cs="Times New Roman"/>
          <w:sz w:val="20"/>
          <w:vertAlign w:val="superscript"/>
        </w:rPr>
        <w:t>4</w:t>
      </w:r>
    </w:p>
    <w:p w14:paraId="70C81202" w14:textId="4506D2A8" w:rsidR="003559E6" w:rsidRPr="002E2762" w:rsidRDefault="003559E6" w:rsidP="00441E0A">
      <w:pPr>
        <w:ind w:left="0" w:firstLine="0"/>
        <w:jc w:val="center"/>
        <w:rPr>
          <w:rFonts w:eastAsia="Times New Roman" w:cs="Times New Roman"/>
          <w:sz w:val="20"/>
          <w:vertAlign w:val="superscript"/>
        </w:rPr>
      </w:pPr>
    </w:p>
    <w:p w14:paraId="35598FD1" w14:textId="78A9C7AC" w:rsidR="003F7CBE" w:rsidRPr="00BB0AEB" w:rsidRDefault="00BB0AEB" w:rsidP="00BB0AEB">
      <w:pPr>
        <w:ind w:left="0" w:firstLine="0"/>
        <w:jc w:val="center"/>
        <w:rPr>
          <w:vertAlign w:val="superscript"/>
          <w:lang w:val="en-US"/>
        </w:rPr>
      </w:pPr>
      <w:hyperlink r:id="rId7" w:history="1">
        <w:r w:rsidRPr="0038350B">
          <w:rPr>
            <w:rStyle w:val="Hyperlink"/>
            <w:rFonts w:eastAsia="Times New Roman" w:cs="Times New Roman"/>
            <w:sz w:val="20"/>
          </w:rPr>
          <w:t>nikasintesa@gmail.com</w:t>
        </w:r>
      </w:hyperlink>
      <w:r>
        <w:rPr>
          <w:rFonts w:eastAsia="Times New Roman" w:cs="Times New Roman"/>
          <w:sz w:val="20"/>
        </w:rPr>
        <w:t xml:space="preserve"> </w:t>
      </w:r>
      <w:r>
        <w:rPr>
          <w:rFonts w:eastAsia="Times New Roman" w:cs="Times New Roman"/>
          <w:sz w:val="20"/>
          <w:vertAlign w:val="superscript"/>
        </w:rPr>
        <w:t>1</w:t>
      </w:r>
      <w:r w:rsidR="00E664B2">
        <w:rPr>
          <w:rFonts w:eastAsia="Times New Roman" w:cs="Times New Roman"/>
          <w:sz w:val="20"/>
        </w:rPr>
        <w:t xml:space="preserve">, </w:t>
      </w:r>
      <w:hyperlink r:id="rId8" w:history="1">
        <w:r w:rsidR="003B64B1" w:rsidRPr="003E7CAD">
          <w:rPr>
            <w:rStyle w:val="Hyperlink"/>
            <w:rFonts w:eastAsia="Times New Roman" w:cs="Times New Roman"/>
            <w:sz w:val="20"/>
          </w:rPr>
          <w:t>gmmaen343@gmail.com</w:t>
        </w:r>
      </w:hyperlink>
      <w:r w:rsidR="003B64B1">
        <w:rPr>
          <w:rFonts w:eastAsia="Times New Roman" w:cs="Times New Roman"/>
          <w:sz w:val="20"/>
          <w:vertAlign w:val="superscript"/>
        </w:rPr>
        <w:t>2</w:t>
      </w:r>
      <w:r w:rsidR="003B64B1">
        <w:rPr>
          <w:rFonts w:eastAsia="Times New Roman" w:cs="Times New Roman"/>
          <w:sz w:val="20"/>
        </w:rPr>
        <w:t xml:space="preserve">, </w:t>
      </w:r>
      <w:hyperlink r:id="rId9" w:history="1">
        <w:r w:rsidR="00E664B2" w:rsidRPr="00E361C0">
          <w:rPr>
            <w:rStyle w:val="Hyperlink"/>
            <w:rFonts w:eastAsia="Times New Roman" w:cs="Times New Roman"/>
            <w:sz w:val="20"/>
          </w:rPr>
          <w:t>yunitaindriany@gmail.com</w:t>
        </w:r>
      </w:hyperlink>
      <w:r>
        <w:rPr>
          <w:vertAlign w:val="superscript"/>
        </w:rPr>
        <w:t>3</w:t>
      </w:r>
      <w:r>
        <w:rPr>
          <w:rFonts w:eastAsia="Times New Roman" w:cs="Times New Roman"/>
          <w:sz w:val="20"/>
        </w:rPr>
        <w:t xml:space="preserve">, </w:t>
      </w:r>
      <w:hyperlink r:id="rId10" w:history="1">
        <w:r w:rsidRPr="0038350B">
          <w:rPr>
            <w:rStyle w:val="Hyperlink"/>
            <w:rFonts w:eastAsia="Times New Roman" w:cs="Times New Roman"/>
            <w:sz w:val="20"/>
          </w:rPr>
          <w:t>iyan.irdiyansyah@unpak.ac.id</w:t>
        </w:r>
      </w:hyperlink>
      <w:r>
        <w:rPr>
          <w:rFonts w:eastAsia="Times New Roman" w:cs="Times New Roman"/>
          <w:sz w:val="20"/>
          <w:vertAlign w:val="superscript"/>
        </w:rPr>
        <w:t>4</w:t>
      </w:r>
    </w:p>
    <w:p w14:paraId="32F5D4A1" w14:textId="77777777" w:rsidR="00E664B2" w:rsidRPr="00E664B2" w:rsidRDefault="00E664B2" w:rsidP="00E664B2">
      <w:pPr>
        <w:ind w:left="0" w:firstLine="0"/>
        <w:jc w:val="center"/>
        <w:rPr>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4FDB3F72" w14:textId="77777777" w:rsidR="003F7CBE" w:rsidRDefault="004D47EB" w:rsidP="004D47EB">
            <w:pPr>
              <w:ind w:left="-108" w:firstLine="0"/>
              <w:jc w:val="left"/>
              <w:rPr>
                <w:sz w:val="18"/>
                <w:lang w:val="en-US"/>
              </w:rPr>
            </w:pPr>
            <w:r>
              <w:rPr>
                <w:sz w:val="18"/>
                <w:lang w:val="en-US"/>
              </w:rPr>
              <w:t>Received:</w:t>
            </w:r>
          </w:p>
          <w:p w14:paraId="2CE9FB3C" w14:textId="77777777" w:rsidR="004D47EB" w:rsidRDefault="004D47EB" w:rsidP="004D47EB">
            <w:pPr>
              <w:ind w:left="-108" w:firstLine="0"/>
              <w:jc w:val="left"/>
              <w:rPr>
                <w:sz w:val="18"/>
                <w:lang w:val="en-US"/>
              </w:rPr>
            </w:pPr>
            <w:r>
              <w:rPr>
                <w:sz w:val="18"/>
                <w:lang w:val="en-US"/>
              </w:rPr>
              <w:t>Revised:</w:t>
            </w:r>
          </w:p>
          <w:p w14:paraId="0E157E1D" w14:textId="6FE3D6A8" w:rsidR="004D47EB" w:rsidRPr="004D47EB" w:rsidRDefault="004D47EB" w:rsidP="004D47EB">
            <w:pPr>
              <w:ind w:left="-108" w:firstLine="0"/>
              <w:jc w:val="left"/>
              <w:rPr>
                <w:sz w:val="18"/>
                <w:lang w:val="en-US"/>
              </w:rPr>
            </w:pPr>
            <w:r>
              <w:rPr>
                <w:sz w:val="18"/>
                <w:lang w:val="en-US"/>
              </w:rPr>
              <w:t>Accepted:</w:t>
            </w:r>
          </w:p>
        </w:tc>
        <w:tc>
          <w:tcPr>
            <w:tcW w:w="1559" w:type="dxa"/>
          </w:tcPr>
          <w:p w14:paraId="6993E018" w14:textId="77777777" w:rsidR="003F7CBE" w:rsidRPr="005E3C7C" w:rsidRDefault="003F7CBE" w:rsidP="003F7CBE">
            <w:pPr>
              <w:ind w:left="-108" w:firstLine="0"/>
              <w:jc w:val="left"/>
              <w:rPr>
                <w:rFonts w:cs="Times New Roman"/>
                <w:sz w:val="18"/>
              </w:rPr>
            </w:pPr>
          </w:p>
          <w:p w14:paraId="6908F672" w14:textId="77777777" w:rsidR="003F7CBE" w:rsidRPr="005E3C7C" w:rsidRDefault="003F7CBE" w:rsidP="003F7CBE">
            <w:pPr>
              <w:ind w:left="-108" w:firstLine="0"/>
              <w:jc w:val="left"/>
              <w:rPr>
                <w:rFonts w:cs="Times New Roman"/>
                <w:sz w:val="18"/>
              </w:rPr>
            </w:pPr>
          </w:p>
          <w:p w14:paraId="17E36BAD" w14:textId="77777777" w:rsidR="00E56E74" w:rsidRPr="005E3C7C" w:rsidRDefault="00E56E74" w:rsidP="003F7CBE">
            <w:pPr>
              <w:ind w:left="-108" w:firstLine="0"/>
              <w:jc w:val="left"/>
              <w:rPr>
                <w:rFonts w:cs="Times New Roman"/>
                <w:sz w:val="18"/>
              </w:rPr>
            </w:pPr>
          </w:p>
        </w:tc>
        <w:tc>
          <w:tcPr>
            <w:tcW w:w="5528" w:type="dxa"/>
          </w:tcPr>
          <w:p w14:paraId="0AA693C8" w14:textId="008AFD54" w:rsidR="003F7CBE" w:rsidRPr="005E3C7C" w:rsidRDefault="00F931E4" w:rsidP="003E2F11">
            <w:pPr>
              <w:ind w:left="-108" w:firstLine="0"/>
              <w:rPr>
                <w:rFonts w:cs="Times New Roman"/>
                <w:sz w:val="18"/>
              </w:rPr>
            </w:pPr>
            <w:r w:rsidRPr="005E3C7C">
              <w:rPr>
                <w:rFonts w:cs="Times New Roman"/>
                <w:sz w:val="18"/>
                <w:szCs w:val="18"/>
              </w:rPr>
              <w:t>Webinars have been a popular activity since the beginning of the COVID-19 pandemic until now, especially for students and the general public who want to increase their knowledge and obtain a certificate as part of their portfolio. Webinar promotion is carried out through e-flyers with various themes, supported by a team of interns under the CV Teman Kolaborasi Anda. This research aims to analyse the assistance in preparing e-flyers and webinar certificates. The method used is descriptive qualitative with an explanatory approach, using secondary data in the form of e-flyers from social media such as Instagram, Facebook, WhatsApp, and email. The results showed that some e-flyers did not meet the standards due to differences in design styles, while the certificates were in accordance with the specified standards using standardised templates. Assistance was provided to ensure the existence of specific design standards by utilising the Canva application, which provides a variety of free templates. This activity was conducted online and guided by the Founder of CV Teman Kolaborasi Anda. This training provided participants, namely student interns, with practical skills in e-flyer and certificate design, thus improving their readiness to enter the workforce with a combination of soft skills and hard skills that meet industry needs.</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6E7ACD3" w:rsidR="003F7CBE" w:rsidRPr="004A6306" w:rsidRDefault="00F931E4" w:rsidP="003F7CBE">
            <w:pPr>
              <w:ind w:left="-108" w:firstLine="0"/>
              <w:rPr>
                <w:sz w:val="18"/>
              </w:rPr>
            </w:pPr>
            <w:r>
              <w:rPr>
                <w:sz w:val="18"/>
              </w:rPr>
              <w:t>Canva, Certificate, Eflyer.</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5549969A" w:rsidR="003F7CBE" w:rsidRPr="00AD10F9" w:rsidRDefault="00F931E4" w:rsidP="00F931E4">
            <w:pPr>
              <w:ind w:left="0" w:firstLine="0"/>
              <w:rPr>
                <w:b/>
                <w:sz w:val="18"/>
              </w:rPr>
            </w:pPr>
            <w:r>
              <w:rPr>
                <w:b/>
                <w:sz w:val="18"/>
              </w:rPr>
              <w:t>Nika Sintesa</w:t>
            </w:r>
            <w:r w:rsidR="00AD10F9" w:rsidRPr="00AD10F9">
              <w:rPr>
                <w:b/>
                <w:sz w:val="18"/>
              </w:rPr>
              <w:t xml:space="preserve">, </w:t>
            </w:r>
            <w:hyperlink r:id="rId11" w:history="1">
              <w:r w:rsidRPr="00E361C0">
                <w:rPr>
                  <w:rStyle w:val="Hyperlink"/>
                  <w:b/>
                  <w:sz w:val="18"/>
                </w:rPr>
                <w:t>nikasintesa@gmail.com</w:t>
              </w:r>
            </w:hyperlink>
            <w:r>
              <w:rPr>
                <w:b/>
                <w:sz w:val="18"/>
              </w:rPr>
              <w:t>, +6281-2562-2277</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056671B9" w14:textId="66740511" w:rsidR="00AD10F9" w:rsidRDefault="00AD10F9" w:rsidP="00060C6B">
      <w:pPr>
        <w:ind w:left="0" w:firstLine="0"/>
        <w:rPr>
          <w:i/>
        </w:rPr>
      </w:pPr>
    </w:p>
    <w:p w14:paraId="080E96B7" w14:textId="02AEC273" w:rsidR="003E2F11" w:rsidRDefault="003E2F11" w:rsidP="00060C6B">
      <w:pPr>
        <w:ind w:left="0" w:firstLine="0"/>
        <w:rPr>
          <w:b/>
          <w:lang w:val="en-US"/>
        </w:rPr>
      </w:pPr>
      <w:r w:rsidRPr="003E2F11">
        <w:rPr>
          <w:b/>
          <w:lang w:val="en-US"/>
        </w:rPr>
        <w:t>INTRODUC</w:t>
      </w:r>
      <w:r>
        <w:rPr>
          <w:b/>
          <w:lang w:val="en-US"/>
        </w:rPr>
        <w:t>TION</w:t>
      </w:r>
    </w:p>
    <w:p w14:paraId="5CB856BC" w14:textId="0CCC1BDB" w:rsidR="00AD10F9" w:rsidRDefault="00AD10F9" w:rsidP="00AD10F9">
      <w:pPr>
        <w:ind w:left="0" w:firstLine="0"/>
        <w:rPr>
          <w:i/>
        </w:rPr>
      </w:pPr>
    </w:p>
    <w:p w14:paraId="1B929909" w14:textId="5DD1C190" w:rsidR="003E2F11" w:rsidRPr="005E3C7C" w:rsidRDefault="00F931E4" w:rsidP="003E2F11">
      <w:pPr>
        <w:ind w:left="0" w:firstLine="709"/>
        <w:rPr>
          <w:rFonts w:cs="Times New Roman"/>
        </w:rPr>
      </w:pPr>
      <w:r w:rsidRPr="005E3C7C">
        <w:rPr>
          <w:rFonts w:cs="Times New Roman"/>
        </w:rPr>
        <w:t>On 16 March 2020, the Ministry of Administrative Reform and Bureaucratic Reform (Kemenpan RB) issued Circular Letter Number 19 of 2020 concerning Changes in the Work System of the State Civil Apparatus in the Context of Preventing and Controlling the Spread of Covid-19 within Government Agencies</w:t>
      </w:r>
      <w:r w:rsidR="00E664B2" w:rsidRPr="005E3C7C">
        <w:rPr>
          <w:rFonts w:cs="Times New Roman"/>
        </w:rPr>
        <w:t xml:space="preserve"> </w:t>
      </w:r>
      <w:r w:rsidR="00E664B2" w:rsidRPr="005E3C7C">
        <w:rPr>
          <w:rFonts w:cs="Times New Roman"/>
        </w:rPr>
        <w:fldChar w:fldCharType="begin" w:fldLock="1"/>
      </w:r>
      <w:r w:rsidR="00E664B2" w:rsidRPr="005E3C7C">
        <w:rPr>
          <w:rFonts w:cs="Times New Roman"/>
        </w:rPr>
        <w:instrText>ADDIN CSL_CITATION {"citationItems":[{"id":"ITEM-1","itemData":{"URL":"https://menpan.go.id/site/berita-terkini/pencegahan-penyebaran-virus-covid-19-dengan-kerja-di-rumah-bagi-asn","author":[{"dropping-particle":"","family":"KemenPANRB","given":"","non-dropping-particle":"","parse-names":false,"suffix":""}],"id":"ITEM-1","issued":{"date-parts":[["2020"]]},"page":"1","title":"Pencegahan Penyebaran Virus Covid-19 dengan Kerja di Rumah bagi ASN","type":"webpage"},"uris":["http://www.mendeley.com/documents/?uuid=1ba930b2-0324-4335-b6b0-41d0945d3e40"]}],"mendeley":{"formattedCitation":"(KemenPANRB, 2020)","plainTextFormattedCitation":"(KemenPANRB, 2020)","previouslyFormattedCitation":"(KemenPANRB, 2020)"},"properties":{"noteIndex":0},"schema":"https://github.com/citation-style-language/schema/raw/master/csl-citation.json"}</w:instrText>
      </w:r>
      <w:r w:rsidR="00E664B2" w:rsidRPr="005E3C7C">
        <w:rPr>
          <w:rFonts w:cs="Times New Roman"/>
        </w:rPr>
        <w:fldChar w:fldCharType="separate"/>
      </w:r>
      <w:r w:rsidR="00E664B2" w:rsidRPr="005E3C7C">
        <w:rPr>
          <w:rFonts w:cs="Times New Roman"/>
          <w:noProof/>
        </w:rPr>
        <w:t>(KemenPANRB, 2020)</w:t>
      </w:r>
      <w:r w:rsidR="00E664B2" w:rsidRPr="005E3C7C">
        <w:rPr>
          <w:rFonts w:cs="Times New Roman"/>
        </w:rPr>
        <w:fldChar w:fldCharType="end"/>
      </w:r>
      <w:r w:rsidR="00E664B2" w:rsidRPr="005E3C7C">
        <w:rPr>
          <w:rFonts w:cs="Times New Roman"/>
        </w:rPr>
        <w:t>.  This policy aims to suppress the spread of the highly dangerous COVID-19 virus among the State Civil Apparatus (ASN) in Indonesia. Changes to the ASN work system must be made as an effort to suppress the spread of COVID-19. These changes are intended to ensure that the tasks and activities of government agencies can be carried out efficiently so that each agency can meet its performance targets. One of the main objectives of this Circular Letter is to ensure that public services in government agencies can continue to run efficiently despite various obstacles due to the pandemic.</w:t>
      </w:r>
    </w:p>
    <w:p w14:paraId="6AD15334" w14:textId="7122DFC5" w:rsidR="00E664B2" w:rsidRPr="005E3C7C" w:rsidRDefault="00E664B2" w:rsidP="00E664B2">
      <w:pPr>
        <w:ind w:left="0" w:firstLine="709"/>
        <w:rPr>
          <w:rFonts w:cs="Times New Roman"/>
        </w:rPr>
      </w:pPr>
      <w:r w:rsidRPr="005E3C7C">
        <w:rPr>
          <w:rFonts w:cs="Times New Roman"/>
        </w:rPr>
        <w:lastRenderedPageBreak/>
        <w:t xml:space="preserve">A circular letter from the Ministry of Administrative Reform and Bureaucratic Reform (Kemenpan RB) recommends that face-to-face activities involving many students be cancelled or postponed. Similarly, in the education sector, the Minister of Education and Culture mandates that online or distance learning be used to carry out the teaching and learning process at home. This instruction aims to provide valuable learning experiences for students. Based on Circular Letter No. 4/2020 on the Implementation of Education Policies during the Emergency Period of COVID-19 Spread, learning at home can be focused on acquiring life skills, such as understanding the COVID-19 pandemic. The implementation of online learning requires effective coordination between various stakeholders. The COVID-19 outbreak has also negatively impacted a number of public services. Many scholars see Covid-19 as a disaster, ravaging many aspects of life, health, politics, social, culture and most noticeably drastically collapsing the economic sector in many countries including Indonesia </w:t>
      </w:r>
      <w:r w:rsidRPr="005E3C7C">
        <w:rPr>
          <w:rFonts w:cs="Times New Roman"/>
        </w:rPr>
        <w:fldChar w:fldCharType="begin" w:fldLock="1"/>
      </w:r>
      <w:r w:rsidRPr="005E3C7C">
        <w:rPr>
          <w:rFonts w:cs="Times New Roman"/>
        </w:rPr>
        <w:instrText>ADDIN CSL_CITATION {"citationItems":[{"id":"ITEM-1","itemData":{"DOI":"10.24252/vp.v5i1.29008","ISSN":"2087-3360","abstract":"Covid-19 telah mengubah banyak hal di Indonesia, termasuk pada layanan publik. Sejumlah studi yang ada cenderung menyimpulkan jika Covid-19 akan berdampak buruk bagi perkembangan layanan publik di Indonesia. Artikel ini akan melihat sisi lain dari perkembangan Covid-19 di Indonesia. Dengan menggunakan metode penelitian studi literatur, penulis mencoba menjawab pertanyaan tentang bagaimana implikasi perkembangan Covid-19 di Indonesia terhadap proyeksi layanan publik di fase pasca Covid-19. Untuk menjawab pertanyaan itu, artikel ini menggunakan konsep rosecrance tentang the rise of the virtual state sebagai alat analisis untuk memandu penulis melihat fenomena layanan publik di tengah pademi wabah Covid-19. Artikel ini menyimpulkan Covid-19 secara perlahan telah mengubah lanskap layanan publik kea rah virtual. Meskipun tidak seluruhnya, tetapi kehadiran Covid-19 punya andil yang sangat besar dalam rekonstruksi skema pada layanan publik.","author":[{"dropping-particle":"","family":"Herman","given":"Sitti Rabiatul Wahdaniyah","non-dropping-particle":"","parse-names":false,"suffix":""}],"container-title":"Vox Populi","id":"ITEM-1","issue":"1","issued":{"date-parts":[["2022"]]},"page":"1-14","title":"Covid-19 dan Adpatasi Layanan Publik di Indonesia: Sebuah Studi Awal Tentang Layanan Publik Berbasis Virtual","type":"article-journal","volume":"5"},"uris":["http://www.mendeley.com/documents/?uuid=dfe7f552-95f6-4a46-81f7-e3430beab7b2"]}],"mendeley":{"formattedCitation":"(Herman, 2022)","plainTextFormattedCitation":"(Herman, 2022)","previouslyFormattedCitation":"(Herman, 2022)"},"properties":{"noteIndex":0},"schema":"https://github.com/citation-style-language/schema/raw/master/csl-citation.json"}</w:instrText>
      </w:r>
      <w:r w:rsidRPr="005E3C7C">
        <w:rPr>
          <w:rFonts w:cs="Times New Roman"/>
        </w:rPr>
        <w:fldChar w:fldCharType="separate"/>
      </w:r>
      <w:r w:rsidRPr="005E3C7C">
        <w:rPr>
          <w:rFonts w:cs="Times New Roman"/>
          <w:noProof/>
        </w:rPr>
        <w:t>(Herman, 2022)</w:t>
      </w:r>
      <w:r w:rsidRPr="005E3C7C">
        <w:rPr>
          <w:rFonts w:cs="Times New Roman"/>
        </w:rPr>
        <w:fldChar w:fldCharType="end"/>
      </w:r>
      <w:r w:rsidRPr="005E3C7C">
        <w:rPr>
          <w:rFonts w:cs="Times New Roman"/>
        </w:rPr>
        <w:t>. In addition, the service sector that is facing serious difficulties due to this situation is the education sector.</w:t>
      </w:r>
    </w:p>
    <w:p w14:paraId="31404527" w14:textId="173EB2D5" w:rsidR="005F07C4" w:rsidRPr="005E3C7C" w:rsidRDefault="00E664B2" w:rsidP="005F07C4">
      <w:pPr>
        <w:ind w:left="0" w:firstLine="709"/>
        <w:rPr>
          <w:rFonts w:cs="Times New Roman"/>
        </w:rPr>
      </w:pPr>
      <w:r w:rsidRPr="005E3C7C">
        <w:rPr>
          <w:rFonts w:cs="Times New Roman"/>
        </w:rPr>
        <w:t xml:space="preserve">The COVID-19 pandemic has not only changed the way we live, but also forced the education sector to adapt quickly to online learning. School closure policies have been taken to prevent the spread of the coronavirus </w:t>
      </w:r>
      <w:r w:rsidRPr="005E3C7C">
        <w:rPr>
          <w:rFonts w:cs="Times New Roman"/>
        </w:rPr>
        <w:fldChar w:fldCharType="begin" w:fldLock="1"/>
      </w:r>
      <w:r w:rsidRPr="005E3C7C">
        <w:rPr>
          <w:rFonts w:cs="Times New Roman"/>
        </w:rPr>
        <w:instrText>ADDIN CSL_CITATION {"citationItems":[{"id":"ITEM-1","itemData":{"URL":"https://suteki.co.id/pandemi-covid-19-mengancam-keberlangsungan-dunia-pendidikan/","accessed":{"date-parts":[["2025","1","22"]]},"author":[{"dropping-particle":"","family":"Suteki","given":"","non-dropping-particle":"","parse-names":false,"suffix":""}],"id":"ITEM-1","issued":{"date-parts":[["2020"]]},"title":"Pandemi Covid-19 Mengancam Keberlangsungan Dunia Pendidikan","type":"webpage"},"uris":["http://www.mendeley.com/documents/?uuid=c01ea2b4-a690-4ff6-8046-1b0fe80a5870"]}],"mendeley":{"formattedCitation":"(Suteki, 2020)","plainTextFormattedCitation":"(Suteki, 2020)","previouslyFormattedCitation":"(Suteki, 2020)"},"properties":{"noteIndex":0},"schema":"https://github.com/citation-style-language/schema/raw/master/csl-citation.json"}</w:instrText>
      </w:r>
      <w:r w:rsidRPr="005E3C7C">
        <w:rPr>
          <w:rFonts w:cs="Times New Roman"/>
        </w:rPr>
        <w:fldChar w:fldCharType="separate"/>
      </w:r>
      <w:r w:rsidRPr="005E3C7C">
        <w:rPr>
          <w:rFonts w:cs="Times New Roman"/>
          <w:noProof/>
        </w:rPr>
        <w:t>(Suteki, 2020)</w:t>
      </w:r>
      <w:r w:rsidRPr="005E3C7C">
        <w:rPr>
          <w:rFonts w:cs="Times New Roman"/>
        </w:rPr>
        <w:fldChar w:fldCharType="end"/>
      </w:r>
      <w:r w:rsidRPr="005E3C7C">
        <w:rPr>
          <w:rFonts w:cs="Times New Roman"/>
        </w:rPr>
        <w:t xml:space="preserve">. These changes require effective collaboration and coordination among stakeholders, as the impact extends to various other sectors, including health and economy. In an effort to answer this challenge, technology comes as a solution, one of which is through online applications such as Canva that offers convenience in supporting the learning process. Canva is a free online tool that provides many templates. An app called Canva was created to make it easier to create graphic designs </w:t>
      </w:r>
      <w:r w:rsidRPr="005E3C7C">
        <w:rPr>
          <w:rFonts w:cs="Times New Roman"/>
        </w:rPr>
        <w:fldChar w:fldCharType="begin" w:fldLock="1"/>
      </w:r>
      <w:r w:rsidRPr="005E3C7C">
        <w:rPr>
          <w:rFonts w:cs="Times New Roman"/>
        </w:rPr>
        <w:instrText>ADDIN CSL_CITATION {"citationItems":[{"id":"ITEM-1","itemData":{"DOI":"10.24071/aa.v6i2.6667","ISSN":"26205505","abstract":"Micro, small, and medium enterprises (MSMEs) need effective marketing strategies to increase product visibility and sales. One way to promote products is by using digital media, such as social media and websites. The problem that exists in MSME actors is that not all MSME actors have adequate graphic design skills. In efforts to overcome this, MSME actors can use applications that can be used to create content design easily and the results are good. One application that can be used is Canva. One of the activities to improve MSME actors is training on the importance of promotion on social media. This effort was made by MSME players who are members of the Banyuwangi Family Association in Yogyakarta (IKAWANGI) to organize training to improve promotion through social media and create promotional content. The implementation method is carried out by training methods and direct assistance to MSME actors. Assistance includes providing directions for creating content using the Canva application.  In the context of MSMEs, the use of Canva can help businesses create promotional content such as brochures, posters, invitations, business cards, and so on. With Canva, MSME players can increase their digital presence and increase product sales.","author":[{"dropping-particle":"","family":"Sholeh","given":"Muhammad","non-dropping-particle":"","parse-names":false,"suffix":""},{"dropping-particle":"","family":"Suraya","given":"Suraya","non-dropping-particle":"","parse-names":false,"suffix":""},{"dropping-particle":"","family":"Rachmawati","given":"Rr. Yuliana","non-dropping-particle":"","parse-names":false,"suffix":""}],"container-title":"Abdimas Altruis: Jurnal Pengabdian Kepada Masyarakat","id":"ITEM-1","issue":"2","issued":{"date-parts":[["2023"]]},"page":"107-113","title":"Penggunaan Aplikasi Canva Sebagai Desain Konten Promosi Bagi Pelaku Umkm","type":"article-journal","volume":"6"},"uris":["http://www.mendeley.com/documents/?uuid=d3335007-0881-4167-8570-226cb2114e16"]}],"mendeley":{"formattedCitation":"(Sholeh et al., 2023)","plainTextFormattedCitation":"(Sholeh et al., 2023)","previouslyFormattedCitation":"(Sholeh et al., 2023)"},"properties":{"noteIndex":0},"schema":"https://github.com/citation-style-language/schema/raw/master/csl-citation.json"}</w:instrText>
      </w:r>
      <w:r w:rsidRPr="005E3C7C">
        <w:rPr>
          <w:rFonts w:cs="Times New Roman"/>
        </w:rPr>
        <w:fldChar w:fldCharType="separate"/>
      </w:r>
      <w:r w:rsidRPr="005E3C7C">
        <w:rPr>
          <w:rFonts w:cs="Times New Roman"/>
          <w:noProof/>
        </w:rPr>
        <w:t>(Sholeh et al., 2023)</w:t>
      </w:r>
      <w:r w:rsidRPr="005E3C7C">
        <w:rPr>
          <w:rFonts w:cs="Times New Roman"/>
        </w:rPr>
        <w:fldChar w:fldCharType="end"/>
      </w:r>
      <w:r w:rsidRPr="005E3C7C">
        <w:rPr>
          <w:rFonts w:cs="Times New Roman"/>
        </w:rPr>
        <w:t xml:space="preserve">.  Users must download Canva and register in order to use it. Canva can be accessed through various devices, including desktop computers, laptops, and mobile devices </w:t>
      </w:r>
      <w:r w:rsidR="005F07C4" w:rsidRPr="005E3C7C">
        <w:rPr>
          <w:rFonts w:cs="Times New Roman"/>
        </w:rPr>
        <w:fldChar w:fldCharType="begin" w:fldLock="1"/>
      </w:r>
      <w:r w:rsidR="005F07C4" w:rsidRPr="005E3C7C">
        <w:rPr>
          <w:rFonts w:cs="Times New Roman"/>
        </w:rPr>
        <w:instrText>ADDIN CSL_CITATION {"citationItems":[{"id":"ITEM-1","itemData":{"URL":"https://ikom.umsida.ac.id/canva-aplikasi-design-untuk-pemula/","accessed":{"date-parts":[["2025","1","22"]]},"author":[{"dropping-particle":"","family":"Indah N. Ainiyah","given":"","non-dropping-particle":"","parse-names":false,"suffix":""}],"id":"ITEM-1","issued":{"date-parts":[["0"]]},"title":"Kenali Aplikasi Canva : Designer Grafis Pemula Wajib TauNo Title","type":"webpage"},"uris":["http://www.mendeley.com/documents/?uuid=20620ab4-2a98-4473-b398-bda5b5aa9a86"]}],"mendeley":{"formattedCitation":"(Indah N. Ainiyah, n.d.)","manualFormatting":"(Ainiyah, 2024)","plainTextFormattedCitation":"(Indah N. Ainiyah, n.d.)","previouslyFormattedCitation":"(Indah N. Ainiyah, n.d.)"},"properties":{"noteIndex":0},"schema":"https://github.com/citation-style-language/schema/raw/master/csl-citation.json"}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(Ainiyah, 2024)</w:t>
      </w:r>
      <w:r w:rsidR="005F07C4" w:rsidRPr="005E3C7C">
        <w:rPr>
          <w:rFonts w:cs="Times New Roman"/>
        </w:rPr>
        <w:fldChar w:fldCharType="end"/>
      </w:r>
      <w:r w:rsidR="005F07C4" w:rsidRPr="005E3C7C">
        <w:rPr>
          <w:rFonts w:cs="Times New Roman"/>
        </w:rPr>
        <w:t xml:space="preserve">. On the other hand, for professionals Canva can help complete work in the field of design including creating logos, banners, fliers, invitations, and documents </w:t>
      </w:r>
      <w:r w:rsidR="005F07C4" w:rsidRPr="005E3C7C">
        <w:rPr>
          <w:rFonts w:cs="Times New Roman"/>
        </w:rPr>
        <w:fldChar w:fldCharType="begin" w:fldLock="1"/>
      </w:r>
      <w:r w:rsidR="005F07C4" w:rsidRPr="005E3C7C">
        <w:rPr>
          <w:rFonts w:cs="Times New Roman"/>
        </w:rPr>
        <w:instrText>ADDIN CSL_CITATION {"citationItems":[{"id":"ITEM-1","itemData":{"URL":"https://kelas.work/blogs/catat-berbagai-fungsi-dan-fitur-utama-canva-untuk-design","accessed":{"date-parts":[["2025","1","11"]]},"author":[{"dropping-particle":"","family":"Nawangulan","given":"Adinda","non-dropping-particle":"","parse-names":false,"suffix":""}],"id":"ITEM-1","issued":{"date-parts":[["2024"]]},"title":"Catat Berbagai Fungsi dan Fitur Utama Canva untuk Design","type":"webpage"},"uris":["http://www.mendeley.com/documents/?uuid=564a2672-9a64-496d-94cf-1128b50bf205"]}],"mendeley":{"formattedCitation":"(Nawangulan, 2024)","plainTextFormattedCitation":"(Nawangulan, 2024)","previouslyFormattedCitation":"(Nawangulan, 2024)"},"properties":{"noteIndex":0},"schema":"https://github.com/citation-style-language/schema/raw/master/csl-citation.json"}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(Nawangulan, 2024)</w:t>
      </w:r>
      <w:r w:rsidR="005F07C4" w:rsidRPr="005E3C7C">
        <w:rPr>
          <w:rFonts w:cs="Times New Roman"/>
        </w:rPr>
        <w:fldChar w:fldCharType="end"/>
      </w:r>
      <w:r w:rsidR="005F07C4" w:rsidRPr="005E3C7C">
        <w:rPr>
          <w:rFonts w:cs="Times New Roman"/>
        </w:rPr>
        <w:t xml:space="preserve">. In addition, this application can be used as an innovative and interactive learning media, can increase students' creativity, and create collaborative learning </w:t>
      </w:r>
      <w:r w:rsidR="005F07C4" w:rsidRPr="005E3C7C">
        <w:rPr>
          <w:rFonts w:cs="Times New Roman"/>
        </w:rPr>
        <w:fldChar w:fldCharType="begin" w:fldLock="1"/>
      </w:r>
      <w:r w:rsidR="005F07C4" w:rsidRPr="005E3C7C">
        <w:rPr>
          <w:rFonts w:cs="Times New Roman"/>
        </w:rPr>
        <w:instrText>ADDIN CSL_CITATION {"citationItems":[{"id":"ITEM-1","itemData":{"URL":"https://smkn2-cilacap.sch.id/penggunaan-aplikasi-canva-sebagai-media-pembelajaran/","accessed":{"date-parts":[["2022","1","22"]]},"author":[{"dropping-particle":"","family":"Kusumastuti","given":"Ratih","non-dropping-particle":"","parse-names":false,"suffix":""}],"id":"ITEM-1","issued":{"date-parts":[["2022"]]},"title":"Penggunaan Aplikasi Canva Sebagai Media Pembelajaran","type":"webpage"},"uris":["http://www.mendeley.com/documents/?uuid=00db64f0-51c9-486a-99d4-2b6e005e80ff"]}],"mendeley":{"formattedCitation":"(Kusumastuti, 2022)","plainTextFormattedCitation":"(Kusumastuti, 2022)","previouslyFormattedCitation":"(Kusumastuti, 2022)"},"properties":{"noteIndex":0},"schema":"https://github.com/citation-style-language/schema/raw/master/csl-citation.json"}</w:instrText>
      </w:r>
      <w:r w:rsidR="005F07C4" w:rsidRPr="005E3C7C">
        <w:rPr>
          <w:rFonts w:cs="Times New Roman"/>
        </w:rPr>
        <w:fldChar w:fldCharType="separate"/>
      </w:r>
      <w:r w:rsidR="005F07C4" w:rsidRPr="005E3C7C">
        <w:rPr>
          <w:rFonts w:cs="Times New Roman"/>
          <w:noProof/>
        </w:rPr>
        <w:t>(Kusumastuti, 2022)</w:t>
      </w:r>
      <w:r w:rsidR="005F07C4" w:rsidRPr="005E3C7C">
        <w:rPr>
          <w:rFonts w:cs="Times New Roman"/>
        </w:rPr>
        <w:fldChar w:fldCharType="end"/>
      </w:r>
      <w:r w:rsidR="005F07C4" w:rsidRPr="005E3C7C">
        <w:rPr>
          <w:rFonts w:cs="Times New Roman"/>
        </w:rPr>
        <w:t>. The goal of this Canva training is for participants to easily create webinar e-brochures and certificates. To make a good impression on recruiters, these skills can be useful when applying for jobs, promoting yourself, and sharing information about your competencies.</w:t>
      </w:r>
    </w:p>
    <w:p w14:paraId="1AE833DC" w14:textId="67A6D215" w:rsidR="005F07C4" w:rsidRPr="005E3C7C" w:rsidRDefault="005F07C4" w:rsidP="005F07C4">
      <w:pPr>
        <w:ind w:left="0" w:firstLine="709"/>
        <w:rPr>
          <w:rFonts w:cs="Times New Roman"/>
        </w:rPr>
      </w:pPr>
      <w:r w:rsidRPr="005E3C7C">
        <w:rPr>
          <w:rFonts w:cs="Times New Roman"/>
        </w:rPr>
        <w:t xml:space="preserve">A certificate is defined as an official document or written evidence given to an individual in recognition of achievement, participation or success in an activity, training or competition </w:t>
      </w:r>
      <w:r w:rsidRPr="005E3C7C">
        <w:rPr>
          <w:rFonts w:cs="Times New Roman"/>
        </w:rPr>
        <w:fldChar w:fldCharType="begin" w:fldLock="1"/>
      </w:r>
      <w:r w:rsidRPr="005E3C7C">
        <w:rPr>
          <w:rFonts w:cs="Times New Roman"/>
        </w:rPr>
        <w:instrText>ADDIN CSL_CITATION {"citationItems":[{"id":"ITEM-1","itemData":{"author":[{"dropping-particle":"","family":"Firdaus","given":"Aliansyah","non-dropping-particle":"","parse-names":false,"suffix":""},{"dropping-particle":"","family":"Firdaus","given":"Alif Fiandi","non-dropping-particle":"","parse-names":false,"suffix":""},{"dropping-particle":"","family":"Bulele","given":"Anotaris","non-dropping-particle":"","parse-names":false,"suffix":""},{"dropping-particle":"","family":"Oktafiano","given":"Kevin Faras","non-dropping-particle":"","parse-names":false,"suffix":""},{"dropping-particle":"","family":"Prasojo","given":"Muhammad Arif","non-dropping-particle":"","parse-names":false,"suffix":""},{"dropping-particle":"","family":"Haris","given":"Muhammad","non-dropping-particle":"","parse-names":false,"suffix":""},{"dropping-particle":"","family":"Imron","given":"Muhammad Nursalim","non-dropping-particle":"","parse-names":false,"suffix":""},{"dropping-particle":"","family":"Edison","given":"Nentra","non-dropping-particle":"","parse-names":false,"suffix":""},{"dropping-particle":"","family":"Yasmin","given":"Rifki","non-dropping-particle":"","parse-names":false,"suffix":""},{"dropping-particle":"","family":"Pambudi","given":"Dwi","non-dropping-particle":"","parse-names":false,"suffix":""},{"dropping-particle":"","family":"Pelaksanaan","given":"Metode","non-dropping-particle":"","parse-names":false,"suffix":""}],"id":"ITEM-1","issue":"4","issued":{"date-parts":[["2023"]]},"page":"215-218","title":"ISSN 3025-0889 ( media online ) Hal 215-218 DAN DESAIN SERTIFIKAT BERBASIS TEKNOLOGI KEPADA Volume 1 , No . 4 , Desember 2023 ISSN 3025-0889 ( media online ) Hal 215-218","type":"article-journal","volume":"1"},"uris":["http://www.mendeley.com/documents/?uuid=b114c70b-ee75-4ef9-8fd9-f97241f716e6"]}],"mendeley":{"formattedCitation":"(Firdaus et al., 2023)","plainTextFormattedCitation":"(Firdaus et al., 2023)","previouslyFormattedCitation":"(Firdaus et al., 2023)"},"properties":{"noteIndex":0},"schema":"https://github.com/citation-style-language/schema/raw/master/csl-citation.json"}</w:instrText>
      </w:r>
      <w:r w:rsidRPr="005E3C7C">
        <w:rPr>
          <w:rFonts w:cs="Times New Roman"/>
        </w:rPr>
        <w:fldChar w:fldCharType="separate"/>
      </w:r>
      <w:r w:rsidRPr="005E3C7C">
        <w:rPr>
          <w:rFonts w:cs="Times New Roman"/>
          <w:noProof/>
        </w:rPr>
        <w:t>(Firdaus et al., 2023)</w:t>
      </w:r>
      <w:r w:rsidRPr="005E3C7C">
        <w:rPr>
          <w:rFonts w:cs="Times New Roman"/>
        </w:rPr>
        <w:fldChar w:fldCharType="end"/>
      </w:r>
      <w:r w:rsidRPr="005E3C7C">
        <w:rPr>
          <w:rFonts w:cs="Times New Roman"/>
        </w:rPr>
        <w:t xml:space="preserve">. Certificates are not only a symbol of appreciation, but are also often used as supporting documents for professional or academic purposes, such as applying for a job or increasing an individual's credibility in a particular field. On the other hand, e-flyers are a form of digital-based promotional media designed to convey information in a concise, attractive, and easy-to-understand manner. Flyers are one of the promotional media that many companies use to offer their brand or product </w:t>
      </w:r>
      <w:r w:rsidRPr="005E3C7C">
        <w:rPr>
          <w:rFonts w:cs="Times New Roman"/>
        </w:rPr>
        <w:fldChar w:fldCharType="begin" w:fldLock="1"/>
      </w:r>
      <w:r w:rsidRPr="005E3C7C">
        <w:rPr>
          <w:rFonts w:cs="Times New Roman"/>
        </w:rPr>
        <w:instrText>ADDIN CSL_CITATION {"citationItems":[{"id":"ITEM-1","itemData":{"DOI":"10.46773/muaddib.v3i2.943","ISSN":"2723-0805","abstract":"The purpose of this study is to describe the activities conducted by religious counselors and to assess the public's interest in flyer media for guidance or counseling. Religious counselors have the task of conducting counseling guidance, developing guidance, and professional development. Before conducting counseling guidance, religious counselors must prepare monographs and activity plans, as well as develop guidance materials and evaluation instruments. This research method uses a qualitative approach, with data collection techniques through observation, interviews, and documentary studies. The method used is descriptive. This study concludes: First, the tasks of religious counselors in conducting counseling guidance for the community begin with guidance preparation, counseling/information services, work plan preparation, guidance or counseling material preparation, guidance implementation, counseling assistance, religious problem mediation, guidance monitoring and evaluation, cross-sectoral cooperation activities, guidance or counseling model development, and guidance or counseling guideline preparation; Second, Flyer media can attract the public's/ congregants' interest in reading. In this case, flyer media is distributed through social media, known as e-flyers. Flyers distributed through social networks are faster, more massive, and more focused on the recipients, accompanied by a call to action to encourage readers to continue reading on the religious counselor's blog.","author":[{"dropping-particle":"","family":"Alfiatu Solikah","given":"","non-dropping-particle":"","parse-names":false,"suffix":""},{"dropping-particle":"","family":"Widyasmoro","given":"Hari","non-dropping-particle":"","parse-names":false,"suffix":""},{"dropping-particle":"","family":"Jamroji","given":"Bagus","non-dropping-particle":"","parse-names":false,"suffix":""},{"dropping-particle":"","family":"Khodijah","given":"Siti","non-dropping-particle":"","parse-names":false,"suffix":""}],"container-title":"AL-MUADDIB: Jurnal Kajian Ilmu Kependidikan","id":"ITEM-1","issue":"2","issued":{"date-parts":[["2024"]]},"page":"238-250","title":"Strategi Penggunaan Flyer Di Media Sosial Sebagai Sarana Untuk Menarik Minat Baca Masyarakat","type":"article-journal","volume":"3"},"uris":["http://www.mendeley.com/documents/?uuid=2619c389-33aa-44c2-94a1-be9bb146f693"]}],"mendeley":{"formattedCitation":"(Alfiatu Solikah et al., 2024)","manualFormatting":"(Solikah et al., 2024)","plainTextFormattedCitation":"(Alfiatu Solikah et al., 2024)","previouslyFormattedCitation":"(Alfiatu Solikah et al., 2024)"},"properties":{"noteIndex":0},"schema":"https://github.com/citation-style-language/schema/raw/master/csl-citation.json"}</w:instrText>
      </w:r>
      <w:r w:rsidRPr="005E3C7C">
        <w:rPr>
          <w:rFonts w:cs="Times New Roman"/>
        </w:rPr>
        <w:fldChar w:fldCharType="separate"/>
      </w:r>
      <w:r w:rsidRPr="005E3C7C">
        <w:rPr>
          <w:rFonts w:cs="Times New Roman"/>
          <w:noProof/>
        </w:rPr>
        <w:t>(Solikah et al., 2024)</w:t>
      </w:r>
      <w:r w:rsidRPr="005E3C7C">
        <w:rPr>
          <w:rFonts w:cs="Times New Roman"/>
        </w:rPr>
        <w:fldChar w:fldCharType="end"/>
      </w:r>
      <w:r w:rsidRPr="005E3C7C">
        <w:rPr>
          <w:rFonts w:cs="Times New Roman"/>
        </w:rPr>
        <w:t xml:space="preserve">. E-flyers are commonly used to promote various activities, such as events, products, services, or social campaigns. Attractive flyer design and informative content play a key role in attracting people's attention and encouraging their participation in various activities </w:t>
      </w:r>
      <w:r w:rsidRPr="005E3C7C">
        <w:rPr>
          <w:rFonts w:cs="Times New Roman"/>
        </w:rPr>
        <w:fldChar w:fldCharType="begin" w:fldLock="1"/>
      </w:r>
      <w:r w:rsidRPr="005E3C7C">
        <w:rPr>
          <w:rFonts w:cs="Times New Roman"/>
        </w:rPr>
        <w:instrText>ADDIN CSL_CITATION {"citationItems":[{"id":"ITEM-1","itemData":{"DOI":"10.62383/transformasi.v1i3.248","ISSN":"3032-4424","abstract":"Pasarbanggi Village Mangrove Forest Tourism is a tropical natural asset that provides social, economic and ecological benefits. The problems faced are reduced visitors and low environmental awareness. Thematic KKN aims to increase promotions by making flyers. The methods used include direct observation at tourist locations, interviews with managers, and discussion of promotional strategies. Steps include creating promotional flyers, regulatory banners, journal publication, and registering flyers with HKI. This Thematic KKN develops the promotion and sustainability of the Mangrove Forest tourism environment through three approaches: making flyers, making banners of rules and regulations, and planting 50 Ketapang Kencana seeds. It is hoped that this action can increase visitor interest, environmental awareness and sustainability of Mangrove Forest tourism.","author":[{"dropping-particle":"","family":"Audria","given":"Selvida Widi","non-dropping-particle":"","parse-names":false,"suffix":""},{"dropping-particle":"","family":"Reza Maulana Saputra","given":"","non-dropping-particle":"","parse-names":false,"suffix":""},{"dropping-particle":"","family":"Farid Maulana Ishaq","given":"","non-dropping-particle":"","parse-names":false,"suffix":""},{"dropping-particle":"","family":"Fajar Sodiq","given":"","non-dropping-particle":"","parse-names":false,"suffix":""},{"dropping-particle":"","family":"Syakur Syakur","given":"","non-dropping-particle":"","parse-names":false,"suffix":""}],"container-title":"Transformasi Masyarakat : Jurnal Inovasi Sosial dan Pengabdian","id":"ITEM-1","issue":"3","issued":{"date-parts":[["2024"]]},"page":"70-79","title":"Perancangan Desain Flyer sebagai Media Promosi Destinasi Wisata Hutan Mangrove Desa Pasarbanggi Kabupaten Rembang","type":"article-journal","volume":"1"},"uris":["http://www.mendeley.com/documents/?uuid=4550d900-16d1-4d42-9553-ba7c341e32a7"]}],"mendeley":{"formattedCitation":"(Audria et al., 2024)","plainTextFormattedCitation":"(Audria et al., 2024)","previouslyFormattedCitation":"(Audria et al., 2024)"},"properties":{"noteIndex":0},"schema":"https://github.com/citation-style-language/schema/raw/master/csl-citation.json"}</w:instrText>
      </w:r>
      <w:r w:rsidRPr="005E3C7C">
        <w:rPr>
          <w:rFonts w:cs="Times New Roman"/>
        </w:rPr>
        <w:fldChar w:fldCharType="separate"/>
      </w:r>
      <w:r w:rsidRPr="005E3C7C">
        <w:rPr>
          <w:rFonts w:cs="Times New Roman"/>
          <w:noProof/>
        </w:rPr>
        <w:t>(Audria et al., 2024)</w:t>
      </w:r>
      <w:r w:rsidRPr="005E3C7C">
        <w:rPr>
          <w:rFonts w:cs="Times New Roman"/>
        </w:rPr>
        <w:fldChar w:fldCharType="end"/>
      </w:r>
      <w:r w:rsidRPr="005E3C7C">
        <w:rPr>
          <w:rFonts w:cs="Times New Roman"/>
        </w:rPr>
        <w:t xml:space="preserve">.  It is perfect for digital platforms, such as social media, email, or websites, due to its flexibility in dissemination and access. Eflyer has many benefits for disseminating information to other parties </w:t>
      </w:r>
      <w:r w:rsidRPr="005E3C7C">
        <w:rPr>
          <w:rFonts w:cs="Times New Roman"/>
        </w:rPr>
        <w:fldChar w:fldCharType="begin" w:fldLock="1"/>
      </w:r>
      <w:r w:rsidRPr="005E3C7C">
        <w:rPr>
          <w:rFonts w:cs="Times New Roman"/>
        </w:rPr>
        <w:instrText>ADDIN CSL_CITATION {"citationItems":[{"id":"ITEM-1","itemData":{"DOI":"10.52316/jap.v17i2.73","ISSN":"1858-2168","abstract":"Penelitian ini bertujuan untuk menganalisis publikasi pada layanan publik pembelajaran daring di masa pandemi COVID-19. Stakeholder sebagai penerima layanan merupakan pihak yang harus dilayani sehubungan dengan produk jasa yang dihasilkan instansi pemerintah. Pembelajaran pada BPPK pada awal dan selama masa pandemi menggunakan kegiatan Kemeneku Corpu Open Class, Kemenkeu Corpu Talk dan seminar online sebagai andalannya. Penelitian menggunakan metode kualitatif deskriptif dengan pendekatan eksplanatoris menggunakan sumber data sekunder berupa poster/ flyer dan data dari media sosial. Dengan beragam kelebihan yang dimilikinya, kegiatan tersebut menjadi daya tarik bagi stakeholder baik langsung maupun tidak langsung untuk mengikutinya karena beragam tema yang ditawarkan melalui publikasi yang menarik. Walaupun memiliki beberapa kelemahan, namun publikasi kegiatan ini mampu diandalkan. KCT, KC Open Class dan seminar online tetap dipertahankan di masa mendatang selepas pandemi berakhir.","author":[{"dropping-particle":"","family":"Jamila Lestyowati","given":"","non-dropping-particle":"","parse-names":false,"suffix":""}],"container-title":"Jurnal Administrasi Publik","id":"ITEM-1","issue":"2","issued":{"date-parts":[["2021"]]},"page":"211-231","title":"Publikasi Layanan Pembelajaran Di Era Baru: Studi Kasus Online Learning Pada Kementerian Keuangan","type":"article-journal","volume":"17"},"uris":["http://www.mendeley.com/documents/?uuid=725a0e6b-3c09-4219-8817-4f2fa41179b0"]}],"mendeley":{"formattedCitation":"(Jamila Lestyowati, 2021)","manualFormatting":"(Lestyowati, 2021)","plainTextFormattedCitation":"(Jamila Lestyowati, 2021)","previouslyFormattedCitation":"(Jamila Lestyowati, 2021)"},"properties":{"noteIndex":0},"schema":"https://github.com/citation-style-language/schema/raw/master/csl-citation.json"}</w:instrText>
      </w:r>
      <w:r w:rsidRPr="005E3C7C">
        <w:rPr>
          <w:rFonts w:cs="Times New Roman"/>
        </w:rPr>
        <w:fldChar w:fldCharType="separate"/>
      </w:r>
      <w:r w:rsidRPr="005E3C7C">
        <w:rPr>
          <w:rFonts w:cs="Times New Roman"/>
          <w:noProof/>
        </w:rPr>
        <w:t>(Lestyowati, 2021)</w:t>
      </w:r>
      <w:r w:rsidRPr="005E3C7C">
        <w:rPr>
          <w:rFonts w:cs="Times New Roman"/>
        </w:rPr>
        <w:fldChar w:fldCharType="end"/>
      </w:r>
      <w:r w:rsidRPr="005E3C7C">
        <w:rPr>
          <w:rFonts w:cs="Times New Roman"/>
        </w:rPr>
        <w:t>. Unlike conventional printed flyers, e-flyers have the advantages of ease of distribution, cost efficiency, and the ability to reach a wider audience in a short time. With attractive designs and relevant information, e-flyers are an effective tool in conveying messages visually in the digital era.</w:t>
      </w:r>
    </w:p>
    <w:p w14:paraId="20C76D5C" w14:textId="7E2CE207" w:rsidR="005F07C4" w:rsidRPr="005E3C7C" w:rsidRDefault="005F07C4" w:rsidP="005F07C4">
      <w:pPr>
        <w:ind w:left="0" w:firstLine="709"/>
        <w:rPr>
          <w:rFonts w:cs="Times New Roman"/>
        </w:rPr>
      </w:pPr>
      <w:r w:rsidRPr="005E3C7C">
        <w:rPr>
          <w:rFonts w:cs="Times New Roman"/>
        </w:rPr>
        <w:lastRenderedPageBreak/>
        <w:t>Technology is an important element that influences the quality of certificates produced by training participants. In addition, participants' ability to use the software or platform used to create e-brochures and certificates also has a major influence on the final result. If participants are not familiar with the design tools available, they may have difficulty optimizing the existing features. This can lead to less than optimal design results, both in terms of aesthetics and functionality. In addition to technical skills, the time factor also plays an important role in determining the quality of design results. If participants are given a limited time to complete e-brochures and certificates, they may not have the opportunity to review the design or edit the content carefully. Time constraints can prevent participants from conducting research or exploring creative ideas that can produce better products. As a result, even though the design tools used are adequate, limited time can affect the final quality of e-brochures and certificates, both in terms of visuals and clear and precise information delivery.</w:t>
      </w:r>
    </w:p>
    <w:p w14:paraId="56F7D423" w14:textId="54B1BB24" w:rsidR="005F07C4" w:rsidRPr="005E3C7C" w:rsidRDefault="005F07C4" w:rsidP="005F07C4">
      <w:pPr>
        <w:ind w:left="0" w:firstLine="709"/>
        <w:rPr>
          <w:rFonts w:cs="Times New Roman"/>
        </w:rPr>
      </w:pPr>
      <w:r w:rsidRPr="005E3C7C">
        <w:rPr>
          <w:rFonts w:cs="Times New Roman"/>
        </w:rPr>
        <w:t xml:space="preserve">Entering the world of work and plunging into the industrial world certainly requires very careful preparation. This is because there is a considerable difference between the theoretical knowledge obtained during education and the real conditions in the field. According Fitriyanto </w:t>
      </w:r>
      <w:r w:rsidRPr="005E3C7C">
        <w:rPr>
          <w:rFonts w:cs="Times New Roman"/>
        </w:rPr>
        <w:fldChar w:fldCharType="begin" w:fldLock="1"/>
      </w:r>
      <w:r w:rsidRPr="005E3C7C">
        <w:rPr>
          <w:rFonts w:cs="Times New Roman"/>
        </w:rPr>
        <w:instrText>ADDIN CSL_CITATION {"citationItems":[{"id":"ITEM-1","itemData":{"DOI":"10.47783/literasiologi.v4i1.138","ISSN":"2745-5440","abstract":"Kesuksesan suatu lembaga, organisasi, atau perusahaan ditopang oleh kesuksesan para tenaga kerja dalam bekerja, dan kesuksesan tenaga kerja dalam bekerja merupakan hasil dari kesiapan kerja yang telah dimiliki oleh para tenaga kerja tersebut. Kesiapan kerja merupakan kondisi kematangan fisik, kematangan mental serta pengalaman belajar seseorang yang serasi untuk melakukan suatu pekerjaan yang telah dipilihnya. Ciri-ciri seseorang yang memiliki kesiapan kerja adalah: 1) Mengetahui dan memahami apa yang akan dilakukan dalam pekerjaannya sesuai jabatan yang diembannya; 2). Berpengetahuan mengenai prasyarat kerja berdasarkan dimensi, pengetahuan faktual, pengetahuan konseptual, pengetahuan prosedural, dan pengetahuan yang saling terkait; 3). Berpengetahuan bagaimana harus berperilaku sebagai tenaga yang kompeten; 4). Mempunyai persfektif positif, minat dan motivasi terhadap setiap aturan yang diberlakukan dalam lingkungan pekerjaannya; 5). Bersikap positif dan menerima resiko sebagai akibat pekerjaan dan lingkungannya; 6). Memahami dan dapat mengatasi masalah akibat pekerjaan.","author":[{"dropping-particle":"","family":"Muspawi","given":"Mohamad","non-dropping-particle":"","parse-names":false,"suffix":""},{"dropping-particle":"","family":"Lestari","given":"Ayu","non-dropping-particle":"","parse-names":false,"suffix":""}],"container-title":"Jurnal Literasiologi","id":"ITEM-1","issue":"1","issued":{"date-parts":[["2020"]]},"page":"111-117","title":"Membangun Kesiapan Kerja Calon Tenaga Kerja","type":"article-journal","volume":"4"},"uris":["http://www.mendeley.com/documents/?uuid=a30ec294-0902-41f6-8bf4-bdd6193a48d7"]}],"mendeley":{"formattedCitation":"(Muspawi &amp; Lestari, 2020)","plainTextFormattedCitation":"(Muspawi &amp; Lestari, 2020)","previouslyFormattedCitation":"(Muspawi &amp; Lestari, 2020)"},"properties":{"noteIndex":0},"schema":"https://github.com/citation-style-language/schema/raw/master/csl-citation.json"}</w:instrText>
      </w:r>
      <w:r w:rsidRPr="005E3C7C">
        <w:rPr>
          <w:rFonts w:cs="Times New Roman"/>
        </w:rPr>
        <w:fldChar w:fldCharType="separate"/>
      </w:r>
      <w:r w:rsidRPr="005E3C7C">
        <w:rPr>
          <w:rFonts w:cs="Times New Roman"/>
          <w:noProof/>
        </w:rPr>
        <w:t>(Muspawi &amp; Lestari, 2020)</w:t>
      </w:r>
      <w:r w:rsidRPr="005E3C7C">
        <w:rPr>
          <w:rFonts w:cs="Times New Roman"/>
        </w:rPr>
        <w:fldChar w:fldCharType="end"/>
      </w:r>
      <w:r w:rsidRPr="005E3C7C">
        <w:rPr>
          <w:rFonts w:cs="Times New Roman"/>
        </w:rPr>
        <w:t xml:space="preserve"> Work readiness is a condition that shows the harmony between physical, mental and experience maturity so that individuals have the ability to carry out certain activities in relation to work. This is in line with Ari's opinion </w:t>
      </w:r>
      <w:r w:rsidRPr="005E3C7C">
        <w:rPr>
          <w:rFonts w:cs="Times New Roman"/>
        </w:rPr>
        <w:fldChar w:fldCharType="begin" w:fldLock="1"/>
      </w:r>
      <w:r w:rsidRPr="005E3C7C">
        <w:rPr>
          <w:rFonts w:cs="Times New Roman"/>
        </w:rPr>
        <w:instrText>ADDIN CSL_CITATION {"citationItems":[{"id":"ITEM-1","itemData":{"DOI":"10.15294/baej.v1i3.46701","ISSN":"2723-4495","abstract":"The purpose of this study was to determine the effect of industrial work practices, information on the world of work and motivation to enter the world of work on student work readiness at SMK Bhakti Persada Kendal. The population in this study were all students of class XII Office Administration expertise program. The research sample consisted of 59 respondents who were taken from all students of class XII of the Office Administration expertise program of SMK Bhakti Persada Kendal. Data were collected by means of a questionnaire and analyzed by using multiple linear regression. The results of this study are (1) there is a partially positive effect of industrial work practices on job readiness of 18.49%, (2) there is a partial positive effect of information on the world of work on work readiness by 17.30%, (3) there is an effect Partially positive motivation to enter the world of work on work readiness is 14.66%, (4) there is a positive and significant effect simultaneously between the variables of industrial work practices, information on the world of work, and entering the world of work on student work readiness by 76.4%.","author":[{"dropping-particle":"","family":"Susilo","given":"Sri Muji","non-dropping-particle":"","parse-names":false,"suffix":""},{"dropping-particle":"","family":"Ismiyati","given":"Ismiyati","non-dropping-particle":"","parse-names":false,"suffix":""}],"container-title":"Business and Accounting Education Journal","id":"ITEM-1","issue":"3","issued":{"date-parts":[["2020"]]},"page":"290-296","title":"Pengaruh Praktik Kerja Industri, Informasi Dunia Kerja Dan Motivasi Memasuki Dunia Kerja Terhadap Kesiapan Kerja Siswa","type":"article-journal","volume":"1"},"uris":["http://www.mendeley.com/documents/?uuid=dae97fdc-ffb2-428a-91be-584d82f765d0"]}],"mendeley":{"formattedCitation":"(Susilo &amp; Ismiyati, 2020)","plainTextFormattedCitation":"(Susilo &amp; Ismiyati, 2020)","previouslyFormattedCitation":"(Susilo &amp; Ismiyati, 2020)"},"properties":{"noteIndex":0},"schema":"https://github.com/citation-style-language/schema/raw/master/csl-citation.json"}</w:instrText>
      </w:r>
      <w:r w:rsidRPr="005E3C7C">
        <w:rPr>
          <w:rFonts w:cs="Times New Roman"/>
        </w:rPr>
        <w:fldChar w:fldCharType="separate"/>
      </w:r>
      <w:r w:rsidRPr="005E3C7C">
        <w:rPr>
          <w:rFonts w:cs="Times New Roman"/>
          <w:noProof/>
        </w:rPr>
        <w:t>(Susilo &amp; Ismiyati, 2020)</w:t>
      </w:r>
      <w:r w:rsidRPr="005E3C7C">
        <w:rPr>
          <w:rFonts w:cs="Times New Roman"/>
        </w:rPr>
        <w:fldChar w:fldCharType="end"/>
      </w:r>
      <w:r w:rsidRPr="005E3C7C">
        <w:rPr>
          <w:rFonts w:cs="Times New Roman"/>
        </w:rPr>
        <w:t xml:space="preserve"> that work readiness is important because one of the problems experienced after completing their studies is related to choosing a career and work, therefore work readiness is needed by students so that they can choose and prepare themselves to enter a career properly. So as a form of moral responsibility and concern for the community, universities organise various activities, such as training and community service outside the campus. According to Wattiheluw </w:t>
      </w:r>
      <w:r w:rsidRPr="005E3C7C">
        <w:rPr>
          <w:rFonts w:cs="Times New Roman"/>
        </w:rPr>
        <w:fldChar w:fldCharType="begin" w:fldLock="1"/>
      </w:r>
      <w:r w:rsidRPr="005E3C7C">
        <w:rPr>
          <w:rFonts w:cs="Times New Roman"/>
        </w:rPr>
        <w:instrText>ADDIN CSL_CITATION {"citationItems":[{"id":"ITEM-1","itemData":{"DOI":"10.37531/sejaman.v6i1.2916","ISSN":"2598-831X","abstract":"Abstrak Pelatihan, pembinaan dan keterampilan wirausaha merupakan faktor faktor yang mempengaruhi kinerja dari pelaku UMKM. Penelitian ini bertujuan untuk mengkaji apakah model dari pelatihan, pembinaan dan keterampilan wirausaha memberikan kontribusi terhadap kinerja pelaku UMKM. Dalam penelitian ini yang menjadi populasi ialah pelaku UMKM yang telah mengikuti pelatihan dan pembinaan oleh Dinas Koperasi dan Usaha Mikro Kecil dan Menengah dengan jumlah sampel 75 responden. Metode pengumpulan data di dalam riset ini menerapkan metode survey dan menggunakan partial least square sebagai sarana penganalisisan data. Bersandar kepada hasil yang diperoleh pada riset ini didapat bahwa pelatihan, pembinaan dan keterampilan wirausaha memberikan kontribusi terhadap kinerja pelaku UMKM yang berarti semakin baik pelatihan dan pembinaan yang diterima tentunya semakin baik juga kinerja dari pelaku UMKM. Kata Kunci: Pelatihan; Pembinaan; Keterampilan Wirausaha; Kinerja Pelaku UMKM. Abstract Training, coaching and entrepreneurial skills are factors that affect the performance of enterpreneurs. This study aims to examine whether the model of training, coaching and entrepreneurial skills contributes to the performance of enterpreneusr. In this study, the population is enterpreneurs who have attended training and coaching by the Cooperatives and Micro, Small and Medium Enterprises Office with a sample of 75 respondents. The data collection method in this study used a survey method and used partial least squares as a data analysis tool. From the results of the study, it was found that training, coaching and entrepreneurial skills contributed to the performance of enterpreneurs, which means the better the training and coaching received, the better the performance of enterpreneurs. Keywords: Coaching; Training; Coaching; Entrepreneur skills; Entrepreneur Performance","author":[{"dropping-particle":"","family":"Nugroho","given":"Waskito","non-dropping-particle":"","parse-names":false,"suffix":""},{"dropping-particle":"","family":"Iryanti","given":"Endang","non-dropping-particle":"","parse-names":false,"suffix":""}],"container-title":"SEIKO : Journal of Management &amp; Business","id":"ITEM-1","issue":"1","issued":{"date-parts":[["2023"]]},"page":"88-94","title":"Pengaruh Pelatihan, Pembinaan dan Keterampilan Wirausaha Terhadap Kinerja Pelaku Usaha Mikro Kecil Menengah Kabupaten Sidoarjo","type":"article-journal","volume":"6"},"uris":["http://www.mendeley.com/documents/?uuid=0c9c1637-41a4-4c80-9797-c62f2b1abce6"]}],"mendeley":{"formattedCitation":"(Nugroho &amp; Iryanti, 2023)","plainTextFormattedCitation":"(Nugroho &amp; Iryanti, 2023)","previouslyFormattedCitation":"(Nugroho &amp; Iryanti, 2023)"},"properties":{"noteIndex":0},"schema":"https://github.com/citation-style-language/schema/raw/master/csl-citation.json"}</w:instrText>
      </w:r>
      <w:r w:rsidRPr="005E3C7C">
        <w:rPr>
          <w:rFonts w:cs="Times New Roman"/>
        </w:rPr>
        <w:fldChar w:fldCharType="separate"/>
      </w:r>
      <w:r w:rsidRPr="005E3C7C">
        <w:rPr>
          <w:rFonts w:cs="Times New Roman"/>
          <w:noProof/>
        </w:rPr>
        <w:t>(Nugroho &amp; Iryanti, 2023)</w:t>
      </w:r>
      <w:r w:rsidRPr="005E3C7C">
        <w:rPr>
          <w:rFonts w:cs="Times New Roman"/>
        </w:rPr>
        <w:fldChar w:fldCharType="end"/>
      </w:r>
      <w:r w:rsidRPr="005E3C7C">
        <w:rPr>
          <w:rFonts w:cs="Times New Roman"/>
        </w:rPr>
        <w:t xml:space="preserve"> Training is an activity to improve the ability and improve employee performance in carrying out their duties by increasing specific expertise, knowledge, skills, attitudes and behaviour related to work. In addition, universities also facilitate cooperation with various parties, including industry, to ensure graduates have skills that are relevant to labour market needs </w:t>
      </w:r>
      <w:r w:rsidRPr="005E3C7C">
        <w:rPr>
          <w:rFonts w:cs="Times New Roman"/>
        </w:rPr>
        <w:fldChar w:fldCharType="begin" w:fldLock="1"/>
      </w:r>
      <w:r w:rsidRPr="005E3C7C">
        <w:rPr>
          <w:rFonts w:cs="Times New Roman"/>
        </w:rPr>
        <w:instrText>ADDIN CSL_CITATION {"citationItems":[{"id":"ITEM-1","itemData":{"author":[{"dropping-particle":"","family":"Rahmawati","given":"Aulia","non-dropping-particle":"","parse-names":false,"suffix":""},{"dropping-particle":"","family":"Rahmi","given":"Sri","non-dropping-particle":"","parse-names":false,"suffix":""}],"id":"ITEM-1","issue":"6","issued":{"date-parts":[["2024"]]},"page":"8161-8175","title":"Peran kolaborasi dalam perguruan tinggi","type":"article-journal","volume":"5"},"uris":["http://www.mendeley.com/documents/?uuid=bf98e0a4-8ac1-4dd6-acb7-a88ab659d9de"]}],"mendeley":{"formattedCitation":"(Rahmawati &amp; Rahmi, 2024)","plainTextFormattedCitation":"(Rahmawati &amp; Rahmi, 2024)","previouslyFormattedCitation":"(Rahmawati &amp; Rahmi, 2024)"},"properties":{"noteIndex":0},"schema":"https://github.com/citation-style-language/schema/raw/master/csl-citation.json"}</w:instrText>
      </w:r>
      <w:r w:rsidRPr="005E3C7C">
        <w:rPr>
          <w:rFonts w:cs="Times New Roman"/>
        </w:rPr>
        <w:fldChar w:fldCharType="separate"/>
      </w:r>
      <w:r w:rsidRPr="005E3C7C">
        <w:rPr>
          <w:rFonts w:cs="Times New Roman"/>
          <w:noProof/>
        </w:rPr>
        <w:t>(Rahmawati &amp; Rahmi, 2024)</w:t>
      </w:r>
      <w:r w:rsidRPr="005E3C7C">
        <w:rPr>
          <w:rFonts w:cs="Times New Roman"/>
        </w:rPr>
        <w:fldChar w:fldCharType="end"/>
      </w:r>
      <w:r w:rsidRPr="005E3C7C">
        <w:rPr>
          <w:rFonts w:cs="Times New Roman"/>
        </w:rPr>
        <w:t xml:space="preserve"> This activity aims to improve community skills and make a positive contribution to community development. Well-established cooperation between universities and communities can have a positive impact on the progress of education and development in Indonesia.</w:t>
      </w:r>
    </w:p>
    <w:p w14:paraId="00856754" w14:textId="77777777" w:rsidR="00BA3F75" w:rsidRPr="005E3C7C" w:rsidRDefault="005F07C4" w:rsidP="00BA3F75">
      <w:pPr>
        <w:ind w:left="0" w:firstLine="709"/>
        <w:rPr>
          <w:rFonts w:cs="Times New Roman"/>
        </w:rPr>
      </w:pPr>
      <w:r w:rsidRPr="005E3C7C">
        <w:rPr>
          <w:rFonts w:cs="Times New Roman"/>
        </w:rPr>
        <w:t xml:space="preserve">Improving people's knowledge, skills and competitiveness in social, cultural and economic fields are the main objectives in this training activity. Non-formal education programme participants are given equal access to employment opportunities, even though many of them are initially less competitive in the world of work due to limited knowledge and skills. As part of the institution's moral responsibility, training is also provided to teachers to support educational development. Peserta didik diharapkan membekali diri dengan pengetahuan, keterampilan, dan sikap yang dibutuhkan untuk memasuki dunia kerja. Learners are expected to equip themselves with the knowledge, skills and attitudes needed to enter the world of work. Learners are expected to equip themselves with the knowledge, skills and attitudes needed to enter the world of work. The development of soft and hard skills is a model of learning intervention that is carried out to increase the entrepreneurial intelligence and self-confidence of a person through education in formal schools The development of soft and hard skills is a model of learning intervention that is carried out to increase the entrepreneurial intelligence and self-confidence of a person through education in formal schools </w:t>
      </w:r>
      <w:r w:rsidRPr="005E3C7C">
        <w:rPr>
          <w:rFonts w:cs="Times New Roman"/>
        </w:rPr>
        <w:fldChar w:fldCharType="begin" w:fldLock="1"/>
      </w:r>
      <w:r w:rsidRPr="005E3C7C">
        <w:rPr>
          <w:rFonts w:cs="Times New Roman"/>
        </w:rPr>
        <w:instrText>ADDIN CSL_CITATION {"citationItems":[{"id":"ITEM-1","itemData":{"ISBN":"1428114289","abstract":"… Kewirausahaan ini juga penting untuk pustakawan karena dengan adanya kewirausahaan seorang pustakawan menjadi upgrade diri (… dapat me-upgrade diri tidak akan mendapatkan …","author":[{"dropping-particle":"","family":"Pratiwi","given":"W E","non-dropping-particle":"","parse-names":false,"suffix":""},{"dropping-particle":"","family":"Setyowati","given":"R","non-dropping-particle":"","parse-names":false,"suffix":""},{"dropping-particle":"","family":"Shomad","given":"M","non-dropping-particle":"","parse-names":false,"suffix":""}],"container-title":"Jurnal Pendidikan Tambusai","id":"ITEM-1","issued":{"date-parts":[["2023"]]},"page":"14281-14289","title":"Pengembangan Soft Skill dan Hard Skill Tenaga Kependidikan Melalui Kewirausahaan sebagai Upgrading Diri","type":"article-journal","volume":"7"},"uris":["http://www.mendeley.com/documents/?uuid=1efd1d45-df97-4f9a-a3c2-0295a3f8ba85"]}],"mendeley":{"formattedCitation":"(Pratiwi et al., 2023)","plainTextFormattedCitation":"(Pratiwi et al., 2023)","previouslyFormattedCitation":"(Pratiwi et al., 2023)"},"properties":{"noteIndex":0},"schema":"https://github.com/citation-style-language/schema/raw/master/csl-citation.json"}</w:instrText>
      </w:r>
      <w:r w:rsidRPr="005E3C7C">
        <w:rPr>
          <w:rFonts w:cs="Times New Roman"/>
        </w:rPr>
        <w:fldChar w:fldCharType="separate"/>
      </w:r>
      <w:r w:rsidRPr="005E3C7C">
        <w:rPr>
          <w:rFonts w:cs="Times New Roman"/>
          <w:noProof/>
        </w:rPr>
        <w:t>(Pratiwi et al., 2023)</w:t>
      </w:r>
      <w:r w:rsidRPr="005E3C7C">
        <w:rPr>
          <w:rFonts w:cs="Times New Roman"/>
        </w:rPr>
        <w:fldChar w:fldCharType="end"/>
      </w:r>
      <w:r w:rsidRPr="005E3C7C">
        <w:rPr>
          <w:rFonts w:cs="Times New Roman"/>
        </w:rPr>
        <w:t>.</w:t>
      </w:r>
    </w:p>
    <w:p w14:paraId="4DA78B38" w14:textId="64C1C768" w:rsidR="00BA3F75" w:rsidRPr="005E3C7C" w:rsidRDefault="005F07C4" w:rsidP="00BA3F75">
      <w:pPr>
        <w:ind w:left="0" w:firstLine="709"/>
        <w:rPr>
          <w:rFonts w:cs="Times New Roman"/>
        </w:rPr>
      </w:pPr>
      <w:r w:rsidRPr="005E3C7C">
        <w:rPr>
          <w:rFonts w:cs="Times New Roman"/>
        </w:rPr>
        <w:t xml:space="preserve">In addition, the training programme has improved technological literacy among teachers, with many teachers reporting mastery of the use of various technological tools and applications to support learning </w:t>
      </w:r>
      <w:r w:rsidRPr="005E3C7C">
        <w:rPr>
          <w:rFonts w:cs="Times New Roman"/>
        </w:rPr>
        <w:fldChar w:fldCharType="begin" w:fldLock="1"/>
      </w:r>
      <w:r w:rsidRPr="005E3C7C">
        <w:rPr>
          <w:rFonts w:cs="Times New Roman"/>
        </w:rPr>
        <w:instrText>ADDIN CSL_CITATION {"citationItems":[{"id":"ITEM-1","itemData":{"DOI":"10.31004/joe.v7i1.6959","ISSN":"2655-1365","abstract":"This research aims to analyze the impact of teacher training programs on improving the quality of teaching in Vocational High Schools (SMK). The research method used is a qualitative approach by collecting data through in-depth interviews, observation and document analysis from several vocational schools in Indonesia. The research results show that the teacher training program makes a significant contribution to increasing pedagogical competence, the application of technology in learning, more effective classroom management, and increasing teacher motivation and job satisfaction. Factors that influence the effectiveness of training programs include the quality of instructors, relevance of training materials, support and facilities from schools, teacher motivation, training methods, and ongoing evaluation and feedback. The relevance of training materials to teaching needs is very important to ensure that teachers acquire knowledge and skills that are in accordance with applicable curriculum requirements and competency standards. Based on these findings, it is recommended to improve the quality and competence of instructors, prepare relevant training materials, provide full support from schools, increase teacher motivation and commitment, and carry out regular evaluation and program adjustments. With these steps, it is hoped that teacher training programs in vocational schools can be more effective in improving teacher professionalism and the overall quality of education.","author":[{"dropping-particle":"","family":"Suhaedin","given":"Enjang","non-dropping-particle":"","parse-names":false,"suffix":""},{"dropping-particle":"","family":"Oriza","given":"Wike","non-dropping-particle":"","parse-names":false,"suffix":""},{"dropping-particle":"","family":"Ambiyar","given":"Ambiyar","non-dropping-particle":"","parse-names":false,"suffix":""},{"dropping-particle":"","family":"Rizal","given":"Fahmi","non-dropping-particle":"","parse-names":false,"suffix":""}],"container-title":"Journal on Education","id":"ITEM-1","issue":"1","issued":{"date-parts":[["2024"]]},"page":"3629-3638","title":"Analisis Dampak Program Pelatihan Guru terhadap Kualitas Pengajaran di SMK","type":"article-journal","volume":"7"},"uris":["http://www.mendeley.com/documents/?uuid=f8b6a9f3-08da-476f-8dac-43d781b8242f"]}],"mendeley":{"formattedCitation":"(Suhaedin et al., 2024)","plainTextFormattedCitation":"(Suhaedin et al., 2024)","previouslyFormattedCitation":"(Suhaedin et al., 2024)"},"properties":{"noteIndex":0},"schema":"https://github.com/citation-style-language/schema/raw/master/csl-citation.json"}</w:instrText>
      </w:r>
      <w:r w:rsidRPr="005E3C7C">
        <w:rPr>
          <w:rFonts w:cs="Times New Roman"/>
        </w:rPr>
        <w:fldChar w:fldCharType="separate"/>
      </w:r>
      <w:r w:rsidRPr="005E3C7C">
        <w:rPr>
          <w:rFonts w:cs="Times New Roman"/>
          <w:noProof/>
        </w:rPr>
        <w:t>(Suhaedin et al., 2024)</w:t>
      </w:r>
      <w:r w:rsidRPr="005E3C7C">
        <w:rPr>
          <w:rFonts w:cs="Times New Roman"/>
        </w:rPr>
        <w:fldChar w:fldCharType="end"/>
      </w:r>
      <w:r w:rsidRPr="005E3C7C">
        <w:rPr>
          <w:rFonts w:cs="Times New Roman"/>
        </w:rPr>
        <w:t xml:space="preserve">. Skills-based non-formal </w:t>
      </w:r>
      <w:r w:rsidRPr="005E3C7C">
        <w:rPr>
          <w:rFonts w:cs="Times New Roman"/>
        </w:rPr>
        <w:lastRenderedPageBreak/>
        <w:t xml:space="preserve">education has a significant influence on improving the competitiveness of individuals in the labour market. It is proven that the growth of non-formal education has a significant impact on improving the quality of human resources in this modern era </w:t>
      </w:r>
      <w:r w:rsidRPr="005E3C7C">
        <w:rPr>
          <w:rFonts w:cs="Times New Roman"/>
        </w:rPr>
        <w:fldChar w:fldCharType="begin" w:fldLock="1"/>
      </w:r>
      <w:r w:rsidR="00BA3F75" w:rsidRPr="005E3C7C">
        <w:rPr>
          <w:rFonts w:cs="Times New Roman"/>
        </w:rPr>
        <w:instrText>ADDIN CSL_CITATION {"citationItems":[{"id":"ITEM-1","itemData":{"author":[{"dropping-particle":"","family":"Jihan","given":"Adelia","non-dropping-particle":"","parse-names":false,"suffix":""},{"dropping-particle":"","family":"Sari","given":"Tiara","non-dropping-particle":"","parse-names":false,"suffix":""},{"dropping-particle":"","family":"Wardana","given":"Ahmad Hadziq","non-dropping-particle":"","parse-names":false,"suffix":""},{"dropping-particle":"","family":"Nur","given":"Moch","non-dropping-particle":"","parse-names":false,"suffix":""},{"dropping-particle":"","family":"Rosyid","given":"Ilham","non-dropping-particle":"","parse-names":false,"suffix":""},{"dropping-particle":"","family":"Rasyad","given":"Ach","non-dropping-particle":"","parse-names":false,"suffix":""}],"id":"ITEM-1","issued":{"date-parts":[["2022"]]},"page":"76-82","title":"Literatur Review : Tren Perkembangan Pendidikan Non-Formal di Indonesia","type":"article-journal","volume":"7"},"uris":["http://www.mendeley.com/documents/?uuid=b3694cc1-6708-4415-9620-a6fcf90b84b1"]}],"mendeley":{"formattedCitation":"(Jihan et al., 2022)","plainTextFormattedCitation":"(Jihan et al., 2022)","previouslyFormattedCitation":"(Jihan et al., 2022)"},"properties":{"noteIndex":0},"schema":"https://github.com/citation-style-language/schema/raw/master/csl-citation.json"}</w:instrText>
      </w:r>
      <w:r w:rsidRPr="005E3C7C">
        <w:rPr>
          <w:rFonts w:cs="Times New Roman"/>
        </w:rPr>
        <w:fldChar w:fldCharType="separate"/>
      </w:r>
      <w:r w:rsidRPr="005E3C7C">
        <w:rPr>
          <w:rFonts w:cs="Times New Roman"/>
          <w:noProof/>
        </w:rPr>
        <w:t>(Jihan et al., 2022)</w:t>
      </w:r>
      <w:r w:rsidRPr="005E3C7C">
        <w:rPr>
          <w:rFonts w:cs="Times New Roman"/>
        </w:rPr>
        <w:fldChar w:fldCharType="end"/>
      </w:r>
      <w:r w:rsidR="00BA3F75" w:rsidRPr="005E3C7C">
        <w:rPr>
          <w:rFonts w:cs="Times New Roman"/>
        </w:rPr>
        <w:t xml:space="preserve"> Community-based training is essential to promote economic independence, which also supports the socio-cultural development of the community. It enables graduates to immediately put their knowledge, both technical and interpersonal skills, into practice in the world of work. Such programmes also contribute to the overall social and economic development of the community.</w:t>
      </w:r>
    </w:p>
    <w:p w14:paraId="40D7F7B4" w14:textId="2F94B34B" w:rsidR="003E2F11" w:rsidRPr="005E3C7C" w:rsidRDefault="00BA3F75" w:rsidP="00BA3F75">
      <w:pPr>
        <w:ind w:left="0" w:firstLine="709"/>
        <w:rPr>
          <w:rFonts w:cs="Times New Roman"/>
        </w:rPr>
      </w:pPr>
      <w:r w:rsidRPr="005E3C7C">
        <w:rPr>
          <w:rFonts w:cs="Times New Roman"/>
        </w:rPr>
        <w:t>However, in implementing training on making certificates, e-flyers, and webinars using Canva, several challenges emerged, such as internet connection constraints that could affect participants' smooth access to training materials. An unstable connection can hinder the use of the Canva application, which is highly dependent on the internet. In addition, premium Canva features that are often needed for more complex designs often require a subscription fee, which may not be affordable for all participants, especially for those who only use the free version. Another challenge is the consistency of participants in attending the training. Given that this training is purely based on participant initiative, some may find it difficult to stay committed, especially with a busy schedule.</w:t>
      </w:r>
    </w:p>
    <w:p w14:paraId="034EC0FE" w14:textId="1890E0C9" w:rsidR="00AD10F9" w:rsidRDefault="00AD10F9" w:rsidP="00AD10F9">
      <w:pPr>
        <w:ind w:left="0" w:firstLine="0"/>
        <w:rPr>
          <w:i/>
        </w:rPr>
      </w:pPr>
    </w:p>
    <w:p w14:paraId="6BBA2E6F" w14:textId="77777777" w:rsidR="003E2F11" w:rsidRDefault="003E2F11" w:rsidP="00060C6B">
      <w:pPr>
        <w:ind w:left="0" w:firstLine="0"/>
        <w:rPr>
          <w:b/>
          <w:lang w:val="en-US"/>
        </w:rPr>
      </w:pPr>
      <w:r>
        <w:rPr>
          <w:b/>
          <w:lang w:val="en-US"/>
        </w:rPr>
        <w:t>RESEARCH METHOD</w:t>
      </w:r>
    </w:p>
    <w:p w14:paraId="1D1E6688" w14:textId="32E6B0C8" w:rsidR="00AD10F9" w:rsidRDefault="00AD10F9" w:rsidP="00AD10F9">
      <w:pPr>
        <w:ind w:left="0" w:firstLine="0"/>
        <w:rPr>
          <w:i/>
        </w:rPr>
      </w:pPr>
    </w:p>
    <w:p w14:paraId="0C0D6AE4" w14:textId="77777777" w:rsidR="00BA3F75" w:rsidRPr="005E3C7C" w:rsidRDefault="00BA3F75" w:rsidP="00BA3F75">
      <w:pPr>
        <w:ind w:left="0" w:firstLine="709"/>
        <w:rPr>
          <w:rFonts w:cs="Times New Roman"/>
        </w:rPr>
      </w:pPr>
      <w:r w:rsidRPr="005E3C7C">
        <w:rPr>
          <w:rFonts w:eastAsia="Book Antiqua" w:cs="Times New Roman"/>
        </w:rPr>
        <w:t>Online learning, skills training, lecture plus, and team teaching are the methods used in an effort to improve student competence in this research. There is a significant difference in the post-test results between participants with and without a design background. Participants with a design background tend to be more creative and innovative in creating e-brochures and certificates. They are freer to explore new and unique design concepts, while participants without a design background may be more limited, tending to rely on existing templates. Participants with a design background are also more sensitive to important visual elements, such as color selection, typography, and composition. They can create designs that are not only attractive but also easy to understand and pleasing to the eye. Meanwhile, participants without a design background may pay less attention to these visual aspects, which can potentially affect the overall quality of the e-brochures and certificates they create.</w:t>
      </w:r>
    </w:p>
    <w:p w14:paraId="7FA24B40" w14:textId="77777777" w:rsidR="00BA3F75" w:rsidRPr="005E3C7C" w:rsidRDefault="00BA3F75" w:rsidP="00BA3F75">
      <w:pPr>
        <w:ind w:left="0" w:firstLine="709"/>
        <w:rPr>
          <w:rFonts w:eastAsia="Book Antiqua" w:cs="Times New Roman"/>
        </w:rPr>
      </w:pPr>
      <w:r w:rsidRPr="005E3C7C">
        <w:rPr>
          <w:rFonts w:eastAsia="Book Antiqua" w:cs="Times New Roman"/>
        </w:rPr>
        <w:t>Eleven participants were the main target of this activity, with full support from a team of lecturers who acted as activity partners. The training participants for student assistance in making certificates, e-flyers, and webinars using the Canva application at CV Teman Kolaborasi Anda Kota Depok are open to students who are still in college or fresh graduates, with selection criteria adjusted to the educational background and experience of the participants. Although this training is more focused on students and fresh graduates, high school students can also take this training to prepare themselves to enter the world of work. So, participants have the skills that are in accordance with the demands of the modern industrial world. This program can be said to be successful and has many benefits. Therefore, it is hoped that this good relationship can continue in the future.</w:t>
      </w:r>
    </w:p>
    <w:p w14:paraId="3D5531DE" w14:textId="782FD039" w:rsidR="00BA3F75" w:rsidRPr="005E3C7C" w:rsidRDefault="00BA3F75" w:rsidP="00BA3F75">
      <w:pPr>
        <w:ind w:left="0" w:firstLine="709"/>
        <w:rPr>
          <w:rFonts w:eastAsia="Book Antiqua" w:cs="Times New Roman"/>
        </w:rPr>
      </w:pPr>
      <w:r w:rsidRPr="005E3C7C">
        <w:rPr>
          <w:rFonts w:eastAsia="Book Antiqua" w:cs="Times New Roman"/>
        </w:rPr>
        <w:t xml:space="preserve">The programme was designed to enrich knowledge, improve practical skills, and provide additional relevant training to prepare them for the world of work. Research conducted by Muliarta </w:t>
      </w:r>
      <w:r w:rsidRPr="005E3C7C">
        <w:rPr>
          <w:rFonts w:eastAsia="Book Antiqua" w:cs="Times New Roman"/>
        </w:rPr>
        <w:fldChar w:fldCharType="begin" w:fldLock="1"/>
      </w:r>
      <w:r w:rsidRPr="005E3C7C">
        <w:rPr>
          <w:rFonts w:eastAsia="Book Antiqua" w:cs="Times New Roman"/>
        </w:rPr>
        <w:instrText>ADDIN CSL_CITATION {"citationItems":[{"id":"ITEM-1","itemData":{"author":[{"dropping-particle":"","family":"Yanuar","given":"Muhammad","non-dropping-particle":"","parse-names":false,"suffix":""},{"dropping-particle":"","family":"Prasetyo","given":"Akbar","non-dropping-particle":"","parse-names":false,"suffix":""}],"id":"ITEM-1","issue":"4","issued":{"date-parts":[["2024"]]},"page":"624-643","title":"PENERAPAN PROBLEM BASE LEARNING UNTUK","type":"article-journal","volume":"5"},"uris":["http://www.mendeley.com/documents/?uuid=ea9a5c6d-f689-4b14-ab87-a69e2947c927"]}],"mendeley":{"formattedCitation":"(Yanuar &amp; Prasetyo, 2024)","plainTextFormattedCitation":"(Yanuar &amp; Prasetyo, 2024)","previouslyFormattedCitation":"(Yanuar &amp; Prasetyo, 2024)"},"properties":{"noteIndex":0},"schema":"https://github.com/citation-style-language/schema/raw/master/csl-citation.json"}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(Yanuar &amp; Prasetyo, 2024)</w:t>
      </w:r>
      <w:r w:rsidRPr="005E3C7C">
        <w:rPr>
          <w:rFonts w:eastAsia="Book Antiqua" w:cs="Times New Roman"/>
        </w:rPr>
        <w:fldChar w:fldCharType="end"/>
      </w:r>
      <w:r w:rsidRPr="005E3C7C">
        <w:rPr>
          <w:rFonts w:eastAsia="Book Antiqua" w:cs="Times New Roman"/>
        </w:rPr>
        <w:t xml:space="preserve"> problem-based learning is a learner-centred educational approach that places a strong emphasis on developing critical thinking skills to address real-world problems. According to Astuti </w:t>
      </w:r>
      <w:r w:rsidRPr="005E3C7C">
        <w:rPr>
          <w:rFonts w:eastAsia="Book Antiqua" w:cs="Times New Roman"/>
        </w:rPr>
        <w:fldChar w:fldCharType="begin" w:fldLock="1"/>
      </w:r>
      <w:r w:rsidRPr="005E3C7C">
        <w:rPr>
          <w:rFonts w:eastAsia="Book Antiqua" w:cs="Times New Roman"/>
        </w:rPr>
        <w:instrText>ADDIN CSL_CITATION {"citationItems":[{"id":"ITEM-1","itemData":{"DOI":"10.47435/jpdk.v7i2.1322","ISSN":"2715-6818","abstract":"The impact of the Covid-19 outbreak on the education sector is the learning process that must be carried out online during the outbreak. However, over time, the Covid-19 outbreak began to subside and the learning process began to be carried out face to face. In this study, it discusses student perceptions of face-to-face learning after online learning. The research design used is descriptive qualitative. Data collection techniques using interviews and observation. The results of the study showed that offline learning is more attractive to students because it is easy to implement and offline learning gives them a wider space so that they are more flexible in discussions and ask questions of educators and peers.","author":[{"dropping-particle":"","family":"Akhmad","given":"Mawadda Warahma","non-dropping-particle":"","parse-names":false,"suffix":""},{"dropping-particle":"","family":"Norhidayah","given":"Norhidayah","non-dropping-particle":"","parse-names":false,"suffix":""},{"dropping-particle":"","family":"Ilhami","given":"Rosita","non-dropping-particle":"","parse-names":false,"suffix":""},{"dropping-particle":"","family":"Aisyah","given":"Nur","non-dropping-particle":"","parse-names":false,"suffix":""},{"dropping-particle":"","family":"Danial","given":"Danial","non-dropping-particle":"","parse-names":false,"suffix":""},{"dropping-particle":"","family":"Nur","given":"Makmur Jaya","non-dropping-particle":"","parse-names":false,"suffix":""}],"container-title":"Jurnal Pendidikan Dasar dan Keguruan","id":"ITEM-1","issue":"2","issued":{"date-parts":[["2022"]]},"page":"26-32","title":"Persepsi Mahasiswa Terhadap Pembelajaran Tatap Muka Pasca Pembelajaran Daring","type":"article-journal","volume":"7"},"uris":["http://www.mendeley.com/documents/?uuid=1ae9fa57-a96e-4907-af5f-d0c9a296db1c"]}],"mendeley":{"formattedCitation":"(Akhmad et al., 2022)","plainTextFormattedCitation":"(Akhmad et al., 2022)","previouslyFormattedCitation":"(Akhmad et al., 2022)"},"properties":{"noteIndex":0},"schema":"https://github.com/citation-style-language/schema/raw/master/csl-citation.json"}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(Akhmad et al., 2022)</w:t>
      </w:r>
      <w:r w:rsidRPr="005E3C7C">
        <w:rPr>
          <w:rFonts w:eastAsia="Book Antiqua" w:cs="Times New Roman"/>
        </w:rPr>
        <w:fldChar w:fldCharType="end"/>
      </w:r>
      <w:r w:rsidRPr="005E3C7C">
        <w:rPr>
          <w:rFonts w:eastAsia="Book Antiqua" w:cs="Times New Roman"/>
        </w:rPr>
        <w:t xml:space="preserve">. Online learning provides flexibility while expanding student access to materials that are contextual to labour market needs. In the context of education, collaboration between lecturers, students, and other related parties can lead to innovations in learning, </w:t>
      </w:r>
      <w:r w:rsidRPr="005E3C7C">
        <w:rPr>
          <w:rFonts w:eastAsia="Book Antiqua" w:cs="Times New Roman"/>
        </w:rPr>
        <w:lastRenderedPageBreak/>
        <w:t xml:space="preserve">research, and curriculum development </w:t>
      </w:r>
      <w:r w:rsidRPr="005E3C7C">
        <w:rPr>
          <w:rFonts w:eastAsia="Book Antiqua" w:cs="Times New Roman"/>
        </w:rPr>
        <w:fldChar w:fldCharType="begin" w:fldLock="1"/>
      </w:r>
      <w:r w:rsidRPr="005E3C7C">
        <w:rPr>
          <w:rFonts w:eastAsia="Book Antiqua" w:cs="Times New Roman"/>
        </w:rPr>
        <w:instrText>ADDIN CSL_CITATION {"citationItems":[{"id":"ITEM-1","itemData":{"ISBN":"1428114289","abstract":"… Kewirausahaan ini juga penting untuk pustakawan karena dengan adanya kewirausahaan seorang pustakawan menjadi upgrade diri (… dapat me-upgrade diri tidak akan mendapatkan …","author":[{"dropping-particle":"","family":"Pratiwi","given":"W E","non-dropping-particle":"","parse-names":false,"suffix":""},{"dropping-particle":"","family":"Setyowati","given":"R","non-dropping-particle":"","parse-names":false,"suffix":""},{"dropping-particle":"","family":"Shomad","given":"M","non-dropping-particle":"","parse-names":false,"suffix":""}],"container-title":"Jurnal Pendidikan Tambusai","id":"ITEM-1","issued":{"date-parts":[["2023"]]},"page":"14281-14289","title":"Pengembangan Soft Skill dan Hard Skill Tenaga Kependidikan Melalui Kewirausahaan sebagai Upgrading Diri","type":"article-journal","volume":"7"},"uris":["http://www.mendeley.com/documents/?uuid=1efd1d45-df97-4f9a-a3c2-0295a3f8ba85"]}],"mendeley":{"formattedCitation":"(Pratiwi et al., 2023)","plainTextFormattedCitation":"(Pratiwi et al., 2023)","previouslyFormattedCitation":"(Pratiwi et al., 2023)"},"properties":{"noteIndex":0},"schema":"https://github.com/citation-style-language/schema/raw/master/csl-citation.json"}</w:instrText>
      </w:r>
      <w:r w:rsidRPr="005E3C7C">
        <w:rPr>
          <w:rFonts w:eastAsia="Book Antiqua" w:cs="Times New Roman"/>
        </w:rPr>
        <w:fldChar w:fldCharType="separate"/>
      </w:r>
      <w:r w:rsidRPr="005E3C7C">
        <w:rPr>
          <w:rFonts w:eastAsia="Book Antiqua" w:cs="Times New Roman"/>
          <w:noProof/>
        </w:rPr>
        <w:t>(Pratiwi et al., 2023)</w:t>
      </w:r>
      <w:r w:rsidRPr="005E3C7C">
        <w:rPr>
          <w:rFonts w:eastAsia="Book Antiqua" w:cs="Times New Roman"/>
        </w:rPr>
        <w:fldChar w:fldCharType="end"/>
      </w:r>
      <w:r w:rsidRPr="005E3C7C">
        <w:rPr>
          <w:rFonts w:eastAsia="Book Antiqua" w:cs="Times New Roman"/>
        </w:rPr>
        <w:t>. This collaborative effort between lecturers and students has also proven effective in fostering soft skills, such as communication and teamwork.</w:t>
      </w:r>
    </w:p>
    <w:p w14:paraId="20628E43" w14:textId="784A9D3E" w:rsidR="00AD10F9" w:rsidRDefault="00AD10F9" w:rsidP="00AD10F9">
      <w:pPr>
        <w:ind w:left="0" w:firstLine="0"/>
        <w:rPr>
          <w:i/>
        </w:rPr>
      </w:pPr>
    </w:p>
    <w:p w14:paraId="020B13E1" w14:textId="54F21F80" w:rsidR="00B27BD9" w:rsidRPr="0080596A" w:rsidRDefault="003E2F11" w:rsidP="00B27BD9">
      <w:pPr>
        <w:ind w:left="0" w:firstLine="0"/>
        <w:rPr>
          <w:b/>
          <w:lang w:val="en-US"/>
        </w:rPr>
      </w:pPr>
      <w:r w:rsidRPr="003E2F11">
        <w:rPr>
          <w:b/>
          <w:lang w:val="en-US"/>
        </w:rPr>
        <w:t>R</w:t>
      </w:r>
      <w:r>
        <w:rPr>
          <w:b/>
          <w:lang w:val="en-US"/>
        </w:rPr>
        <w:t>ESEARCH RESULTS AND DISCUSSION</w:t>
      </w:r>
    </w:p>
    <w:p w14:paraId="3EE2F7DF" w14:textId="77777777" w:rsidR="00BA3F75" w:rsidRPr="005E3C7C" w:rsidRDefault="00BA3F75" w:rsidP="00BA3F75">
      <w:pPr>
        <w:ind w:left="0" w:firstLine="720"/>
        <w:rPr>
          <w:rFonts w:cs="Times New Roman"/>
        </w:rPr>
      </w:pPr>
      <w:r w:rsidRPr="005E3C7C">
        <w:rPr>
          <w:rFonts w:cs="Times New Roman"/>
        </w:rPr>
        <w:t>To assess the level of understanding of the participants during the training, the 11 trainees were asked to complete a Pre-test before the start of the training activities and a Post-test after the presenters had delivered the material. Both assessments were submitted via Google Form and included the same 10-point questions about the material covered by both speakers. 84% of participants had higher Post-Test scores than Pre-Test scores, based on a comparison of the team's Pre-Test and Post-Test results. However, four participants had no change in score, which serves as a reminder to revisit and improve the way the material was delivered.</w:t>
      </w:r>
    </w:p>
    <w:p w14:paraId="350B5C9E" w14:textId="77777777" w:rsidR="005E3C7C" w:rsidRPr="005E3C7C" w:rsidRDefault="00BA3F75" w:rsidP="005E3C7C">
      <w:pPr>
        <w:ind w:left="0" w:firstLine="720"/>
        <w:rPr>
          <w:rFonts w:cs="Times New Roman"/>
        </w:rPr>
      </w:pPr>
      <w:r w:rsidRPr="005E3C7C">
        <w:rPr>
          <w:rFonts w:cs="Times New Roman"/>
        </w:rPr>
        <w:t xml:space="preserve">In the first session, the current state of the industrial world was explained in a lecture format. We must be able to stand out in the face of fierce competition in the workplace due to the rapid development and expansion of technology. This is in line with research conducted by (Schwab, 2016) in The Fourth Industrial Revolution which states that the ability to adapt to new technologies and be creative is essential for personal achievement in this age. Preparation must be done as early as possible. Having the necessary knowledge and skills is essential in the industrial era 4.0. The lecture plus technique, which combines oral explanation with question and answer sessions, demonstrations, and practical activities, was used in the second part of the theory session. The lecture plus method is a teaching method that uses more than one method, namely the lecture method combined with other methods </w:t>
      </w:r>
      <w:r w:rsidRPr="005E3C7C">
        <w:rPr>
          <w:rFonts w:cs="Times New Roman"/>
        </w:rPr>
        <w:fldChar w:fldCharType="begin" w:fldLock="1"/>
      </w:r>
      <w:r w:rsidR="005E3C7C" w:rsidRPr="005E3C7C">
        <w:rPr>
          <w:rFonts w:cs="Times New Roman"/>
        </w:rPr>
        <w:instrText>ADDIN CSL_CITATION {"citationItems":[{"id":"ITEM-1","itemData":{"abstract":"… Hal ini ditunjukkan dengan adanya kewajiban guru PAI untuk ikut serta dalam kegiatan MGMP. Kegiatan MGMP PAI ini sendiri dilaksanakan dalam rangka meningkatkan …","author":[{"dropping-particle":"","family":"Prayogi","given":"A","non-dropping-particle":"","parse-names":false,"suffix":""}],"container-title":"Action Research Journal","id":"ITEM-1","issued":{"date-parts":[["2024"]]},"title":"Metode Ceramah Plus dalam Mata Pelajaran Pendidikan Agama Islam Pada Peserta Didik SMP NU KaPenerapanjen","type":"article-journal"},"uris":["http://www.mendeley.com/documents/?uuid=8f3d2bae-6f62-41cf-8055-095f70f65817"]}],"mendeley":{"formattedCitation":"(Prayogi, 2024)","plainTextFormattedCitation":"(Prayogi, 2024)","previouslyFormattedCitation":"(Prayogi, 2024)"},"properties":{"noteIndex":0},"schema":"https://github.com/citation-style-language/schema/raw/master/csl-citation.json"}</w:instrText>
      </w:r>
      <w:r w:rsidRPr="005E3C7C">
        <w:rPr>
          <w:rFonts w:cs="Times New Roman"/>
        </w:rPr>
        <w:fldChar w:fldCharType="separate"/>
      </w:r>
      <w:r w:rsidRPr="005E3C7C">
        <w:rPr>
          <w:rFonts w:cs="Times New Roman"/>
          <w:noProof/>
        </w:rPr>
        <w:t>(Prayogi, 2024)</w:t>
      </w:r>
      <w:r w:rsidRPr="005E3C7C">
        <w:rPr>
          <w:rFonts w:cs="Times New Roman"/>
        </w:rPr>
        <w:fldChar w:fldCharType="end"/>
      </w:r>
      <w:r w:rsidRPr="005E3C7C">
        <w:rPr>
          <w:rFonts w:cs="Times New Roman"/>
        </w:rPr>
        <w:t>. However, the lecture plus method actually still refers to the use of the lecture method in learning. The purpose of the application of the lecture plus method is to correct various weaknesses that are specific to the use of the lecture method. The creation of e-flyers and certificates is the main topic of material that is delivered technically and intellectually. To produce designs that complement the organisation's visual identity, participants received instruction on design components, including how to use visual features such as logos.</w:t>
      </w:r>
    </w:p>
    <w:p w14:paraId="52743E8B" w14:textId="77777777" w:rsidR="005E3C7C" w:rsidRPr="005E3C7C" w:rsidRDefault="00BA3F75" w:rsidP="005E3C7C">
      <w:pPr>
        <w:ind w:left="0" w:firstLine="720"/>
        <w:rPr>
          <w:rFonts w:cs="Times New Roman"/>
        </w:rPr>
      </w:pPr>
      <w:r w:rsidRPr="005E3C7C">
        <w:rPr>
          <w:rFonts w:cs="Times New Roman"/>
        </w:rPr>
        <w:t>In this session, participants were given an explanation of making e-flyers and certificates, both in theory and technical steps. Through the Canva application, it is easier to make certificates in a more practical and easier way</w:t>
      </w:r>
      <w:r w:rsidR="005E3C7C" w:rsidRPr="005E3C7C">
        <w:rPr>
          <w:rFonts w:cs="Times New Roman"/>
        </w:rPr>
        <w:t xml:space="preserve"> </w:t>
      </w:r>
      <w:r w:rsidR="005E3C7C" w:rsidRPr="005E3C7C">
        <w:rPr>
          <w:rFonts w:cs="Times New Roman"/>
        </w:rPr>
        <w:fldChar w:fldCharType="begin" w:fldLock="1"/>
      </w:r>
      <w:r w:rsidR="005E3C7C" w:rsidRPr="005E3C7C">
        <w:rPr>
          <w:rFonts w:cs="Times New Roman"/>
        </w:rPr>
        <w:instrText>ADDIN CSL_CITATION {"citationItems":[{"id":"ITEM-1","itemData":{"DOI":"10.30998/ks.v2i1.1772","abstract":"Perkembangan teknologi informasi berlangsung sangat cepat, dimana semua aspek kehidupan dipengaruhi oleh penggunaan teknologi tersebut. Saat ini, masih banyak didapati guru-guru yang belum menguasai penggunaan teknologi untuk mendukung kegiatannya sebagai seorang pendidik. Untuk itu, dipandang perlu membantu para guru meningkatkan keahlian dan ketrampilan dalam menggunakan teknologi informasi berbasis komputer. Tujuan kegiatan abdimas yang dilakukan adalah memberikan pelatihan membuat sertifikat dengan menggunakan aplikasi Canva. Metode yang digunakan pada kegiatan ini dengan ceramah dan praktek langsung serta menyediakan modul untuk pelatihan. Dengan adanya kegiatan pelatihan membuat sertifikat menggunakan aplikasi Canva, membantu guru di lingkungan TKQ Al Falah memanfaatkan teknologi dalam membuat sertifikat secara mudah.","author":[{"dropping-particle":"","family":"Wibawanti","given":"Yuni","non-dropping-particle":"","parse-names":false,"suffix":""},{"dropping-particle":"","family":"Mustika","given":"Fanisya Alva","non-dropping-particle":"","parse-names":false,"suffix":""}],"container-title":"Kapas: Kumpulan Artikel Pengabdian Masyarakat","id":"ITEM-1","issue":"1","issued":{"date-parts":[["2023"]]},"page":"1-7","title":"PKM Pelatihan Pembuatan Sertifikat menggunakan Canva pada TKQ Al Falah Depok","type":"article-journal","volume":"2"},"uris":["http://www.mendeley.com/documents/?uuid=4638b018-7be7-4db1-b418-850be19b2c73"]}],"mendeley":{"formattedCitation":"(Wibawanti &amp; Mustika, 2023)","plainTextFormattedCitation":"(Wibawanti &amp; Mustika, 2023)","previouslyFormattedCitation":"(Wibawanti &amp; Mustika, 2023)"},"properties":{"noteIndex":0},"schema":"https://github.com/citation-style-language/schema/raw/master/csl-citation.json"}</w:instrText>
      </w:r>
      <w:r w:rsidR="005E3C7C" w:rsidRPr="005E3C7C">
        <w:rPr>
          <w:rFonts w:cs="Times New Roman"/>
        </w:rPr>
        <w:fldChar w:fldCharType="separate"/>
      </w:r>
      <w:r w:rsidR="005E3C7C" w:rsidRPr="005E3C7C">
        <w:rPr>
          <w:rFonts w:cs="Times New Roman"/>
          <w:noProof/>
        </w:rPr>
        <w:t>(Wibawanti &amp; Mustika, 2023)</w:t>
      </w:r>
      <w:r w:rsidR="005E3C7C" w:rsidRPr="005E3C7C">
        <w:rPr>
          <w:rFonts w:cs="Times New Roman"/>
        </w:rPr>
        <w:fldChar w:fldCharType="end"/>
      </w:r>
      <w:r w:rsidR="005E3C7C" w:rsidRPr="005E3C7C">
        <w:rPr>
          <w:rFonts w:cs="Times New Roman"/>
        </w:rPr>
        <w:t>. The material presented includes various important preparations so that the design results have visual appeal, professional appearance, and maximum quality. Participants are taught to produce attractive and creative designs, so that they can give a positive impression to the audience or certificate users. Certificate creation techniques are adapted to visual elements, such as the logos of collaborators or related organisations. This aims to create harmony between the certificate design and the visual identity it represents. Participants are also directed to maximise their skills, especially in developing ideas and design concepts, so that the resulting work has high aesthetic value and uniqueness. The importance of prioritising the value of human resources was highlighted in this training. Participants were invited to understand that a good design not only displays visual beauty, but also reflects the skills, creativity, and professionalism of the creator. This becomes one of the important strategies to increase the chances of success in the job recruitment process.</w:t>
      </w:r>
    </w:p>
    <w:p w14:paraId="5476700E" w14:textId="6D44B9D7" w:rsidR="005E3C7C" w:rsidRPr="005E3C7C" w:rsidRDefault="005E3C7C" w:rsidP="005E3C7C">
      <w:pPr>
        <w:ind w:left="0" w:firstLine="720"/>
        <w:rPr>
          <w:rFonts w:cs="Times New Roman"/>
        </w:rPr>
      </w:pPr>
      <w:r w:rsidRPr="005E3C7C">
        <w:rPr>
          <w:rFonts w:cs="Times New Roman"/>
        </w:rPr>
        <w:t xml:space="preserve">All participants were given the opportunity for hands-on practice in the second session, which was the final stage of the programme. Using their respective laptops, each participant did what was instructed by the resource person. Using the templates provided, the practice of making e-flyers and certificates was done online. Participants were allowed to choose the template that best suited their needs. According to Moore </w:t>
      </w:r>
      <w:r w:rsidRPr="005E3C7C">
        <w:rPr>
          <w:rFonts w:cs="Times New Roman"/>
        </w:rPr>
        <w:fldChar w:fldCharType="begin" w:fldLock="1"/>
      </w:r>
      <w:r w:rsidRPr="005E3C7C">
        <w:rPr>
          <w:rFonts w:cs="Times New Roman"/>
        </w:rPr>
        <w:instrText>ADDIN CSL_CITATION {"citationItems":[{"id":"ITEM-1","itemData":{"DOI":"10.28926/briliant.v7i4.1025","ISSN":"2541-4216","abstract":"Penelitian dilakukan sejalan dengan penerapan sistem pembelajaran online dengan penerapan pendekatan heutagogical. Tujuan dari penelitian ini adalah untuk mendeskripsikan penerapan pendekatan heutagogi dengan prinsip  self-efficacy, self-determination, self-directed,  dan  self-regulated  dalam proses pembelajaran online. Penelitian ini merupakan penelitian deskriptif kuantitatif. Data penelitian dikumpulkan dengan menggunakan instrumen kuesioner  online  berupa  link googleform . Mahasiswa pascasarjana program magister Fakultas Sastra Universitas Negeri Malang telah menerapkan prinsip-prinsip pendekatan pembelajaran heutagogi. Hasil penelitian menunjukkan bahwa 93,60% responden menggunakan media sosial sebagai jejaring pembelajaran. Sikap ini merupakan salah satu bentuk  self-determination principle  dan merupakan sikap yang paling banyak diterapkan oleh siswa. Pembelajaran mandiri diimplementasikan pada sikap menentukan strategi belajar untuk diri sendiri yaitu sebanyak 88,90%. Sebanyak 87% responden juga menyatakan bahwa mereka menentukan tujuan pembelajarannya ( self-regulated ), sedangkan yang paling sedikit dilaksanakan (24,10%) adalah prinsip  self-efficacy . Sikap ini berkaitan dengan rasa percaya diri siswa yang merasa kemampuan belajarnya tidak lebih baik dari teman sekelasnya. Selain itu, hanya setengah dari responden (50%) siswa yang menyatakan paham dengan materi yang diberikan dalam pembelajaran daring. Kesimpulannya, prinsip-prinsip yang telah diterapkan dengan baik adalah  self-directed, self-determination,  dan  self-regulated learning , namun pembelajar perlu mengembangkan  self-efficacy , terkait kepercayaan dirinya dalam mengikuti pembelajaran daring.","author":[{"dropping-particle":"","family":"Wijayati","given":"Primardiana Hermilia","non-dropping-particle":"","parse-names":false,"suffix":""},{"dropping-particle":"","family":"Oktaputriviant","given":"Nidia Rizqi","non-dropping-particle":"","parse-names":false,"suffix":""},{"dropping-particle":"","family":"Nasih","given":"Ahmad Munjin","non-dropping-particle":"","parse-names":false,"suffix":""}],"container-title":"Briliant: Jurnal Riset dan Konseptual","id":"ITEM-1","issue":"4","issued":{"date-parts":[["2022"]]},"page":"996","title":"Heutagogy: Self Efficacy, Self Determination, Self Directed, dan Self Regulated dalam Pembelajaran Online","type":"article-journal","volume":"7"},"uris":["http://www.mendeley.com/documents/?uuid=b28e39d3-5d60-489a-8135-e4b5c89bd188"]}],"mendeley":{"formattedCitation":"(Wijayati et al., 2022)","plainTextFormattedCitation":"(Wijayati et al., 2022)","previouslyFormattedCitation":"(Wijayati et al., 2022)"},"properties":{"noteIndex":0},"schema":"https://github.com/citation-style-language/schema/raw/master/csl-citation.json"}</w:instrText>
      </w:r>
      <w:r w:rsidRPr="005E3C7C">
        <w:rPr>
          <w:rFonts w:cs="Times New Roman"/>
        </w:rPr>
        <w:fldChar w:fldCharType="separate"/>
      </w:r>
      <w:r w:rsidRPr="005E3C7C">
        <w:rPr>
          <w:rFonts w:cs="Times New Roman"/>
          <w:noProof/>
        </w:rPr>
        <w:t xml:space="preserve">(Wijayati </w:t>
      </w:r>
      <w:r w:rsidRPr="005E3C7C">
        <w:rPr>
          <w:rFonts w:cs="Times New Roman"/>
          <w:noProof/>
        </w:rPr>
        <w:lastRenderedPageBreak/>
        <w:t>et al., 2022)</w:t>
      </w:r>
      <w:r w:rsidRPr="005E3C7C">
        <w:rPr>
          <w:rFonts w:cs="Times New Roman"/>
        </w:rPr>
        <w:fldChar w:fldCharType="end"/>
      </w:r>
      <w:r w:rsidRPr="005E3C7C">
        <w:rPr>
          <w:rFonts w:cs="Times New Roman"/>
        </w:rPr>
        <w:t xml:space="preserve"> the heutagogy approach provides greater autonomy for learners to determine their own learning methods compared to pedagogy and andragogy approaches. In addition, in the heutagogy approach, the process of learning and negotiating learning and determining what to learn and how it will be learned is determined by the learner. This approach has as its main priority the independence of learners in learning achievement, determining learning strategies, and being able to develop their own teaching materials autonomously. In this case participants are divided into five groups to aid the learning process, and a lecturer acts as a facilitator for each group. Participants can use the group chat feature to discuss any issues they face with the facilitator during the training. As it allows participants to get help quickly, this method is considered more effective and efficient. In addition, the mentoring process is made easier by the use of digital communication channels, ensuring that the training runs smoothly and participants get the most out of it.</w:t>
      </w:r>
    </w:p>
    <w:p w14:paraId="47B0D236" w14:textId="6B5A3632" w:rsidR="00AD10F9" w:rsidRPr="005E3C7C" w:rsidRDefault="005E3C7C" w:rsidP="005E3C7C">
      <w:pPr>
        <w:ind w:left="0" w:firstLine="720"/>
        <w:rPr>
          <w:rFonts w:cs="Times New Roman"/>
        </w:rPr>
      </w:pPr>
      <w:r w:rsidRPr="005E3C7C">
        <w:rPr>
          <w:rFonts w:cs="Times New Roman"/>
        </w:rPr>
        <w:t>With this method, the training is expected to provide participants with theoretical knowledge and practical skills that can be directly used in the world of work. Participants were able to improve their ability to create relevant graphic designs and gain a deeper understanding of the practical application of the information taught through the process of interaction between participants and facilitators. With the encouraging results of the questionnaire survey and the support of the professors who facilitated this activity, initiatives like this, which bring together the community and the academic community, can continue to exchange information and advance the intellectual life of the nation.</w:t>
      </w:r>
    </w:p>
    <w:p w14:paraId="2A3530FF" w14:textId="77777777" w:rsidR="005E3C7C" w:rsidRPr="005E3C7C" w:rsidRDefault="005E3C7C" w:rsidP="005E3C7C">
      <w:pPr>
        <w:ind w:left="0" w:firstLine="720"/>
        <w:rPr>
          <w:rFonts w:ascii="Book Antiqua" w:hAnsi="Book Antiqua"/>
        </w:rPr>
      </w:pPr>
    </w:p>
    <w:p w14:paraId="4D12BBC5" w14:textId="4FCED56B" w:rsidR="003E2F11" w:rsidRDefault="003E2F11" w:rsidP="003E2F11">
      <w:pPr>
        <w:ind w:left="0" w:firstLine="0"/>
        <w:rPr>
          <w:b/>
          <w:lang w:val="en-US"/>
        </w:rPr>
      </w:pPr>
      <w:r>
        <w:rPr>
          <w:b/>
          <w:lang w:val="en-US"/>
        </w:rPr>
        <w:t>CONCLUSION</w:t>
      </w:r>
    </w:p>
    <w:p w14:paraId="0573EF0A" w14:textId="77777777" w:rsidR="005E3C7C" w:rsidRPr="005E3C7C" w:rsidRDefault="005E3C7C" w:rsidP="005E3C7C">
      <w:pPr>
        <w:ind w:left="0" w:firstLine="709"/>
        <w:rPr>
          <w:rFonts w:cs="Times New Roman"/>
          <w:spacing w:val="1"/>
        </w:rPr>
      </w:pPr>
      <w:r w:rsidRPr="005E3C7C">
        <w:rPr>
          <w:rFonts w:cs="Times New Roman"/>
          <w:spacing w:val="1"/>
        </w:rPr>
        <w:t>A total of 26 trainees were asked to take a Pre-Training Test before the start of the training activities and a Post-Training Test after the speakers delivered the materials to gauge their level of understanding during the training component of this community service project. The same questions regarding the content from both speakers were part of both tests, which were administered using a Google Form. Eighty-four per cent of participants had higher Post-Training Test scores than their Pre-Training Test scores, according to the community service team's analysis of the Pre-Training Test and Post-Training Test scores. Four people did not improve their scores.</w:t>
      </w:r>
    </w:p>
    <w:p w14:paraId="1F8A8E25" w14:textId="77777777" w:rsidR="005E3C7C" w:rsidRPr="005E3C7C" w:rsidRDefault="005E3C7C" w:rsidP="005E3C7C">
      <w:pPr>
        <w:ind w:left="0" w:firstLine="709"/>
        <w:rPr>
          <w:rFonts w:cs="Times New Roman"/>
          <w:spacing w:val="1"/>
        </w:rPr>
      </w:pPr>
      <w:r w:rsidRPr="005E3C7C">
        <w:rPr>
          <w:rFonts w:cs="Times New Roman"/>
          <w:spacing w:val="1"/>
        </w:rPr>
        <w:t>After taking part in mentoring training in making certificates, e-flyers, and webinars using the Canva application at CV Teman Kolaborasi Anda Kota Depok, participants have implemented the skills they have acquired in various preparatory activities, both in professional and entrepreneurial contexts. For students and fresh graduates, these graphic design skills can be used to create promotional materials, certificates, or portfolio visuals that can strengthen their opportunities when applying for jobs, especially in the fields of visual communication or marketing. This is proven by the results of the questionnaire survey given to participants. Based on the results of the study, participants became more confident in preparing themselves to enter the workforce by having good Eflyer and credentials.</w:t>
      </w:r>
    </w:p>
    <w:p w14:paraId="499FF1A4" w14:textId="3C5EE52C" w:rsidR="005E3C7C" w:rsidRDefault="005E3C7C" w:rsidP="005E3C7C">
      <w:pPr>
        <w:ind w:left="0" w:firstLine="709"/>
        <w:rPr>
          <w:rFonts w:cs="Times New Roman"/>
          <w:spacing w:val="1"/>
        </w:rPr>
      </w:pPr>
      <w:r w:rsidRPr="005E3C7C">
        <w:rPr>
          <w:rFonts w:cs="Times New Roman"/>
          <w:spacing w:val="1"/>
        </w:rPr>
        <w:t>Overall, student assistance in making certificates, e-flyers, and webinars using the Canva application studied in CV Teman Kolaborasi Anda Kota Depok not only provides benefits in the creative industry sector, but also opens up great opportunities for application in the education and public administration sectors. This not only improves the technical skills of students and employees, but also optimizes communication and information delivery in various sectors, which in turn improves quality and efficiency in the world of education and public services. Participants have abilities that are in accordance with the demands of the modern industrial world. This programme can be said to be successful and has many benefits. Therefore, it is hoped that this well-established relationship can continue in the future.</w:t>
      </w:r>
    </w:p>
    <w:p w14:paraId="70E0866F" w14:textId="77777777" w:rsidR="005E3C7C" w:rsidRDefault="005E3C7C" w:rsidP="005E3C7C">
      <w:pPr>
        <w:ind w:left="0" w:firstLine="709"/>
        <w:rPr>
          <w:rFonts w:cs="Times New Roman"/>
          <w:spacing w:val="1"/>
        </w:rPr>
      </w:pPr>
    </w:p>
    <w:p w14:paraId="29189B51" w14:textId="77777777" w:rsidR="005E3C7C" w:rsidRDefault="005E3C7C" w:rsidP="005E3C7C">
      <w:pPr>
        <w:ind w:left="0" w:firstLine="709"/>
        <w:rPr>
          <w:rFonts w:cs="Times New Roman"/>
          <w:spacing w:val="1"/>
        </w:rPr>
      </w:pPr>
    </w:p>
    <w:p w14:paraId="3BE4251A" w14:textId="77777777" w:rsidR="005E3C7C" w:rsidRPr="005E3C7C" w:rsidRDefault="005E3C7C" w:rsidP="005E3C7C">
      <w:pPr>
        <w:ind w:left="0" w:firstLine="709"/>
        <w:rPr>
          <w:rFonts w:cs="Times New Roman"/>
          <w:spacing w:val="1"/>
        </w:rPr>
      </w:pPr>
    </w:p>
    <w:p w14:paraId="1DD16142" w14:textId="6923B07A" w:rsidR="00AD10F9" w:rsidRDefault="00AD10F9" w:rsidP="008F51D7">
      <w:pPr>
        <w:ind w:left="0" w:firstLine="0"/>
        <w:rPr>
          <w:b/>
          <w:lang w:val="en-US"/>
        </w:rPr>
      </w:pPr>
      <w:r>
        <w:rPr>
          <w:b/>
          <w:lang w:val="en-US"/>
        </w:rPr>
        <w:t>REFERENCES</w:t>
      </w:r>
    </w:p>
    <w:p w14:paraId="3702E9FB" w14:textId="77777777" w:rsidR="005E3C7C" w:rsidRDefault="005E3C7C" w:rsidP="008F51D7">
      <w:pPr>
        <w:ind w:left="0" w:firstLine="0"/>
        <w:rPr>
          <w:b/>
          <w:lang w:val="en-US"/>
        </w:rPr>
      </w:pPr>
    </w:p>
    <w:p w14:paraId="7928BB69" w14:textId="77777777" w:rsidR="005E3C7C" w:rsidRDefault="005E3C7C" w:rsidP="008F51D7">
      <w:pPr>
        <w:ind w:left="0" w:firstLine="0"/>
        <w:rPr>
          <w:b/>
          <w:lang w:val="en-US"/>
        </w:rPr>
      </w:pPr>
    </w:p>
    <w:p w14:paraId="2DD3E0FD" w14:textId="12A6489D" w:rsidR="005E3C7C" w:rsidRPr="005E3C7C" w:rsidRDefault="005E3C7C" w:rsidP="005E3C7C">
      <w:pPr>
        <w:widowControl w:val="0"/>
        <w:autoSpaceDE w:val="0"/>
        <w:autoSpaceDN w:val="0"/>
        <w:adjustRightInd w:val="0"/>
        <w:ind w:left="480" w:hanging="480"/>
        <w:rPr>
          <w:rFonts w:cs="Times New Roman"/>
          <w:noProof/>
        </w:rPr>
      </w:pPr>
      <w:r>
        <w:rPr>
          <w:iCs/>
        </w:rPr>
        <w:fldChar w:fldCharType="begin" w:fldLock="1"/>
      </w:r>
      <w:r>
        <w:rPr>
          <w:iCs/>
        </w:rPr>
        <w:instrText xml:space="preserve">ADDIN Mendeley Bibliography CSL_BIBLIOGRAPHY </w:instrText>
      </w:r>
      <w:r>
        <w:rPr>
          <w:iCs/>
        </w:rPr>
        <w:fldChar w:fldCharType="separate"/>
      </w:r>
      <w:r w:rsidRPr="005E3C7C">
        <w:rPr>
          <w:rFonts w:cs="Times New Roman"/>
          <w:noProof/>
        </w:rPr>
        <w:t xml:space="preserve">Akhmad, M. W., Norhidayah, N., Ilhami, R., Aisyah, N., Danial, D., &amp; Nur, M. J. (2022). Persepsi Mahasiswa Terhadap Pembelajaran Tatap Muka Pasca Pembelajaran Daring. </w:t>
      </w:r>
      <w:r w:rsidRPr="005E3C7C">
        <w:rPr>
          <w:rFonts w:cs="Times New Roman"/>
          <w:i/>
          <w:iCs/>
          <w:noProof/>
        </w:rPr>
        <w:t>Jurnal Pendidikan Dasar Dan Keguruan</w:t>
      </w:r>
      <w:r w:rsidRPr="005E3C7C">
        <w:rPr>
          <w:rFonts w:cs="Times New Roman"/>
          <w:noProof/>
        </w:rPr>
        <w:t xml:space="preserve">, </w:t>
      </w:r>
      <w:r w:rsidRPr="005E3C7C">
        <w:rPr>
          <w:rFonts w:cs="Times New Roman"/>
          <w:i/>
          <w:iCs/>
          <w:noProof/>
        </w:rPr>
        <w:t>7</w:t>
      </w:r>
      <w:r w:rsidRPr="005E3C7C">
        <w:rPr>
          <w:rFonts w:cs="Times New Roman"/>
          <w:noProof/>
        </w:rPr>
        <w:t>(2), 26–32. https://doi.org/10.47435/jpdk.v7i2.1322</w:t>
      </w:r>
    </w:p>
    <w:p w14:paraId="346B040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Alfiatu Solikah, Widyasmoro, H., Jamroji, B., &amp; Khodijah, S. (2024). Strategi Penggunaan Flyer Di Media Sosial Sebagai Sarana Untuk Menarik Minat Baca Masyarakat. </w:t>
      </w:r>
      <w:r w:rsidRPr="005E3C7C">
        <w:rPr>
          <w:rFonts w:cs="Times New Roman"/>
          <w:i/>
          <w:iCs/>
          <w:noProof/>
        </w:rPr>
        <w:t>AL-MUADDIB: Jurnal Kajian Ilmu Kependidikan</w:t>
      </w:r>
      <w:r w:rsidRPr="005E3C7C">
        <w:rPr>
          <w:rFonts w:cs="Times New Roman"/>
          <w:noProof/>
        </w:rPr>
        <w:t xml:space="preserve">, </w:t>
      </w:r>
      <w:r w:rsidRPr="005E3C7C">
        <w:rPr>
          <w:rFonts w:cs="Times New Roman"/>
          <w:i/>
          <w:iCs/>
          <w:noProof/>
        </w:rPr>
        <w:t>3</w:t>
      </w:r>
      <w:r w:rsidRPr="005E3C7C">
        <w:rPr>
          <w:rFonts w:cs="Times New Roman"/>
          <w:noProof/>
        </w:rPr>
        <w:t>(2), 238–250. https://doi.org/10.46773/muaddib.v3i2.943</w:t>
      </w:r>
    </w:p>
    <w:p w14:paraId="08876521"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Audria, S. W., Reza Maulana Saputra, Farid Maulana Ishaq, Fajar Sodiq, &amp; Syakur Syakur. (2024). Perancangan Desain Flyer sebagai Media Promosi Destinasi Wisata Hutan Mangrove Desa Pasarbanggi Kabupaten Rembang. </w:t>
      </w:r>
      <w:r w:rsidRPr="005E3C7C">
        <w:rPr>
          <w:rFonts w:cs="Times New Roman"/>
          <w:i/>
          <w:iCs/>
          <w:noProof/>
        </w:rPr>
        <w:t>Transformasi Masyarakat : Jurnal Inovasi Sosial Dan Pengabdian</w:t>
      </w:r>
      <w:r w:rsidRPr="005E3C7C">
        <w:rPr>
          <w:rFonts w:cs="Times New Roman"/>
          <w:noProof/>
        </w:rPr>
        <w:t xml:space="preserve">, </w:t>
      </w:r>
      <w:r w:rsidRPr="005E3C7C">
        <w:rPr>
          <w:rFonts w:cs="Times New Roman"/>
          <w:i/>
          <w:iCs/>
          <w:noProof/>
        </w:rPr>
        <w:t>1</w:t>
      </w:r>
      <w:r w:rsidRPr="005E3C7C">
        <w:rPr>
          <w:rFonts w:cs="Times New Roman"/>
          <w:noProof/>
        </w:rPr>
        <w:t>(3), 70–79. https://doi.org/10.62383/transformasi.v1i3.248</w:t>
      </w:r>
    </w:p>
    <w:p w14:paraId="4D3F66D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Firdaus, A., Firdaus, A. F., Bulele, A., Oktafiano, K. F., Prasojo, M. A., Haris, M., Imron, M. N., Edison, N., Yasmin, R., Pambudi, D., &amp; Pelaksanaan, M. (2023). </w:t>
      </w:r>
      <w:r w:rsidRPr="005E3C7C">
        <w:rPr>
          <w:rFonts w:cs="Times New Roman"/>
          <w:i/>
          <w:iCs/>
          <w:noProof/>
        </w:rPr>
        <w:t>ISSN 3025-0889 ( media online ) Hal 215-218 DAN DESAIN SERTIFIKAT BERBASIS TEKNOLOGI KEPADA Volume 1 , No . 4 , Desember 2023 ISSN 3025-0889 ( media online ) Hal 215-218</w:t>
      </w:r>
      <w:r w:rsidRPr="005E3C7C">
        <w:rPr>
          <w:rFonts w:cs="Times New Roman"/>
          <w:noProof/>
        </w:rPr>
        <w:t xml:space="preserve">. </w:t>
      </w:r>
      <w:r w:rsidRPr="005E3C7C">
        <w:rPr>
          <w:rFonts w:cs="Times New Roman"/>
          <w:i/>
          <w:iCs/>
          <w:noProof/>
        </w:rPr>
        <w:t>1</w:t>
      </w:r>
      <w:r w:rsidRPr="005E3C7C">
        <w:rPr>
          <w:rFonts w:cs="Times New Roman"/>
          <w:noProof/>
        </w:rPr>
        <w:t>(4), 215–218.</w:t>
      </w:r>
    </w:p>
    <w:p w14:paraId="145A6895"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Herman, S. R. W. (2022). Covid-19 dan Adpatasi Layanan Publik di Indonesia: Sebuah Studi Awal Tentang Layanan Publik Berbasis Virtual. </w:t>
      </w:r>
      <w:r w:rsidRPr="005E3C7C">
        <w:rPr>
          <w:rFonts w:cs="Times New Roman"/>
          <w:i/>
          <w:iCs/>
          <w:noProof/>
        </w:rPr>
        <w:t>Vox Populi</w:t>
      </w:r>
      <w:r w:rsidRPr="005E3C7C">
        <w:rPr>
          <w:rFonts w:cs="Times New Roman"/>
          <w:noProof/>
        </w:rPr>
        <w:t xml:space="preserve">, </w:t>
      </w:r>
      <w:r w:rsidRPr="005E3C7C">
        <w:rPr>
          <w:rFonts w:cs="Times New Roman"/>
          <w:i/>
          <w:iCs/>
          <w:noProof/>
        </w:rPr>
        <w:t>5</w:t>
      </w:r>
      <w:r w:rsidRPr="005E3C7C">
        <w:rPr>
          <w:rFonts w:cs="Times New Roman"/>
          <w:noProof/>
        </w:rPr>
        <w:t>(1), 1–14. https://doi.org/10.24252/vp.v5i1.29008</w:t>
      </w:r>
    </w:p>
    <w:p w14:paraId="6B6AE15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Indah N. Ainiyah. (n.d.). </w:t>
      </w:r>
      <w:r w:rsidRPr="005E3C7C">
        <w:rPr>
          <w:rFonts w:cs="Times New Roman"/>
          <w:i/>
          <w:iCs/>
          <w:noProof/>
        </w:rPr>
        <w:t>Kenali Aplikasi Canva : Designer Grafis Pemula Wajib TauNo Title</w:t>
      </w:r>
      <w:r w:rsidRPr="005E3C7C">
        <w:rPr>
          <w:rFonts w:cs="Times New Roman"/>
          <w:noProof/>
        </w:rPr>
        <w:t>. Retrieved January 22, 2025, from https://ikom.umsida.ac.id/canva-aplikasi-design-untuk-pemula/</w:t>
      </w:r>
    </w:p>
    <w:p w14:paraId="7E548054"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Jamila Lestyowati. (2021). Publikasi Layanan Pembelajaran Di Era Baru: Studi Kasus Online Learning Pada Kementerian Keuangan. </w:t>
      </w:r>
      <w:r w:rsidRPr="005E3C7C">
        <w:rPr>
          <w:rFonts w:cs="Times New Roman"/>
          <w:i/>
          <w:iCs/>
          <w:noProof/>
        </w:rPr>
        <w:t>Jurnal Administrasi Publik</w:t>
      </w:r>
      <w:r w:rsidRPr="005E3C7C">
        <w:rPr>
          <w:rFonts w:cs="Times New Roman"/>
          <w:noProof/>
        </w:rPr>
        <w:t xml:space="preserve">, </w:t>
      </w:r>
      <w:r w:rsidRPr="005E3C7C">
        <w:rPr>
          <w:rFonts w:cs="Times New Roman"/>
          <w:i/>
          <w:iCs/>
          <w:noProof/>
        </w:rPr>
        <w:t>17</w:t>
      </w:r>
      <w:r w:rsidRPr="005E3C7C">
        <w:rPr>
          <w:rFonts w:cs="Times New Roman"/>
          <w:noProof/>
        </w:rPr>
        <w:t>(2), 211–231. https://doi.org/10.52316/jap.v17i2.73</w:t>
      </w:r>
    </w:p>
    <w:p w14:paraId="0ACC04B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Jihan, A., Sari, T., Wardana, A. H., Nur, M., Rosyid, I., &amp; Rasyad, A. (2022). </w:t>
      </w:r>
      <w:r w:rsidRPr="005E3C7C">
        <w:rPr>
          <w:rFonts w:cs="Times New Roman"/>
          <w:i/>
          <w:iCs/>
          <w:noProof/>
        </w:rPr>
        <w:t>Literatur Review : Tren Perkembangan Pendidikan Non-Formal di Indonesia</w:t>
      </w:r>
      <w:r w:rsidRPr="005E3C7C">
        <w:rPr>
          <w:rFonts w:cs="Times New Roman"/>
          <w:noProof/>
        </w:rPr>
        <w:t xml:space="preserve">. </w:t>
      </w:r>
      <w:r w:rsidRPr="005E3C7C">
        <w:rPr>
          <w:rFonts w:cs="Times New Roman"/>
          <w:i/>
          <w:iCs/>
          <w:noProof/>
        </w:rPr>
        <w:t>7</w:t>
      </w:r>
      <w:r w:rsidRPr="005E3C7C">
        <w:rPr>
          <w:rFonts w:cs="Times New Roman"/>
          <w:noProof/>
        </w:rPr>
        <w:t>, 76–82.</w:t>
      </w:r>
    </w:p>
    <w:p w14:paraId="4FDE81A1"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KemenPANRB. (2020). </w:t>
      </w:r>
      <w:r w:rsidRPr="005E3C7C">
        <w:rPr>
          <w:rFonts w:cs="Times New Roman"/>
          <w:i/>
          <w:iCs/>
          <w:noProof/>
        </w:rPr>
        <w:t>Pencegahan Penyebaran Virus Covid-19 dengan Kerja di Rumah bagi ASN</w:t>
      </w:r>
      <w:r w:rsidRPr="005E3C7C">
        <w:rPr>
          <w:rFonts w:cs="Times New Roman"/>
          <w:noProof/>
        </w:rPr>
        <w:t>. https://menpan.go.id/site/berita-terkini/pencegahan-penyebaran-virus-covid-19-dengan-kerja-di-rumah-bagi-asn</w:t>
      </w:r>
    </w:p>
    <w:p w14:paraId="261FD575"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Kusumastuti, R. (2022). </w:t>
      </w:r>
      <w:r w:rsidRPr="005E3C7C">
        <w:rPr>
          <w:rFonts w:cs="Times New Roman"/>
          <w:i/>
          <w:iCs/>
          <w:noProof/>
        </w:rPr>
        <w:t>Penggunaan Aplikasi Canva Sebagai Media Pembelajaran</w:t>
      </w:r>
      <w:r w:rsidRPr="005E3C7C">
        <w:rPr>
          <w:rFonts w:cs="Times New Roman"/>
          <w:noProof/>
        </w:rPr>
        <w:t>. https://smkn2-cilacap.sch.id/penggunaan-aplikasi-canva-sebagai-media-pembelajaran/</w:t>
      </w:r>
    </w:p>
    <w:p w14:paraId="2E4CA66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Muspawi, M., &amp; Lestari, A. (2020). Membangun Kesiapan Kerja Calon Tenaga Kerja. </w:t>
      </w:r>
      <w:r w:rsidRPr="005E3C7C">
        <w:rPr>
          <w:rFonts w:cs="Times New Roman"/>
          <w:i/>
          <w:iCs/>
          <w:noProof/>
        </w:rPr>
        <w:t>Jurnal Literasiologi</w:t>
      </w:r>
      <w:r w:rsidRPr="005E3C7C">
        <w:rPr>
          <w:rFonts w:cs="Times New Roman"/>
          <w:noProof/>
        </w:rPr>
        <w:t xml:space="preserve">, </w:t>
      </w:r>
      <w:r w:rsidRPr="005E3C7C">
        <w:rPr>
          <w:rFonts w:cs="Times New Roman"/>
          <w:i/>
          <w:iCs/>
          <w:noProof/>
        </w:rPr>
        <w:t>4</w:t>
      </w:r>
      <w:r w:rsidRPr="005E3C7C">
        <w:rPr>
          <w:rFonts w:cs="Times New Roman"/>
          <w:noProof/>
        </w:rPr>
        <w:t>(1), 111–117. https://doi.org/10.47783/literasiologi.v4i1.138</w:t>
      </w:r>
    </w:p>
    <w:p w14:paraId="4D994A8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Nawangulan, A. (2024). </w:t>
      </w:r>
      <w:r w:rsidRPr="005E3C7C">
        <w:rPr>
          <w:rFonts w:cs="Times New Roman"/>
          <w:i/>
          <w:iCs/>
          <w:noProof/>
        </w:rPr>
        <w:t>Catat Berbagai Fungsi dan Fitur Utama Canva untuk Design</w:t>
      </w:r>
      <w:r w:rsidRPr="005E3C7C">
        <w:rPr>
          <w:rFonts w:cs="Times New Roman"/>
          <w:noProof/>
        </w:rPr>
        <w:t>. https://kelas.work/blogs/catat-berbagai-fungsi-dan-fitur-utama-canva-untuk-design</w:t>
      </w:r>
    </w:p>
    <w:p w14:paraId="0CCE3B2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Nugroho, W., &amp; Iryanti, E. (2023). Pengaruh Pelatihan, Pembinaan dan Keterampilan Wirausaha Terhadap Kinerja Pelaku Usaha Mikro Kecil Menengah Kabupaten Sidoarjo. </w:t>
      </w:r>
      <w:r w:rsidRPr="005E3C7C">
        <w:rPr>
          <w:rFonts w:cs="Times New Roman"/>
          <w:i/>
          <w:iCs/>
          <w:noProof/>
        </w:rPr>
        <w:t>SEIKO : Journal of Management &amp; Business</w:t>
      </w:r>
      <w:r w:rsidRPr="005E3C7C">
        <w:rPr>
          <w:rFonts w:cs="Times New Roman"/>
          <w:noProof/>
        </w:rPr>
        <w:t xml:space="preserve">, </w:t>
      </w:r>
      <w:r w:rsidRPr="005E3C7C">
        <w:rPr>
          <w:rFonts w:cs="Times New Roman"/>
          <w:i/>
          <w:iCs/>
          <w:noProof/>
        </w:rPr>
        <w:t>6</w:t>
      </w:r>
      <w:r w:rsidRPr="005E3C7C">
        <w:rPr>
          <w:rFonts w:cs="Times New Roman"/>
          <w:noProof/>
        </w:rPr>
        <w:t>(1), 88–94. https://doi.org/10.37531/sejaman.v6i1.2916</w:t>
      </w:r>
    </w:p>
    <w:p w14:paraId="5EC0DE0D"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Pratiwi, W. E., Setyowati, R., &amp; Shomad, M. (2023). Pengembangan Soft Skill dan Hard Skill Tenaga Kependidikan Melalui Kewirausahaan sebagai Upgrading Diri. </w:t>
      </w:r>
      <w:r w:rsidRPr="005E3C7C">
        <w:rPr>
          <w:rFonts w:cs="Times New Roman"/>
          <w:i/>
          <w:iCs/>
          <w:noProof/>
        </w:rPr>
        <w:t xml:space="preserve">Jurnal </w:t>
      </w:r>
      <w:r w:rsidRPr="005E3C7C">
        <w:rPr>
          <w:rFonts w:cs="Times New Roman"/>
          <w:i/>
          <w:iCs/>
          <w:noProof/>
        </w:rPr>
        <w:lastRenderedPageBreak/>
        <w:t>Pendidikan Tambusai</w:t>
      </w:r>
      <w:r w:rsidRPr="005E3C7C">
        <w:rPr>
          <w:rFonts w:cs="Times New Roman"/>
          <w:noProof/>
        </w:rPr>
        <w:t xml:space="preserve">, </w:t>
      </w:r>
      <w:r w:rsidRPr="005E3C7C">
        <w:rPr>
          <w:rFonts w:cs="Times New Roman"/>
          <w:i/>
          <w:iCs/>
          <w:noProof/>
        </w:rPr>
        <w:t>7</w:t>
      </w:r>
      <w:r w:rsidRPr="005E3C7C">
        <w:rPr>
          <w:rFonts w:cs="Times New Roman"/>
          <w:noProof/>
        </w:rPr>
        <w:t>, 14281–14289. https://www.jptam.org/index.php/jptam/article/view/8661</w:t>
      </w:r>
    </w:p>
    <w:p w14:paraId="2813751C"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Prayogi, A. (2024). Metode Ceramah Plus dalam Mata Pelajaran Pendidikan Agama Islam Pada Peserta Didik SMP NU KaPenerapanjen. </w:t>
      </w:r>
      <w:r w:rsidRPr="005E3C7C">
        <w:rPr>
          <w:rFonts w:cs="Times New Roman"/>
          <w:i/>
          <w:iCs/>
          <w:noProof/>
        </w:rPr>
        <w:t>Action Research Journal</w:t>
      </w:r>
      <w:r w:rsidRPr="005E3C7C">
        <w:rPr>
          <w:rFonts w:cs="Times New Roman"/>
          <w:noProof/>
        </w:rPr>
        <w:t>. https://ejournal.lembagaeinsteincollege.com/ARJ/article/view/42%0Ahttps://ejournal.lembagaeinsteincollege.com/ARJ/article/download/42/43</w:t>
      </w:r>
    </w:p>
    <w:p w14:paraId="0D808B97"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Rahmawati, A., &amp; Rahmi, S. (2024). </w:t>
      </w:r>
      <w:r w:rsidRPr="005E3C7C">
        <w:rPr>
          <w:rFonts w:cs="Times New Roman"/>
          <w:i/>
          <w:iCs/>
          <w:noProof/>
        </w:rPr>
        <w:t>Peran kolaborasi dalam perguruan tinggi</w:t>
      </w:r>
      <w:r w:rsidRPr="005E3C7C">
        <w:rPr>
          <w:rFonts w:cs="Times New Roman"/>
          <w:noProof/>
        </w:rPr>
        <w:t xml:space="preserve">. </w:t>
      </w:r>
      <w:r w:rsidRPr="005E3C7C">
        <w:rPr>
          <w:rFonts w:cs="Times New Roman"/>
          <w:i/>
          <w:iCs/>
          <w:noProof/>
        </w:rPr>
        <w:t>5</w:t>
      </w:r>
      <w:r w:rsidRPr="005E3C7C">
        <w:rPr>
          <w:rFonts w:cs="Times New Roman"/>
          <w:noProof/>
        </w:rPr>
        <w:t>(6), 8161–8175.</w:t>
      </w:r>
    </w:p>
    <w:p w14:paraId="1777E039"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Sholeh, M., Suraya, S., &amp; Rachmawati, R. Y. (2023). Penggunaan Aplikasi Canva Sebagai Desain Konten Promosi Bagi Pelaku Umkm. </w:t>
      </w:r>
      <w:r w:rsidRPr="005E3C7C">
        <w:rPr>
          <w:rFonts w:cs="Times New Roman"/>
          <w:i/>
          <w:iCs/>
          <w:noProof/>
        </w:rPr>
        <w:t>Abdimas Altruis: Jurnal Pengabdian Kepada Masyarakat</w:t>
      </w:r>
      <w:r w:rsidRPr="005E3C7C">
        <w:rPr>
          <w:rFonts w:cs="Times New Roman"/>
          <w:noProof/>
        </w:rPr>
        <w:t xml:space="preserve">, </w:t>
      </w:r>
      <w:r w:rsidRPr="005E3C7C">
        <w:rPr>
          <w:rFonts w:cs="Times New Roman"/>
          <w:i/>
          <w:iCs/>
          <w:noProof/>
        </w:rPr>
        <w:t>6</w:t>
      </w:r>
      <w:r w:rsidRPr="005E3C7C">
        <w:rPr>
          <w:rFonts w:cs="Times New Roman"/>
          <w:noProof/>
        </w:rPr>
        <w:t>(2), 107–113. https://doi.org/10.24071/aa.v6i2.6667</w:t>
      </w:r>
    </w:p>
    <w:p w14:paraId="6CE19F4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Suhaedin, E., Oriza, W., Ambiyar, A., &amp; Rizal, F. (2024). Analisis Dampak Program Pelatihan Guru terhadap Kualitas Pengajaran di SMK. </w:t>
      </w:r>
      <w:r w:rsidRPr="005E3C7C">
        <w:rPr>
          <w:rFonts w:cs="Times New Roman"/>
          <w:i/>
          <w:iCs/>
          <w:noProof/>
        </w:rPr>
        <w:t>Journal on Education</w:t>
      </w:r>
      <w:r w:rsidRPr="005E3C7C">
        <w:rPr>
          <w:rFonts w:cs="Times New Roman"/>
          <w:noProof/>
        </w:rPr>
        <w:t xml:space="preserve">, </w:t>
      </w:r>
      <w:r w:rsidRPr="005E3C7C">
        <w:rPr>
          <w:rFonts w:cs="Times New Roman"/>
          <w:i/>
          <w:iCs/>
          <w:noProof/>
        </w:rPr>
        <w:t>7</w:t>
      </w:r>
      <w:r w:rsidRPr="005E3C7C">
        <w:rPr>
          <w:rFonts w:cs="Times New Roman"/>
          <w:noProof/>
        </w:rPr>
        <w:t>(1), 3629–3638. https://doi.org/10.31004/joe.v7i1.6959</w:t>
      </w:r>
    </w:p>
    <w:p w14:paraId="26A960C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Susilo, S. M., &amp; Ismiyati, I. (2020). Pengaruh Praktik Kerja Industri, Informasi Dunia Kerja Dan Motivasi Memasuki Dunia Kerja Terhadap Kesiapan Kerja Siswa. </w:t>
      </w:r>
      <w:r w:rsidRPr="005E3C7C">
        <w:rPr>
          <w:rFonts w:cs="Times New Roman"/>
          <w:i/>
          <w:iCs/>
          <w:noProof/>
        </w:rPr>
        <w:t>Business and Accounting Education Journal</w:t>
      </w:r>
      <w:r w:rsidRPr="005E3C7C">
        <w:rPr>
          <w:rFonts w:cs="Times New Roman"/>
          <w:noProof/>
        </w:rPr>
        <w:t xml:space="preserve">, </w:t>
      </w:r>
      <w:r w:rsidRPr="005E3C7C">
        <w:rPr>
          <w:rFonts w:cs="Times New Roman"/>
          <w:i/>
          <w:iCs/>
          <w:noProof/>
        </w:rPr>
        <w:t>1</w:t>
      </w:r>
      <w:r w:rsidRPr="005E3C7C">
        <w:rPr>
          <w:rFonts w:cs="Times New Roman"/>
          <w:noProof/>
        </w:rPr>
        <w:t>(3), 290–296. https://doi.org/10.15294/baej.v1i3.46701</w:t>
      </w:r>
    </w:p>
    <w:p w14:paraId="4AF3A736"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Suteki. (2020). </w:t>
      </w:r>
      <w:r w:rsidRPr="005E3C7C">
        <w:rPr>
          <w:rFonts w:cs="Times New Roman"/>
          <w:i/>
          <w:iCs/>
          <w:noProof/>
        </w:rPr>
        <w:t>Pandemi Covid-19 Mengancam Keberlangsungan Dunia Pendidikan</w:t>
      </w:r>
      <w:r w:rsidRPr="005E3C7C">
        <w:rPr>
          <w:rFonts w:cs="Times New Roman"/>
          <w:noProof/>
        </w:rPr>
        <w:t>. https://suteki.co.id/pandemi-covid-19-mengancam-keberlangsungan-dunia-pendidikan/</w:t>
      </w:r>
    </w:p>
    <w:p w14:paraId="00629D6F"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Wibawanti, Y., &amp; Mustika, F. A. (2023). PKM Pelatihan Pembuatan Sertifikat menggunakan Canva pada TKQ Al Falah Depok. </w:t>
      </w:r>
      <w:r w:rsidRPr="005E3C7C">
        <w:rPr>
          <w:rFonts w:cs="Times New Roman"/>
          <w:i/>
          <w:iCs/>
          <w:noProof/>
        </w:rPr>
        <w:t>Kapas: Kumpulan Artikel Pengabdian Masyarakat</w:t>
      </w:r>
      <w:r w:rsidRPr="005E3C7C">
        <w:rPr>
          <w:rFonts w:cs="Times New Roman"/>
          <w:noProof/>
        </w:rPr>
        <w:t xml:space="preserve">, </w:t>
      </w:r>
      <w:r w:rsidRPr="005E3C7C">
        <w:rPr>
          <w:rFonts w:cs="Times New Roman"/>
          <w:i/>
          <w:iCs/>
          <w:noProof/>
        </w:rPr>
        <w:t>2</w:t>
      </w:r>
      <w:r w:rsidRPr="005E3C7C">
        <w:rPr>
          <w:rFonts w:cs="Times New Roman"/>
          <w:noProof/>
        </w:rPr>
        <w:t>(1), 1–7. https://doi.org/10.30998/ks.v2i1.1772</w:t>
      </w:r>
    </w:p>
    <w:p w14:paraId="623E647E"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Wijayati, P. H., Oktaputriviant, N. R., &amp; Nasih, A. M. (2022). Heutagogy: Self Efficacy, Self Determination, Self Directed, dan Self Regulated dalam Pembelajaran Online. </w:t>
      </w:r>
      <w:r w:rsidRPr="005E3C7C">
        <w:rPr>
          <w:rFonts w:cs="Times New Roman"/>
          <w:i/>
          <w:iCs/>
          <w:noProof/>
        </w:rPr>
        <w:t>Briliant: Jurnal Riset Dan Konseptual</w:t>
      </w:r>
      <w:r w:rsidRPr="005E3C7C">
        <w:rPr>
          <w:rFonts w:cs="Times New Roman"/>
          <w:noProof/>
        </w:rPr>
        <w:t xml:space="preserve">, </w:t>
      </w:r>
      <w:r w:rsidRPr="005E3C7C">
        <w:rPr>
          <w:rFonts w:cs="Times New Roman"/>
          <w:i/>
          <w:iCs/>
          <w:noProof/>
        </w:rPr>
        <w:t>7</w:t>
      </w:r>
      <w:r w:rsidRPr="005E3C7C">
        <w:rPr>
          <w:rFonts w:cs="Times New Roman"/>
          <w:noProof/>
        </w:rPr>
        <w:t>(4), 996. https://doi.org/10.28926/briliant.v7i4.1025</w:t>
      </w:r>
    </w:p>
    <w:p w14:paraId="0EA22652" w14:textId="77777777" w:rsidR="005E3C7C" w:rsidRPr="005E3C7C" w:rsidRDefault="005E3C7C" w:rsidP="005E3C7C">
      <w:pPr>
        <w:widowControl w:val="0"/>
        <w:autoSpaceDE w:val="0"/>
        <w:autoSpaceDN w:val="0"/>
        <w:adjustRightInd w:val="0"/>
        <w:ind w:left="480" w:hanging="480"/>
        <w:rPr>
          <w:rFonts w:cs="Times New Roman"/>
          <w:noProof/>
        </w:rPr>
      </w:pPr>
      <w:r w:rsidRPr="005E3C7C">
        <w:rPr>
          <w:rFonts w:cs="Times New Roman"/>
          <w:noProof/>
        </w:rPr>
        <w:t xml:space="preserve">Yanuar, M., &amp; Prasetyo, A. (2024). </w:t>
      </w:r>
      <w:r w:rsidRPr="005E3C7C">
        <w:rPr>
          <w:rFonts w:cs="Times New Roman"/>
          <w:i/>
          <w:iCs/>
          <w:noProof/>
        </w:rPr>
        <w:t>PENERAPAN PROBLEM BASE LEARNING UNTUK</w:t>
      </w:r>
      <w:r w:rsidRPr="005E3C7C">
        <w:rPr>
          <w:rFonts w:cs="Times New Roman"/>
          <w:noProof/>
        </w:rPr>
        <w:t xml:space="preserve">. </w:t>
      </w:r>
      <w:r w:rsidRPr="005E3C7C">
        <w:rPr>
          <w:rFonts w:cs="Times New Roman"/>
          <w:i/>
          <w:iCs/>
          <w:noProof/>
        </w:rPr>
        <w:t>5</w:t>
      </w:r>
      <w:r w:rsidRPr="005E3C7C">
        <w:rPr>
          <w:rFonts w:cs="Times New Roman"/>
          <w:noProof/>
        </w:rPr>
        <w:t>(4), 624–643.</w:t>
      </w:r>
    </w:p>
    <w:p w14:paraId="20DB9CF3" w14:textId="12138A1D" w:rsidR="00EB2847" w:rsidRPr="005E3C7C" w:rsidRDefault="005E3C7C" w:rsidP="00EB2847">
      <w:pPr>
        <w:ind w:left="0" w:firstLine="0"/>
        <w:rPr>
          <w:iCs/>
        </w:rPr>
      </w:pPr>
      <w:r>
        <w:rPr>
          <w:iCs/>
        </w:rPr>
        <w:fldChar w:fldCharType="end"/>
      </w:r>
    </w:p>
    <w:sectPr w:rsidR="00EB2847" w:rsidRPr="005E3C7C" w:rsidSect="0080596A">
      <w:footerReference w:type="default" r:id="rId12"/>
      <w:headerReference w:type="first" r:id="rId13"/>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CCF8" w14:textId="77777777" w:rsidR="00007EAA" w:rsidRDefault="00007EAA" w:rsidP="003F7CBE">
      <w:r>
        <w:separator/>
      </w:r>
    </w:p>
  </w:endnote>
  <w:endnote w:type="continuationSeparator" w:id="0">
    <w:p w14:paraId="19E9D704" w14:textId="77777777" w:rsidR="00007EAA" w:rsidRDefault="00007EAA"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1B12E706"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0649F">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B6CCF" w14:textId="77777777" w:rsidR="00007EAA" w:rsidRDefault="00007EAA" w:rsidP="003F7CBE">
      <w:r>
        <w:separator/>
      </w:r>
    </w:p>
  </w:footnote>
  <w:footnote w:type="continuationSeparator" w:id="0">
    <w:p w14:paraId="1482F5AA" w14:textId="77777777" w:rsidR="00007EAA" w:rsidRDefault="00007EAA"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0F1DF9AE" w:rsidR="003B4800" w:rsidRPr="00F57819" w:rsidRDefault="00C0649F"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1312" behindDoc="0" locked="0" layoutInCell="1" allowOverlap="1" wp14:anchorId="2F912BE3" wp14:editId="40D412DD">
          <wp:simplePos x="0" y="0"/>
          <wp:positionH relativeFrom="column">
            <wp:posOffset>4901768</wp:posOffset>
          </wp:positionH>
          <wp:positionV relativeFrom="paragraph">
            <wp:posOffset>-16536</wp:posOffset>
          </wp:positionV>
          <wp:extent cx="1104900" cy="13049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304925"/>
                  </a:xfrm>
                  <a:prstGeom prst="rect">
                    <a:avLst/>
                  </a:prstGeom>
                  <a:noFill/>
                </pic:spPr>
              </pic:pic>
            </a:graphicData>
          </a:graphic>
          <wp14:sizeRelH relativeFrom="page">
            <wp14:pctWidth>0</wp14:pctWidth>
          </wp14:sizeRelH>
          <wp14:sizeRelV relativeFrom="page">
            <wp14:pctHeight>0</wp14:pctHeight>
          </wp14:sizeRelV>
        </wp:anchor>
      </w:drawing>
    </w:r>
    <w:r w:rsidR="006A58FC">
      <w:rPr>
        <w:b/>
        <w:bCs/>
        <w:noProof/>
        <w:sz w:val="30"/>
        <w:szCs w:val="30"/>
        <w:lang w:val="en-US"/>
      </w:rPr>
      <w:drawing>
        <wp:anchor distT="0" distB="0" distL="114300" distR="114300" simplePos="0" relativeHeight="251658240" behindDoc="0" locked="0" layoutInCell="1" allowOverlap="1" wp14:anchorId="6D97E455" wp14:editId="28E58A83">
          <wp:simplePos x="0" y="0"/>
          <wp:positionH relativeFrom="margin">
            <wp:posOffset>-1308735</wp:posOffset>
          </wp:positionH>
          <wp:positionV relativeFrom="margin">
            <wp:posOffset>-1484630</wp:posOffset>
          </wp:positionV>
          <wp:extent cx="929005" cy="782320"/>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9005" cy="78232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6770C2D3"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2228144B" w:rsidR="00A919ED" w:rsidRDefault="00A919ED" w:rsidP="00F57819">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3" w:history="1">
      <w:r w:rsidR="00F57819" w:rsidRPr="00385A90">
        <w:rPr>
          <w:rStyle w:val="Hyperlink"/>
        </w:rPr>
        <w:t>http://jurnal.uinsu.ac.id/index.php/hijri</w:t>
      </w:r>
    </w:hyperlink>
  </w:p>
  <w:p w14:paraId="640B078E" w14:textId="2D80E1BD" w:rsidR="00EE5DBE" w:rsidRDefault="005A59BC" w:rsidP="00F57819">
    <w:pPr>
      <w:pStyle w:val="Header"/>
      <w:tabs>
        <w:tab w:val="clear" w:pos="9026"/>
        <w:tab w:val="right" w:pos="7938"/>
      </w:tabs>
      <w:ind w:left="0" w:right="-1" w:firstLine="0"/>
      <w:jc w:val="center"/>
    </w:pPr>
    <w:r w:rsidRPr="005A59BC">
      <w:rPr>
        <w:noProof/>
      </w:rPr>
      <w:drawing>
        <wp:anchor distT="0" distB="0" distL="114300" distR="114300" simplePos="0" relativeHeight="251659264" behindDoc="0" locked="0" layoutInCell="1" allowOverlap="1" wp14:anchorId="54866D50" wp14:editId="58F0C7C4">
          <wp:simplePos x="0" y="0"/>
          <wp:positionH relativeFrom="column">
            <wp:posOffset>-1417625</wp:posOffset>
          </wp:positionH>
          <wp:positionV relativeFrom="paragraph">
            <wp:posOffset>167005</wp:posOffset>
          </wp:positionV>
          <wp:extent cx="7512685" cy="55676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512685" cy="556766"/>
                  </a:xfrm>
                  <a:prstGeom prst="rect">
                    <a:avLst/>
                  </a:prstGeom>
                </pic:spPr>
              </pic:pic>
            </a:graphicData>
          </a:graphic>
          <wp14:sizeRelH relativeFrom="page">
            <wp14:pctWidth>0</wp14:pctWidth>
          </wp14:sizeRelH>
          <wp14:sizeRelV relativeFrom="page">
            <wp14:pctHeight>0</wp14:pctHeight>
          </wp14:sizeRelV>
        </wp:anchor>
      </w:drawing>
    </w:r>
  </w:p>
  <w:p w14:paraId="57BFA53A" w14:textId="054B1C14" w:rsidR="00F57819" w:rsidRDefault="00F57819" w:rsidP="00F57819">
    <w:pPr>
      <w:pStyle w:val="Header"/>
      <w:tabs>
        <w:tab w:val="clear" w:pos="9026"/>
        <w:tab w:val="right" w:pos="7938"/>
      </w:tabs>
      <w:ind w:left="0" w:right="-1" w:firstLine="0"/>
      <w:jc w:val="center"/>
    </w:pPr>
  </w:p>
  <w:p w14:paraId="5B4DBCAE" w14:textId="36F5AF06" w:rsidR="00F57819" w:rsidRDefault="00F57819" w:rsidP="00F57819">
    <w:pPr>
      <w:pStyle w:val="Header"/>
      <w:tabs>
        <w:tab w:val="clear" w:pos="9026"/>
        <w:tab w:val="right" w:pos="7938"/>
      </w:tabs>
      <w:ind w:left="0" w:right="-1" w:firstLine="0"/>
      <w:jc w:val="center"/>
    </w:pPr>
  </w:p>
  <w:p w14:paraId="06574D33" w14:textId="47AF2E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53FD26FB"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07EAA"/>
    <w:rsid w:val="00060C6B"/>
    <w:rsid w:val="000646B1"/>
    <w:rsid w:val="001126BA"/>
    <w:rsid w:val="00113FB7"/>
    <w:rsid w:val="0011649D"/>
    <w:rsid w:val="00134814"/>
    <w:rsid w:val="00141ECC"/>
    <w:rsid w:val="0015187E"/>
    <w:rsid w:val="001603A5"/>
    <w:rsid w:val="00183669"/>
    <w:rsid w:val="001C3277"/>
    <w:rsid w:val="00201A8F"/>
    <w:rsid w:val="00211710"/>
    <w:rsid w:val="00247666"/>
    <w:rsid w:val="002A0D4A"/>
    <w:rsid w:val="002D69F8"/>
    <w:rsid w:val="002E2762"/>
    <w:rsid w:val="0032778E"/>
    <w:rsid w:val="003559E6"/>
    <w:rsid w:val="00362B2B"/>
    <w:rsid w:val="003768F7"/>
    <w:rsid w:val="0038794D"/>
    <w:rsid w:val="003B4800"/>
    <w:rsid w:val="003B64B1"/>
    <w:rsid w:val="003E2F11"/>
    <w:rsid w:val="003F7CBE"/>
    <w:rsid w:val="004277AF"/>
    <w:rsid w:val="00433560"/>
    <w:rsid w:val="00441E0A"/>
    <w:rsid w:val="0046265C"/>
    <w:rsid w:val="004755C0"/>
    <w:rsid w:val="004A6306"/>
    <w:rsid w:val="004D47EB"/>
    <w:rsid w:val="0051193C"/>
    <w:rsid w:val="0054223F"/>
    <w:rsid w:val="005730DE"/>
    <w:rsid w:val="00585578"/>
    <w:rsid w:val="00591112"/>
    <w:rsid w:val="005938E3"/>
    <w:rsid w:val="005A59BC"/>
    <w:rsid w:val="005E3C7C"/>
    <w:rsid w:val="005F07C4"/>
    <w:rsid w:val="00612379"/>
    <w:rsid w:val="006161E4"/>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B2DAC"/>
    <w:rsid w:val="008F51D7"/>
    <w:rsid w:val="008F7F7E"/>
    <w:rsid w:val="00950B41"/>
    <w:rsid w:val="009D5565"/>
    <w:rsid w:val="009E0585"/>
    <w:rsid w:val="00A253A1"/>
    <w:rsid w:val="00A4069C"/>
    <w:rsid w:val="00A43863"/>
    <w:rsid w:val="00A73591"/>
    <w:rsid w:val="00A74575"/>
    <w:rsid w:val="00A905EC"/>
    <w:rsid w:val="00A919ED"/>
    <w:rsid w:val="00A954C0"/>
    <w:rsid w:val="00AD10F9"/>
    <w:rsid w:val="00B01F33"/>
    <w:rsid w:val="00B03C3D"/>
    <w:rsid w:val="00B06E1E"/>
    <w:rsid w:val="00B078B5"/>
    <w:rsid w:val="00B1035E"/>
    <w:rsid w:val="00B2359D"/>
    <w:rsid w:val="00B27BD9"/>
    <w:rsid w:val="00B416A7"/>
    <w:rsid w:val="00B6718A"/>
    <w:rsid w:val="00B77349"/>
    <w:rsid w:val="00BA3F75"/>
    <w:rsid w:val="00BB0AEB"/>
    <w:rsid w:val="00C0649F"/>
    <w:rsid w:val="00C3556C"/>
    <w:rsid w:val="00C54FC0"/>
    <w:rsid w:val="00CE3CF7"/>
    <w:rsid w:val="00D10978"/>
    <w:rsid w:val="00D12A53"/>
    <w:rsid w:val="00D35E4D"/>
    <w:rsid w:val="00DC3341"/>
    <w:rsid w:val="00DC4025"/>
    <w:rsid w:val="00DC6983"/>
    <w:rsid w:val="00E56E74"/>
    <w:rsid w:val="00E664B2"/>
    <w:rsid w:val="00EA55E4"/>
    <w:rsid w:val="00EB2847"/>
    <w:rsid w:val="00EC39C4"/>
    <w:rsid w:val="00ED53C6"/>
    <w:rsid w:val="00EE5DBE"/>
    <w:rsid w:val="00EF616D"/>
    <w:rsid w:val="00F57819"/>
    <w:rsid w:val="00F678AA"/>
    <w:rsid w:val="00F86200"/>
    <w:rsid w:val="00F931E4"/>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BodyText">
    <w:name w:val="Body Text"/>
    <w:basedOn w:val="Normal"/>
    <w:link w:val="BodyTextChar"/>
    <w:uiPriority w:val="1"/>
    <w:qFormat/>
    <w:rsid w:val="003559E6"/>
    <w:pPr>
      <w:widowControl w:val="0"/>
      <w:autoSpaceDE w:val="0"/>
      <w:autoSpaceDN w:val="0"/>
      <w:ind w:left="0" w:firstLine="0"/>
      <w:jc w:val="left"/>
    </w:pPr>
    <w:rPr>
      <w:rFonts w:eastAsia="Times New Roman" w:cs="Times New Roman"/>
      <w:sz w:val="24"/>
      <w:szCs w:val="24"/>
      <w:lang w:val="id"/>
    </w:rPr>
  </w:style>
  <w:style w:type="character" w:customStyle="1" w:styleId="BodyTextChar">
    <w:name w:val="Body Text Char"/>
    <w:basedOn w:val="DefaultParagraphFont"/>
    <w:link w:val="BodyText"/>
    <w:uiPriority w:val="1"/>
    <w:rsid w:val="003559E6"/>
    <w:rPr>
      <w:rFonts w:eastAsia="Times New Roman" w:cs="Times New Roman"/>
      <w:sz w:val="24"/>
      <w:szCs w:val="24"/>
      <w:lang w:val="id"/>
    </w:rPr>
  </w:style>
  <w:style w:type="character" w:styleId="UnresolvedMention">
    <w:name w:val="Unresolved Mention"/>
    <w:basedOn w:val="DefaultParagraphFont"/>
    <w:uiPriority w:val="99"/>
    <w:semiHidden/>
    <w:unhideWhenUsed/>
    <w:rsid w:val="00F93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maen343@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ikasintesa@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ikasintesa@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yan.irdiyansyah@unpak.ac.id" TargetMode="External"/><Relationship Id="rId4" Type="http://schemas.openxmlformats.org/officeDocument/2006/relationships/webSettings" Target="webSettings.xml"/><Relationship Id="rId9" Type="http://schemas.openxmlformats.org/officeDocument/2006/relationships/hyperlink" Target="mailto:yunitaindriany@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hijri"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82FD0-7352-4820-BB15-5532E322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8</Pages>
  <Words>10495</Words>
  <Characters>59827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 14s</cp:lastModifiedBy>
  <cp:revision>59</cp:revision>
  <cp:lastPrinted>2018-01-25T05:27:00Z</cp:lastPrinted>
  <dcterms:created xsi:type="dcterms:W3CDTF">2018-01-24T06:44:00Z</dcterms:created>
  <dcterms:modified xsi:type="dcterms:W3CDTF">2025-04-26T01:13:00Z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1cb56ff0-9d3f-370f-abe9-34d95bed725c</vt:lpwstr>
  </property>
  <property fmtid="{D5CDD505-2E9C-101B-9397-08002B2CF9AE}" pid="25" name="Mendeley Citation Style_1">
    <vt:lpwstr>http://www.zotero.org/styles/apa</vt:lpwstr>
  </property>
</Properties>
</file>