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76F8F" w14:textId="54E5E85B" w:rsidR="00343592" w:rsidRPr="008550D5" w:rsidRDefault="008550D5" w:rsidP="008550D5">
      <w:pPr>
        <w:spacing w:after="0" w:line="360" w:lineRule="auto"/>
        <w:ind w:right="-188"/>
        <w:jc w:val="center"/>
        <w:rPr>
          <w:rFonts w:asciiTheme="majorBidi" w:eastAsia="Times New Roman" w:hAnsiTheme="majorBidi" w:cstheme="majorBidi"/>
          <w:b/>
          <w:sz w:val="24"/>
          <w:szCs w:val="24"/>
          <w:lang w:val="en-US"/>
        </w:rPr>
      </w:pPr>
      <w:r w:rsidRPr="008550D5">
        <w:rPr>
          <w:rFonts w:asciiTheme="majorBidi" w:eastAsia="Times New Roman" w:hAnsiTheme="majorBidi" w:cstheme="majorBidi"/>
          <w:b/>
          <w:sz w:val="24"/>
          <w:szCs w:val="24"/>
        </w:rPr>
        <w:t xml:space="preserve">Comparison </w:t>
      </w:r>
      <w:r w:rsidRPr="008550D5">
        <w:rPr>
          <w:rFonts w:asciiTheme="majorBidi" w:eastAsia="Times New Roman" w:hAnsiTheme="majorBidi" w:cstheme="majorBidi"/>
          <w:b/>
          <w:sz w:val="24"/>
          <w:szCs w:val="24"/>
          <w:lang w:val="en-ID"/>
        </w:rPr>
        <w:t>o</w:t>
      </w:r>
      <w:r w:rsidRPr="008550D5">
        <w:rPr>
          <w:rFonts w:asciiTheme="majorBidi" w:eastAsia="Times New Roman" w:hAnsiTheme="majorBidi" w:cstheme="majorBidi"/>
          <w:b/>
          <w:sz w:val="24"/>
          <w:szCs w:val="24"/>
        </w:rPr>
        <w:t xml:space="preserve">f The Level </w:t>
      </w:r>
      <w:r w:rsidRPr="008550D5">
        <w:rPr>
          <w:rFonts w:asciiTheme="majorBidi" w:eastAsia="Times New Roman" w:hAnsiTheme="majorBidi" w:cstheme="majorBidi"/>
          <w:b/>
          <w:sz w:val="24"/>
          <w:szCs w:val="24"/>
          <w:lang w:val="en-ID"/>
        </w:rPr>
        <w:t>o</w:t>
      </w:r>
      <w:r w:rsidRPr="008550D5">
        <w:rPr>
          <w:rFonts w:asciiTheme="majorBidi" w:eastAsia="Times New Roman" w:hAnsiTheme="majorBidi" w:cstheme="majorBidi"/>
          <w:b/>
          <w:sz w:val="24"/>
          <w:szCs w:val="24"/>
        </w:rPr>
        <w:t xml:space="preserve">f Satisfaction With The Use </w:t>
      </w:r>
      <w:r w:rsidRPr="008550D5">
        <w:rPr>
          <w:rFonts w:asciiTheme="majorBidi" w:eastAsia="Times New Roman" w:hAnsiTheme="majorBidi" w:cstheme="majorBidi"/>
          <w:b/>
          <w:sz w:val="24"/>
          <w:szCs w:val="24"/>
          <w:lang w:val="en-ID"/>
        </w:rPr>
        <w:t>o</w:t>
      </w:r>
      <w:r w:rsidRPr="008550D5">
        <w:rPr>
          <w:rFonts w:asciiTheme="majorBidi" w:eastAsia="Times New Roman" w:hAnsiTheme="majorBidi" w:cstheme="majorBidi"/>
          <w:b/>
          <w:sz w:val="24"/>
          <w:szCs w:val="24"/>
        </w:rPr>
        <w:t xml:space="preserve">f Analgesics Ketorolac 30 Mg </w:t>
      </w:r>
      <w:r w:rsidRPr="008550D5">
        <w:rPr>
          <w:rFonts w:asciiTheme="majorBidi" w:eastAsia="Times New Roman" w:hAnsiTheme="majorBidi" w:cstheme="majorBidi"/>
          <w:b/>
          <w:sz w:val="24"/>
          <w:szCs w:val="24"/>
          <w:lang w:val="en-ID"/>
        </w:rPr>
        <w:t>a</w:t>
      </w:r>
      <w:r w:rsidRPr="008550D5">
        <w:rPr>
          <w:rFonts w:asciiTheme="majorBidi" w:eastAsia="Times New Roman" w:hAnsiTheme="majorBidi" w:cstheme="majorBidi"/>
          <w:b/>
          <w:sz w:val="24"/>
          <w:szCs w:val="24"/>
        </w:rPr>
        <w:t xml:space="preserve">nd Paracetamol 1000 Mg </w:t>
      </w:r>
      <w:proofErr w:type="spellStart"/>
      <w:r w:rsidRPr="008550D5">
        <w:rPr>
          <w:rFonts w:asciiTheme="majorBidi" w:eastAsia="Times New Roman" w:hAnsiTheme="majorBidi" w:cstheme="majorBidi"/>
          <w:b/>
          <w:sz w:val="24"/>
          <w:szCs w:val="24"/>
          <w:lang w:val="en-ID"/>
        </w:rPr>
        <w:t>i</w:t>
      </w:r>
      <w:proofErr w:type="spellEnd"/>
      <w:r w:rsidRPr="008550D5">
        <w:rPr>
          <w:rFonts w:asciiTheme="majorBidi" w:eastAsia="Times New Roman" w:hAnsiTheme="majorBidi" w:cstheme="majorBidi"/>
          <w:b/>
          <w:sz w:val="24"/>
          <w:szCs w:val="24"/>
        </w:rPr>
        <w:t>n Moderate Post-Operative Patients</w:t>
      </w:r>
    </w:p>
    <w:p w14:paraId="4C4F75EC" w14:textId="77777777" w:rsidR="00343592" w:rsidRPr="008550D5" w:rsidRDefault="00343592" w:rsidP="008550D5">
      <w:pPr>
        <w:spacing w:after="0" w:line="360" w:lineRule="auto"/>
        <w:ind w:right="-188" w:firstLine="720"/>
        <w:jc w:val="both"/>
        <w:rPr>
          <w:rFonts w:asciiTheme="majorBidi" w:eastAsia="Times New Roman" w:hAnsiTheme="majorBidi" w:cstheme="majorBidi"/>
          <w:sz w:val="24"/>
          <w:szCs w:val="24"/>
        </w:rPr>
      </w:pPr>
    </w:p>
    <w:p w14:paraId="1F6BC8AF" w14:textId="7BA2F842" w:rsidR="00343592" w:rsidRPr="008550D5" w:rsidRDefault="008550D5" w:rsidP="008550D5">
      <w:pPr>
        <w:spacing w:after="0" w:line="360" w:lineRule="auto"/>
        <w:ind w:right="-188"/>
        <w:jc w:val="center"/>
        <w:rPr>
          <w:rFonts w:asciiTheme="majorBidi" w:eastAsia="Times New Roman" w:hAnsiTheme="majorBidi" w:cstheme="majorBidi"/>
          <w:vertAlign w:val="superscript"/>
          <w:lang w:val="ms"/>
        </w:rPr>
      </w:pPr>
      <w:r w:rsidRPr="008550D5">
        <w:rPr>
          <w:rFonts w:asciiTheme="majorBidi" w:eastAsia="Times New Roman" w:hAnsiTheme="majorBidi" w:cstheme="majorBidi"/>
          <w:lang w:val="en-US"/>
        </w:rPr>
        <w:t>Yosi Budi Setyawan</w:t>
      </w:r>
      <w:r w:rsidR="009D5F90" w:rsidRPr="008550D5">
        <w:rPr>
          <w:rFonts w:asciiTheme="majorBidi" w:eastAsia="Times New Roman" w:hAnsiTheme="majorBidi" w:cstheme="majorBidi"/>
          <w:vertAlign w:val="superscript"/>
          <w:lang w:val="en-US"/>
        </w:rPr>
        <w:t>1*</w:t>
      </w:r>
      <w:r w:rsidR="009D5F90" w:rsidRPr="008550D5">
        <w:rPr>
          <w:rFonts w:asciiTheme="majorBidi" w:eastAsia="Times New Roman" w:hAnsiTheme="majorBidi" w:cstheme="majorBidi"/>
          <w:lang w:val="en-US"/>
        </w:rPr>
        <w:t xml:space="preserve">, </w:t>
      </w:r>
      <w:r w:rsidRPr="008550D5">
        <w:rPr>
          <w:rFonts w:asciiTheme="majorBidi" w:eastAsia="Times New Roman" w:hAnsiTheme="majorBidi" w:cstheme="majorBidi"/>
        </w:rPr>
        <w:t>Meli Rosita</w:t>
      </w:r>
      <w:r w:rsidR="009D5F90" w:rsidRPr="008550D5">
        <w:rPr>
          <w:rFonts w:asciiTheme="majorBidi" w:eastAsia="Times New Roman" w:hAnsiTheme="majorBidi" w:cstheme="majorBidi"/>
          <w:vertAlign w:val="superscript"/>
          <w:lang w:val="en-US"/>
        </w:rPr>
        <w:t>2</w:t>
      </w:r>
    </w:p>
    <w:p w14:paraId="096CB8D4" w14:textId="4AC81E24" w:rsidR="009D5F90" w:rsidRPr="008550D5" w:rsidRDefault="00343592" w:rsidP="008550D5">
      <w:pPr>
        <w:spacing w:after="0" w:line="360" w:lineRule="auto"/>
        <w:ind w:right="-188"/>
        <w:jc w:val="center"/>
        <w:rPr>
          <w:rFonts w:asciiTheme="majorBidi" w:eastAsia="Times New Roman" w:hAnsiTheme="majorBidi" w:cstheme="majorBidi"/>
          <w:lang w:val="ms"/>
        </w:rPr>
      </w:pPr>
      <w:r w:rsidRPr="008550D5">
        <w:rPr>
          <w:rFonts w:asciiTheme="majorBidi" w:eastAsia="Times New Roman" w:hAnsiTheme="majorBidi" w:cstheme="majorBidi"/>
          <w:vertAlign w:val="superscript"/>
          <w:lang w:val="ms"/>
        </w:rPr>
        <w:t>1</w:t>
      </w:r>
      <w:r w:rsidR="008550D5" w:rsidRPr="008550D5">
        <w:rPr>
          <w:rFonts w:asciiTheme="majorBidi" w:eastAsia="Times New Roman" w:hAnsiTheme="majorBidi" w:cstheme="majorBidi"/>
          <w:lang w:val="ms"/>
        </w:rPr>
        <w:t>Faculty of Medicine and Health Sciences, Universitas Muhammadiyah Yogyakarta</w:t>
      </w:r>
    </w:p>
    <w:p w14:paraId="3A7CEDC9" w14:textId="05C63903" w:rsidR="00343592" w:rsidRPr="008550D5" w:rsidRDefault="009D5F90" w:rsidP="008550D5">
      <w:pPr>
        <w:spacing w:after="0" w:line="360" w:lineRule="auto"/>
        <w:ind w:right="-188"/>
        <w:jc w:val="center"/>
        <w:rPr>
          <w:rFonts w:asciiTheme="majorBidi" w:eastAsia="Times New Roman" w:hAnsiTheme="majorBidi" w:cstheme="majorBidi"/>
        </w:rPr>
      </w:pPr>
      <w:r w:rsidRPr="008550D5">
        <w:rPr>
          <w:rFonts w:asciiTheme="majorBidi" w:eastAsia="Times New Roman" w:hAnsiTheme="majorBidi" w:cstheme="majorBidi"/>
          <w:vertAlign w:val="superscript"/>
          <w:lang w:val="ms"/>
        </w:rPr>
        <w:t>2</w:t>
      </w:r>
      <w:r w:rsidR="008550D5" w:rsidRPr="008550D5">
        <w:rPr>
          <w:rFonts w:asciiTheme="majorBidi" w:eastAsia="Times New Roman" w:hAnsiTheme="majorBidi" w:cstheme="majorBidi"/>
          <w:lang w:val="en-US"/>
        </w:rPr>
        <w:t>Faculty of Medicine and Health Sciences, Universitas Muhammadiyah Yogyakarta</w:t>
      </w:r>
    </w:p>
    <w:p w14:paraId="65BB0A10" w14:textId="099180A4" w:rsidR="00343592" w:rsidRPr="008550D5" w:rsidRDefault="00343592" w:rsidP="008550D5">
      <w:pPr>
        <w:spacing w:after="0" w:line="360" w:lineRule="auto"/>
        <w:ind w:right="-188"/>
        <w:jc w:val="center"/>
        <w:rPr>
          <w:rFonts w:asciiTheme="majorBidi" w:eastAsia="Times New Roman" w:hAnsiTheme="majorBidi" w:cstheme="majorBidi"/>
          <w:lang w:val="en-US"/>
        </w:rPr>
      </w:pPr>
      <w:r w:rsidRPr="008550D5">
        <w:rPr>
          <w:rFonts w:asciiTheme="majorBidi" w:eastAsia="Times New Roman" w:hAnsiTheme="majorBidi" w:cstheme="majorBidi"/>
        </w:rPr>
        <w:t xml:space="preserve">Email corespondensi : </w:t>
      </w:r>
      <w:r w:rsidR="008550D5" w:rsidRPr="008550D5">
        <w:rPr>
          <w:rFonts w:asciiTheme="majorBidi" w:eastAsia="Times New Roman" w:hAnsiTheme="majorBidi" w:cstheme="majorBidi"/>
          <w:lang w:val="ms"/>
        </w:rPr>
        <w:t>yosybudi_s@fkik.umy.ac.id</w:t>
      </w:r>
    </w:p>
    <w:p w14:paraId="537E040B" w14:textId="77777777" w:rsidR="00343592" w:rsidRPr="008550D5" w:rsidRDefault="00343592" w:rsidP="008550D5">
      <w:pPr>
        <w:spacing w:after="0" w:line="360" w:lineRule="auto"/>
        <w:ind w:right="-188" w:firstLine="720"/>
        <w:jc w:val="both"/>
        <w:rPr>
          <w:rFonts w:asciiTheme="majorBidi" w:eastAsia="Times New Roman" w:hAnsiTheme="majorBidi" w:cstheme="majorBidi"/>
          <w:sz w:val="24"/>
          <w:szCs w:val="24"/>
        </w:rPr>
      </w:pPr>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8080"/>
      </w:tblGrid>
      <w:tr w:rsidR="00343592" w:rsidRPr="008550D5" w14:paraId="6242EAFF" w14:textId="77777777" w:rsidTr="00BA047C">
        <w:tc>
          <w:tcPr>
            <w:tcW w:w="1242" w:type="dxa"/>
            <w:shd w:val="clear" w:color="auto" w:fill="auto"/>
          </w:tcPr>
          <w:p w14:paraId="246DF9FB" w14:textId="77777777" w:rsidR="00343592" w:rsidRPr="008550D5" w:rsidRDefault="00343592" w:rsidP="008550D5">
            <w:pPr>
              <w:spacing w:after="0" w:line="360" w:lineRule="auto"/>
              <w:ind w:right="-188" w:firstLine="25"/>
              <w:jc w:val="both"/>
              <w:rPr>
                <w:rFonts w:asciiTheme="majorBidi" w:eastAsia="Times New Roman" w:hAnsiTheme="majorBidi" w:cstheme="majorBidi"/>
                <w:b/>
                <w:sz w:val="20"/>
                <w:szCs w:val="20"/>
                <w:lang w:val="en-ID"/>
              </w:rPr>
            </w:pPr>
          </w:p>
          <w:p w14:paraId="2A1BDFD0" w14:textId="77777777" w:rsidR="00343592" w:rsidRPr="008550D5" w:rsidRDefault="00343592" w:rsidP="008550D5">
            <w:pPr>
              <w:spacing w:after="0" w:line="360" w:lineRule="auto"/>
              <w:ind w:right="-188" w:firstLine="25"/>
              <w:jc w:val="both"/>
              <w:rPr>
                <w:rFonts w:asciiTheme="majorBidi" w:eastAsia="Times New Roman" w:hAnsiTheme="majorBidi" w:cstheme="majorBidi"/>
                <w:b/>
                <w:sz w:val="20"/>
                <w:szCs w:val="20"/>
                <w:lang w:val="en-ID"/>
              </w:rPr>
            </w:pPr>
            <w:r w:rsidRPr="008550D5">
              <w:rPr>
                <w:rFonts w:asciiTheme="majorBidi" w:eastAsia="Times New Roman" w:hAnsiTheme="majorBidi" w:cstheme="majorBidi"/>
                <w:b/>
                <w:sz w:val="20"/>
                <w:szCs w:val="20"/>
                <w:lang w:val="en-ID"/>
              </w:rPr>
              <w:t>Track Record Article</w:t>
            </w:r>
          </w:p>
          <w:p w14:paraId="0A65E8EF" w14:textId="77777777" w:rsidR="00343592" w:rsidRPr="008550D5" w:rsidRDefault="00343592" w:rsidP="008550D5">
            <w:pPr>
              <w:spacing w:after="0" w:line="360" w:lineRule="auto"/>
              <w:ind w:right="-188" w:firstLine="25"/>
              <w:jc w:val="both"/>
              <w:rPr>
                <w:rFonts w:asciiTheme="majorBidi" w:eastAsia="Times New Roman" w:hAnsiTheme="majorBidi" w:cstheme="majorBidi"/>
                <w:sz w:val="20"/>
                <w:szCs w:val="20"/>
                <w:lang w:val="en-US"/>
              </w:rPr>
            </w:pPr>
          </w:p>
          <w:p w14:paraId="02A5DF69" w14:textId="77777777" w:rsidR="00343592" w:rsidRPr="008550D5" w:rsidRDefault="00343592" w:rsidP="008550D5">
            <w:pPr>
              <w:spacing w:after="0" w:line="360" w:lineRule="auto"/>
              <w:ind w:right="-188" w:firstLine="25"/>
              <w:jc w:val="both"/>
              <w:rPr>
                <w:rFonts w:asciiTheme="majorBidi" w:eastAsia="Times New Roman" w:hAnsiTheme="majorBidi" w:cstheme="majorBidi"/>
                <w:sz w:val="20"/>
                <w:szCs w:val="20"/>
                <w:lang w:val="en-US"/>
              </w:rPr>
            </w:pPr>
            <w:r w:rsidRPr="008550D5">
              <w:rPr>
                <w:rFonts w:asciiTheme="majorBidi" w:eastAsia="Times New Roman" w:hAnsiTheme="majorBidi" w:cstheme="majorBidi"/>
                <w:sz w:val="20"/>
                <w:szCs w:val="20"/>
              </w:rPr>
              <w:t>Accepted:</w:t>
            </w:r>
            <w:r w:rsidRPr="008550D5">
              <w:rPr>
                <w:rFonts w:asciiTheme="majorBidi" w:eastAsia="Times New Roman" w:hAnsiTheme="majorBidi" w:cstheme="majorBidi"/>
                <w:sz w:val="20"/>
                <w:szCs w:val="20"/>
                <w:lang w:val="en-US"/>
              </w:rPr>
              <w:t xml:space="preserve"> </w:t>
            </w:r>
          </w:p>
          <w:p w14:paraId="307876AB" w14:textId="77777777" w:rsidR="00343592" w:rsidRPr="008550D5" w:rsidRDefault="00343592" w:rsidP="008550D5">
            <w:pPr>
              <w:spacing w:after="0" w:line="360" w:lineRule="auto"/>
              <w:ind w:right="-188" w:firstLine="25"/>
              <w:jc w:val="both"/>
              <w:rPr>
                <w:rFonts w:asciiTheme="majorBidi" w:eastAsia="Times New Roman" w:hAnsiTheme="majorBidi" w:cstheme="majorBidi"/>
                <w:sz w:val="20"/>
                <w:szCs w:val="20"/>
                <w:lang w:val="en-US"/>
              </w:rPr>
            </w:pPr>
          </w:p>
          <w:p w14:paraId="186D4874" w14:textId="77777777" w:rsidR="00343592" w:rsidRPr="008550D5" w:rsidRDefault="00343592" w:rsidP="008550D5">
            <w:pPr>
              <w:spacing w:after="0" w:line="360" w:lineRule="auto"/>
              <w:ind w:right="-188" w:firstLine="25"/>
              <w:jc w:val="both"/>
              <w:rPr>
                <w:rFonts w:asciiTheme="majorBidi" w:eastAsia="Times New Roman" w:hAnsiTheme="majorBidi" w:cstheme="majorBidi"/>
                <w:sz w:val="20"/>
                <w:szCs w:val="20"/>
                <w:lang w:val="en-US"/>
              </w:rPr>
            </w:pPr>
            <w:r w:rsidRPr="008550D5">
              <w:rPr>
                <w:rFonts w:asciiTheme="majorBidi" w:eastAsia="Times New Roman" w:hAnsiTheme="majorBidi" w:cstheme="majorBidi"/>
                <w:sz w:val="20"/>
                <w:szCs w:val="20"/>
              </w:rPr>
              <w:t xml:space="preserve"> Published:</w:t>
            </w:r>
            <w:r w:rsidRPr="008550D5">
              <w:rPr>
                <w:rFonts w:asciiTheme="majorBidi" w:eastAsia="Times New Roman" w:hAnsiTheme="majorBidi" w:cstheme="majorBidi"/>
                <w:sz w:val="20"/>
                <w:szCs w:val="20"/>
                <w:lang w:val="en-ID"/>
              </w:rPr>
              <w:t xml:space="preserve"> </w:t>
            </w:r>
          </w:p>
          <w:p w14:paraId="33815BD0" w14:textId="77777777" w:rsidR="00343592" w:rsidRPr="008550D5" w:rsidRDefault="00343592" w:rsidP="008550D5">
            <w:pPr>
              <w:spacing w:after="0" w:line="360" w:lineRule="auto"/>
              <w:ind w:right="-188" w:firstLine="25"/>
              <w:jc w:val="both"/>
              <w:rPr>
                <w:rFonts w:asciiTheme="majorBidi" w:eastAsia="Times New Roman" w:hAnsiTheme="majorBidi" w:cstheme="majorBidi"/>
                <w:b/>
                <w:sz w:val="20"/>
                <w:szCs w:val="20"/>
              </w:rPr>
            </w:pPr>
          </w:p>
        </w:tc>
        <w:tc>
          <w:tcPr>
            <w:tcW w:w="8080" w:type="dxa"/>
            <w:shd w:val="clear" w:color="auto" w:fill="auto"/>
          </w:tcPr>
          <w:p w14:paraId="04AC13F5" w14:textId="77777777" w:rsidR="00343592" w:rsidRPr="008550D5" w:rsidRDefault="00343592" w:rsidP="008550D5">
            <w:pPr>
              <w:spacing w:after="0" w:line="360" w:lineRule="auto"/>
              <w:ind w:right="-188" w:firstLine="25"/>
              <w:jc w:val="both"/>
              <w:rPr>
                <w:rFonts w:asciiTheme="majorBidi" w:eastAsia="Times New Roman" w:hAnsiTheme="majorBidi" w:cstheme="majorBidi"/>
                <w:b/>
                <w:bCs/>
                <w:sz w:val="20"/>
                <w:szCs w:val="20"/>
                <w:lang w:val="en-US"/>
              </w:rPr>
            </w:pPr>
          </w:p>
          <w:p w14:paraId="588645DD" w14:textId="77777777" w:rsidR="00343592" w:rsidRPr="008550D5" w:rsidRDefault="00343592" w:rsidP="008550D5">
            <w:pPr>
              <w:spacing w:after="0" w:line="360" w:lineRule="auto"/>
              <w:ind w:right="-188" w:firstLine="25"/>
              <w:jc w:val="both"/>
              <w:rPr>
                <w:rFonts w:asciiTheme="majorBidi" w:eastAsia="Times New Roman" w:hAnsiTheme="majorBidi" w:cstheme="majorBidi"/>
                <w:b/>
                <w:bCs/>
                <w:sz w:val="20"/>
                <w:szCs w:val="20"/>
                <w:lang w:val="en-US"/>
              </w:rPr>
            </w:pPr>
            <w:r w:rsidRPr="008550D5">
              <w:rPr>
                <w:rFonts w:asciiTheme="majorBidi" w:eastAsia="Times New Roman" w:hAnsiTheme="majorBidi" w:cstheme="majorBidi"/>
                <w:b/>
                <w:bCs/>
                <w:sz w:val="20"/>
                <w:szCs w:val="20"/>
              </w:rPr>
              <w:t>Abstract</w:t>
            </w:r>
          </w:p>
          <w:p w14:paraId="32332167" w14:textId="77777777" w:rsidR="00343592" w:rsidRPr="008550D5" w:rsidRDefault="00343592" w:rsidP="008550D5">
            <w:pPr>
              <w:spacing w:after="0" w:line="360" w:lineRule="auto"/>
              <w:ind w:right="-188" w:firstLine="25"/>
              <w:jc w:val="both"/>
              <w:rPr>
                <w:rFonts w:asciiTheme="majorBidi" w:eastAsia="Times New Roman" w:hAnsiTheme="majorBidi" w:cstheme="majorBidi"/>
                <w:b/>
                <w:bCs/>
                <w:sz w:val="20"/>
                <w:szCs w:val="20"/>
              </w:rPr>
            </w:pPr>
          </w:p>
          <w:p w14:paraId="6E953865" w14:textId="1D1FE2DE" w:rsidR="00343592" w:rsidRPr="008550D5" w:rsidRDefault="008550D5" w:rsidP="008550D5">
            <w:pPr>
              <w:spacing w:after="0" w:line="360" w:lineRule="auto"/>
              <w:ind w:right="-188" w:firstLine="25"/>
              <w:jc w:val="both"/>
              <w:rPr>
                <w:rFonts w:asciiTheme="majorBidi" w:eastAsia="Times New Roman" w:hAnsiTheme="majorBidi" w:cstheme="majorBidi"/>
                <w:sz w:val="20"/>
                <w:szCs w:val="20"/>
                <w:lang w:val="en-US"/>
              </w:rPr>
            </w:pPr>
            <w:r w:rsidRPr="008550D5">
              <w:rPr>
                <w:rFonts w:asciiTheme="majorBidi" w:eastAsia="Times New Roman" w:hAnsiTheme="majorBidi" w:cstheme="majorBidi"/>
                <w:sz w:val="20"/>
                <w:szCs w:val="20"/>
                <w:lang w:val="ms"/>
              </w:rPr>
              <w:t>Pain is an uncomfortable feeling that can be an emotional experience and has the potential to cause real tissue damage. Post-operative events can cause patients to feel pain in certain parts of the body. In post-operative care to reduce pain, patients are given NSAID (Non-Steroid Anti-Inflammatory Drugs) analgesic drugs, and the drugs commonly used are Ketorolac 30mg and Paracetamol 1000mg. The use of analgesics is said to be effective if the patient's perception shows satisfaction after using the analgesic. The research was conducted to see the level of patient satisfaction in using the analgesic intravenous injection of ketorolac 30mg and intravenous infusion of paracetamol 1000mg. This research used a Randomized Controlled Trial (RCT) design with double blinds. Data collection was carried out in April–July 2021 at PKU Muhammadiyah Gamping Hospital. Then the data obtained was analyzed using the Chi-Square test. There were 40 respondents who met the inclusion and exclusion criteria. The analysis results show a significance value of 0.006&lt;0.05. Thus it can be concluded that there is a difference in satisfaction with the use of analgesics. The research showed that the level of satisfaction with the use of the analgesic intravenous injection Ketorolac 30mg in mild to moderate post-operative patients at PKU Muhammadiyah Gamping Hospital was higher than the use of intravenous infusion Paracetamol 1000mg.</w:t>
            </w:r>
          </w:p>
          <w:p w14:paraId="6DA15B92" w14:textId="26390464" w:rsidR="00343592" w:rsidRPr="008550D5" w:rsidRDefault="00343592" w:rsidP="008550D5">
            <w:pPr>
              <w:spacing w:after="0" w:line="360" w:lineRule="auto"/>
              <w:ind w:right="-188" w:firstLine="25"/>
              <w:rPr>
                <w:rFonts w:asciiTheme="majorBidi" w:eastAsia="Times New Roman" w:hAnsiTheme="majorBidi" w:cstheme="majorBidi"/>
                <w:b/>
                <w:bCs/>
                <w:sz w:val="20"/>
                <w:szCs w:val="20"/>
                <w:lang w:val="ms"/>
              </w:rPr>
            </w:pPr>
            <w:r w:rsidRPr="008550D5">
              <w:rPr>
                <w:rFonts w:asciiTheme="majorBidi" w:eastAsia="Times New Roman" w:hAnsiTheme="majorBidi" w:cstheme="majorBidi"/>
                <w:b/>
                <w:sz w:val="20"/>
                <w:szCs w:val="20"/>
              </w:rPr>
              <w:t>Keywords:</w:t>
            </w:r>
            <w:r w:rsidR="0041703E" w:rsidRPr="008550D5">
              <w:rPr>
                <w:rFonts w:asciiTheme="majorBidi" w:eastAsia="Times New Roman" w:hAnsiTheme="majorBidi" w:cstheme="majorBidi"/>
                <w:sz w:val="20"/>
                <w:szCs w:val="20"/>
              </w:rPr>
              <w:t xml:space="preserve"> </w:t>
            </w:r>
            <w:r w:rsidR="009D5F90" w:rsidRPr="008550D5">
              <w:rPr>
                <w:rFonts w:asciiTheme="majorBidi" w:eastAsia="Arial" w:hAnsiTheme="majorBidi" w:cstheme="majorBidi"/>
                <w:sz w:val="24"/>
                <w:szCs w:val="24"/>
                <w:lang w:val="en-US"/>
              </w:rPr>
              <w:t xml:space="preserve"> </w:t>
            </w:r>
            <w:r w:rsidR="008550D5" w:rsidRPr="008550D5">
              <w:rPr>
                <w:rFonts w:asciiTheme="majorBidi" w:hAnsiTheme="majorBidi" w:cstheme="majorBidi"/>
              </w:rPr>
              <w:t xml:space="preserve"> </w:t>
            </w:r>
            <w:r w:rsidR="008550D5" w:rsidRPr="008550D5">
              <w:rPr>
                <w:rFonts w:asciiTheme="majorBidi" w:eastAsia="Times New Roman" w:hAnsiTheme="majorBidi" w:cstheme="majorBidi"/>
                <w:b/>
                <w:bCs/>
                <w:sz w:val="20"/>
                <w:szCs w:val="20"/>
                <w:lang w:val="en-US"/>
              </w:rPr>
              <w:t>Satisfaction Level, Anti-Pain, Postoperative</w:t>
            </w:r>
            <w:r w:rsidR="009D5F90" w:rsidRPr="008550D5">
              <w:rPr>
                <w:rFonts w:asciiTheme="majorBidi" w:eastAsia="Times New Roman" w:hAnsiTheme="majorBidi" w:cstheme="majorBidi"/>
                <w:b/>
                <w:bCs/>
                <w:sz w:val="20"/>
                <w:szCs w:val="20"/>
                <w:lang w:val="en-US"/>
              </w:rPr>
              <w:t>.</w:t>
            </w:r>
          </w:p>
        </w:tc>
      </w:tr>
    </w:tbl>
    <w:p w14:paraId="3C3E1553" w14:textId="77777777" w:rsidR="00343592" w:rsidRPr="008550D5" w:rsidRDefault="00343592" w:rsidP="008550D5">
      <w:pPr>
        <w:spacing w:after="0" w:line="360" w:lineRule="auto"/>
        <w:ind w:right="-188" w:firstLine="720"/>
        <w:jc w:val="both"/>
        <w:rPr>
          <w:rFonts w:asciiTheme="majorBidi" w:eastAsia="Times New Roman" w:hAnsiTheme="majorBidi" w:cstheme="majorBidi"/>
          <w:sz w:val="24"/>
          <w:szCs w:val="24"/>
          <w:lang w:val="en-US"/>
        </w:rPr>
      </w:pPr>
    </w:p>
    <w:p w14:paraId="34C4DF14" w14:textId="77777777" w:rsidR="00343592" w:rsidRPr="008550D5" w:rsidRDefault="00343592" w:rsidP="004F5945">
      <w:pPr>
        <w:spacing w:after="0" w:line="360" w:lineRule="auto"/>
        <w:ind w:right="-188"/>
        <w:jc w:val="both"/>
        <w:rPr>
          <w:rFonts w:asciiTheme="majorBidi" w:eastAsia="Times New Roman" w:hAnsiTheme="majorBidi" w:cstheme="majorBidi"/>
          <w:b/>
          <w:sz w:val="24"/>
          <w:szCs w:val="24"/>
          <w:lang w:val="en-US"/>
        </w:rPr>
      </w:pPr>
      <w:r w:rsidRPr="008550D5">
        <w:rPr>
          <w:rFonts w:asciiTheme="majorBidi" w:eastAsia="Times New Roman" w:hAnsiTheme="majorBidi" w:cstheme="majorBidi"/>
          <w:b/>
          <w:sz w:val="24"/>
          <w:szCs w:val="24"/>
        </w:rPr>
        <w:t>INTRODUCTION</w:t>
      </w:r>
      <w:r w:rsidRPr="008550D5">
        <w:rPr>
          <w:rFonts w:asciiTheme="majorBidi" w:eastAsia="Times New Roman" w:hAnsiTheme="majorBidi" w:cstheme="majorBidi"/>
          <w:b/>
          <w:sz w:val="24"/>
          <w:szCs w:val="24"/>
          <w:lang w:val="en-US"/>
        </w:rPr>
        <w:t xml:space="preserve"> </w:t>
      </w:r>
      <w:bookmarkStart w:id="0" w:name="_Hlk126665048"/>
    </w:p>
    <w:p w14:paraId="0EAC5B12" w14:textId="77777777" w:rsidR="008550D5" w:rsidRPr="008550D5" w:rsidRDefault="008550D5" w:rsidP="004F5945">
      <w:pPr>
        <w:spacing w:after="0" w:line="360" w:lineRule="auto"/>
        <w:ind w:right="-188" w:firstLine="720"/>
        <w:jc w:val="both"/>
        <w:rPr>
          <w:rFonts w:asciiTheme="majorBidi" w:eastAsia="Times New Roman" w:hAnsiTheme="majorBidi" w:cstheme="majorBidi"/>
          <w:b/>
          <w:sz w:val="24"/>
          <w:szCs w:val="24"/>
        </w:rPr>
      </w:pPr>
      <w:bookmarkStart w:id="1" w:name="_Hlk111019335"/>
      <w:bookmarkEnd w:id="0"/>
      <w:r w:rsidRPr="008550D5">
        <w:rPr>
          <w:rFonts w:asciiTheme="majorBidi" w:eastAsia="Times New Roman" w:hAnsiTheme="majorBidi" w:cstheme="majorBidi"/>
          <w:sz w:val="24"/>
          <w:szCs w:val="24"/>
        </w:rPr>
        <w:t>Anesthesia is a branch of medical science that studies the management of pain, soreness</w:t>
      </w:r>
      <w:r w:rsidRPr="008550D5">
        <w:rPr>
          <w:rFonts w:asciiTheme="majorBidi" w:eastAsia="Times New Roman" w:hAnsiTheme="majorBidi" w:cstheme="majorBidi"/>
          <w:sz w:val="24"/>
          <w:szCs w:val="24"/>
          <w:lang w:val="en-ID"/>
        </w:rPr>
        <w:t>,</w:t>
      </w:r>
      <w:r w:rsidRPr="008550D5">
        <w:rPr>
          <w:rFonts w:asciiTheme="majorBidi" w:eastAsia="Times New Roman" w:hAnsiTheme="majorBidi" w:cstheme="majorBidi"/>
          <w:sz w:val="24"/>
          <w:szCs w:val="24"/>
        </w:rPr>
        <w:t xml:space="preserve"> and other discomfort, so that patients are in a comfortable condition during surgery and various other procedures </w:t>
      </w:r>
      <w:sdt>
        <w:sdtPr>
          <w:rPr>
            <w:rFonts w:asciiTheme="majorBidi" w:eastAsia="Times New Roman" w:hAnsiTheme="majorBidi" w:cstheme="majorBidi"/>
            <w:sz w:val="24"/>
            <w:szCs w:val="24"/>
          </w:rPr>
          <w:id w:val="572391082"/>
          <w:citation/>
        </w:sdtPr>
        <w:sdtContent>
          <w:r w:rsidRPr="008550D5">
            <w:rPr>
              <w:rFonts w:asciiTheme="majorBidi" w:eastAsia="Times New Roman" w:hAnsiTheme="majorBidi" w:cstheme="majorBidi"/>
              <w:sz w:val="24"/>
              <w:szCs w:val="24"/>
            </w:rPr>
            <w:fldChar w:fldCharType="begin"/>
          </w:r>
          <w:r w:rsidRPr="008550D5">
            <w:rPr>
              <w:rFonts w:asciiTheme="majorBidi" w:eastAsia="Times New Roman" w:hAnsiTheme="majorBidi" w:cstheme="majorBidi"/>
              <w:sz w:val="24"/>
              <w:szCs w:val="24"/>
            </w:rPr>
            <w:instrText xml:space="preserve"> CITATION GMa10 \l 1033 </w:instrText>
          </w:r>
          <w:r w:rsidRPr="008550D5">
            <w:rPr>
              <w:rFonts w:asciiTheme="majorBidi" w:eastAsia="Times New Roman" w:hAnsiTheme="majorBidi" w:cstheme="majorBidi"/>
              <w:sz w:val="24"/>
              <w:szCs w:val="24"/>
            </w:rPr>
            <w:fldChar w:fldCharType="separate"/>
          </w:r>
          <w:r w:rsidRPr="008550D5">
            <w:rPr>
              <w:rFonts w:asciiTheme="majorBidi" w:eastAsia="Times New Roman" w:hAnsiTheme="majorBidi" w:cstheme="majorBidi"/>
              <w:sz w:val="24"/>
              <w:szCs w:val="24"/>
            </w:rPr>
            <w:t>(Mangku &amp; Senapathi, 2010)</w:t>
          </w:r>
          <w:r w:rsidRPr="008550D5">
            <w:rPr>
              <w:rFonts w:asciiTheme="majorBidi" w:eastAsia="Times New Roman" w:hAnsiTheme="majorBidi" w:cstheme="majorBidi"/>
              <w:sz w:val="24"/>
              <w:szCs w:val="24"/>
              <w:lang w:val="en-US"/>
            </w:rPr>
            <w:fldChar w:fldCharType="end"/>
          </w:r>
        </w:sdtContent>
      </w:sdt>
      <w:r w:rsidRPr="008550D5">
        <w:rPr>
          <w:rFonts w:asciiTheme="majorBidi" w:eastAsia="Times New Roman" w:hAnsiTheme="majorBidi" w:cstheme="majorBidi"/>
          <w:sz w:val="24"/>
          <w:szCs w:val="24"/>
        </w:rPr>
        <w:t>.</w:t>
      </w:r>
    </w:p>
    <w:p w14:paraId="052E802F" w14:textId="4D1104EE" w:rsidR="008550D5" w:rsidRPr="008550D5" w:rsidRDefault="008550D5" w:rsidP="004F5945">
      <w:pPr>
        <w:spacing w:after="0" w:line="360" w:lineRule="auto"/>
        <w:ind w:right="-188" w:firstLine="720"/>
        <w:jc w:val="both"/>
        <w:rPr>
          <w:rFonts w:asciiTheme="majorBidi" w:eastAsia="Times New Roman" w:hAnsiTheme="majorBidi" w:cstheme="majorBidi"/>
          <w:sz w:val="24"/>
          <w:szCs w:val="24"/>
        </w:rPr>
      </w:pPr>
      <w:r w:rsidRPr="008550D5">
        <w:rPr>
          <w:rFonts w:asciiTheme="majorBidi" w:eastAsia="Times New Roman" w:hAnsiTheme="majorBidi" w:cstheme="majorBidi"/>
          <w:sz w:val="24"/>
          <w:szCs w:val="24"/>
        </w:rPr>
        <w:t xml:space="preserve">Based on data from the World Health Organization (WHO), the number of patients undergoing surgery has increased significantly every year. In 2011 there were 140 million patients in all hospitals in the world, while in 2012 there was an increase of 148 million people. </w:t>
      </w:r>
      <w:r w:rsidRPr="008550D5">
        <w:rPr>
          <w:rFonts w:asciiTheme="majorBidi" w:eastAsia="Times New Roman" w:hAnsiTheme="majorBidi" w:cstheme="majorBidi"/>
          <w:sz w:val="24"/>
          <w:szCs w:val="24"/>
        </w:rPr>
        <w:lastRenderedPageBreak/>
        <w:t xml:space="preserve">In Indonesia alone, in 2012 there were 1.2 million patients who underwent surgery </w:t>
      </w:r>
      <w:r w:rsidR="00B3226B">
        <w:rPr>
          <w:rFonts w:asciiTheme="majorBidi" w:eastAsia="Times New Roman" w:hAnsiTheme="majorBidi" w:cstheme="majorBidi"/>
          <w:sz w:val="24"/>
          <w:szCs w:val="24"/>
        </w:rPr>
        <w:fldChar w:fldCharType="begin" w:fldLock="1"/>
      </w:r>
      <w:r w:rsidR="00B3226B">
        <w:rPr>
          <w:rFonts w:asciiTheme="majorBidi" w:eastAsia="Times New Roman" w:hAnsiTheme="majorBidi" w:cstheme="majorBidi"/>
          <w:sz w:val="24"/>
          <w:szCs w:val="24"/>
        </w:rPr>
        <w:instrText>ADDIN CSL_CITATION {"citationItems":[{"id":"ITEM-1","itemData":{"ISSN":"2621-4660","author":[{"dropping-particle":"","family":"Rismawan","given":"Wawan","non-dropping-particle":"","parse-names":false,"suffix":""}],"container-title":"Jurnal Kesehatan Bakti Tunas Husada: Jurnal Ilmu-Ilmu Keperawatan, Analis Kesehatan Dan Farmasi","id":"ITEM-1","issue":"1","issued":{"date-parts":[["2019"]]},"title":"Tingkat kecemasan pasien pre-operasi di RSUD dr. Soekardjo Kota Tasikmalaya","type":"article-journal","volume":"19"},"uris":["http://www.mendeley.com/documents/?uuid=6ab2957a-75c2-408c-bc2c-b4313fd085df"]}],"mendeley":{"formattedCitation":"(Rismawan, 2019)","plainTextFormattedCitation":"(Rismawan, 2019)","previouslyFormattedCitation":"(Rismawan, 2019)"},"properties":{"noteIndex":0},"schema":"https://github.com/citation-style-language/schema/raw/master/csl-citation.json"}</w:instrText>
      </w:r>
      <w:r w:rsidR="00B3226B">
        <w:rPr>
          <w:rFonts w:asciiTheme="majorBidi" w:eastAsia="Times New Roman" w:hAnsiTheme="majorBidi" w:cstheme="majorBidi"/>
          <w:sz w:val="24"/>
          <w:szCs w:val="24"/>
        </w:rPr>
        <w:fldChar w:fldCharType="separate"/>
      </w:r>
      <w:r w:rsidR="00B3226B" w:rsidRPr="00B3226B">
        <w:rPr>
          <w:rFonts w:asciiTheme="majorBidi" w:eastAsia="Times New Roman" w:hAnsiTheme="majorBidi" w:cstheme="majorBidi"/>
          <w:noProof/>
          <w:sz w:val="24"/>
          <w:szCs w:val="24"/>
        </w:rPr>
        <w:t>(Rismawan, 2019)</w:t>
      </w:r>
      <w:r w:rsidR="00B3226B">
        <w:rPr>
          <w:rFonts w:asciiTheme="majorBidi" w:eastAsia="Times New Roman" w:hAnsiTheme="majorBidi" w:cstheme="majorBidi"/>
          <w:sz w:val="24"/>
          <w:szCs w:val="24"/>
        </w:rPr>
        <w:fldChar w:fldCharType="end"/>
      </w:r>
      <w:r w:rsidRPr="008550D5">
        <w:rPr>
          <w:rFonts w:asciiTheme="majorBidi" w:eastAsia="Times New Roman" w:hAnsiTheme="majorBidi" w:cstheme="majorBidi"/>
          <w:sz w:val="24"/>
          <w:szCs w:val="24"/>
        </w:rPr>
        <w:t>.</w:t>
      </w:r>
    </w:p>
    <w:p w14:paraId="63F838DB" w14:textId="77777777" w:rsidR="008550D5" w:rsidRPr="008550D5" w:rsidRDefault="008550D5" w:rsidP="004F5945">
      <w:pPr>
        <w:spacing w:after="0" w:line="360" w:lineRule="auto"/>
        <w:ind w:right="-188" w:firstLine="720"/>
        <w:jc w:val="both"/>
        <w:rPr>
          <w:rFonts w:asciiTheme="majorBidi" w:eastAsia="Times New Roman" w:hAnsiTheme="majorBidi" w:cstheme="majorBidi"/>
          <w:sz w:val="24"/>
          <w:szCs w:val="24"/>
        </w:rPr>
      </w:pPr>
      <w:r w:rsidRPr="008550D5">
        <w:rPr>
          <w:rFonts w:asciiTheme="majorBidi" w:eastAsia="Times New Roman" w:hAnsiTheme="majorBidi" w:cstheme="majorBidi"/>
          <w:sz w:val="24"/>
          <w:szCs w:val="24"/>
        </w:rPr>
        <w:t>Surgical procedures are divided into several parts, namely minor surgery, medium surgery</w:t>
      </w:r>
      <w:r w:rsidRPr="008550D5">
        <w:rPr>
          <w:rFonts w:asciiTheme="majorBidi" w:eastAsia="Times New Roman" w:hAnsiTheme="majorBidi" w:cstheme="majorBidi"/>
          <w:sz w:val="24"/>
          <w:szCs w:val="24"/>
          <w:lang w:val="en-ID"/>
        </w:rPr>
        <w:t>,</w:t>
      </w:r>
      <w:r w:rsidRPr="008550D5">
        <w:rPr>
          <w:rFonts w:asciiTheme="majorBidi" w:eastAsia="Times New Roman" w:hAnsiTheme="majorBidi" w:cstheme="majorBidi"/>
          <w:sz w:val="24"/>
          <w:szCs w:val="24"/>
        </w:rPr>
        <w:t xml:space="preserve"> and major surgery. Surgical procedures can also be divided into two classifications, namely major operations and minor operations. </w:t>
      </w:r>
    </w:p>
    <w:p w14:paraId="44AA02B9" w14:textId="3356A671" w:rsidR="008550D5" w:rsidRPr="008550D5" w:rsidRDefault="008550D5" w:rsidP="004F5945">
      <w:pPr>
        <w:spacing w:after="0" w:line="360" w:lineRule="auto"/>
        <w:ind w:right="-188" w:firstLine="720"/>
        <w:jc w:val="both"/>
        <w:rPr>
          <w:rFonts w:asciiTheme="majorBidi" w:eastAsia="Times New Roman" w:hAnsiTheme="majorBidi" w:cstheme="majorBidi"/>
          <w:sz w:val="24"/>
          <w:szCs w:val="24"/>
          <w:lang w:val="en-US"/>
        </w:rPr>
      </w:pPr>
      <w:r w:rsidRPr="008550D5">
        <w:rPr>
          <w:rFonts w:asciiTheme="majorBidi" w:eastAsia="Times New Roman" w:hAnsiTheme="majorBidi" w:cstheme="majorBidi"/>
          <w:sz w:val="24"/>
          <w:szCs w:val="24"/>
          <w:lang w:val="en-ID"/>
        </w:rPr>
        <w:t>A study conducted on 5,130 post-operative and trauma patients showed that 22.5% of patients experienced postoperative pain</w:t>
      </w:r>
      <w:r w:rsidR="00B3226B">
        <w:rPr>
          <w:rFonts w:asciiTheme="majorBidi" w:eastAsia="Times New Roman" w:hAnsiTheme="majorBidi" w:cstheme="majorBidi"/>
          <w:sz w:val="24"/>
          <w:szCs w:val="24"/>
          <w:lang w:val="en-ID"/>
        </w:rPr>
        <w:t xml:space="preserve"> </w:t>
      </w:r>
      <w:r w:rsidRPr="008550D5">
        <w:rPr>
          <w:rFonts w:asciiTheme="majorBidi" w:eastAsia="Times New Roman" w:hAnsiTheme="majorBidi" w:cstheme="majorBidi"/>
          <w:sz w:val="24"/>
          <w:szCs w:val="24"/>
        </w:rPr>
        <w:t xml:space="preserve"> </w:t>
      </w:r>
      <w:r w:rsidR="00B3226B">
        <w:rPr>
          <w:rFonts w:asciiTheme="majorBidi" w:eastAsia="Times New Roman" w:hAnsiTheme="majorBidi" w:cstheme="majorBidi"/>
          <w:sz w:val="24"/>
          <w:szCs w:val="24"/>
        </w:rPr>
        <w:fldChar w:fldCharType="begin" w:fldLock="1"/>
      </w:r>
      <w:r w:rsidR="00B3226B">
        <w:rPr>
          <w:rFonts w:asciiTheme="majorBidi" w:eastAsia="Times New Roman" w:hAnsiTheme="majorBidi" w:cstheme="majorBidi"/>
          <w:sz w:val="24"/>
          <w:szCs w:val="24"/>
        </w:rPr>
        <w:instrText>ADDIN CSL_CITATION {"citationItems":[{"id":"ITEM-1","itemData":{"ISSN":"0304-3959","author":[{"dropping-particle":"","family":"Crombie","given":"Iain Kinloch","non-dropping-particle":"","parse-names":false,"suffix":""},{"dropping-particle":"","family":"Davies","given":"Huw Talfryn Oakley","non-dropping-particle":"","parse-names":false,"suffix":""},{"dropping-particle":"","family":"Macrae","given":"William A","non-dropping-particle":"","parse-names":false,"suffix":""}],"container-title":"Pain","id":"ITEM-1","issue":"1-2","issued":{"date-parts":[["1998"]]},"page":"167-171","publisher":"Elsevier","title":"Cut and thrust: antecedent surgery and trauma among patients attending a chronic pain clinic","type":"article-journal","volume":"76"},"uris":["http://www.mendeley.com/documents/?uuid=0c658b97-a16b-4b77-872f-def0ef14650c"]}],"mendeley":{"formattedCitation":"(Crombie et al., 1998)","plainTextFormattedCitation":"(Crombie et al., 1998)","previouslyFormattedCitation":"(Crombie et al., 1998)"},"properties":{"noteIndex":0},"schema":"https://github.com/citation-style-language/schema/raw/master/csl-citation.json"}</w:instrText>
      </w:r>
      <w:r w:rsidR="00B3226B">
        <w:rPr>
          <w:rFonts w:asciiTheme="majorBidi" w:eastAsia="Times New Roman" w:hAnsiTheme="majorBidi" w:cstheme="majorBidi"/>
          <w:sz w:val="24"/>
          <w:szCs w:val="24"/>
        </w:rPr>
        <w:fldChar w:fldCharType="separate"/>
      </w:r>
      <w:r w:rsidR="00B3226B" w:rsidRPr="00B3226B">
        <w:rPr>
          <w:rFonts w:asciiTheme="majorBidi" w:eastAsia="Times New Roman" w:hAnsiTheme="majorBidi" w:cstheme="majorBidi"/>
          <w:noProof/>
          <w:sz w:val="24"/>
          <w:szCs w:val="24"/>
        </w:rPr>
        <w:t>(Crombie et al., 1998)</w:t>
      </w:r>
      <w:r w:rsidR="00B3226B">
        <w:rPr>
          <w:rFonts w:asciiTheme="majorBidi" w:eastAsia="Times New Roman" w:hAnsiTheme="majorBidi" w:cstheme="majorBidi"/>
          <w:sz w:val="24"/>
          <w:szCs w:val="24"/>
        </w:rPr>
        <w:fldChar w:fldCharType="end"/>
      </w:r>
      <w:r w:rsidRPr="008550D5">
        <w:rPr>
          <w:rFonts w:asciiTheme="majorBidi" w:eastAsia="Times New Roman" w:hAnsiTheme="majorBidi" w:cstheme="majorBidi"/>
          <w:sz w:val="24"/>
          <w:szCs w:val="24"/>
        </w:rPr>
        <w:t>. This research is in line with other research which states that 50% of post-operative patients experience severe pain and 10% experience moderate to severe pain</w:t>
      </w:r>
      <w:r w:rsidR="00B3226B">
        <w:rPr>
          <w:rFonts w:asciiTheme="majorBidi" w:eastAsia="Times New Roman" w:hAnsiTheme="majorBidi" w:cstheme="majorBidi"/>
          <w:sz w:val="24"/>
          <w:szCs w:val="24"/>
          <w:lang w:val="en-US"/>
        </w:rPr>
        <w:t xml:space="preserve"> </w:t>
      </w:r>
      <w:r w:rsidR="00B3226B">
        <w:rPr>
          <w:rFonts w:asciiTheme="majorBidi" w:eastAsia="Times New Roman" w:hAnsiTheme="majorBidi" w:cstheme="majorBidi"/>
          <w:sz w:val="24"/>
          <w:szCs w:val="24"/>
          <w:lang w:val="en-US"/>
        </w:rPr>
        <w:fldChar w:fldCharType="begin" w:fldLock="1"/>
      </w:r>
      <w:r w:rsidR="00B3226B">
        <w:rPr>
          <w:rFonts w:asciiTheme="majorBidi" w:eastAsia="Times New Roman" w:hAnsiTheme="majorBidi" w:cstheme="majorBidi"/>
          <w:sz w:val="24"/>
          <w:szCs w:val="24"/>
          <w:lang w:val="en-US"/>
        </w:rPr>
        <w:instrText>ADDIN CSL_CITATION {"citationItems":[{"id":"ITEM-1","itemData":{"author":[{"dropping-particle":"","family":"Admassu","given":"Wosenyeleh Sahile","non-dropping-particle":"","parse-names":false,"suffix":""},{"dropping-particle":"","family":"Hailekiros","given":"Amare Gebregzi","non-dropping-particle":"","parse-names":false,"suffix":""},{"dropping-particle":"","family":"Abdissa","given":"Zewditu Denu","non-dropping-particle":"","parse-names":false,"suffix":""}],"container-title":"Journal of Anesthesia &amp; Clinical Research","id":"ITEM-1","issue":"10","issued":{"date-parts":[["2016"]]},"page":"675","title":"Severity and risk factors of post-operative pain in University of Gondar Hospital, Northeast Ethiopa","type":"article-journal","volume":"7"},"uris":["http://www.mendeley.com/documents/?uuid=481e12a8-9de9-4439-a1cc-e6ed331828a8"]}],"mendeley":{"formattedCitation":"(Admassu et al., 2016)","plainTextFormattedCitation":"(Admassu et al., 2016)","previouslyFormattedCitation":"(Admassu et al., 2016)"},"properties":{"noteIndex":0},"schema":"https://github.com/citation-style-language/schema/raw/master/csl-citation.json"}</w:instrText>
      </w:r>
      <w:r w:rsidR="00B3226B">
        <w:rPr>
          <w:rFonts w:asciiTheme="majorBidi" w:eastAsia="Times New Roman" w:hAnsiTheme="majorBidi" w:cstheme="majorBidi"/>
          <w:sz w:val="24"/>
          <w:szCs w:val="24"/>
          <w:lang w:val="en-US"/>
        </w:rPr>
        <w:fldChar w:fldCharType="separate"/>
      </w:r>
      <w:r w:rsidR="00B3226B" w:rsidRPr="00B3226B">
        <w:rPr>
          <w:rFonts w:asciiTheme="majorBidi" w:eastAsia="Times New Roman" w:hAnsiTheme="majorBidi" w:cstheme="majorBidi"/>
          <w:noProof/>
          <w:sz w:val="24"/>
          <w:szCs w:val="24"/>
          <w:lang w:val="en-US"/>
        </w:rPr>
        <w:t>(Admassu et al., 2016)</w:t>
      </w:r>
      <w:r w:rsidR="00B3226B">
        <w:rPr>
          <w:rFonts w:asciiTheme="majorBidi" w:eastAsia="Times New Roman" w:hAnsiTheme="majorBidi" w:cstheme="majorBidi"/>
          <w:sz w:val="24"/>
          <w:szCs w:val="24"/>
          <w:lang w:val="en-US"/>
        </w:rPr>
        <w:fldChar w:fldCharType="end"/>
      </w:r>
      <w:r w:rsidRPr="008550D5">
        <w:rPr>
          <w:rFonts w:asciiTheme="majorBidi" w:eastAsia="Times New Roman" w:hAnsiTheme="majorBidi" w:cstheme="majorBidi"/>
          <w:sz w:val="24"/>
          <w:szCs w:val="24"/>
        </w:rPr>
        <w:t xml:space="preserve">. The prevalence of postoperative pain in clients with severe pain levels is 34.8%, while with moderate pain it is 57.0% </w:t>
      </w:r>
      <w:r w:rsidR="00B3226B">
        <w:rPr>
          <w:rFonts w:asciiTheme="majorBidi" w:eastAsia="Times New Roman" w:hAnsiTheme="majorBidi" w:cstheme="majorBidi"/>
          <w:sz w:val="24"/>
          <w:szCs w:val="24"/>
        </w:rPr>
        <w:fldChar w:fldCharType="begin" w:fldLock="1"/>
      </w:r>
      <w:r w:rsidR="00B3226B">
        <w:rPr>
          <w:rFonts w:asciiTheme="majorBidi" w:eastAsia="Times New Roman" w:hAnsiTheme="majorBidi" w:cstheme="majorBidi"/>
          <w:sz w:val="24"/>
          <w:szCs w:val="24"/>
        </w:rPr>
        <w:instrText>ADDIN CSL_CITATION {"citationItems":[{"id":"ITEM-1","itemData":{"ISSN":"1178-7090","author":[{"dropping-particle":"","family":"Gan","given":"Tong J","non-dropping-particle":"","parse-names":false,"suffix":""}],"container-title":"Journal of pain research","id":"ITEM-1","issued":{"date-parts":[["2017"]]},"page":"2287-2298","publisher":"Taylor &amp; Francis","title":"Poorly controlled postoperative pain: prevalence, consequences, and prevention","type":"article-journal"},"uris":["http://www.mendeley.com/documents/?uuid=ac7b2452-762f-4760-804f-f903370eecfd"]}],"mendeley":{"formattedCitation":"(Gan, 2017)","plainTextFormattedCitation":"(Gan, 2017)","previouslyFormattedCitation":"(Gan, 2017)"},"properties":{"noteIndex":0},"schema":"https://github.com/citation-style-language/schema/raw/master/csl-citation.json"}</w:instrText>
      </w:r>
      <w:r w:rsidR="00B3226B">
        <w:rPr>
          <w:rFonts w:asciiTheme="majorBidi" w:eastAsia="Times New Roman" w:hAnsiTheme="majorBidi" w:cstheme="majorBidi"/>
          <w:sz w:val="24"/>
          <w:szCs w:val="24"/>
        </w:rPr>
        <w:fldChar w:fldCharType="separate"/>
      </w:r>
      <w:r w:rsidR="00B3226B" w:rsidRPr="00B3226B">
        <w:rPr>
          <w:rFonts w:asciiTheme="majorBidi" w:eastAsia="Times New Roman" w:hAnsiTheme="majorBidi" w:cstheme="majorBidi"/>
          <w:noProof/>
          <w:sz w:val="24"/>
          <w:szCs w:val="24"/>
        </w:rPr>
        <w:t>(Gan, 2017)</w:t>
      </w:r>
      <w:r w:rsidR="00B3226B">
        <w:rPr>
          <w:rFonts w:asciiTheme="majorBidi" w:eastAsia="Times New Roman" w:hAnsiTheme="majorBidi" w:cstheme="majorBidi"/>
          <w:sz w:val="24"/>
          <w:szCs w:val="24"/>
        </w:rPr>
        <w:fldChar w:fldCharType="end"/>
      </w:r>
      <w:r w:rsidRPr="008550D5">
        <w:rPr>
          <w:rFonts w:asciiTheme="majorBidi" w:eastAsia="Times New Roman" w:hAnsiTheme="majorBidi" w:cstheme="majorBidi"/>
          <w:sz w:val="24"/>
          <w:szCs w:val="24"/>
          <w:lang w:val="en-US"/>
        </w:rPr>
        <w:t>.</w:t>
      </w:r>
    </w:p>
    <w:p w14:paraId="493752E4" w14:textId="246CE5E8" w:rsidR="008550D5" w:rsidRPr="008550D5" w:rsidRDefault="008550D5" w:rsidP="004F5945">
      <w:pPr>
        <w:spacing w:after="0" w:line="360" w:lineRule="auto"/>
        <w:ind w:right="-188" w:firstLine="720"/>
        <w:jc w:val="both"/>
        <w:rPr>
          <w:rFonts w:asciiTheme="majorBidi" w:eastAsia="Times New Roman" w:hAnsiTheme="majorBidi" w:cstheme="majorBidi"/>
          <w:b/>
          <w:sz w:val="24"/>
          <w:szCs w:val="24"/>
        </w:rPr>
      </w:pPr>
      <w:r w:rsidRPr="008550D5">
        <w:rPr>
          <w:rFonts w:asciiTheme="majorBidi" w:eastAsia="Times New Roman" w:hAnsiTheme="majorBidi" w:cstheme="majorBidi"/>
          <w:sz w:val="24"/>
          <w:szCs w:val="24"/>
        </w:rPr>
        <w:t xml:space="preserve">Pain according to the International Association for the </w:t>
      </w:r>
      <w:r w:rsidRPr="008550D5">
        <w:rPr>
          <w:rFonts w:asciiTheme="majorBidi" w:eastAsia="Times New Roman" w:hAnsiTheme="majorBidi" w:cstheme="majorBidi"/>
          <w:sz w:val="24"/>
          <w:szCs w:val="24"/>
          <w:lang w:val="en-ID"/>
        </w:rPr>
        <w:t>S</w:t>
      </w:r>
      <w:r w:rsidRPr="008550D5">
        <w:rPr>
          <w:rFonts w:asciiTheme="majorBidi" w:eastAsia="Times New Roman" w:hAnsiTheme="majorBidi" w:cstheme="majorBidi"/>
          <w:sz w:val="24"/>
          <w:szCs w:val="24"/>
        </w:rPr>
        <w:t xml:space="preserve">tudy of </w:t>
      </w:r>
      <w:r w:rsidRPr="008550D5">
        <w:rPr>
          <w:rFonts w:asciiTheme="majorBidi" w:eastAsia="Times New Roman" w:hAnsiTheme="majorBidi" w:cstheme="majorBidi"/>
          <w:sz w:val="24"/>
          <w:szCs w:val="24"/>
          <w:lang w:val="en-ID"/>
        </w:rPr>
        <w:t>P</w:t>
      </w:r>
      <w:r w:rsidRPr="008550D5">
        <w:rPr>
          <w:rFonts w:asciiTheme="majorBidi" w:eastAsia="Times New Roman" w:hAnsiTheme="majorBidi" w:cstheme="majorBidi"/>
          <w:sz w:val="24"/>
          <w:szCs w:val="24"/>
        </w:rPr>
        <w:t>ain (IASP) is a feeling of discomfort and an emotional experience that is closely related to potential tissue damage or actual tissue damage</w:t>
      </w:r>
      <w:r w:rsidR="00B3226B">
        <w:rPr>
          <w:rFonts w:asciiTheme="majorBidi" w:eastAsia="Times New Roman" w:hAnsiTheme="majorBidi" w:cstheme="majorBidi"/>
          <w:sz w:val="24"/>
          <w:szCs w:val="24"/>
          <w:lang w:val="en-US"/>
        </w:rPr>
        <w:t xml:space="preserve"> </w:t>
      </w:r>
      <w:r w:rsidR="00B3226B">
        <w:rPr>
          <w:rFonts w:asciiTheme="majorBidi" w:eastAsia="Times New Roman" w:hAnsiTheme="majorBidi" w:cstheme="majorBidi"/>
          <w:sz w:val="24"/>
          <w:szCs w:val="24"/>
          <w:lang w:val="en-US"/>
        </w:rPr>
        <w:fldChar w:fldCharType="begin" w:fldLock="1"/>
      </w:r>
      <w:r w:rsidR="00B3226B">
        <w:rPr>
          <w:rFonts w:asciiTheme="majorBidi" w:eastAsia="Times New Roman" w:hAnsiTheme="majorBidi" w:cstheme="majorBidi"/>
          <w:sz w:val="24"/>
          <w:szCs w:val="24"/>
          <w:lang w:val="en-US"/>
        </w:rPr>
        <w:instrText>ADDIN CSL_CITATION {"citationItems":[{"id":"ITEM-1","itemData":{"ISSN":"0300-7995","author":[{"dropping-particle":"","family":"Meissner","given":"Winfried","non-dropping-particle":"","parse-names":false,"suffix":""},{"dropping-particle":"","family":"Coluzzi","given":"Flaminia","non-dropping-particle":"","parse-names":false,"suffix":""},{"dropping-particle":"","family":"Fletcher","given":"Dominique","non-dropping-particle":"","parse-names":false,"suffix":""},{"dropping-particle":"","family":"Huygen","given":"Frank","non-dropping-particle":"","parse-names":false,"suffix":""},{"dropping-particle":"","family":"Morlion","given":"Bart","non-dropping-particle":"","parse-names":false,"suffix":""},{"dropping-particle":"","family":"Neugebauer","given":"Edmund","non-dropping-particle":"","parse-names":false,"suffix":""},{"dropping-particle":"","family":"Pérez","given":"Antonio Montes","non-dropping-particle":"","parse-names":false,"suffix":""},{"dropping-particle":"","family":"Pergolizzi","given":"Joseph","non-dropping-particle":"","parse-names":false,"suffix":""}],"container-title":"Current medical research and opinion","id":"ITEM-1","issue":"11","issued":{"date-parts":[["2015"]]},"page":"2131-2143","publisher":"Taylor &amp; Francis","title":"Improving the management of post-operative acute pain: priorities for change","type":"article-journal","volume":"31"},"uris":["http://www.mendeley.com/documents/?uuid=2dd7137d-dc2a-4d29-8411-24d0d7ebdba9"]}],"mendeley":{"formattedCitation":"(Meissner et al., 2015)","plainTextFormattedCitation":"(Meissner et al., 2015)","previouslyFormattedCitation":"(Meissner et al., 2015)"},"properties":{"noteIndex":0},"schema":"https://github.com/citation-style-language/schema/raw/master/csl-citation.json"}</w:instrText>
      </w:r>
      <w:r w:rsidR="00B3226B">
        <w:rPr>
          <w:rFonts w:asciiTheme="majorBidi" w:eastAsia="Times New Roman" w:hAnsiTheme="majorBidi" w:cstheme="majorBidi"/>
          <w:sz w:val="24"/>
          <w:szCs w:val="24"/>
          <w:lang w:val="en-US"/>
        </w:rPr>
        <w:fldChar w:fldCharType="separate"/>
      </w:r>
      <w:r w:rsidR="00B3226B" w:rsidRPr="00B3226B">
        <w:rPr>
          <w:rFonts w:asciiTheme="majorBidi" w:eastAsia="Times New Roman" w:hAnsiTheme="majorBidi" w:cstheme="majorBidi"/>
          <w:noProof/>
          <w:sz w:val="24"/>
          <w:szCs w:val="24"/>
          <w:lang w:val="en-US"/>
        </w:rPr>
        <w:t>(Meissner et al., 2015)</w:t>
      </w:r>
      <w:r w:rsidR="00B3226B">
        <w:rPr>
          <w:rFonts w:asciiTheme="majorBidi" w:eastAsia="Times New Roman" w:hAnsiTheme="majorBidi" w:cstheme="majorBidi"/>
          <w:sz w:val="24"/>
          <w:szCs w:val="24"/>
          <w:lang w:val="en-US"/>
        </w:rPr>
        <w:fldChar w:fldCharType="end"/>
      </w:r>
      <w:r w:rsidRPr="008550D5">
        <w:rPr>
          <w:rFonts w:asciiTheme="majorBidi" w:eastAsia="Times New Roman" w:hAnsiTheme="majorBidi" w:cstheme="majorBidi"/>
          <w:sz w:val="24"/>
          <w:szCs w:val="24"/>
        </w:rPr>
        <w:t xml:space="preserve">. Post-surgery can cause patients to feel pain in certain parts of the body, there are several types of pain, namely acute pain and chronic pain. </w:t>
      </w:r>
    </w:p>
    <w:p w14:paraId="6A73CCF1" w14:textId="72705591" w:rsidR="008550D5" w:rsidRPr="008550D5" w:rsidRDefault="008550D5" w:rsidP="004F5945">
      <w:pPr>
        <w:spacing w:after="0" w:line="360" w:lineRule="auto"/>
        <w:ind w:right="-188" w:firstLine="720"/>
        <w:jc w:val="both"/>
        <w:rPr>
          <w:rFonts w:asciiTheme="majorBidi" w:eastAsia="Times New Roman" w:hAnsiTheme="majorBidi" w:cstheme="majorBidi"/>
          <w:sz w:val="24"/>
          <w:szCs w:val="24"/>
        </w:rPr>
      </w:pPr>
      <w:r w:rsidRPr="008550D5">
        <w:rPr>
          <w:rFonts w:asciiTheme="majorBidi" w:eastAsia="Times New Roman" w:hAnsiTheme="majorBidi" w:cstheme="majorBidi"/>
          <w:sz w:val="24"/>
          <w:szCs w:val="24"/>
        </w:rPr>
        <w:t xml:space="preserve">Management of acute post-operative pain in France and Australia states that analgesics are most often started while the patient is still under anesthesia (63.6%). The use of </w:t>
      </w:r>
      <w:r w:rsidRPr="008550D5">
        <w:rPr>
          <w:rFonts w:asciiTheme="majorBidi" w:eastAsia="Times New Roman" w:hAnsiTheme="majorBidi" w:cstheme="majorBidi"/>
          <w:sz w:val="24"/>
          <w:szCs w:val="24"/>
          <w:lang w:val="en-ID"/>
        </w:rPr>
        <w:t>P</w:t>
      </w:r>
      <w:r w:rsidRPr="008550D5">
        <w:rPr>
          <w:rFonts w:asciiTheme="majorBidi" w:eastAsia="Times New Roman" w:hAnsiTheme="majorBidi" w:cstheme="majorBidi"/>
          <w:sz w:val="24"/>
          <w:szCs w:val="24"/>
        </w:rPr>
        <w:t xml:space="preserve">atient </w:t>
      </w:r>
      <w:r w:rsidRPr="008550D5">
        <w:rPr>
          <w:rFonts w:asciiTheme="majorBidi" w:eastAsia="Times New Roman" w:hAnsiTheme="majorBidi" w:cstheme="majorBidi"/>
          <w:sz w:val="24"/>
          <w:szCs w:val="24"/>
          <w:lang w:val="en-ID"/>
        </w:rPr>
        <w:t>C</w:t>
      </w:r>
      <w:r w:rsidRPr="008550D5">
        <w:rPr>
          <w:rFonts w:asciiTheme="majorBidi" w:eastAsia="Times New Roman" w:hAnsiTheme="majorBidi" w:cstheme="majorBidi"/>
          <w:sz w:val="24"/>
          <w:szCs w:val="24"/>
        </w:rPr>
        <w:t xml:space="preserve">ontrolled </w:t>
      </w:r>
      <w:r w:rsidRPr="008550D5">
        <w:rPr>
          <w:rFonts w:asciiTheme="majorBidi" w:eastAsia="Times New Roman" w:hAnsiTheme="majorBidi" w:cstheme="majorBidi"/>
          <w:sz w:val="24"/>
          <w:szCs w:val="24"/>
          <w:lang w:val="en-ID"/>
        </w:rPr>
        <w:t>A</w:t>
      </w:r>
      <w:r w:rsidRPr="008550D5">
        <w:rPr>
          <w:rFonts w:asciiTheme="majorBidi" w:eastAsia="Times New Roman" w:hAnsiTheme="majorBidi" w:cstheme="majorBidi"/>
          <w:sz w:val="24"/>
          <w:szCs w:val="24"/>
        </w:rPr>
        <w:t>nalgesia (PCA) is still less common (21.4%) compared to the use of subcutaneous morphine (35.1%). The highest use of non-opioid analgesics was paracetamol (90.3%), ketoprofen (48.5%) and nefopam (21.4%), while for epidurals (1.5%)</w:t>
      </w:r>
      <w:r w:rsidR="00B3226B">
        <w:rPr>
          <w:rFonts w:asciiTheme="majorBidi" w:eastAsia="Times New Roman" w:hAnsiTheme="majorBidi" w:cstheme="majorBidi"/>
          <w:sz w:val="24"/>
          <w:szCs w:val="24"/>
          <w:lang w:val="en-US"/>
        </w:rPr>
        <w:t xml:space="preserve"> </w:t>
      </w:r>
      <w:r w:rsidR="00B3226B">
        <w:rPr>
          <w:rFonts w:asciiTheme="majorBidi" w:eastAsia="Times New Roman" w:hAnsiTheme="majorBidi" w:cstheme="majorBidi"/>
          <w:sz w:val="24"/>
          <w:szCs w:val="24"/>
          <w:lang w:val="en-US"/>
        </w:rPr>
        <w:fldChar w:fldCharType="begin" w:fldLock="1"/>
      </w:r>
      <w:r w:rsidR="00B3226B">
        <w:rPr>
          <w:rFonts w:asciiTheme="majorBidi" w:eastAsia="Times New Roman" w:hAnsiTheme="majorBidi" w:cstheme="majorBidi"/>
          <w:sz w:val="24"/>
          <w:szCs w:val="24"/>
          <w:lang w:val="en-US"/>
        </w:rPr>
        <w:instrText>ADDIN CSL_CITATION {"citationItems":[{"id":"ITEM-1","itemData":{"author":[{"dropping-particle":"","family":"Eldor","given":"Joseph","non-dropping-particle":"","parse-names":false,"suffix":""},{"dropping-particle":"","family":"Kotlovker","given":"Vladimir","non-dropping-particle":"","parse-names":false,"suffix":""},{"dropping-particle":"","family":"Orkin","given":"Dina","non-dropping-particle":"","parse-names":false,"suffix":""}],"container-title":"J. Anesth. Clin. Sci","id":"ITEM-1","issue":"17","issued":{"date-parts":[["2013"]]},"page":"10-7243","title":"Pain free hospital-availability (24 hours) of anesthesiologists","type":"article-journal","volume":"2"},"uris":["http://www.mendeley.com/documents/?uuid=c39f6f9f-7fed-4fee-85e4-df1dc1a20199"]}],"mendeley":{"formattedCitation":"(Eldor et al., 2013)","plainTextFormattedCitation":"(Eldor et al., 2013)","previouslyFormattedCitation":"(Eldor et al., 2013)"},"properties":{"noteIndex":0},"schema":"https://github.com/citation-style-language/schema/raw/master/csl-citation.json"}</w:instrText>
      </w:r>
      <w:r w:rsidR="00B3226B">
        <w:rPr>
          <w:rFonts w:asciiTheme="majorBidi" w:eastAsia="Times New Roman" w:hAnsiTheme="majorBidi" w:cstheme="majorBidi"/>
          <w:sz w:val="24"/>
          <w:szCs w:val="24"/>
          <w:lang w:val="en-US"/>
        </w:rPr>
        <w:fldChar w:fldCharType="separate"/>
      </w:r>
      <w:r w:rsidR="00B3226B" w:rsidRPr="00B3226B">
        <w:rPr>
          <w:rFonts w:asciiTheme="majorBidi" w:eastAsia="Times New Roman" w:hAnsiTheme="majorBidi" w:cstheme="majorBidi"/>
          <w:noProof/>
          <w:sz w:val="24"/>
          <w:szCs w:val="24"/>
          <w:lang w:val="en-US"/>
        </w:rPr>
        <w:t>(Eldor et al., 2013)</w:t>
      </w:r>
      <w:r w:rsidR="00B3226B">
        <w:rPr>
          <w:rFonts w:asciiTheme="majorBidi" w:eastAsia="Times New Roman" w:hAnsiTheme="majorBidi" w:cstheme="majorBidi"/>
          <w:sz w:val="24"/>
          <w:szCs w:val="24"/>
          <w:lang w:val="en-US"/>
        </w:rPr>
        <w:fldChar w:fldCharType="end"/>
      </w:r>
      <w:r w:rsidRPr="008550D5">
        <w:rPr>
          <w:rFonts w:asciiTheme="majorBidi" w:eastAsia="Times New Roman" w:hAnsiTheme="majorBidi" w:cstheme="majorBidi"/>
          <w:sz w:val="24"/>
          <w:szCs w:val="24"/>
        </w:rPr>
        <w:t xml:space="preserve">. In postoperative care, patients are given NSAID (Non Steroid Anti-Inflammatory Drugs) analgesic drugs. One example of an NSAID type of analgesic drug which is commonly used as a post-operative analgesic drug is Ketorolac 30mg. Antipyretic drugs, namely Paracetamol 1000mg, are also sometimes used as post-operative analgesics. Paracetamol is also widely used as </w:t>
      </w:r>
      <w:r w:rsidRPr="008550D5">
        <w:rPr>
          <w:rFonts w:asciiTheme="majorBidi" w:eastAsia="Times New Roman" w:hAnsiTheme="majorBidi" w:cstheme="majorBidi"/>
          <w:sz w:val="24"/>
          <w:szCs w:val="24"/>
          <w:lang w:val="en-ID"/>
        </w:rPr>
        <w:t xml:space="preserve">a </w:t>
      </w:r>
      <w:r w:rsidRPr="008550D5">
        <w:rPr>
          <w:rFonts w:asciiTheme="majorBidi" w:eastAsia="Times New Roman" w:hAnsiTheme="majorBidi" w:cstheme="majorBidi"/>
          <w:sz w:val="24"/>
          <w:szCs w:val="24"/>
        </w:rPr>
        <w:t>post</w:t>
      </w:r>
      <w:r w:rsidRPr="008550D5">
        <w:rPr>
          <w:rFonts w:asciiTheme="majorBidi" w:eastAsia="Times New Roman" w:hAnsiTheme="majorBidi" w:cstheme="majorBidi"/>
          <w:sz w:val="24"/>
          <w:szCs w:val="24"/>
          <w:lang w:val="en-ID"/>
        </w:rPr>
        <w:t>-</w:t>
      </w:r>
      <w:r w:rsidRPr="008550D5">
        <w:rPr>
          <w:rFonts w:asciiTheme="majorBidi" w:eastAsia="Times New Roman" w:hAnsiTheme="majorBidi" w:cstheme="majorBidi"/>
          <w:sz w:val="24"/>
          <w:szCs w:val="24"/>
        </w:rPr>
        <w:t>operative analgesic as a single dose or in combination with several other analgesics. Paracetamol is a selective COX-2 inhibitor, providing fewer side effects compared to NSAIDs or opioids at therapeutic doses. Administration of a single dose of oral paracetamol provides an effective analgesic effect within 4 hours after surgery with the fewest side effects shown in a randomized, double</w:t>
      </w:r>
      <w:r w:rsidRPr="008550D5">
        <w:rPr>
          <w:rFonts w:asciiTheme="majorBidi" w:eastAsia="Times New Roman" w:hAnsiTheme="majorBidi" w:cstheme="majorBidi"/>
          <w:sz w:val="24"/>
          <w:szCs w:val="24"/>
          <w:lang w:val="en-ID"/>
        </w:rPr>
        <w:t>-</w:t>
      </w:r>
      <w:r w:rsidRPr="008550D5">
        <w:rPr>
          <w:rFonts w:asciiTheme="majorBidi" w:eastAsia="Times New Roman" w:hAnsiTheme="majorBidi" w:cstheme="majorBidi"/>
          <w:sz w:val="24"/>
          <w:szCs w:val="24"/>
        </w:rPr>
        <w:t>blind, placebo-controlled study</w:t>
      </w:r>
      <w:r w:rsidR="00B3226B">
        <w:rPr>
          <w:rFonts w:asciiTheme="majorBidi" w:eastAsia="Times New Roman" w:hAnsiTheme="majorBidi" w:cstheme="majorBidi"/>
          <w:sz w:val="24"/>
          <w:szCs w:val="24"/>
          <w:lang w:val="en-US"/>
        </w:rPr>
        <w:t xml:space="preserve"> </w:t>
      </w:r>
      <w:r w:rsidR="00B3226B">
        <w:rPr>
          <w:rFonts w:asciiTheme="majorBidi" w:eastAsia="Times New Roman" w:hAnsiTheme="majorBidi" w:cstheme="majorBidi"/>
          <w:sz w:val="24"/>
          <w:szCs w:val="24"/>
          <w:lang w:val="en-US"/>
        </w:rPr>
        <w:fldChar w:fldCharType="begin" w:fldLock="1"/>
      </w:r>
      <w:r w:rsidR="00B3226B">
        <w:rPr>
          <w:rFonts w:asciiTheme="majorBidi" w:eastAsia="Times New Roman" w:hAnsiTheme="majorBidi" w:cstheme="majorBidi"/>
          <w:sz w:val="24"/>
          <w:szCs w:val="24"/>
          <w:lang w:val="en-US"/>
        </w:rPr>
        <w:instrText>ADDIN CSL_CITATION {"citationItems":[{"id":"ITEM-1","itemData":{"ISSN":"0003-2409","author":[{"dropping-particle":"","family":"Bonnal","given":"A","non-dropping-particle":"","parse-names":false,"suffix":""},{"dropping-particle":"","family":"Dehon","given":"A","non-dropping-particle":"","parse-names":false,"suffix":""},{"dropping-particle":"","family":"Nagot","given":"N","non-dropping-particle":"","parse-names":false,"suffix":""},{"dropping-particle":"","family":"Macioce","given":"V","non-dropping-particle":"","parse-names":false,"suffix":""},{"dropping-particle":"","family":"Nogue","given":"E","non-dropping-particle":"","parse-names":false,"suffix":""},{"dropping-particle":"","family":"Morau","given":"E","non-dropping-particle":"","parse-names":false,"suffix":""}],"container-title":"Anaesthesia","id":"ITEM-1","issue":"5","issued":{"date-parts":[["2016"]]},"page":"535-543","publisher":"Wiley Online Library","title":"Patient‐controlled oral analgesia versus nurse‐controlled parenteral analgesia after caesarean section: a randomised controlled trial","type":"article-journal","volume":"71"},"uris":["http://www.mendeley.com/documents/?uuid=88b0931f-c1f7-437a-9bbd-8b21a819b086"]}],"mendeley":{"formattedCitation":"(Bonnal et al., 2016)","plainTextFormattedCitation":"(Bonnal et al., 2016)","previouslyFormattedCitation":"(Bonnal et al., 2016)"},"properties":{"noteIndex":0},"schema":"https://github.com/citation-style-language/schema/raw/master/csl-citation.json"}</w:instrText>
      </w:r>
      <w:r w:rsidR="00B3226B">
        <w:rPr>
          <w:rFonts w:asciiTheme="majorBidi" w:eastAsia="Times New Roman" w:hAnsiTheme="majorBidi" w:cstheme="majorBidi"/>
          <w:sz w:val="24"/>
          <w:szCs w:val="24"/>
          <w:lang w:val="en-US"/>
        </w:rPr>
        <w:fldChar w:fldCharType="separate"/>
      </w:r>
      <w:r w:rsidR="00B3226B" w:rsidRPr="00B3226B">
        <w:rPr>
          <w:rFonts w:asciiTheme="majorBidi" w:eastAsia="Times New Roman" w:hAnsiTheme="majorBidi" w:cstheme="majorBidi"/>
          <w:noProof/>
          <w:sz w:val="24"/>
          <w:szCs w:val="24"/>
          <w:lang w:val="en-US"/>
        </w:rPr>
        <w:t>(Bonnal et al., 2016)</w:t>
      </w:r>
      <w:r w:rsidR="00B3226B">
        <w:rPr>
          <w:rFonts w:asciiTheme="majorBidi" w:eastAsia="Times New Roman" w:hAnsiTheme="majorBidi" w:cstheme="majorBidi"/>
          <w:sz w:val="24"/>
          <w:szCs w:val="24"/>
          <w:lang w:val="en-US"/>
        </w:rPr>
        <w:fldChar w:fldCharType="end"/>
      </w:r>
      <w:r w:rsidRPr="008550D5">
        <w:rPr>
          <w:rFonts w:asciiTheme="majorBidi" w:eastAsia="Times New Roman" w:hAnsiTheme="majorBidi" w:cstheme="majorBidi"/>
          <w:sz w:val="24"/>
          <w:szCs w:val="24"/>
        </w:rPr>
        <w:t xml:space="preserve">.  </w:t>
      </w:r>
      <w:bookmarkEnd w:id="1"/>
      <w:r w:rsidR="00B3226B">
        <w:rPr>
          <w:rFonts w:asciiTheme="majorBidi" w:eastAsia="Times New Roman" w:hAnsiTheme="majorBidi" w:cstheme="majorBidi"/>
          <w:sz w:val="24"/>
          <w:szCs w:val="24"/>
        </w:rPr>
        <w:fldChar w:fldCharType="begin" w:fldLock="1"/>
      </w:r>
      <w:r w:rsidR="004541D2">
        <w:rPr>
          <w:rFonts w:asciiTheme="majorBidi" w:eastAsia="Times New Roman" w:hAnsiTheme="majorBidi" w:cstheme="majorBidi"/>
          <w:sz w:val="24"/>
          <w:szCs w:val="24"/>
        </w:rPr>
        <w:instrText>ADDIN CSL_CITATION {"citationItems":[{"id":"ITEM-1","itemData":{"ISSN":"1092-7875","author":[{"dropping-particle":"","family":"Thompson","given":"Lindsay A","non-dropping-particle":"","parse-names":false,"suffix":""},{"dropping-particle":"","family":"Zhang","given":"Shuyao","non-dropping-particle":"","parse-names":false,"suffix":""},{"dropping-particle":"","family":"Black","given":"Erik","non-dropping-particle":"","parse-names":false,"suffix":""},{"dropping-particle":"","family":"Das","given":"Rajeeb","non-dropping-particle":"","parse-names":false,"suffix":""},{"dropping-particle":"","family":"Ryngaert","given":"Mary","non-dropping-particle":"","parse-names":false,"suffix":""},{"dropping-particle":"","family":"Sullivan","given":"Sandra","non-dropping-particle":"","parse-names":false,"suffix":""},{"dropping-particle":"","family":"Roth","given":"Jeffrey","non-dropping-particle":"","parse-names":false,"suffix":""}],"container-title":"Maternal and child health journal","id":"ITEM-1","issued":{"date-parts":[["2013"]]},"page":"1842-1851","publisher":"Springer","title":"The association of maternal pre-pregnancy body mass index with breastfeeding initiation","type":"article-journal","volume":"17"},"uris":["http://www.mendeley.com/documents/?uuid=f319da3f-d09e-40ce-90df-96c03281cf6f"]}],"mendeley":{"formattedCitation":"(Thompson et al., 2013)","plainTextFormattedCitation":"(Thompson et al., 2013)","previouslyFormattedCitation":"(Thompson et al., 2013)"},"properties":{"noteIndex":0},"schema":"https://github.com/citation-style-language/schema/raw/master/csl-citation.json"}</w:instrText>
      </w:r>
      <w:r w:rsidR="00B3226B">
        <w:rPr>
          <w:rFonts w:asciiTheme="majorBidi" w:eastAsia="Times New Roman" w:hAnsiTheme="majorBidi" w:cstheme="majorBidi"/>
          <w:sz w:val="24"/>
          <w:szCs w:val="24"/>
        </w:rPr>
        <w:fldChar w:fldCharType="separate"/>
      </w:r>
      <w:r w:rsidR="00B3226B" w:rsidRPr="00B3226B">
        <w:rPr>
          <w:rFonts w:asciiTheme="majorBidi" w:eastAsia="Times New Roman" w:hAnsiTheme="majorBidi" w:cstheme="majorBidi"/>
          <w:noProof/>
          <w:sz w:val="24"/>
          <w:szCs w:val="24"/>
        </w:rPr>
        <w:t>(Thompson et al., 2013)</w:t>
      </w:r>
      <w:r w:rsidR="00B3226B">
        <w:rPr>
          <w:rFonts w:asciiTheme="majorBidi" w:eastAsia="Times New Roman" w:hAnsiTheme="majorBidi" w:cstheme="majorBidi"/>
          <w:sz w:val="24"/>
          <w:szCs w:val="24"/>
        </w:rPr>
        <w:fldChar w:fldCharType="end"/>
      </w:r>
      <w:r w:rsidR="00B3226B">
        <w:rPr>
          <w:rFonts w:asciiTheme="majorBidi" w:eastAsia="Times New Roman" w:hAnsiTheme="majorBidi" w:cstheme="majorBidi"/>
          <w:sz w:val="24"/>
          <w:szCs w:val="24"/>
          <w:lang w:val="en-US"/>
        </w:rPr>
        <w:t xml:space="preserve"> </w:t>
      </w:r>
      <w:r w:rsidRPr="008550D5">
        <w:rPr>
          <w:rFonts w:asciiTheme="majorBidi" w:eastAsia="Times New Roman" w:hAnsiTheme="majorBidi" w:cstheme="majorBidi"/>
          <w:sz w:val="24"/>
          <w:szCs w:val="24"/>
        </w:rPr>
        <w:t xml:space="preserve">In reducing visceral pain, giving effective NSAIDs such as ketorolac can have a better effect than giving opioids, and ketorolac is a non-selective inhibitor of COX-1 and COX-2 so it can cause side </w:t>
      </w:r>
      <w:r w:rsidRPr="008550D5">
        <w:rPr>
          <w:rFonts w:asciiTheme="majorBidi" w:eastAsia="Times New Roman" w:hAnsiTheme="majorBidi" w:cstheme="majorBidi"/>
          <w:sz w:val="24"/>
          <w:szCs w:val="24"/>
        </w:rPr>
        <w:lastRenderedPageBreak/>
        <w:t xml:space="preserve">effects, namely increasing the risk of bleeding, irritation of gastrointestinal organs, dyspepsia and nausea. </w:t>
      </w:r>
    </w:p>
    <w:p w14:paraId="778A2AC4" w14:textId="77777777" w:rsidR="008550D5" w:rsidRPr="008550D5" w:rsidRDefault="008550D5" w:rsidP="004F5945">
      <w:pPr>
        <w:spacing w:after="0" w:line="360" w:lineRule="auto"/>
        <w:ind w:right="-188" w:firstLine="720"/>
        <w:jc w:val="both"/>
        <w:rPr>
          <w:rFonts w:asciiTheme="majorBidi" w:eastAsia="Times New Roman" w:hAnsiTheme="majorBidi" w:cstheme="majorBidi"/>
          <w:sz w:val="24"/>
          <w:szCs w:val="24"/>
        </w:rPr>
      </w:pPr>
      <w:r w:rsidRPr="008550D5">
        <w:rPr>
          <w:rFonts w:asciiTheme="majorBidi" w:eastAsia="Times New Roman" w:hAnsiTheme="majorBidi" w:cstheme="majorBidi"/>
          <w:sz w:val="24"/>
          <w:szCs w:val="24"/>
        </w:rPr>
        <w:t>The use of analgesics at PKU Muhammadiyah Gamping Hospital, based on the data, it turns out that many people use ketorolac 30mg as a post-operative analgesic. Based on this data, researchers are interested in conducting research on the level of patient satisfaction using the analgesic ketorolac 30mg and paracetamol 1000mg in mild to moderate post-operative patients at the PKU Muhammadiyah Gamping</w:t>
      </w:r>
      <w:r w:rsidRPr="008550D5">
        <w:rPr>
          <w:rFonts w:asciiTheme="majorBidi" w:eastAsia="Times New Roman" w:hAnsiTheme="majorBidi" w:cstheme="majorBidi"/>
          <w:sz w:val="24"/>
          <w:szCs w:val="24"/>
          <w:lang w:val="en-ID"/>
        </w:rPr>
        <w:t xml:space="preserve"> hospital</w:t>
      </w:r>
      <w:r w:rsidRPr="008550D5">
        <w:rPr>
          <w:rFonts w:asciiTheme="majorBidi" w:eastAsia="Times New Roman" w:hAnsiTheme="majorBidi" w:cstheme="majorBidi"/>
          <w:sz w:val="24"/>
          <w:szCs w:val="24"/>
        </w:rPr>
        <w:t>.</w:t>
      </w:r>
    </w:p>
    <w:p w14:paraId="116D7A07" w14:textId="0A978CA7" w:rsidR="00343592" w:rsidRPr="008550D5" w:rsidRDefault="008550D5" w:rsidP="004F5945">
      <w:pPr>
        <w:spacing w:after="0" w:line="360" w:lineRule="auto"/>
        <w:ind w:right="-188" w:firstLine="720"/>
        <w:jc w:val="both"/>
        <w:rPr>
          <w:rFonts w:asciiTheme="majorBidi" w:eastAsia="Times New Roman" w:hAnsiTheme="majorBidi" w:cstheme="majorBidi"/>
          <w:sz w:val="24"/>
          <w:szCs w:val="24"/>
          <w:lang w:val="id"/>
        </w:rPr>
      </w:pPr>
      <w:r w:rsidRPr="008550D5">
        <w:rPr>
          <w:rFonts w:asciiTheme="majorBidi" w:eastAsia="Times New Roman" w:hAnsiTheme="majorBidi" w:cstheme="majorBidi"/>
          <w:sz w:val="24"/>
          <w:szCs w:val="24"/>
        </w:rPr>
        <w:t>The objectives to be achieved in this study are: to determine the effectiveness of the use of analgesics in mild to moderate post-surgical patients at PKU Muhammadiyah Gamping Hospital and to determine the comparison of satisfaction levels with the use of the analgesic using intravenous injection Ketorolac 30mg and the analgesic use of intravenous infusion of paracetamol 1000mg in post-operative patients with mild to moderate surgery. at PKU Muhammadiyah Gamping Hospital.</w:t>
      </w:r>
    </w:p>
    <w:p w14:paraId="672728C4" w14:textId="77777777" w:rsidR="0041703E" w:rsidRPr="008550D5" w:rsidRDefault="0041703E" w:rsidP="004F5945">
      <w:pPr>
        <w:spacing w:after="0" w:line="360" w:lineRule="auto"/>
        <w:ind w:right="-188" w:firstLine="720"/>
        <w:jc w:val="both"/>
        <w:rPr>
          <w:rFonts w:asciiTheme="majorBidi" w:eastAsia="Times New Roman" w:hAnsiTheme="majorBidi" w:cstheme="majorBidi"/>
          <w:sz w:val="24"/>
          <w:szCs w:val="24"/>
          <w:lang w:val="ms"/>
        </w:rPr>
      </w:pPr>
    </w:p>
    <w:p w14:paraId="00E3C362" w14:textId="77777777" w:rsidR="00343592" w:rsidRPr="008550D5" w:rsidRDefault="00343592" w:rsidP="004F5945">
      <w:pPr>
        <w:spacing w:after="0" w:line="360" w:lineRule="auto"/>
        <w:ind w:right="-188"/>
        <w:jc w:val="both"/>
        <w:rPr>
          <w:rFonts w:asciiTheme="majorBidi" w:eastAsia="Times New Roman" w:hAnsiTheme="majorBidi" w:cstheme="majorBidi"/>
          <w:b/>
          <w:sz w:val="24"/>
          <w:szCs w:val="24"/>
        </w:rPr>
      </w:pPr>
      <w:r w:rsidRPr="008550D5">
        <w:rPr>
          <w:rFonts w:asciiTheme="majorBidi" w:eastAsia="Times New Roman" w:hAnsiTheme="majorBidi" w:cstheme="majorBidi"/>
          <w:b/>
          <w:sz w:val="24"/>
          <w:szCs w:val="24"/>
        </w:rPr>
        <w:t>ME</w:t>
      </w:r>
      <w:r w:rsidRPr="008550D5">
        <w:rPr>
          <w:rFonts w:asciiTheme="majorBidi" w:eastAsia="Times New Roman" w:hAnsiTheme="majorBidi" w:cstheme="majorBidi"/>
          <w:b/>
          <w:sz w:val="24"/>
          <w:szCs w:val="24"/>
          <w:lang w:val="en-US"/>
        </w:rPr>
        <w:t xml:space="preserve">THODS </w:t>
      </w:r>
    </w:p>
    <w:p w14:paraId="03D0DE4E" w14:textId="77777777" w:rsidR="008550D5" w:rsidRPr="008550D5" w:rsidRDefault="008550D5" w:rsidP="004F5945">
      <w:pPr>
        <w:spacing w:after="0" w:line="360" w:lineRule="auto"/>
        <w:ind w:right="-188" w:firstLine="720"/>
        <w:jc w:val="both"/>
        <w:rPr>
          <w:rFonts w:asciiTheme="majorBidi" w:eastAsia="Times New Roman" w:hAnsiTheme="majorBidi" w:cstheme="majorBidi"/>
          <w:sz w:val="24"/>
          <w:szCs w:val="24"/>
        </w:rPr>
      </w:pPr>
      <w:r w:rsidRPr="008550D5">
        <w:rPr>
          <w:rFonts w:asciiTheme="majorBidi" w:eastAsia="Times New Roman" w:hAnsiTheme="majorBidi" w:cstheme="majorBidi"/>
          <w:sz w:val="24"/>
          <w:szCs w:val="24"/>
        </w:rPr>
        <w:t>The design of this research is quantitative research with a double</w:t>
      </w:r>
      <w:r w:rsidRPr="008550D5">
        <w:rPr>
          <w:rFonts w:asciiTheme="majorBidi" w:eastAsia="Times New Roman" w:hAnsiTheme="majorBidi" w:cstheme="majorBidi"/>
          <w:sz w:val="24"/>
          <w:szCs w:val="24"/>
          <w:lang w:val="en-ID"/>
        </w:rPr>
        <w:t>-</w:t>
      </w:r>
      <w:r w:rsidRPr="008550D5">
        <w:rPr>
          <w:rFonts w:asciiTheme="majorBidi" w:eastAsia="Times New Roman" w:hAnsiTheme="majorBidi" w:cstheme="majorBidi"/>
          <w:sz w:val="24"/>
          <w:szCs w:val="24"/>
        </w:rPr>
        <w:t>blind experimental design and a Randomized Controlled Trial (RCT) research method. Randomized Controlled Trial (RCT) is the most powerful design for evaluating interventions used to show that the intervention used is feasible (Monsen &amp; Van Horn 2010). Researchers used a double</w:t>
      </w:r>
      <w:r w:rsidRPr="008550D5">
        <w:rPr>
          <w:rFonts w:asciiTheme="majorBidi" w:eastAsia="Times New Roman" w:hAnsiTheme="majorBidi" w:cstheme="majorBidi"/>
          <w:sz w:val="24"/>
          <w:szCs w:val="24"/>
          <w:lang w:val="en-ID"/>
        </w:rPr>
        <w:t>-</w:t>
      </w:r>
      <w:r w:rsidRPr="008550D5">
        <w:rPr>
          <w:rFonts w:asciiTheme="majorBidi" w:eastAsia="Times New Roman" w:hAnsiTheme="majorBidi" w:cstheme="majorBidi"/>
          <w:sz w:val="24"/>
          <w:szCs w:val="24"/>
        </w:rPr>
        <w:t>blind RCT research method because the researchers and participants did not know each other. The participants in the intervention group were given intravenous injections of ketorolac 30 mg or intravenous infusions of paracetamol 1000 mg. The sample in this study was 20 people/group so that for 2 groups, the sample required was 40 people.</w:t>
      </w:r>
    </w:p>
    <w:p w14:paraId="198EC1BD" w14:textId="7EED1A4B" w:rsidR="00343592" w:rsidRPr="008550D5" w:rsidRDefault="008550D5" w:rsidP="004F5945">
      <w:pPr>
        <w:spacing w:after="0" w:line="360" w:lineRule="auto"/>
        <w:ind w:right="-188" w:firstLine="720"/>
        <w:jc w:val="both"/>
        <w:rPr>
          <w:rFonts w:asciiTheme="majorBidi" w:eastAsia="Times New Roman" w:hAnsiTheme="majorBidi" w:cstheme="majorBidi"/>
          <w:sz w:val="24"/>
          <w:szCs w:val="24"/>
          <w:lang w:val="en"/>
        </w:rPr>
      </w:pPr>
      <w:r w:rsidRPr="008550D5">
        <w:rPr>
          <w:rFonts w:asciiTheme="majorBidi" w:eastAsia="Times New Roman" w:hAnsiTheme="majorBidi" w:cstheme="majorBidi"/>
          <w:sz w:val="24"/>
          <w:szCs w:val="24"/>
        </w:rPr>
        <w:t>This research was carried out at PKU Muhammadiyah Gamping Hospital</w:t>
      </w:r>
      <w:r w:rsidRPr="008550D5">
        <w:rPr>
          <w:rFonts w:asciiTheme="majorBidi" w:eastAsia="Times New Roman" w:hAnsiTheme="majorBidi" w:cstheme="majorBidi"/>
          <w:sz w:val="24"/>
          <w:szCs w:val="24"/>
          <w:lang w:val="en-ID"/>
        </w:rPr>
        <w:t xml:space="preserve"> </w:t>
      </w:r>
      <w:r w:rsidRPr="008550D5">
        <w:rPr>
          <w:rFonts w:asciiTheme="majorBidi" w:eastAsia="Times New Roman" w:hAnsiTheme="majorBidi" w:cstheme="majorBidi"/>
          <w:sz w:val="24"/>
          <w:szCs w:val="24"/>
        </w:rPr>
        <w:t>because PKU Muhammadiyah Gamping Hospital is one of the hospitals that frequently performs surgery and has complete surgical equipment and an operating team that meets standards, and PKU Muhammadiyah Gamping Hospital is one of the hospitals that collaborates with Muhammadiyah University Yogyakarta. To make the data analysis process easier, researchers used computerization with the Statistical Package for Social Science (SPSS) program. The results obtained from the questionnaire will be analyzed using statistical testing, researchers use the "Chi</w:t>
      </w:r>
      <w:r w:rsidRPr="008550D5">
        <w:rPr>
          <w:rFonts w:asciiTheme="majorBidi" w:eastAsia="Times New Roman" w:hAnsiTheme="majorBidi" w:cstheme="majorBidi"/>
          <w:sz w:val="24"/>
          <w:szCs w:val="24"/>
          <w:lang w:val="en-ID"/>
        </w:rPr>
        <w:t>-</w:t>
      </w:r>
      <w:r w:rsidRPr="008550D5">
        <w:rPr>
          <w:rFonts w:asciiTheme="majorBidi" w:eastAsia="Times New Roman" w:hAnsiTheme="majorBidi" w:cstheme="majorBidi"/>
          <w:sz w:val="24"/>
          <w:szCs w:val="24"/>
        </w:rPr>
        <w:t xml:space="preserve">Square" test because it is used to test the relationship between 2 unpaired categorical </w:t>
      </w:r>
      <w:r w:rsidRPr="008550D5">
        <w:rPr>
          <w:rFonts w:asciiTheme="majorBidi" w:eastAsia="Times New Roman" w:hAnsiTheme="majorBidi" w:cstheme="majorBidi"/>
          <w:sz w:val="24"/>
          <w:szCs w:val="24"/>
        </w:rPr>
        <w:lastRenderedPageBreak/>
        <w:t>variables. The variable in question is the level of patient satisfaction after mild to moderate surgery and the administration of analgesics, either in the form of a 30mg ketorolac injection or a 1000mg paracetamol infusion.</w:t>
      </w:r>
      <w:r w:rsidR="0041703E" w:rsidRPr="008550D5">
        <w:rPr>
          <w:rFonts w:asciiTheme="majorBidi" w:eastAsia="Times New Roman" w:hAnsiTheme="majorBidi" w:cstheme="majorBidi"/>
          <w:sz w:val="24"/>
          <w:szCs w:val="24"/>
        </w:rPr>
        <w:t xml:space="preserve"> </w:t>
      </w:r>
    </w:p>
    <w:p w14:paraId="14AB2A8F" w14:textId="77777777" w:rsidR="00343592" w:rsidRPr="008550D5" w:rsidRDefault="00343592" w:rsidP="004F5945">
      <w:pPr>
        <w:spacing w:after="0" w:line="360" w:lineRule="auto"/>
        <w:ind w:right="-188" w:firstLine="720"/>
        <w:jc w:val="both"/>
        <w:rPr>
          <w:rFonts w:asciiTheme="majorBidi" w:eastAsia="Times New Roman" w:hAnsiTheme="majorBidi" w:cstheme="majorBidi"/>
          <w:b/>
          <w:sz w:val="24"/>
          <w:szCs w:val="24"/>
          <w:lang w:val="en-US"/>
        </w:rPr>
      </w:pPr>
    </w:p>
    <w:p w14:paraId="058C5A96" w14:textId="77777777" w:rsidR="00343592" w:rsidRPr="008550D5" w:rsidRDefault="00343592" w:rsidP="004F5945">
      <w:pPr>
        <w:spacing w:after="0" w:line="360" w:lineRule="auto"/>
        <w:ind w:right="-188"/>
        <w:jc w:val="both"/>
        <w:rPr>
          <w:rFonts w:asciiTheme="majorBidi" w:eastAsia="Times New Roman" w:hAnsiTheme="majorBidi" w:cstheme="majorBidi"/>
          <w:b/>
          <w:sz w:val="24"/>
          <w:szCs w:val="24"/>
          <w:lang w:val="en-US"/>
        </w:rPr>
      </w:pPr>
      <w:r w:rsidRPr="008550D5">
        <w:rPr>
          <w:rFonts w:asciiTheme="majorBidi" w:eastAsia="Times New Roman" w:hAnsiTheme="majorBidi" w:cstheme="majorBidi"/>
          <w:b/>
          <w:sz w:val="24"/>
          <w:szCs w:val="24"/>
          <w:lang w:val="en-US"/>
        </w:rPr>
        <w:t xml:space="preserve">RESULTS </w:t>
      </w:r>
    </w:p>
    <w:p w14:paraId="15F7F248" w14:textId="77777777" w:rsidR="008550D5" w:rsidRPr="008550D5" w:rsidRDefault="008550D5" w:rsidP="004F5945">
      <w:pPr>
        <w:spacing w:after="0" w:line="360" w:lineRule="auto"/>
        <w:ind w:firstLine="567"/>
        <w:jc w:val="both"/>
        <w:rPr>
          <w:rFonts w:asciiTheme="majorBidi" w:hAnsiTheme="majorBidi" w:cstheme="majorBidi"/>
          <w:sz w:val="24"/>
          <w:szCs w:val="24"/>
          <w:lang w:val="en-US"/>
        </w:rPr>
      </w:pPr>
      <w:bookmarkStart w:id="2" w:name="_Hlk111036514"/>
      <w:r w:rsidRPr="008550D5">
        <w:rPr>
          <w:rFonts w:asciiTheme="majorBidi" w:hAnsiTheme="majorBidi" w:cstheme="majorBidi"/>
          <w:color w:val="000000"/>
          <w:sz w:val="24"/>
          <w:szCs w:val="24"/>
        </w:rPr>
        <w:t>In this study, the samples used were mild to moderate post-operative patients with general anesthesia and regional anesthesia who were given the analgesic intravenous injection of Ketorolac 30mg and patients after mild to moderate surgery with general anesthesia and regional anesthesia who were given the analgesic intravenous infusion of paracetamol 1000mg at PKU Muhammadiyah Gamping Hospital. In this study, primary data was used, the data collection process was carried out face to face by the researcher giving questionnaires to respondents to answer. From the research results, an overview of the characteristics of the respondents was obtained.</w:t>
      </w:r>
    </w:p>
    <w:bookmarkEnd w:id="2"/>
    <w:p w14:paraId="4A984344" w14:textId="77777777" w:rsidR="008550D5" w:rsidRPr="008550D5" w:rsidRDefault="008550D5" w:rsidP="004F5945">
      <w:pPr>
        <w:spacing w:after="0" w:line="360" w:lineRule="auto"/>
        <w:jc w:val="both"/>
        <w:rPr>
          <w:rFonts w:asciiTheme="majorBidi" w:hAnsiTheme="majorBidi" w:cstheme="majorBidi"/>
          <w:b/>
          <w:bCs/>
          <w:sz w:val="24"/>
          <w:szCs w:val="24"/>
          <w:lang w:val="en-US"/>
        </w:rPr>
      </w:pPr>
      <w:r w:rsidRPr="008550D5">
        <w:rPr>
          <w:rFonts w:asciiTheme="majorBidi" w:hAnsiTheme="majorBidi" w:cstheme="majorBidi"/>
          <w:b/>
          <w:bCs/>
          <w:sz w:val="24"/>
          <w:szCs w:val="24"/>
          <w:lang w:val="en-US"/>
        </w:rPr>
        <w:t>A. Respondent Characteristics</w:t>
      </w:r>
    </w:p>
    <w:p w14:paraId="4E5958DA" w14:textId="77777777" w:rsidR="008550D5" w:rsidRPr="008550D5" w:rsidRDefault="008550D5" w:rsidP="004F5945">
      <w:pPr>
        <w:pStyle w:val="ListParagraph"/>
        <w:ind w:left="284" w:firstLine="709"/>
        <w:rPr>
          <w:rFonts w:asciiTheme="majorBidi" w:hAnsiTheme="majorBidi" w:cstheme="majorBidi"/>
          <w:szCs w:val="24"/>
        </w:rPr>
      </w:pPr>
      <w:bookmarkStart w:id="3" w:name="_Hlk111036686"/>
      <w:r w:rsidRPr="008550D5">
        <w:rPr>
          <w:rFonts w:asciiTheme="majorBidi" w:hAnsiTheme="majorBidi" w:cstheme="majorBidi"/>
          <w:szCs w:val="24"/>
        </w:rPr>
        <w:t>In this study, there were 40 respondents who met the inclusion and exclusion criteria, so the number of respondents had met the target. The characteristics of the respondents obtained in this study were, age and gender.</w:t>
      </w:r>
      <w:bookmarkEnd w:id="3"/>
    </w:p>
    <w:p w14:paraId="54B2722B" w14:textId="77777777" w:rsidR="008550D5" w:rsidRPr="008550D5" w:rsidRDefault="008550D5" w:rsidP="004F5945">
      <w:pPr>
        <w:pStyle w:val="ListParagraph"/>
        <w:ind w:left="0" w:firstLine="142"/>
        <w:jc w:val="center"/>
        <w:rPr>
          <w:rFonts w:asciiTheme="majorBidi" w:hAnsiTheme="majorBidi" w:cstheme="majorBidi"/>
          <w:szCs w:val="24"/>
        </w:rPr>
      </w:pPr>
      <w:r w:rsidRPr="008550D5">
        <w:rPr>
          <w:rFonts w:asciiTheme="majorBidi" w:hAnsiTheme="majorBidi" w:cstheme="majorBidi"/>
          <w:noProof/>
          <w:szCs w:val="24"/>
        </w:rPr>
        <w:drawing>
          <wp:inline distT="0" distB="0" distL="0" distR="0" wp14:anchorId="7B1213A2" wp14:editId="74352180">
            <wp:extent cx="3733800" cy="2124075"/>
            <wp:effectExtent l="0" t="0" r="0" b="9525"/>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1D63CC" w14:textId="35531A18" w:rsidR="008550D5" w:rsidRPr="008550D5" w:rsidRDefault="008550D5" w:rsidP="004F5945">
      <w:pPr>
        <w:spacing w:after="0" w:line="360" w:lineRule="auto"/>
        <w:jc w:val="center"/>
        <w:rPr>
          <w:rFonts w:asciiTheme="majorBidi" w:hAnsiTheme="majorBidi" w:cstheme="majorBidi"/>
          <w:b/>
          <w:sz w:val="24"/>
          <w:szCs w:val="24"/>
          <w:lang w:val="en-US"/>
        </w:rPr>
      </w:pPr>
      <w:r w:rsidRPr="008550D5">
        <w:rPr>
          <w:rFonts w:asciiTheme="majorBidi" w:hAnsiTheme="majorBidi" w:cstheme="majorBidi"/>
          <w:b/>
          <w:sz w:val="24"/>
          <w:szCs w:val="24"/>
          <w:lang w:val="en-US"/>
        </w:rPr>
        <w:t xml:space="preserve">Picture 1. Respondent age </w:t>
      </w:r>
    </w:p>
    <w:p w14:paraId="0B8A4761" w14:textId="143F9896" w:rsidR="008550D5" w:rsidRPr="008550D5" w:rsidRDefault="008550D5" w:rsidP="00B3226B">
      <w:pPr>
        <w:spacing w:after="0" w:line="360" w:lineRule="auto"/>
        <w:ind w:left="284" w:firstLine="709"/>
        <w:jc w:val="both"/>
        <w:rPr>
          <w:rFonts w:asciiTheme="majorBidi" w:hAnsiTheme="majorBidi" w:cstheme="majorBidi"/>
          <w:b/>
          <w:sz w:val="24"/>
          <w:szCs w:val="24"/>
          <w:lang w:val="en-US"/>
        </w:rPr>
      </w:pPr>
      <w:r w:rsidRPr="008550D5">
        <w:rPr>
          <w:rFonts w:asciiTheme="majorBidi" w:hAnsiTheme="majorBidi" w:cstheme="majorBidi"/>
          <w:sz w:val="24"/>
          <w:szCs w:val="24"/>
          <w:lang w:val="en-US"/>
        </w:rPr>
        <w:t xml:space="preserve">From this research, several age groups of respondents were obtained, the largest age group of respondents was in the </w:t>
      </w:r>
      <w:proofErr w:type="gramStart"/>
      <w:r w:rsidRPr="008550D5">
        <w:rPr>
          <w:rFonts w:asciiTheme="majorBidi" w:hAnsiTheme="majorBidi" w:cstheme="majorBidi"/>
          <w:sz w:val="24"/>
          <w:szCs w:val="24"/>
          <w:lang w:val="en-US"/>
        </w:rPr>
        <w:t>21-30 year</w:t>
      </w:r>
      <w:proofErr w:type="gramEnd"/>
      <w:r w:rsidRPr="008550D5">
        <w:rPr>
          <w:rFonts w:asciiTheme="majorBidi" w:hAnsiTheme="majorBidi" w:cstheme="majorBidi"/>
          <w:sz w:val="24"/>
          <w:szCs w:val="24"/>
          <w:lang w:val="en-US"/>
        </w:rPr>
        <w:t xml:space="preserve"> age range (35%) with 14 respondents. Next, there were 10 respondents aged 41-50 years (25%), and 9 respondents aged 31-40 years (22.5%), then the last group aged 50-60 years (17.5%) was 7 people. respondents.</w:t>
      </w:r>
    </w:p>
    <w:p w14:paraId="1D9E6CE8" w14:textId="77777777" w:rsidR="008550D5" w:rsidRPr="008550D5" w:rsidRDefault="008550D5" w:rsidP="004F5945">
      <w:pPr>
        <w:spacing w:after="0" w:line="360" w:lineRule="auto"/>
        <w:ind w:firstLine="142"/>
        <w:jc w:val="center"/>
        <w:rPr>
          <w:rFonts w:asciiTheme="majorBidi" w:hAnsiTheme="majorBidi" w:cstheme="majorBidi"/>
          <w:b/>
          <w:sz w:val="24"/>
          <w:szCs w:val="24"/>
          <w:lang w:val="en-US"/>
        </w:rPr>
      </w:pPr>
      <w:r w:rsidRPr="008550D5">
        <w:rPr>
          <w:rFonts w:asciiTheme="majorBidi" w:hAnsiTheme="majorBidi" w:cstheme="majorBidi"/>
          <w:noProof/>
          <w:sz w:val="24"/>
          <w:szCs w:val="24"/>
          <w:lang w:val="en-US"/>
        </w:rPr>
        <w:lastRenderedPageBreak/>
        <w:drawing>
          <wp:inline distT="0" distB="0" distL="0" distR="0" wp14:anchorId="246A5748" wp14:editId="466398AF">
            <wp:extent cx="3057525" cy="1762125"/>
            <wp:effectExtent l="0" t="0" r="9525" b="9525"/>
            <wp:docPr id="1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1C4B7BA" w14:textId="77777777" w:rsidR="008550D5" w:rsidRPr="008550D5" w:rsidRDefault="008550D5" w:rsidP="004F5945">
      <w:pPr>
        <w:spacing w:after="0" w:line="360" w:lineRule="auto"/>
        <w:ind w:firstLine="284"/>
        <w:jc w:val="center"/>
        <w:rPr>
          <w:rFonts w:asciiTheme="majorBidi" w:hAnsiTheme="majorBidi" w:cstheme="majorBidi"/>
          <w:b/>
          <w:sz w:val="24"/>
          <w:szCs w:val="24"/>
          <w:lang w:val="en-US"/>
        </w:rPr>
      </w:pPr>
      <w:r w:rsidRPr="008550D5">
        <w:rPr>
          <w:rFonts w:asciiTheme="majorBidi" w:hAnsiTheme="majorBidi" w:cstheme="majorBidi"/>
          <w:b/>
          <w:sz w:val="24"/>
          <w:szCs w:val="24"/>
          <w:lang w:val="en-US"/>
        </w:rPr>
        <w:t>Picture 2. Respondent’s gender</w:t>
      </w:r>
    </w:p>
    <w:p w14:paraId="52C9444B" w14:textId="6BC80127" w:rsidR="008550D5" w:rsidRPr="008550D5" w:rsidRDefault="008550D5" w:rsidP="004F5945">
      <w:pPr>
        <w:spacing w:after="0" w:line="360" w:lineRule="auto"/>
        <w:ind w:left="284" w:firstLine="709"/>
        <w:jc w:val="both"/>
        <w:rPr>
          <w:rFonts w:asciiTheme="majorBidi" w:hAnsiTheme="majorBidi" w:cstheme="majorBidi"/>
          <w:b/>
          <w:sz w:val="24"/>
          <w:szCs w:val="24"/>
          <w:lang w:val="en-US"/>
        </w:rPr>
      </w:pPr>
      <w:r w:rsidRPr="008550D5">
        <w:rPr>
          <w:rFonts w:asciiTheme="majorBidi" w:hAnsiTheme="majorBidi" w:cstheme="majorBidi"/>
          <w:sz w:val="24"/>
          <w:szCs w:val="24"/>
          <w:lang w:val="en-US"/>
        </w:rPr>
        <w:t>In this study, of the 40 total respondents, the majority of respondents were female, namely 24 respondents (60%). Meanwhile, there were 16 male respondents (40%).</w:t>
      </w:r>
    </w:p>
    <w:p w14:paraId="5B26E922" w14:textId="77777777" w:rsidR="008550D5" w:rsidRPr="008550D5" w:rsidRDefault="008550D5" w:rsidP="004F5945">
      <w:pPr>
        <w:spacing w:after="0" w:line="360" w:lineRule="auto"/>
        <w:jc w:val="both"/>
        <w:rPr>
          <w:rFonts w:asciiTheme="majorBidi" w:hAnsiTheme="majorBidi" w:cstheme="majorBidi"/>
          <w:b/>
          <w:bCs/>
          <w:noProof/>
          <w:color w:val="000000"/>
          <w:sz w:val="24"/>
          <w:szCs w:val="24"/>
          <w:lang w:val="en-US"/>
        </w:rPr>
      </w:pPr>
      <w:r w:rsidRPr="008550D5">
        <w:rPr>
          <w:rFonts w:asciiTheme="majorBidi" w:hAnsiTheme="majorBidi" w:cstheme="majorBidi"/>
          <w:b/>
          <w:bCs/>
          <w:noProof/>
          <w:color w:val="000000"/>
          <w:sz w:val="24"/>
          <w:szCs w:val="24"/>
          <w:lang w:val="en-US"/>
        </w:rPr>
        <w:t>B. Univariate Analysis</w:t>
      </w:r>
    </w:p>
    <w:p w14:paraId="7ECAB4A2" w14:textId="77777777" w:rsidR="008550D5" w:rsidRPr="008550D5" w:rsidRDefault="008550D5" w:rsidP="004F5945">
      <w:pPr>
        <w:pStyle w:val="ListParagraph"/>
        <w:numPr>
          <w:ilvl w:val="0"/>
          <w:numId w:val="45"/>
        </w:numPr>
        <w:tabs>
          <w:tab w:val="left" w:pos="426"/>
        </w:tabs>
        <w:ind w:left="567" w:hanging="283"/>
        <w:rPr>
          <w:rFonts w:asciiTheme="majorBidi" w:hAnsiTheme="majorBidi" w:cstheme="majorBidi"/>
          <w:b/>
          <w:szCs w:val="24"/>
        </w:rPr>
      </w:pPr>
      <w:r w:rsidRPr="008550D5">
        <w:rPr>
          <w:rFonts w:asciiTheme="majorBidi" w:hAnsiTheme="majorBidi" w:cstheme="majorBidi"/>
          <w:b/>
          <w:szCs w:val="24"/>
        </w:rPr>
        <w:t>Use of Painkillers</w:t>
      </w:r>
    </w:p>
    <w:p w14:paraId="4180B1A6" w14:textId="77777777" w:rsidR="008550D5" w:rsidRPr="008550D5" w:rsidRDefault="008550D5" w:rsidP="004F5945">
      <w:pPr>
        <w:pStyle w:val="ListParagraph"/>
        <w:ind w:left="567" w:firstLine="709"/>
        <w:rPr>
          <w:rFonts w:asciiTheme="majorBidi" w:hAnsiTheme="majorBidi" w:cstheme="majorBidi"/>
          <w:szCs w:val="24"/>
          <w:lang w:val="en-ID"/>
        </w:rPr>
      </w:pPr>
      <w:r w:rsidRPr="008550D5">
        <w:rPr>
          <w:rFonts w:asciiTheme="majorBidi" w:hAnsiTheme="majorBidi" w:cstheme="majorBidi"/>
          <w:szCs w:val="24"/>
        </w:rPr>
        <w:t xml:space="preserve">Based on the research results, the characteristics of respondents based on groups can be described as </w:t>
      </w:r>
      <w:proofErr w:type="gramStart"/>
      <w:r w:rsidRPr="008550D5">
        <w:rPr>
          <w:rFonts w:asciiTheme="majorBidi" w:hAnsiTheme="majorBidi" w:cstheme="majorBidi"/>
          <w:szCs w:val="24"/>
        </w:rPr>
        <w:t>follows</w:t>
      </w:r>
      <w:r w:rsidRPr="008550D5">
        <w:rPr>
          <w:rFonts w:asciiTheme="majorBidi" w:hAnsiTheme="majorBidi" w:cstheme="majorBidi"/>
          <w:szCs w:val="24"/>
          <w:lang w:val="en-ID"/>
        </w:rPr>
        <w:t xml:space="preserve"> </w:t>
      </w:r>
      <w:r w:rsidRPr="008550D5">
        <w:rPr>
          <w:rFonts w:asciiTheme="majorBidi" w:hAnsiTheme="majorBidi" w:cstheme="majorBidi"/>
          <w:szCs w:val="24"/>
        </w:rPr>
        <w:t>:</w:t>
      </w:r>
      <w:proofErr w:type="gramEnd"/>
      <w:r w:rsidRPr="008550D5">
        <w:rPr>
          <w:rFonts w:asciiTheme="majorBidi" w:hAnsiTheme="majorBidi" w:cstheme="majorBidi"/>
          <w:szCs w:val="24"/>
          <w:lang w:val="en-ID"/>
        </w:rPr>
        <w:t xml:space="preserve"> </w:t>
      </w:r>
    </w:p>
    <w:p w14:paraId="0FCD771E" w14:textId="44AE2344" w:rsidR="008550D5" w:rsidRPr="008550D5" w:rsidRDefault="008550D5" w:rsidP="004F5945">
      <w:pPr>
        <w:pStyle w:val="ListParagraph"/>
        <w:ind w:left="426" w:hanging="284"/>
        <w:jc w:val="center"/>
        <w:rPr>
          <w:rFonts w:asciiTheme="majorBidi" w:hAnsiTheme="majorBidi" w:cstheme="majorBidi"/>
          <w:b/>
          <w:szCs w:val="24"/>
        </w:rPr>
      </w:pPr>
      <w:r w:rsidRPr="008550D5">
        <w:rPr>
          <w:rFonts w:asciiTheme="majorBidi" w:hAnsiTheme="majorBidi" w:cstheme="majorBidi"/>
          <w:b/>
          <w:szCs w:val="24"/>
        </w:rPr>
        <w:t>Table 1</w:t>
      </w:r>
      <w:r w:rsidR="004F5945">
        <w:rPr>
          <w:rFonts w:asciiTheme="majorBidi" w:hAnsiTheme="majorBidi" w:cstheme="majorBidi"/>
          <w:b/>
          <w:szCs w:val="24"/>
        </w:rPr>
        <w:t>.</w:t>
      </w:r>
      <w:r w:rsidRPr="008550D5">
        <w:rPr>
          <w:rFonts w:asciiTheme="majorBidi" w:hAnsiTheme="majorBidi" w:cstheme="majorBidi"/>
          <w:b/>
          <w:szCs w:val="24"/>
        </w:rPr>
        <w:t xml:space="preserve"> Use of Anti-Pain</w:t>
      </w:r>
    </w:p>
    <w:tbl>
      <w:tblPr>
        <w:tblStyle w:val="TableGrid"/>
        <w:tblW w:w="4075" w:type="dxa"/>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1523"/>
        <w:gridCol w:w="1310"/>
        <w:gridCol w:w="1349"/>
      </w:tblGrid>
      <w:tr w:rsidR="008550D5" w:rsidRPr="008550D5" w14:paraId="59647B64" w14:textId="77777777" w:rsidTr="008550D5">
        <w:trPr>
          <w:jc w:val="center"/>
        </w:trPr>
        <w:tc>
          <w:tcPr>
            <w:tcW w:w="1509" w:type="dxa"/>
            <w:tcBorders>
              <w:bottom w:val="single" w:sz="4" w:space="0" w:color="auto"/>
              <w:right w:val="nil"/>
            </w:tcBorders>
          </w:tcPr>
          <w:p w14:paraId="585F7E9C" w14:textId="77777777" w:rsidR="008550D5" w:rsidRPr="008550D5" w:rsidRDefault="008550D5" w:rsidP="004F5945">
            <w:pPr>
              <w:spacing w:after="0" w:line="360" w:lineRule="auto"/>
              <w:jc w:val="center"/>
              <w:rPr>
                <w:rFonts w:asciiTheme="majorBidi" w:hAnsiTheme="majorBidi" w:cstheme="majorBidi"/>
                <w:b/>
                <w:sz w:val="24"/>
                <w:szCs w:val="24"/>
              </w:rPr>
            </w:pPr>
            <w:r w:rsidRPr="008550D5">
              <w:rPr>
                <w:rFonts w:asciiTheme="majorBidi" w:hAnsiTheme="majorBidi" w:cstheme="majorBidi"/>
                <w:b/>
                <w:sz w:val="24"/>
                <w:szCs w:val="24"/>
              </w:rPr>
              <w:t>Category</w:t>
            </w:r>
          </w:p>
        </w:tc>
        <w:tc>
          <w:tcPr>
            <w:tcW w:w="1243" w:type="dxa"/>
            <w:tcBorders>
              <w:left w:val="nil"/>
              <w:bottom w:val="single" w:sz="4" w:space="0" w:color="auto"/>
              <w:right w:val="nil"/>
            </w:tcBorders>
          </w:tcPr>
          <w:p w14:paraId="6288FB4D" w14:textId="77777777" w:rsidR="008550D5" w:rsidRPr="008550D5" w:rsidRDefault="008550D5" w:rsidP="004F5945">
            <w:pPr>
              <w:spacing w:after="0" w:line="360" w:lineRule="auto"/>
              <w:jc w:val="center"/>
              <w:rPr>
                <w:rFonts w:asciiTheme="majorBidi" w:hAnsiTheme="majorBidi" w:cstheme="majorBidi"/>
                <w:b/>
                <w:sz w:val="24"/>
                <w:szCs w:val="24"/>
              </w:rPr>
            </w:pPr>
            <w:r w:rsidRPr="008550D5">
              <w:rPr>
                <w:rFonts w:asciiTheme="majorBidi" w:hAnsiTheme="majorBidi" w:cstheme="majorBidi"/>
                <w:b/>
                <w:sz w:val="24"/>
                <w:szCs w:val="24"/>
              </w:rPr>
              <w:t>Frequency</w:t>
            </w:r>
          </w:p>
        </w:tc>
        <w:tc>
          <w:tcPr>
            <w:tcW w:w="1323" w:type="dxa"/>
            <w:tcBorders>
              <w:left w:val="nil"/>
              <w:bottom w:val="single" w:sz="4" w:space="0" w:color="auto"/>
            </w:tcBorders>
          </w:tcPr>
          <w:p w14:paraId="3C1DAC37" w14:textId="77777777" w:rsidR="008550D5" w:rsidRPr="008550D5" w:rsidRDefault="008550D5" w:rsidP="004F5945">
            <w:pPr>
              <w:spacing w:after="0" w:line="360" w:lineRule="auto"/>
              <w:jc w:val="center"/>
              <w:rPr>
                <w:rFonts w:asciiTheme="majorBidi" w:hAnsiTheme="majorBidi" w:cstheme="majorBidi"/>
                <w:b/>
                <w:sz w:val="24"/>
                <w:szCs w:val="24"/>
              </w:rPr>
            </w:pPr>
            <w:r w:rsidRPr="008550D5">
              <w:rPr>
                <w:rFonts w:asciiTheme="majorBidi" w:hAnsiTheme="majorBidi" w:cstheme="majorBidi"/>
                <w:b/>
                <w:sz w:val="24"/>
                <w:szCs w:val="24"/>
              </w:rPr>
              <w:t>Percentage</w:t>
            </w:r>
          </w:p>
        </w:tc>
      </w:tr>
      <w:tr w:rsidR="008550D5" w:rsidRPr="008550D5" w14:paraId="355B18B9" w14:textId="77777777" w:rsidTr="008550D5">
        <w:trPr>
          <w:jc w:val="center"/>
        </w:trPr>
        <w:tc>
          <w:tcPr>
            <w:tcW w:w="1509" w:type="dxa"/>
            <w:tcBorders>
              <w:top w:val="single" w:sz="4" w:space="0" w:color="auto"/>
              <w:bottom w:val="nil"/>
              <w:right w:val="nil"/>
            </w:tcBorders>
            <w:vAlign w:val="center"/>
          </w:tcPr>
          <w:p w14:paraId="7EDE9B1E"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000000"/>
                <w:sz w:val="24"/>
                <w:szCs w:val="24"/>
              </w:rPr>
            </w:pPr>
            <w:r w:rsidRPr="008550D5">
              <w:rPr>
                <w:rFonts w:asciiTheme="majorBidi" w:hAnsiTheme="majorBidi" w:cstheme="majorBidi"/>
                <w:color w:val="000000"/>
                <w:sz w:val="24"/>
                <w:szCs w:val="24"/>
              </w:rPr>
              <w:t>Paracetamol</w:t>
            </w:r>
          </w:p>
        </w:tc>
        <w:tc>
          <w:tcPr>
            <w:tcW w:w="1243" w:type="dxa"/>
            <w:tcBorders>
              <w:top w:val="single" w:sz="4" w:space="0" w:color="auto"/>
              <w:left w:val="nil"/>
              <w:bottom w:val="nil"/>
              <w:right w:val="nil"/>
            </w:tcBorders>
          </w:tcPr>
          <w:p w14:paraId="3CF1CE67"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sz w:val="24"/>
                <w:szCs w:val="24"/>
              </w:rPr>
            </w:pPr>
            <w:r w:rsidRPr="008550D5">
              <w:rPr>
                <w:rFonts w:asciiTheme="majorBidi" w:hAnsiTheme="majorBidi" w:cstheme="majorBidi"/>
                <w:sz w:val="24"/>
                <w:szCs w:val="24"/>
              </w:rPr>
              <w:t>20</w:t>
            </w:r>
          </w:p>
        </w:tc>
        <w:tc>
          <w:tcPr>
            <w:tcW w:w="1323" w:type="dxa"/>
            <w:tcBorders>
              <w:top w:val="single" w:sz="4" w:space="0" w:color="auto"/>
              <w:left w:val="nil"/>
              <w:bottom w:val="nil"/>
            </w:tcBorders>
          </w:tcPr>
          <w:p w14:paraId="23880CAD"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sz w:val="24"/>
                <w:szCs w:val="24"/>
              </w:rPr>
            </w:pPr>
            <w:r w:rsidRPr="008550D5">
              <w:rPr>
                <w:rFonts w:asciiTheme="majorBidi" w:hAnsiTheme="majorBidi" w:cstheme="majorBidi"/>
                <w:sz w:val="24"/>
                <w:szCs w:val="24"/>
              </w:rPr>
              <w:t>50.0</w:t>
            </w:r>
          </w:p>
        </w:tc>
      </w:tr>
      <w:tr w:rsidR="008550D5" w:rsidRPr="008550D5" w14:paraId="1720A34E" w14:textId="77777777" w:rsidTr="004F5945">
        <w:trPr>
          <w:jc w:val="center"/>
        </w:trPr>
        <w:tc>
          <w:tcPr>
            <w:tcW w:w="1509" w:type="dxa"/>
            <w:tcBorders>
              <w:top w:val="nil"/>
              <w:bottom w:val="single" w:sz="4" w:space="0" w:color="auto"/>
              <w:right w:val="nil"/>
            </w:tcBorders>
            <w:vAlign w:val="center"/>
          </w:tcPr>
          <w:p w14:paraId="02D03CD0"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000000"/>
                <w:sz w:val="24"/>
                <w:szCs w:val="24"/>
              </w:rPr>
            </w:pPr>
            <w:r w:rsidRPr="008550D5">
              <w:rPr>
                <w:rFonts w:asciiTheme="majorBidi" w:hAnsiTheme="majorBidi" w:cstheme="majorBidi"/>
                <w:color w:val="000000"/>
                <w:sz w:val="24"/>
                <w:szCs w:val="24"/>
              </w:rPr>
              <w:t>Ketorolac</w:t>
            </w:r>
          </w:p>
        </w:tc>
        <w:tc>
          <w:tcPr>
            <w:tcW w:w="1243" w:type="dxa"/>
            <w:tcBorders>
              <w:top w:val="nil"/>
              <w:left w:val="nil"/>
              <w:bottom w:val="single" w:sz="4" w:space="0" w:color="auto"/>
              <w:right w:val="nil"/>
            </w:tcBorders>
          </w:tcPr>
          <w:p w14:paraId="09B9B59B"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sz w:val="24"/>
                <w:szCs w:val="24"/>
              </w:rPr>
            </w:pPr>
            <w:r w:rsidRPr="008550D5">
              <w:rPr>
                <w:rFonts w:asciiTheme="majorBidi" w:hAnsiTheme="majorBidi" w:cstheme="majorBidi"/>
                <w:sz w:val="24"/>
                <w:szCs w:val="24"/>
              </w:rPr>
              <w:t>20</w:t>
            </w:r>
          </w:p>
        </w:tc>
        <w:tc>
          <w:tcPr>
            <w:tcW w:w="1323" w:type="dxa"/>
            <w:tcBorders>
              <w:top w:val="nil"/>
              <w:left w:val="nil"/>
              <w:bottom w:val="single" w:sz="4" w:space="0" w:color="auto"/>
            </w:tcBorders>
          </w:tcPr>
          <w:p w14:paraId="3478BE13"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sz w:val="24"/>
                <w:szCs w:val="24"/>
              </w:rPr>
            </w:pPr>
            <w:r w:rsidRPr="008550D5">
              <w:rPr>
                <w:rFonts w:asciiTheme="majorBidi" w:hAnsiTheme="majorBidi" w:cstheme="majorBidi"/>
                <w:sz w:val="24"/>
                <w:szCs w:val="24"/>
              </w:rPr>
              <w:t>50.0</w:t>
            </w:r>
          </w:p>
        </w:tc>
      </w:tr>
      <w:tr w:rsidR="008550D5" w:rsidRPr="008550D5" w14:paraId="7B02F799" w14:textId="77777777" w:rsidTr="004F5945">
        <w:trPr>
          <w:jc w:val="center"/>
        </w:trPr>
        <w:tc>
          <w:tcPr>
            <w:tcW w:w="1509" w:type="dxa"/>
            <w:tcBorders>
              <w:top w:val="single" w:sz="4" w:space="0" w:color="auto"/>
              <w:bottom w:val="single" w:sz="4" w:space="0" w:color="auto"/>
              <w:right w:val="nil"/>
            </w:tcBorders>
            <w:vAlign w:val="center"/>
          </w:tcPr>
          <w:p w14:paraId="5A25ABB5"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000000"/>
                <w:sz w:val="24"/>
                <w:szCs w:val="24"/>
              </w:rPr>
            </w:pPr>
            <w:r w:rsidRPr="008550D5">
              <w:rPr>
                <w:rFonts w:asciiTheme="majorBidi" w:hAnsiTheme="majorBidi" w:cstheme="majorBidi"/>
                <w:color w:val="000000"/>
                <w:sz w:val="24"/>
                <w:szCs w:val="24"/>
              </w:rPr>
              <w:t>Total</w:t>
            </w:r>
          </w:p>
        </w:tc>
        <w:tc>
          <w:tcPr>
            <w:tcW w:w="1243" w:type="dxa"/>
            <w:tcBorders>
              <w:top w:val="single" w:sz="4" w:space="0" w:color="auto"/>
              <w:left w:val="nil"/>
              <w:bottom w:val="single" w:sz="4" w:space="0" w:color="auto"/>
              <w:right w:val="nil"/>
            </w:tcBorders>
          </w:tcPr>
          <w:p w14:paraId="72392212"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sz w:val="24"/>
                <w:szCs w:val="24"/>
              </w:rPr>
            </w:pPr>
            <w:r w:rsidRPr="008550D5">
              <w:rPr>
                <w:rFonts w:asciiTheme="majorBidi" w:hAnsiTheme="majorBidi" w:cstheme="majorBidi"/>
                <w:sz w:val="24"/>
                <w:szCs w:val="24"/>
              </w:rPr>
              <w:t>40</w:t>
            </w:r>
          </w:p>
        </w:tc>
        <w:tc>
          <w:tcPr>
            <w:tcW w:w="1323" w:type="dxa"/>
            <w:tcBorders>
              <w:top w:val="single" w:sz="4" w:space="0" w:color="auto"/>
              <w:left w:val="nil"/>
              <w:bottom w:val="single" w:sz="4" w:space="0" w:color="auto"/>
            </w:tcBorders>
          </w:tcPr>
          <w:p w14:paraId="14DCF07F"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sz w:val="24"/>
                <w:szCs w:val="24"/>
              </w:rPr>
            </w:pPr>
            <w:r w:rsidRPr="008550D5">
              <w:rPr>
                <w:rFonts w:asciiTheme="majorBidi" w:hAnsiTheme="majorBidi" w:cstheme="majorBidi"/>
                <w:sz w:val="24"/>
                <w:szCs w:val="24"/>
              </w:rPr>
              <w:t>100.0</w:t>
            </w:r>
          </w:p>
        </w:tc>
      </w:tr>
    </w:tbl>
    <w:p w14:paraId="3BE1A304" w14:textId="77777777" w:rsidR="008550D5" w:rsidRPr="008550D5" w:rsidRDefault="008550D5" w:rsidP="004F5945">
      <w:pPr>
        <w:pStyle w:val="ListParagraph"/>
        <w:ind w:left="0" w:firstLine="142"/>
        <w:jc w:val="center"/>
        <w:rPr>
          <w:rFonts w:asciiTheme="majorBidi" w:hAnsiTheme="majorBidi" w:cstheme="majorBidi"/>
          <w:szCs w:val="24"/>
        </w:rPr>
      </w:pPr>
      <w:r w:rsidRPr="008550D5">
        <w:rPr>
          <w:rFonts w:asciiTheme="majorBidi" w:hAnsiTheme="majorBidi" w:cstheme="majorBidi"/>
          <w:szCs w:val="24"/>
        </w:rPr>
        <w:t>Source: Primary data processed by researchers, 2021</w:t>
      </w:r>
    </w:p>
    <w:p w14:paraId="236D5DDA" w14:textId="77777777" w:rsidR="008550D5" w:rsidRPr="008550D5" w:rsidRDefault="008550D5" w:rsidP="004F5945">
      <w:pPr>
        <w:pStyle w:val="ListParagraph"/>
        <w:ind w:left="567" w:firstLine="709"/>
        <w:rPr>
          <w:rFonts w:asciiTheme="majorBidi" w:hAnsiTheme="majorBidi" w:cstheme="majorBidi"/>
          <w:szCs w:val="24"/>
        </w:rPr>
      </w:pPr>
      <w:r w:rsidRPr="008550D5">
        <w:rPr>
          <w:rFonts w:asciiTheme="majorBidi" w:hAnsiTheme="majorBidi" w:cstheme="majorBidi"/>
          <w:szCs w:val="24"/>
        </w:rPr>
        <w:t xml:space="preserve">Based on table 4.1, it can be seen that the characteristics of respondents based on the group of respondents using analgesics are the group using the anti-pain intravenous infusion of Paracetamol 1000mg, namely 20 respondents (50%) and the group using the anti-pain intravenous injection </w:t>
      </w:r>
      <w:proofErr w:type="spellStart"/>
      <w:r w:rsidRPr="008550D5">
        <w:rPr>
          <w:rFonts w:asciiTheme="majorBidi" w:hAnsiTheme="majorBidi" w:cstheme="majorBidi"/>
          <w:szCs w:val="24"/>
        </w:rPr>
        <w:t>Ketolorak</w:t>
      </w:r>
      <w:proofErr w:type="spellEnd"/>
      <w:r w:rsidRPr="008550D5">
        <w:rPr>
          <w:rFonts w:asciiTheme="majorBidi" w:hAnsiTheme="majorBidi" w:cstheme="majorBidi"/>
          <w:szCs w:val="24"/>
        </w:rPr>
        <w:t xml:space="preserve"> 30mg, namely 20 respondents (50%). The total number of respondents was 40 respondents (100%).</w:t>
      </w:r>
    </w:p>
    <w:p w14:paraId="0D566208" w14:textId="77777777" w:rsidR="008550D5" w:rsidRPr="008550D5" w:rsidRDefault="008550D5" w:rsidP="004F5945">
      <w:pPr>
        <w:pStyle w:val="ListParagraph"/>
        <w:numPr>
          <w:ilvl w:val="0"/>
          <w:numId w:val="45"/>
        </w:numPr>
        <w:ind w:left="567" w:hanging="283"/>
        <w:rPr>
          <w:rFonts w:asciiTheme="majorBidi" w:hAnsiTheme="majorBidi" w:cstheme="majorBidi"/>
          <w:b/>
          <w:szCs w:val="24"/>
        </w:rPr>
      </w:pPr>
      <w:r w:rsidRPr="008550D5">
        <w:rPr>
          <w:rFonts w:asciiTheme="majorBidi" w:hAnsiTheme="majorBidi" w:cstheme="majorBidi"/>
          <w:b/>
          <w:szCs w:val="24"/>
        </w:rPr>
        <w:t>Level of Satisfaction</w:t>
      </w:r>
    </w:p>
    <w:p w14:paraId="45FB8DCB" w14:textId="77777777" w:rsidR="008550D5" w:rsidRPr="008550D5" w:rsidRDefault="008550D5" w:rsidP="004F5945">
      <w:pPr>
        <w:pStyle w:val="ListParagraph"/>
        <w:ind w:left="567" w:firstLine="709"/>
        <w:rPr>
          <w:rFonts w:asciiTheme="majorBidi" w:hAnsiTheme="majorBidi" w:cstheme="majorBidi"/>
          <w:szCs w:val="24"/>
        </w:rPr>
      </w:pPr>
      <w:r w:rsidRPr="008550D5">
        <w:rPr>
          <w:rFonts w:asciiTheme="majorBidi" w:hAnsiTheme="majorBidi" w:cstheme="majorBidi"/>
          <w:szCs w:val="24"/>
        </w:rPr>
        <w:t>Based on the research results, the characteristics of respondents can be described based on the level of satisfaction, namely as follows:</w:t>
      </w:r>
    </w:p>
    <w:p w14:paraId="446EBE3F" w14:textId="523168F1" w:rsidR="008550D5" w:rsidRPr="008550D5" w:rsidRDefault="008550D5" w:rsidP="004F5945">
      <w:pPr>
        <w:pStyle w:val="ListParagraph"/>
        <w:ind w:left="426" w:hanging="142"/>
        <w:jc w:val="center"/>
        <w:rPr>
          <w:rFonts w:asciiTheme="majorBidi" w:hAnsiTheme="majorBidi" w:cstheme="majorBidi"/>
          <w:b/>
          <w:szCs w:val="24"/>
        </w:rPr>
      </w:pPr>
      <w:r w:rsidRPr="008550D5">
        <w:rPr>
          <w:rFonts w:asciiTheme="majorBidi" w:hAnsiTheme="majorBidi" w:cstheme="majorBidi"/>
          <w:b/>
          <w:szCs w:val="24"/>
        </w:rPr>
        <w:t>Table 2</w:t>
      </w:r>
      <w:r w:rsidR="004F5945">
        <w:rPr>
          <w:rFonts w:asciiTheme="majorBidi" w:hAnsiTheme="majorBidi" w:cstheme="majorBidi"/>
          <w:b/>
          <w:szCs w:val="24"/>
        </w:rPr>
        <w:t>.</w:t>
      </w:r>
      <w:r w:rsidRPr="008550D5">
        <w:rPr>
          <w:rFonts w:asciiTheme="majorBidi" w:hAnsiTheme="majorBidi" w:cstheme="majorBidi"/>
          <w:b/>
          <w:szCs w:val="24"/>
        </w:rPr>
        <w:t xml:space="preserve"> Level of Satisfaction</w:t>
      </w:r>
    </w:p>
    <w:tbl>
      <w:tblPr>
        <w:tblStyle w:val="TableGrid"/>
        <w:tblW w:w="0" w:type="auto"/>
        <w:jc w:val="center"/>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1410"/>
        <w:gridCol w:w="1310"/>
        <w:gridCol w:w="1349"/>
      </w:tblGrid>
      <w:tr w:rsidR="008550D5" w:rsidRPr="008550D5" w14:paraId="341E8D78" w14:textId="77777777" w:rsidTr="008550D5">
        <w:trPr>
          <w:jc w:val="center"/>
        </w:trPr>
        <w:tc>
          <w:tcPr>
            <w:tcW w:w="0" w:type="auto"/>
            <w:tcBorders>
              <w:bottom w:val="single" w:sz="4" w:space="0" w:color="auto"/>
              <w:right w:val="nil"/>
            </w:tcBorders>
          </w:tcPr>
          <w:p w14:paraId="678561CF" w14:textId="77777777" w:rsidR="008550D5" w:rsidRPr="008550D5" w:rsidRDefault="008550D5" w:rsidP="004F5945">
            <w:pPr>
              <w:spacing w:after="0" w:line="360" w:lineRule="auto"/>
              <w:jc w:val="center"/>
              <w:rPr>
                <w:rFonts w:asciiTheme="majorBidi" w:hAnsiTheme="majorBidi" w:cstheme="majorBidi"/>
                <w:b/>
                <w:sz w:val="24"/>
                <w:szCs w:val="24"/>
              </w:rPr>
            </w:pPr>
            <w:r w:rsidRPr="008550D5">
              <w:rPr>
                <w:rFonts w:asciiTheme="majorBidi" w:hAnsiTheme="majorBidi" w:cstheme="majorBidi"/>
                <w:b/>
                <w:sz w:val="24"/>
                <w:szCs w:val="24"/>
              </w:rPr>
              <w:t>Category</w:t>
            </w:r>
          </w:p>
        </w:tc>
        <w:tc>
          <w:tcPr>
            <w:tcW w:w="0" w:type="auto"/>
            <w:tcBorders>
              <w:left w:val="nil"/>
              <w:bottom w:val="single" w:sz="4" w:space="0" w:color="auto"/>
              <w:right w:val="nil"/>
            </w:tcBorders>
          </w:tcPr>
          <w:p w14:paraId="030623C3" w14:textId="77777777" w:rsidR="008550D5" w:rsidRPr="008550D5" w:rsidRDefault="008550D5" w:rsidP="004F5945">
            <w:pPr>
              <w:spacing w:after="0" w:line="360" w:lineRule="auto"/>
              <w:jc w:val="center"/>
              <w:rPr>
                <w:rFonts w:asciiTheme="majorBidi" w:hAnsiTheme="majorBidi" w:cstheme="majorBidi"/>
                <w:b/>
                <w:sz w:val="24"/>
                <w:szCs w:val="24"/>
              </w:rPr>
            </w:pPr>
            <w:r w:rsidRPr="008550D5">
              <w:rPr>
                <w:rFonts w:asciiTheme="majorBidi" w:hAnsiTheme="majorBidi" w:cstheme="majorBidi"/>
                <w:b/>
                <w:sz w:val="24"/>
                <w:szCs w:val="24"/>
              </w:rPr>
              <w:t>Frequency</w:t>
            </w:r>
          </w:p>
        </w:tc>
        <w:tc>
          <w:tcPr>
            <w:tcW w:w="0" w:type="auto"/>
            <w:tcBorders>
              <w:left w:val="nil"/>
              <w:bottom w:val="single" w:sz="4" w:space="0" w:color="auto"/>
            </w:tcBorders>
          </w:tcPr>
          <w:p w14:paraId="1D968FFD" w14:textId="77777777" w:rsidR="008550D5" w:rsidRPr="008550D5" w:rsidRDefault="008550D5" w:rsidP="004F5945">
            <w:pPr>
              <w:spacing w:after="0" w:line="360" w:lineRule="auto"/>
              <w:jc w:val="center"/>
              <w:rPr>
                <w:rFonts w:asciiTheme="majorBidi" w:hAnsiTheme="majorBidi" w:cstheme="majorBidi"/>
                <w:b/>
                <w:sz w:val="24"/>
                <w:szCs w:val="24"/>
              </w:rPr>
            </w:pPr>
            <w:r w:rsidRPr="008550D5">
              <w:rPr>
                <w:rFonts w:asciiTheme="majorBidi" w:hAnsiTheme="majorBidi" w:cstheme="majorBidi"/>
                <w:b/>
                <w:sz w:val="24"/>
                <w:szCs w:val="24"/>
              </w:rPr>
              <w:t>Percentage</w:t>
            </w:r>
          </w:p>
        </w:tc>
      </w:tr>
      <w:tr w:rsidR="008550D5" w:rsidRPr="008550D5" w14:paraId="71436361" w14:textId="77777777" w:rsidTr="008550D5">
        <w:trPr>
          <w:jc w:val="center"/>
        </w:trPr>
        <w:tc>
          <w:tcPr>
            <w:tcW w:w="0" w:type="auto"/>
            <w:tcBorders>
              <w:bottom w:val="nil"/>
              <w:right w:val="nil"/>
            </w:tcBorders>
            <w:vAlign w:val="center"/>
          </w:tcPr>
          <w:p w14:paraId="1325F3B0" w14:textId="77777777" w:rsidR="008550D5" w:rsidRPr="008550D5" w:rsidRDefault="008550D5" w:rsidP="004F5945">
            <w:pPr>
              <w:tabs>
                <w:tab w:val="left" w:pos="912"/>
              </w:tabs>
              <w:autoSpaceDE w:val="0"/>
              <w:autoSpaceDN w:val="0"/>
              <w:adjustRightInd w:val="0"/>
              <w:spacing w:after="0" w:line="360" w:lineRule="auto"/>
              <w:ind w:left="60" w:right="-106"/>
              <w:jc w:val="center"/>
              <w:rPr>
                <w:rFonts w:asciiTheme="majorBidi" w:hAnsiTheme="majorBidi" w:cstheme="majorBidi"/>
                <w:color w:val="000000"/>
                <w:sz w:val="24"/>
                <w:szCs w:val="24"/>
              </w:rPr>
            </w:pPr>
            <w:r w:rsidRPr="008550D5">
              <w:rPr>
                <w:rFonts w:asciiTheme="majorBidi" w:hAnsiTheme="majorBidi" w:cstheme="majorBidi"/>
                <w:color w:val="000000"/>
                <w:sz w:val="24"/>
                <w:szCs w:val="24"/>
              </w:rPr>
              <w:lastRenderedPageBreak/>
              <w:t>Dissatisfied</w:t>
            </w:r>
          </w:p>
        </w:tc>
        <w:tc>
          <w:tcPr>
            <w:tcW w:w="0" w:type="auto"/>
            <w:tcBorders>
              <w:left w:val="nil"/>
              <w:bottom w:val="nil"/>
              <w:right w:val="nil"/>
            </w:tcBorders>
          </w:tcPr>
          <w:p w14:paraId="3202582B"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FF0000"/>
                <w:sz w:val="24"/>
                <w:szCs w:val="24"/>
              </w:rPr>
            </w:pPr>
            <w:r w:rsidRPr="008550D5">
              <w:rPr>
                <w:rFonts w:asciiTheme="majorBidi" w:hAnsiTheme="majorBidi" w:cstheme="majorBidi"/>
                <w:color w:val="000000"/>
                <w:sz w:val="24"/>
                <w:szCs w:val="24"/>
              </w:rPr>
              <w:t>12</w:t>
            </w:r>
          </w:p>
        </w:tc>
        <w:tc>
          <w:tcPr>
            <w:tcW w:w="0" w:type="auto"/>
            <w:tcBorders>
              <w:left w:val="nil"/>
              <w:bottom w:val="nil"/>
            </w:tcBorders>
          </w:tcPr>
          <w:p w14:paraId="1EFD2A10"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FF0000"/>
                <w:sz w:val="24"/>
                <w:szCs w:val="24"/>
              </w:rPr>
            </w:pPr>
            <w:r w:rsidRPr="008550D5">
              <w:rPr>
                <w:rFonts w:asciiTheme="majorBidi" w:hAnsiTheme="majorBidi" w:cstheme="majorBidi"/>
                <w:color w:val="000000"/>
                <w:sz w:val="24"/>
                <w:szCs w:val="24"/>
              </w:rPr>
              <w:t>30.0</w:t>
            </w:r>
          </w:p>
        </w:tc>
      </w:tr>
      <w:tr w:rsidR="008550D5" w:rsidRPr="008550D5" w14:paraId="58B44BBE" w14:textId="77777777" w:rsidTr="008550D5">
        <w:trPr>
          <w:jc w:val="center"/>
        </w:trPr>
        <w:tc>
          <w:tcPr>
            <w:tcW w:w="0" w:type="auto"/>
            <w:tcBorders>
              <w:top w:val="nil"/>
              <w:bottom w:val="single" w:sz="4" w:space="0" w:color="auto"/>
              <w:right w:val="nil"/>
            </w:tcBorders>
            <w:vAlign w:val="center"/>
          </w:tcPr>
          <w:p w14:paraId="41486996"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000000"/>
                <w:sz w:val="24"/>
                <w:szCs w:val="24"/>
              </w:rPr>
            </w:pPr>
            <w:r w:rsidRPr="008550D5">
              <w:rPr>
                <w:rFonts w:asciiTheme="majorBidi" w:hAnsiTheme="majorBidi" w:cstheme="majorBidi"/>
                <w:color w:val="000000"/>
                <w:sz w:val="24"/>
                <w:szCs w:val="24"/>
              </w:rPr>
              <w:t>Satisfied</w:t>
            </w:r>
          </w:p>
        </w:tc>
        <w:tc>
          <w:tcPr>
            <w:tcW w:w="0" w:type="auto"/>
            <w:tcBorders>
              <w:top w:val="nil"/>
              <w:left w:val="nil"/>
              <w:bottom w:val="single" w:sz="4" w:space="0" w:color="auto"/>
              <w:right w:val="nil"/>
            </w:tcBorders>
          </w:tcPr>
          <w:p w14:paraId="12078852"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FF0000"/>
                <w:sz w:val="24"/>
                <w:szCs w:val="24"/>
              </w:rPr>
            </w:pPr>
            <w:r w:rsidRPr="008550D5">
              <w:rPr>
                <w:rFonts w:asciiTheme="majorBidi" w:hAnsiTheme="majorBidi" w:cstheme="majorBidi"/>
                <w:color w:val="000000"/>
                <w:sz w:val="24"/>
                <w:szCs w:val="24"/>
              </w:rPr>
              <w:t>28</w:t>
            </w:r>
          </w:p>
        </w:tc>
        <w:tc>
          <w:tcPr>
            <w:tcW w:w="0" w:type="auto"/>
            <w:tcBorders>
              <w:top w:val="nil"/>
              <w:left w:val="nil"/>
              <w:bottom w:val="single" w:sz="4" w:space="0" w:color="auto"/>
            </w:tcBorders>
          </w:tcPr>
          <w:p w14:paraId="460569AF"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FF0000"/>
                <w:sz w:val="24"/>
                <w:szCs w:val="24"/>
              </w:rPr>
            </w:pPr>
            <w:r w:rsidRPr="008550D5">
              <w:rPr>
                <w:rFonts w:asciiTheme="majorBidi" w:hAnsiTheme="majorBidi" w:cstheme="majorBidi"/>
                <w:color w:val="000000"/>
                <w:sz w:val="24"/>
                <w:szCs w:val="24"/>
              </w:rPr>
              <w:t>70.0</w:t>
            </w:r>
          </w:p>
        </w:tc>
      </w:tr>
      <w:tr w:rsidR="008550D5" w:rsidRPr="008550D5" w14:paraId="6E82106F" w14:textId="77777777" w:rsidTr="008550D5">
        <w:trPr>
          <w:jc w:val="center"/>
        </w:trPr>
        <w:tc>
          <w:tcPr>
            <w:tcW w:w="0" w:type="auto"/>
            <w:tcBorders>
              <w:top w:val="single" w:sz="4" w:space="0" w:color="auto"/>
              <w:right w:val="nil"/>
            </w:tcBorders>
            <w:vAlign w:val="center"/>
          </w:tcPr>
          <w:p w14:paraId="17CAAAD1"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000000"/>
                <w:sz w:val="24"/>
                <w:szCs w:val="24"/>
              </w:rPr>
            </w:pPr>
            <w:r w:rsidRPr="008550D5">
              <w:rPr>
                <w:rFonts w:asciiTheme="majorBidi" w:hAnsiTheme="majorBidi" w:cstheme="majorBidi"/>
                <w:color w:val="000000"/>
                <w:sz w:val="24"/>
                <w:szCs w:val="24"/>
              </w:rPr>
              <w:t>Total</w:t>
            </w:r>
          </w:p>
        </w:tc>
        <w:tc>
          <w:tcPr>
            <w:tcW w:w="0" w:type="auto"/>
            <w:tcBorders>
              <w:top w:val="single" w:sz="4" w:space="0" w:color="auto"/>
              <w:left w:val="nil"/>
              <w:right w:val="nil"/>
            </w:tcBorders>
          </w:tcPr>
          <w:p w14:paraId="5507D1E4"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000000"/>
                <w:sz w:val="24"/>
                <w:szCs w:val="24"/>
              </w:rPr>
            </w:pPr>
            <w:r w:rsidRPr="008550D5">
              <w:rPr>
                <w:rFonts w:asciiTheme="majorBidi" w:hAnsiTheme="majorBidi" w:cstheme="majorBidi"/>
                <w:color w:val="000000"/>
                <w:sz w:val="24"/>
                <w:szCs w:val="24"/>
              </w:rPr>
              <w:t>40</w:t>
            </w:r>
          </w:p>
        </w:tc>
        <w:tc>
          <w:tcPr>
            <w:tcW w:w="0" w:type="auto"/>
            <w:tcBorders>
              <w:top w:val="single" w:sz="4" w:space="0" w:color="auto"/>
              <w:left w:val="nil"/>
            </w:tcBorders>
          </w:tcPr>
          <w:p w14:paraId="280BF9FC"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color w:val="000000"/>
                <w:sz w:val="24"/>
                <w:szCs w:val="24"/>
              </w:rPr>
            </w:pPr>
            <w:r w:rsidRPr="008550D5">
              <w:rPr>
                <w:rFonts w:asciiTheme="majorBidi" w:hAnsiTheme="majorBidi" w:cstheme="majorBidi"/>
                <w:color w:val="000000"/>
                <w:sz w:val="24"/>
                <w:szCs w:val="24"/>
              </w:rPr>
              <w:t>100.0</w:t>
            </w:r>
          </w:p>
        </w:tc>
      </w:tr>
    </w:tbl>
    <w:p w14:paraId="0EBD7501" w14:textId="77777777" w:rsidR="008550D5" w:rsidRPr="008550D5" w:rsidRDefault="008550D5" w:rsidP="004F5945">
      <w:pPr>
        <w:pStyle w:val="ListParagraph"/>
        <w:ind w:left="-426" w:firstLine="284"/>
        <w:jc w:val="center"/>
        <w:rPr>
          <w:rFonts w:asciiTheme="majorBidi" w:hAnsiTheme="majorBidi" w:cstheme="majorBidi"/>
          <w:szCs w:val="24"/>
        </w:rPr>
      </w:pPr>
      <w:r w:rsidRPr="008550D5">
        <w:rPr>
          <w:rFonts w:asciiTheme="majorBidi" w:hAnsiTheme="majorBidi" w:cstheme="majorBidi"/>
          <w:szCs w:val="24"/>
        </w:rPr>
        <w:t>Source: Primary data processed by researchers, 2021</w:t>
      </w:r>
    </w:p>
    <w:p w14:paraId="12EDCA44" w14:textId="77777777" w:rsidR="008550D5" w:rsidRPr="008550D5" w:rsidRDefault="008550D5" w:rsidP="004F5945">
      <w:pPr>
        <w:pStyle w:val="ListParagraph"/>
        <w:ind w:left="567" w:firstLine="709"/>
        <w:rPr>
          <w:rFonts w:asciiTheme="majorBidi" w:hAnsiTheme="majorBidi" w:cstheme="majorBidi"/>
          <w:szCs w:val="24"/>
        </w:rPr>
      </w:pPr>
      <w:r w:rsidRPr="008550D5">
        <w:rPr>
          <w:rFonts w:asciiTheme="majorBidi" w:hAnsiTheme="majorBidi" w:cstheme="majorBidi"/>
          <w:szCs w:val="24"/>
        </w:rPr>
        <w:t>Based on table 4.2, it can be seen that the characteristics of respondents based on the level of respondent satisfaction are 28 respondents (70%) feel satisfied and 12 other respondents (30%) feel dissatisfied.</w:t>
      </w:r>
      <w:r w:rsidRPr="008550D5">
        <w:rPr>
          <w:rFonts w:asciiTheme="majorBidi" w:hAnsiTheme="majorBidi" w:cstheme="majorBidi"/>
          <w:noProof/>
          <w:color w:val="000000"/>
          <w:szCs w:val="24"/>
        </w:rPr>
        <w:t xml:space="preserve"> </w:t>
      </w:r>
    </w:p>
    <w:p w14:paraId="792EE316" w14:textId="77777777" w:rsidR="008550D5" w:rsidRPr="008550D5" w:rsidRDefault="008550D5" w:rsidP="004F5945">
      <w:pPr>
        <w:spacing w:after="0" w:line="360" w:lineRule="auto"/>
        <w:jc w:val="both"/>
        <w:rPr>
          <w:rFonts w:asciiTheme="majorBidi" w:hAnsiTheme="majorBidi" w:cstheme="majorBidi"/>
          <w:b/>
          <w:bCs/>
          <w:noProof/>
          <w:color w:val="000000"/>
          <w:sz w:val="24"/>
          <w:szCs w:val="24"/>
          <w:lang w:val="en-US"/>
        </w:rPr>
      </w:pPr>
      <w:r w:rsidRPr="008550D5">
        <w:rPr>
          <w:rFonts w:asciiTheme="majorBidi" w:hAnsiTheme="majorBidi" w:cstheme="majorBidi"/>
          <w:b/>
          <w:bCs/>
          <w:noProof/>
          <w:color w:val="000000"/>
          <w:sz w:val="24"/>
          <w:szCs w:val="24"/>
          <w:lang w:val="en-US"/>
        </w:rPr>
        <w:t>C. Bivariate Analysis</w:t>
      </w:r>
    </w:p>
    <w:p w14:paraId="7B30AC99" w14:textId="377AAD2B" w:rsidR="008550D5" w:rsidRPr="008550D5" w:rsidRDefault="008550D5" w:rsidP="004F5945">
      <w:pPr>
        <w:spacing w:after="0" w:line="360" w:lineRule="auto"/>
        <w:ind w:left="284" w:right="-72" w:firstLine="709"/>
        <w:jc w:val="both"/>
        <w:rPr>
          <w:rFonts w:asciiTheme="majorBidi" w:hAnsiTheme="majorBidi" w:cstheme="majorBidi"/>
          <w:sz w:val="24"/>
          <w:szCs w:val="24"/>
        </w:rPr>
      </w:pPr>
      <w:r w:rsidRPr="008550D5">
        <w:rPr>
          <w:rFonts w:asciiTheme="majorBidi" w:hAnsiTheme="majorBidi" w:cstheme="majorBidi"/>
          <w:bCs/>
          <w:sz w:val="24"/>
          <w:szCs w:val="24"/>
          <w:lang w:val="en-US"/>
        </w:rPr>
        <w:t xml:space="preserve">Bivariate analysis at this stage examined "Comparison of Levels of Satisfaction with the Use of the Analgesic Ketorolac 30mg and Paracetamol 1000mg in Mild to Moderate Postoperative Patients at PKU Muhammadiyah </w:t>
      </w:r>
      <w:proofErr w:type="spellStart"/>
      <w:r w:rsidRPr="008550D5">
        <w:rPr>
          <w:rFonts w:asciiTheme="majorBidi" w:hAnsiTheme="majorBidi" w:cstheme="majorBidi"/>
          <w:bCs/>
          <w:sz w:val="24"/>
          <w:szCs w:val="24"/>
          <w:lang w:val="en-US"/>
        </w:rPr>
        <w:t>Gamping</w:t>
      </w:r>
      <w:proofErr w:type="spellEnd"/>
      <w:r w:rsidRPr="008550D5">
        <w:rPr>
          <w:rFonts w:asciiTheme="majorBidi" w:hAnsiTheme="majorBidi" w:cstheme="majorBidi"/>
          <w:bCs/>
          <w:sz w:val="24"/>
          <w:szCs w:val="24"/>
          <w:lang w:val="en-US"/>
        </w:rPr>
        <w:t xml:space="preserve"> Hospital" using the Chi-Square test, it can be seen as </w:t>
      </w:r>
      <w:proofErr w:type="gramStart"/>
      <w:r w:rsidRPr="008550D5">
        <w:rPr>
          <w:rFonts w:asciiTheme="majorBidi" w:hAnsiTheme="majorBidi" w:cstheme="majorBidi"/>
          <w:bCs/>
          <w:sz w:val="24"/>
          <w:szCs w:val="24"/>
          <w:lang w:val="en-US"/>
        </w:rPr>
        <w:t>follows</w:t>
      </w:r>
      <w:r w:rsidRPr="008550D5">
        <w:rPr>
          <w:rFonts w:asciiTheme="majorBidi" w:hAnsiTheme="majorBidi" w:cstheme="majorBidi"/>
          <w:sz w:val="24"/>
          <w:szCs w:val="24"/>
          <w:lang w:val="en-US"/>
        </w:rPr>
        <w:t xml:space="preserve"> </w:t>
      </w:r>
      <w:r w:rsidRPr="008550D5">
        <w:rPr>
          <w:rFonts w:asciiTheme="majorBidi" w:hAnsiTheme="majorBidi" w:cstheme="majorBidi"/>
          <w:sz w:val="24"/>
          <w:szCs w:val="24"/>
        </w:rPr>
        <w:t>:</w:t>
      </w:r>
      <w:proofErr w:type="gramEnd"/>
    </w:p>
    <w:p w14:paraId="155A65D1" w14:textId="5FA35BF2" w:rsidR="008550D5" w:rsidRPr="008550D5" w:rsidRDefault="008550D5" w:rsidP="004F5945">
      <w:pPr>
        <w:spacing w:after="0" w:line="360" w:lineRule="auto"/>
        <w:ind w:left="284"/>
        <w:jc w:val="center"/>
        <w:rPr>
          <w:rFonts w:asciiTheme="majorBidi" w:eastAsia="Times New Roman" w:hAnsiTheme="majorBidi" w:cstheme="majorBidi"/>
          <w:b/>
          <w:sz w:val="24"/>
          <w:szCs w:val="24"/>
          <w:lang w:val="en-US"/>
        </w:rPr>
      </w:pPr>
      <w:r w:rsidRPr="008550D5">
        <w:rPr>
          <w:rFonts w:asciiTheme="majorBidi" w:hAnsiTheme="majorBidi" w:cstheme="majorBidi"/>
          <w:b/>
          <w:sz w:val="24"/>
          <w:szCs w:val="24"/>
        </w:rPr>
        <w:t>Tabl</w:t>
      </w:r>
      <w:r w:rsidRPr="008550D5">
        <w:rPr>
          <w:rFonts w:asciiTheme="majorBidi" w:hAnsiTheme="majorBidi" w:cstheme="majorBidi"/>
          <w:b/>
          <w:sz w:val="24"/>
          <w:szCs w:val="24"/>
          <w:lang w:val="en-ID"/>
        </w:rPr>
        <w:t>e</w:t>
      </w:r>
      <w:r w:rsidRPr="008550D5">
        <w:rPr>
          <w:rFonts w:asciiTheme="majorBidi" w:hAnsiTheme="majorBidi" w:cstheme="majorBidi"/>
          <w:b/>
          <w:sz w:val="24"/>
          <w:szCs w:val="24"/>
          <w:lang w:val="en-US"/>
        </w:rPr>
        <w:t xml:space="preserve"> 3</w:t>
      </w:r>
      <w:r w:rsidR="004F5945">
        <w:rPr>
          <w:rFonts w:asciiTheme="majorBidi" w:hAnsiTheme="majorBidi" w:cstheme="majorBidi"/>
          <w:b/>
          <w:sz w:val="24"/>
          <w:szCs w:val="24"/>
          <w:lang w:val="en-US"/>
        </w:rPr>
        <w:t>.</w:t>
      </w:r>
      <w:r w:rsidRPr="008550D5">
        <w:rPr>
          <w:rFonts w:asciiTheme="majorBidi" w:hAnsiTheme="majorBidi" w:cstheme="majorBidi"/>
          <w:b/>
          <w:sz w:val="24"/>
          <w:szCs w:val="24"/>
        </w:rPr>
        <w:t xml:space="preserve"> </w:t>
      </w:r>
      <w:r w:rsidRPr="008550D5">
        <w:rPr>
          <w:rFonts w:asciiTheme="majorBidi" w:hAnsiTheme="majorBidi" w:cstheme="majorBidi"/>
          <w:b/>
          <w:color w:val="000000" w:themeColor="text1"/>
          <w:sz w:val="24"/>
          <w:szCs w:val="24"/>
          <w:lang w:val="en-US"/>
        </w:rPr>
        <w:t>Bivariate Analysis</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29"/>
        <w:gridCol w:w="735"/>
        <w:gridCol w:w="735"/>
        <w:gridCol w:w="588"/>
        <w:gridCol w:w="588"/>
        <w:gridCol w:w="456"/>
        <w:gridCol w:w="576"/>
        <w:gridCol w:w="756"/>
      </w:tblGrid>
      <w:tr w:rsidR="008550D5" w:rsidRPr="008550D5" w14:paraId="077354C9" w14:textId="77777777" w:rsidTr="008550D5">
        <w:trPr>
          <w:trHeight w:val="285"/>
          <w:jc w:val="center"/>
        </w:trPr>
        <w:tc>
          <w:tcPr>
            <w:tcW w:w="0" w:type="auto"/>
            <w:vMerge w:val="restart"/>
            <w:tcBorders>
              <w:top w:val="single" w:sz="4" w:space="0" w:color="auto"/>
              <w:bottom w:val="nil"/>
            </w:tcBorders>
            <w:vAlign w:val="center"/>
          </w:tcPr>
          <w:p w14:paraId="4800BCB2" w14:textId="77777777" w:rsidR="008550D5" w:rsidRPr="008550D5" w:rsidRDefault="008550D5" w:rsidP="004F5945">
            <w:pPr>
              <w:pStyle w:val="ListParagraph"/>
              <w:ind w:left="-15" w:firstLine="15"/>
              <w:jc w:val="center"/>
              <w:rPr>
                <w:rFonts w:asciiTheme="majorBidi" w:hAnsiTheme="majorBidi" w:cstheme="majorBidi"/>
                <w:b/>
                <w:szCs w:val="24"/>
              </w:rPr>
            </w:pPr>
            <w:r w:rsidRPr="008550D5">
              <w:rPr>
                <w:rFonts w:asciiTheme="majorBidi" w:hAnsiTheme="majorBidi" w:cstheme="majorBidi"/>
                <w:b/>
                <w:color w:val="000000" w:themeColor="text1"/>
                <w:szCs w:val="24"/>
              </w:rPr>
              <w:t>Category</w:t>
            </w:r>
          </w:p>
        </w:tc>
        <w:tc>
          <w:tcPr>
            <w:tcW w:w="0" w:type="auto"/>
            <w:gridSpan w:val="6"/>
            <w:tcBorders>
              <w:top w:val="single" w:sz="4" w:space="0" w:color="auto"/>
              <w:bottom w:val="single" w:sz="4" w:space="0" w:color="auto"/>
            </w:tcBorders>
          </w:tcPr>
          <w:p w14:paraId="5F53D43A"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color w:val="000000" w:themeColor="text1"/>
                <w:szCs w:val="24"/>
              </w:rPr>
              <w:t>Satisfaction</w:t>
            </w:r>
          </w:p>
        </w:tc>
        <w:tc>
          <w:tcPr>
            <w:tcW w:w="0" w:type="auto"/>
            <w:vMerge w:val="restart"/>
            <w:tcBorders>
              <w:top w:val="single" w:sz="4" w:space="0" w:color="auto"/>
              <w:bottom w:val="nil"/>
            </w:tcBorders>
            <w:vAlign w:val="center"/>
          </w:tcPr>
          <w:p w14:paraId="2E018D90" w14:textId="77777777" w:rsidR="008550D5" w:rsidRPr="008550D5" w:rsidRDefault="008550D5" w:rsidP="004F5945">
            <w:pPr>
              <w:pStyle w:val="ListParagraph"/>
              <w:ind w:left="0"/>
              <w:jc w:val="center"/>
              <w:rPr>
                <w:rFonts w:asciiTheme="majorBidi" w:hAnsiTheme="majorBidi" w:cstheme="majorBidi"/>
                <w:szCs w:val="24"/>
              </w:rPr>
            </w:pPr>
          </w:p>
          <w:p w14:paraId="0CA094A6"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szCs w:val="24"/>
              </w:rPr>
              <w:t>P</w:t>
            </w:r>
          </w:p>
        </w:tc>
      </w:tr>
      <w:tr w:rsidR="008550D5" w:rsidRPr="008550D5" w14:paraId="63D1DD19" w14:textId="77777777" w:rsidTr="008550D5">
        <w:trPr>
          <w:trHeight w:val="325"/>
          <w:jc w:val="center"/>
        </w:trPr>
        <w:tc>
          <w:tcPr>
            <w:tcW w:w="0" w:type="auto"/>
            <w:vMerge/>
            <w:tcBorders>
              <w:top w:val="nil"/>
              <w:bottom w:val="nil"/>
            </w:tcBorders>
          </w:tcPr>
          <w:p w14:paraId="6E886A80" w14:textId="77777777" w:rsidR="008550D5" w:rsidRPr="008550D5" w:rsidRDefault="008550D5" w:rsidP="004F5945">
            <w:pPr>
              <w:pStyle w:val="ListParagraph"/>
              <w:ind w:left="0"/>
              <w:jc w:val="center"/>
              <w:rPr>
                <w:rFonts w:asciiTheme="majorBidi" w:hAnsiTheme="majorBidi" w:cstheme="majorBidi"/>
                <w:b/>
                <w:szCs w:val="24"/>
              </w:rPr>
            </w:pPr>
          </w:p>
        </w:tc>
        <w:tc>
          <w:tcPr>
            <w:tcW w:w="0" w:type="auto"/>
            <w:gridSpan w:val="2"/>
            <w:tcBorders>
              <w:top w:val="single" w:sz="4" w:space="0" w:color="auto"/>
              <w:bottom w:val="single" w:sz="4" w:space="0" w:color="auto"/>
            </w:tcBorders>
          </w:tcPr>
          <w:p w14:paraId="026A9548"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b/>
                <w:sz w:val="24"/>
                <w:szCs w:val="24"/>
              </w:rPr>
            </w:pPr>
            <w:r w:rsidRPr="008550D5">
              <w:rPr>
                <w:rFonts w:asciiTheme="majorBidi" w:hAnsiTheme="majorBidi" w:cstheme="majorBidi"/>
                <w:b/>
                <w:sz w:val="24"/>
                <w:szCs w:val="24"/>
              </w:rPr>
              <w:t xml:space="preserve">dissatisfied </w:t>
            </w:r>
          </w:p>
        </w:tc>
        <w:tc>
          <w:tcPr>
            <w:tcW w:w="0" w:type="auto"/>
            <w:gridSpan w:val="2"/>
            <w:tcBorders>
              <w:top w:val="single" w:sz="4" w:space="0" w:color="auto"/>
              <w:bottom w:val="single" w:sz="4" w:space="0" w:color="auto"/>
            </w:tcBorders>
          </w:tcPr>
          <w:p w14:paraId="4DEDAA78"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b/>
                <w:sz w:val="24"/>
                <w:szCs w:val="24"/>
              </w:rPr>
            </w:pPr>
            <w:r w:rsidRPr="008550D5">
              <w:rPr>
                <w:rFonts w:asciiTheme="majorBidi" w:hAnsiTheme="majorBidi" w:cstheme="majorBidi"/>
                <w:b/>
                <w:sz w:val="24"/>
                <w:szCs w:val="24"/>
              </w:rPr>
              <w:t>satisfied</w:t>
            </w:r>
          </w:p>
        </w:tc>
        <w:tc>
          <w:tcPr>
            <w:tcW w:w="0" w:type="auto"/>
            <w:gridSpan w:val="2"/>
            <w:tcBorders>
              <w:top w:val="single" w:sz="4" w:space="0" w:color="auto"/>
              <w:bottom w:val="single" w:sz="4" w:space="0" w:color="auto"/>
            </w:tcBorders>
          </w:tcPr>
          <w:p w14:paraId="31B1AA18"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b/>
                <w:sz w:val="24"/>
                <w:szCs w:val="24"/>
              </w:rPr>
            </w:pPr>
            <w:r w:rsidRPr="008550D5">
              <w:rPr>
                <w:rFonts w:asciiTheme="majorBidi" w:hAnsiTheme="majorBidi" w:cstheme="majorBidi"/>
                <w:b/>
                <w:sz w:val="24"/>
                <w:szCs w:val="24"/>
              </w:rPr>
              <w:t>Total</w:t>
            </w:r>
          </w:p>
        </w:tc>
        <w:tc>
          <w:tcPr>
            <w:tcW w:w="0" w:type="auto"/>
            <w:vMerge/>
            <w:tcBorders>
              <w:top w:val="nil"/>
              <w:bottom w:val="nil"/>
            </w:tcBorders>
          </w:tcPr>
          <w:p w14:paraId="07D725CD" w14:textId="77777777" w:rsidR="008550D5" w:rsidRPr="008550D5" w:rsidRDefault="008550D5" w:rsidP="004F5945">
            <w:pPr>
              <w:pStyle w:val="ListParagraph"/>
              <w:ind w:left="0"/>
              <w:rPr>
                <w:rFonts w:asciiTheme="majorBidi" w:hAnsiTheme="majorBidi" w:cstheme="majorBidi"/>
                <w:szCs w:val="24"/>
              </w:rPr>
            </w:pPr>
          </w:p>
        </w:tc>
      </w:tr>
      <w:tr w:rsidR="008550D5" w:rsidRPr="008550D5" w14:paraId="1E301848" w14:textId="77777777" w:rsidTr="008550D5">
        <w:trPr>
          <w:trHeight w:val="285"/>
          <w:jc w:val="center"/>
        </w:trPr>
        <w:tc>
          <w:tcPr>
            <w:tcW w:w="0" w:type="auto"/>
            <w:vMerge/>
            <w:tcBorders>
              <w:top w:val="nil"/>
              <w:bottom w:val="single" w:sz="4" w:space="0" w:color="auto"/>
            </w:tcBorders>
          </w:tcPr>
          <w:p w14:paraId="051BE7B2" w14:textId="77777777" w:rsidR="008550D5" w:rsidRPr="008550D5" w:rsidRDefault="008550D5" w:rsidP="004F5945">
            <w:pPr>
              <w:pStyle w:val="ListParagraph"/>
              <w:ind w:left="0"/>
              <w:jc w:val="center"/>
              <w:rPr>
                <w:rFonts w:asciiTheme="majorBidi" w:hAnsiTheme="majorBidi" w:cstheme="majorBidi"/>
                <w:b/>
                <w:szCs w:val="24"/>
              </w:rPr>
            </w:pPr>
          </w:p>
        </w:tc>
        <w:tc>
          <w:tcPr>
            <w:tcW w:w="0" w:type="auto"/>
            <w:tcBorders>
              <w:top w:val="single" w:sz="4" w:space="0" w:color="auto"/>
              <w:bottom w:val="single" w:sz="4" w:space="0" w:color="auto"/>
            </w:tcBorders>
          </w:tcPr>
          <w:p w14:paraId="1A944273"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szCs w:val="24"/>
              </w:rPr>
              <w:t>F</w:t>
            </w:r>
          </w:p>
        </w:tc>
        <w:tc>
          <w:tcPr>
            <w:tcW w:w="0" w:type="auto"/>
            <w:tcBorders>
              <w:top w:val="single" w:sz="4" w:space="0" w:color="auto"/>
              <w:bottom w:val="single" w:sz="4" w:space="0" w:color="auto"/>
            </w:tcBorders>
          </w:tcPr>
          <w:p w14:paraId="44C604C0"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szCs w:val="24"/>
              </w:rPr>
              <w:t>%</w:t>
            </w:r>
          </w:p>
        </w:tc>
        <w:tc>
          <w:tcPr>
            <w:tcW w:w="0" w:type="auto"/>
            <w:tcBorders>
              <w:top w:val="single" w:sz="4" w:space="0" w:color="auto"/>
              <w:bottom w:val="single" w:sz="4" w:space="0" w:color="auto"/>
            </w:tcBorders>
          </w:tcPr>
          <w:p w14:paraId="7BB124D2"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szCs w:val="24"/>
              </w:rPr>
              <w:t>F</w:t>
            </w:r>
          </w:p>
        </w:tc>
        <w:tc>
          <w:tcPr>
            <w:tcW w:w="0" w:type="auto"/>
            <w:tcBorders>
              <w:top w:val="single" w:sz="4" w:space="0" w:color="auto"/>
              <w:bottom w:val="single" w:sz="4" w:space="0" w:color="auto"/>
            </w:tcBorders>
          </w:tcPr>
          <w:p w14:paraId="55DE7BC8"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szCs w:val="24"/>
              </w:rPr>
              <w:t>%</w:t>
            </w:r>
          </w:p>
        </w:tc>
        <w:tc>
          <w:tcPr>
            <w:tcW w:w="0" w:type="auto"/>
            <w:tcBorders>
              <w:top w:val="single" w:sz="4" w:space="0" w:color="auto"/>
              <w:bottom w:val="single" w:sz="4" w:space="0" w:color="auto"/>
            </w:tcBorders>
          </w:tcPr>
          <w:p w14:paraId="533F8C49"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szCs w:val="24"/>
              </w:rPr>
              <w:t>F</w:t>
            </w:r>
          </w:p>
        </w:tc>
        <w:tc>
          <w:tcPr>
            <w:tcW w:w="0" w:type="auto"/>
            <w:tcBorders>
              <w:top w:val="single" w:sz="4" w:space="0" w:color="auto"/>
              <w:bottom w:val="single" w:sz="4" w:space="0" w:color="auto"/>
            </w:tcBorders>
          </w:tcPr>
          <w:p w14:paraId="47F5A42F"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szCs w:val="24"/>
              </w:rPr>
              <w:t>%</w:t>
            </w:r>
          </w:p>
        </w:tc>
        <w:tc>
          <w:tcPr>
            <w:tcW w:w="0" w:type="auto"/>
            <w:vMerge/>
            <w:tcBorders>
              <w:top w:val="nil"/>
              <w:bottom w:val="single" w:sz="4" w:space="0" w:color="auto"/>
            </w:tcBorders>
          </w:tcPr>
          <w:p w14:paraId="35A88CD8" w14:textId="77777777" w:rsidR="008550D5" w:rsidRPr="008550D5" w:rsidRDefault="008550D5" w:rsidP="004F5945">
            <w:pPr>
              <w:pStyle w:val="ListParagraph"/>
              <w:ind w:left="0"/>
              <w:jc w:val="center"/>
              <w:rPr>
                <w:rFonts w:asciiTheme="majorBidi" w:hAnsiTheme="majorBidi" w:cstheme="majorBidi"/>
                <w:szCs w:val="24"/>
              </w:rPr>
            </w:pPr>
          </w:p>
        </w:tc>
      </w:tr>
      <w:tr w:rsidR="008550D5" w:rsidRPr="008550D5" w14:paraId="0DC4C0FA" w14:textId="77777777" w:rsidTr="008550D5">
        <w:trPr>
          <w:trHeight w:val="285"/>
          <w:jc w:val="center"/>
        </w:trPr>
        <w:tc>
          <w:tcPr>
            <w:tcW w:w="0" w:type="auto"/>
            <w:tcBorders>
              <w:top w:val="single" w:sz="4" w:space="0" w:color="auto"/>
            </w:tcBorders>
            <w:vAlign w:val="center"/>
          </w:tcPr>
          <w:p w14:paraId="36204585"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b/>
                <w:color w:val="000000"/>
                <w:sz w:val="24"/>
                <w:szCs w:val="24"/>
              </w:rPr>
            </w:pPr>
            <w:r w:rsidRPr="008550D5">
              <w:rPr>
                <w:rFonts w:asciiTheme="majorBidi" w:hAnsiTheme="majorBidi" w:cstheme="majorBidi"/>
                <w:b/>
                <w:color w:val="000000"/>
                <w:sz w:val="24"/>
                <w:szCs w:val="24"/>
              </w:rPr>
              <w:t xml:space="preserve">Paracetamol </w:t>
            </w:r>
          </w:p>
        </w:tc>
        <w:tc>
          <w:tcPr>
            <w:tcW w:w="0" w:type="auto"/>
            <w:tcBorders>
              <w:top w:val="single" w:sz="4" w:space="0" w:color="auto"/>
            </w:tcBorders>
          </w:tcPr>
          <w:p w14:paraId="0F17BE1C"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10</w:t>
            </w:r>
          </w:p>
        </w:tc>
        <w:tc>
          <w:tcPr>
            <w:tcW w:w="0" w:type="auto"/>
            <w:tcBorders>
              <w:top w:val="single" w:sz="4" w:space="0" w:color="auto"/>
            </w:tcBorders>
          </w:tcPr>
          <w:p w14:paraId="1CE4F3E4"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25</w:t>
            </w:r>
          </w:p>
        </w:tc>
        <w:tc>
          <w:tcPr>
            <w:tcW w:w="0" w:type="auto"/>
            <w:tcBorders>
              <w:top w:val="single" w:sz="4" w:space="0" w:color="auto"/>
            </w:tcBorders>
          </w:tcPr>
          <w:p w14:paraId="166D42C1"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10</w:t>
            </w:r>
          </w:p>
        </w:tc>
        <w:tc>
          <w:tcPr>
            <w:tcW w:w="0" w:type="auto"/>
            <w:tcBorders>
              <w:top w:val="single" w:sz="4" w:space="0" w:color="auto"/>
            </w:tcBorders>
          </w:tcPr>
          <w:p w14:paraId="78A6A02E"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25</w:t>
            </w:r>
          </w:p>
        </w:tc>
        <w:tc>
          <w:tcPr>
            <w:tcW w:w="0" w:type="auto"/>
            <w:tcBorders>
              <w:top w:val="single" w:sz="4" w:space="0" w:color="auto"/>
            </w:tcBorders>
          </w:tcPr>
          <w:p w14:paraId="2B5BFC26"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20</w:t>
            </w:r>
          </w:p>
        </w:tc>
        <w:tc>
          <w:tcPr>
            <w:tcW w:w="0" w:type="auto"/>
            <w:tcBorders>
              <w:top w:val="single" w:sz="4" w:space="0" w:color="auto"/>
            </w:tcBorders>
          </w:tcPr>
          <w:p w14:paraId="02E505F7"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50</w:t>
            </w:r>
          </w:p>
        </w:tc>
        <w:tc>
          <w:tcPr>
            <w:tcW w:w="0" w:type="auto"/>
            <w:vMerge w:val="restart"/>
            <w:tcBorders>
              <w:top w:val="single" w:sz="4" w:space="0" w:color="auto"/>
            </w:tcBorders>
          </w:tcPr>
          <w:p w14:paraId="27228523" w14:textId="77777777" w:rsidR="008550D5" w:rsidRPr="008550D5" w:rsidRDefault="008550D5" w:rsidP="004F5945">
            <w:pPr>
              <w:pStyle w:val="ListParagraph"/>
              <w:ind w:left="0"/>
              <w:jc w:val="center"/>
              <w:rPr>
                <w:rFonts w:asciiTheme="majorBidi" w:hAnsiTheme="majorBidi" w:cstheme="majorBidi"/>
                <w:szCs w:val="24"/>
              </w:rPr>
            </w:pPr>
          </w:p>
          <w:p w14:paraId="725A503A"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0,006</w:t>
            </w:r>
          </w:p>
        </w:tc>
      </w:tr>
      <w:tr w:rsidR="008550D5" w:rsidRPr="008550D5" w14:paraId="1B64D7A0" w14:textId="77777777" w:rsidTr="008550D5">
        <w:trPr>
          <w:trHeight w:val="285"/>
          <w:jc w:val="center"/>
        </w:trPr>
        <w:tc>
          <w:tcPr>
            <w:tcW w:w="0" w:type="auto"/>
            <w:tcBorders>
              <w:bottom w:val="single" w:sz="4" w:space="0" w:color="auto"/>
            </w:tcBorders>
            <w:vAlign w:val="center"/>
          </w:tcPr>
          <w:p w14:paraId="502BECB1" w14:textId="77777777" w:rsidR="008550D5" w:rsidRPr="008550D5" w:rsidRDefault="008550D5" w:rsidP="004F5945">
            <w:pPr>
              <w:autoSpaceDE w:val="0"/>
              <w:autoSpaceDN w:val="0"/>
              <w:adjustRightInd w:val="0"/>
              <w:spacing w:after="0" w:line="360" w:lineRule="auto"/>
              <w:ind w:left="60" w:right="60"/>
              <w:jc w:val="center"/>
              <w:rPr>
                <w:rFonts w:asciiTheme="majorBidi" w:hAnsiTheme="majorBidi" w:cstheme="majorBidi"/>
                <w:b/>
                <w:color w:val="000000"/>
                <w:sz w:val="24"/>
                <w:szCs w:val="24"/>
              </w:rPr>
            </w:pPr>
            <w:r w:rsidRPr="008550D5">
              <w:rPr>
                <w:rFonts w:asciiTheme="majorBidi" w:hAnsiTheme="majorBidi" w:cstheme="majorBidi"/>
                <w:b/>
                <w:color w:val="000000"/>
                <w:sz w:val="24"/>
                <w:szCs w:val="24"/>
              </w:rPr>
              <w:t>Ketolorac</w:t>
            </w:r>
          </w:p>
        </w:tc>
        <w:tc>
          <w:tcPr>
            <w:tcW w:w="0" w:type="auto"/>
            <w:tcBorders>
              <w:bottom w:val="single" w:sz="4" w:space="0" w:color="auto"/>
            </w:tcBorders>
          </w:tcPr>
          <w:p w14:paraId="40243325"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2</w:t>
            </w:r>
          </w:p>
        </w:tc>
        <w:tc>
          <w:tcPr>
            <w:tcW w:w="0" w:type="auto"/>
            <w:tcBorders>
              <w:bottom w:val="single" w:sz="4" w:space="0" w:color="auto"/>
            </w:tcBorders>
          </w:tcPr>
          <w:p w14:paraId="47CADB0C"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5</w:t>
            </w:r>
          </w:p>
        </w:tc>
        <w:tc>
          <w:tcPr>
            <w:tcW w:w="0" w:type="auto"/>
            <w:tcBorders>
              <w:bottom w:val="single" w:sz="4" w:space="0" w:color="auto"/>
            </w:tcBorders>
          </w:tcPr>
          <w:p w14:paraId="4C423593"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18</w:t>
            </w:r>
          </w:p>
        </w:tc>
        <w:tc>
          <w:tcPr>
            <w:tcW w:w="0" w:type="auto"/>
            <w:tcBorders>
              <w:bottom w:val="single" w:sz="4" w:space="0" w:color="auto"/>
            </w:tcBorders>
          </w:tcPr>
          <w:p w14:paraId="230E168E"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45</w:t>
            </w:r>
          </w:p>
        </w:tc>
        <w:tc>
          <w:tcPr>
            <w:tcW w:w="0" w:type="auto"/>
            <w:tcBorders>
              <w:bottom w:val="single" w:sz="4" w:space="0" w:color="auto"/>
            </w:tcBorders>
          </w:tcPr>
          <w:p w14:paraId="6E840A5E"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20</w:t>
            </w:r>
          </w:p>
        </w:tc>
        <w:tc>
          <w:tcPr>
            <w:tcW w:w="0" w:type="auto"/>
            <w:tcBorders>
              <w:bottom w:val="single" w:sz="4" w:space="0" w:color="auto"/>
            </w:tcBorders>
          </w:tcPr>
          <w:p w14:paraId="5A8EAE9C"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50</w:t>
            </w:r>
          </w:p>
        </w:tc>
        <w:tc>
          <w:tcPr>
            <w:tcW w:w="0" w:type="auto"/>
            <w:vMerge/>
          </w:tcPr>
          <w:p w14:paraId="2ECD7741" w14:textId="77777777" w:rsidR="008550D5" w:rsidRPr="008550D5" w:rsidRDefault="008550D5" w:rsidP="004F5945">
            <w:pPr>
              <w:pStyle w:val="ListParagraph"/>
              <w:ind w:left="0"/>
              <w:jc w:val="center"/>
              <w:rPr>
                <w:rFonts w:asciiTheme="majorBidi" w:hAnsiTheme="majorBidi" w:cstheme="majorBidi"/>
                <w:szCs w:val="24"/>
              </w:rPr>
            </w:pPr>
          </w:p>
        </w:tc>
      </w:tr>
      <w:tr w:rsidR="008550D5" w:rsidRPr="008550D5" w14:paraId="4B88141F" w14:textId="77777777" w:rsidTr="008550D5">
        <w:trPr>
          <w:trHeight w:val="285"/>
          <w:jc w:val="center"/>
        </w:trPr>
        <w:tc>
          <w:tcPr>
            <w:tcW w:w="0" w:type="auto"/>
            <w:tcBorders>
              <w:top w:val="single" w:sz="4" w:space="0" w:color="auto"/>
              <w:bottom w:val="single" w:sz="4" w:space="0" w:color="auto"/>
            </w:tcBorders>
          </w:tcPr>
          <w:p w14:paraId="06B0D4E5" w14:textId="77777777" w:rsidR="008550D5" w:rsidRPr="008550D5" w:rsidRDefault="008550D5" w:rsidP="004F5945">
            <w:pPr>
              <w:pStyle w:val="ListParagraph"/>
              <w:ind w:left="0"/>
              <w:jc w:val="center"/>
              <w:rPr>
                <w:rFonts w:asciiTheme="majorBidi" w:hAnsiTheme="majorBidi" w:cstheme="majorBidi"/>
                <w:b/>
                <w:szCs w:val="24"/>
              </w:rPr>
            </w:pPr>
            <w:r w:rsidRPr="008550D5">
              <w:rPr>
                <w:rFonts w:asciiTheme="majorBidi" w:hAnsiTheme="majorBidi" w:cstheme="majorBidi"/>
                <w:b/>
                <w:szCs w:val="24"/>
              </w:rPr>
              <w:t>Total</w:t>
            </w:r>
          </w:p>
        </w:tc>
        <w:tc>
          <w:tcPr>
            <w:tcW w:w="0" w:type="auto"/>
            <w:tcBorders>
              <w:top w:val="single" w:sz="4" w:space="0" w:color="auto"/>
              <w:bottom w:val="single" w:sz="4" w:space="0" w:color="auto"/>
            </w:tcBorders>
          </w:tcPr>
          <w:p w14:paraId="48E3F868"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12</w:t>
            </w:r>
          </w:p>
        </w:tc>
        <w:tc>
          <w:tcPr>
            <w:tcW w:w="0" w:type="auto"/>
            <w:tcBorders>
              <w:top w:val="single" w:sz="4" w:space="0" w:color="auto"/>
              <w:bottom w:val="single" w:sz="4" w:space="0" w:color="auto"/>
            </w:tcBorders>
          </w:tcPr>
          <w:p w14:paraId="6CBD95DB"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30</w:t>
            </w:r>
          </w:p>
        </w:tc>
        <w:tc>
          <w:tcPr>
            <w:tcW w:w="0" w:type="auto"/>
            <w:tcBorders>
              <w:top w:val="single" w:sz="4" w:space="0" w:color="auto"/>
              <w:bottom w:val="single" w:sz="4" w:space="0" w:color="auto"/>
            </w:tcBorders>
          </w:tcPr>
          <w:p w14:paraId="402AD7DD"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28</w:t>
            </w:r>
          </w:p>
        </w:tc>
        <w:tc>
          <w:tcPr>
            <w:tcW w:w="0" w:type="auto"/>
            <w:tcBorders>
              <w:top w:val="single" w:sz="4" w:space="0" w:color="auto"/>
              <w:bottom w:val="single" w:sz="4" w:space="0" w:color="auto"/>
            </w:tcBorders>
          </w:tcPr>
          <w:p w14:paraId="46A802F1"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70</w:t>
            </w:r>
          </w:p>
        </w:tc>
        <w:tc>
          <w:tcPr>
            <w:tcW w:w="0" w:type="auto"/>
            <w:tcBorders>
              <w:top w:val="single" w:sz="4" w:space="0" w:color="auto"/>
              <w:bottom w:val="single" w:sz="4" w:space="0" w:color="auto"/>
            </w:tcBorders>
          </w:tcPr>
          <w:p w14:paraId="3685A03B"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40</w:t>
            </w:r>
          </w:p>
        </w:tc>
        <w:tc>
          <w:tcPr>
            <w:tcW w:w="0" w:type="auto"/>
            <w:tcBorders>
              <w:top w:val="single" w:sz="4" w:space="0" w:color="auto"/>
              <w:bottom w:val="single" w:sz="4" w:space="0" w:color="auto"/>
            </w:tcBorders>
          </w:tcPr>
          <w:p w14:paraId="3F60D89E" w14:textId="77777777" w:rsidR="008550D5" w:rsidRPr="008550D5" w:rsidRDefault="008550D5" w:rsidP="004F5945">
            <w:pPr>
              <w:pStyle w:val="ListParagraph"/>
              <w:ind w:left="0"/>
              <w:jc w:val="center"/>
              <w:rPr>
                <w:rFonts w:asciiTheme="majorBidi" w:hAnsiTheme="majorBidi" w:cstheme="majorBidi"/>
                <w:szCs w:val="24"/>
              </w:rPr>
            </w:pPr>
            <w:r w:rsidRPr="008550D5">
              <w:rPr>
                <w:rFonts w:asciiTheme="majorBidi" w:hAnsiTheme="majorBidi" w:cstheme="majorBidi"/>
                <w:szCs w:val="24"/>
              </w:rPr>
              <w:t>100</w:t>
            </w:r>
          </w:p>
        </w:tc>
        <w:tc>
          <w:tcPr>
            <w:tcW w:w="0" w:type="auto"/>
            <w:vMerge/>
          </w:tcPr>
          <w:p w14:paraId="0162EF6F" w14:textId="77777777" w:rsidR="008550D5" w:rsidRPr="008550D5" w:rsidRDefault="008550D5" w:rsidP="004F5945">
            <w:pPr>
              <w:pStyle w:val="ListParagraph"/>
              <w:ind w:left="0"/>
              <w:jc w:val="center"/>
              <w:rPr>
                <w:rFonts w:asciiTheme="majorBidi" w:hAnsiTheme="majorBidi" w:cstheme="majorBidi"/>
                <w:szCs w:val="24"/>
              </w:rPr>
            </w:pPr>
          </w:p>
        </w:tc>
      </w:tr>
    </w:tbl>
    <w:p w14:paraId="3E78B5D7" w14:textId="77777777" w:rsidR="008550D5" w:rsidRPr="008550D5" w:rsidRDefault="008550D5" w:rsidP="004F5945">
      <w:pPr>
        <w:pStyle w:val="ListParagraph"/>
        <w:ind w:left="284" w:firstLine="283"/>
        <w:jc w:val="center"/>
        <w:rPr>
          <w:rFonts w:asciiTheme="majorBidi" w:hAnsiTheme="majorBidi" w:cstheme="majorBidi"/>
          <w:szCs w:val="24"/>
        </w:rPr>
      </w:pPr>
      <w:r w:rsidRPr="008550D5">
        <w:rPr>
          <w:rFonts w:asciiTheme="majorBidi" w:hAnsiTheme="majorBidi" w:cstheme="majorBidi"/>
          <w:szCs w:val="24"/>
        </w:rPr>
        <w:t>Source: Primary Data 2018</w:t>
      </w:r>
    </w:p>
    <w:p w14:paraId="601E83DA" w14:textId="77777777" w:rsidR="008550D5" w:rsidRPr="008550D5" w:rsidRDefault="008550D5" w:rsidP="004F5945">
      <w:pPr>
        <w:pStyle w:val="ListParagraph"/>
        <w:ind w:left="0" w:firstLine="709"/>
        <w:rPr>
          <w:rFonts w:asciiTheme="majorBidi" w:hAnsiTheme="majorBidi" w:cstheme="majorBidi"/>
          <w:szCs w:val="24"/>
        </w:rPr>
      </w:pPr>
      <w:r w:rsidRPr="008550D5">
        <w:rPr>
          <w:rFonts w:asciiTheme="majorBidi" w:hAnsiTheme="majorBidi" w:cstheme="majorBidi"/>
          <w:szCs w:val="24"/>
        </w:rPr>
        <w:t xml:space="preserve">Table 4.3 above states that there is a difference in satisfaction with the use of the analgesic intravenous injection of ketorolac 30mg and the use of the analgesic intravenous infusion of paracetamol 1000mg in moderately mild post-operative patients at PKU Muhammadiyah </w:t>
      </w:r>
      <w:proofErr w:type="spellStart"/>
      <w:r w:rsidRPr="008550D5">
        <w:rPr>
          <w:rFonts w:asciiTheme="majorBidi" w:hAnsiTheme="majorBidi" w:cstheme="majorBidi"/>
          <w:szCs w:val="24"/>
        </w:rPr>
        <w:t>Gamping</w:t>
      </w:r>
      <w:proofErr w:type="spellEnd"/>
      <w:r w:rsidRPr="008550D5">
        <w:rPr>
          <w:rFonts w:asciiTheme="majorBidi" w:hAnsiTheme="majorBidi" w:cstheme="majorBidi"/>
          <w:szCs w:val="24"/>
        </w:rPr>
        <w:t xml:space="preserve"> Hospital, with the significance value of the results showing (p = 0.006 &lt; 0.05).</w:t>
      </w:r>
    </w:p>
    <w:p w14:paraId="38C91066" w14:textId="77777777" w:rsidR="008550D5" w:rsidRPr="008550D5" w:rsidRDefault="008550D5" w:rsidP="004F5945">
      <w:pPr>
        <w:spacing w:after="0" w:line="360" w:lineRule="auto"/>
        <w:ind w:right="-188" w:firstLine="709"/>
        <w:jc w:val="both"/>
        <w:rPr>
          <w:rFonts w:asciiTheme="majorBidi" w:hAnsiTheme="majorBidi" w:cstheme="majorBidi"/>
          <w:sz w:val="24"/>
          <w:szCs w:val="24"/>
        </w:rPr>
      </w:pPr>
      <w:r w:rsidRPr="008550D5">
        <w:rPr>
          <w:rFonts w:asciiTheme="majorBidi" w:hAnsiTheme="majorBidi" w:cstheme="majorBidi"/>
          <w:sz w:val="24"/>
          <w:szCs w:val="24"/>
        </w:rPr>
        <w:t>Most respondents were satisfied with the ketolorak group, 18 respondents or 45%. The effectiveness of the use of analgesics in mild to moderate post-operative patients is to measure the level of patient satisfaction in the use of analgesics by intravenous injection of ketorolac 30mg and intravenous infusion of paracetamol 1000mg. The use of analgesics is said to be effective if the patient's perception shows satisfaction after using the analgesic.</w:t>
      </w:r>
    </w:p>
    <w:p w14:paraId="215E83D7" w14:textId="0E96A7F0" w:rsidR="0041703E" w:rsidRPr="008550D5" w:rsidRDefault="0041703E" w:rsidP="004F5945">
      <w:pPr>
        <w:spacing w:after="0" w:line="360" w:lineRule="auto"/>
        <w:ind w:right="-188"/>
        <w:jc w:val="both"/>
        <w:rPr>
          <w:rFonts w:asciiTheme="majorBidi" w:eastAsia="Times New Roman" w:hAnsiTheme="majorBidi" w:cstheme="majorBidi"/>
          <w:b/>
          <w:bCs/>
          <w:sz w:val="24"/>
          <w:szCs w:val="24"/>
          <w:lang w:val="en-US"/>
        </w:rPr>
      </w:pPr>
      <w:r w:rsidRPr="008550D5">
        <w:rPr>
          <w:rFonts w:asciiTheme="majorBidi" w:eastAsia="Times New Roman" w:hAnsiTheme="majorBidi" w:cstheme="majorBidi"/>
          <w:b/>
          <w:bCs/>
          <w:sz w:val="24"/>
          <w:szCs w:val="24"/>
          <w:lang w:val="en-US"/>
        </w:rPr>
        <w:lastRenderedPageBreak/>
        <w:t>DISCUSSION</w:t>
      </w:r>
    </w:p>
    <w:p w14:paraId="237C060D" w14:textId="77777777" w:rsidR="008550D5" w:rsidRPr="008550D5" w:rsidRDefault="008550D5" w:rsidP="004F5945">
      <w:pPr>
        <w:spacing w:after="0" w:line="360" w:lineRule="auto"/>
        <w:ind w:right="-188" w:firstLine="709"/>
        <w:jc w:val="both"/>
        <w:rPr>
          <w:rFonts w:asciiTheme="majorBidi" w:eastAsia="Times New Roman" w:hAnsiTheme="majorBidi" w:cstheme="majorBidi"/>
          <w:sz w:val="24"/>
          <w:szCs w:val="24"/>
          <w:lang w:val="en-US"/>
        </w:rPr>
      </w:pPr>
      <w:r w:rsidRPr="008550D5">
        <w:rPr>
          <w:rFonts w:asciiTheme="majorBidi" w:eastAsia="Times New Roman" w:hAnsiTheme="majorBidi" w:cstheme="majorBidi"/>
          <w:sz w:val="24"/>
          <w:szCs w:val="24"/>
          <w:lang w:val="en-US"/>
        </w:rPr>
        <w:t>Researchers used the Iowa Satisfaction with Anesthesia Scale (ISAS) instrument which has been used by other researchers in several different countries. This research instrument was also validated and developed by Franklin Dexter, MD, PhD and Keith A. Candiotti, MD in 2011. In the results of this research, researchers obtained a level of satisfaction based on the average value obtained on the questionnaire that had been filled in by respondents, namely, the first level is at the average questionnaire score of 1-11, it is stated that the respondent is very dissatisfied with the analgesics given, the second level is the average questionnaire score of 12-22, it is stated that they are quite dissatisfied, then the third level is the average questionnaire score is 23- 33 were declared slightly dissatisfied, then the fourth level, namely the average questionnaire score of 34-44, was declared slightly satisfied, and the fifth level, with an average questionnaire score of 45-55, was declared quite satisfied, the last level or sixth level was with an average questionnaire value of 56 -66 declared very satisfied.</w:t>
      </w:r>
    </w:p>
    <w:p w14:paraId="6800E175" w14:textId="00BC3180" w:rsidR="008550D5" w:rsidRPr="008550D5" w:rsidRDefault="008550D5" w:rsidP="004F5945">
      <w:pPr>
        <w:spacing w:after="0" w:line="360" w:lineRule="auto"/>
        <w:ind w:right="-188" w:firstLine="709"/>
        <w:jc w:val="both"/>
        <w:rPr>
          <w:rFonts w:asciiTheme="majorBidi" w:eastAsia="Times New Roman" w:hAnsiTheme="majorBidi" w:cstheme="majorBidi"/>
          <w:sz w:val="24"/>
          <w:szCs w:val="24"/>
          <w:lang w:val="en-US"/>
        </w:rPr>
      </w:pPr>
      <w:r w:rsidRPr="008550D5">
        <w:rPr>
          <w:rFonts w:asciiTheme="majorBidi" w:eastAsia="Times New Roman" w:hAnsiTheme="majorBidi" w:cstheme="majorBidi"/>
          <w:sz w:val="24"/>
          <w:szCs w:val="24"/>
          <w:lang w:val="en-US"/>
        </w:rPr>
        <w:t xml:space="preserve">The results of testing using Chi-Square on the level of satisfaction with the use of the analgesic intravenous injection ketorolac 30mg and the use of the analgesic intravenous infusion paracetamol 1000mg in moderately mild post-operative patients at PKU Muhammadiyah </w:t>
      </w:r>
      <w:proofErr w:type="spellStart"/>
      <w:r w:rsidRPr="008550D5">
        <w:rPr>
          <w:rFonts w:asciiTheme="majorBidi" w:eastAsia="Times New Roman" w:hAnsiTheme="majorBidi" w:cstheme="majorBidi"/>
          <w:sz w:val="24"/>
          <w:szCs w:val="24"/>
          <w:lang w:val="en-US"/>
        </w:rPr>
        <w:t>Gamping</w:t>
      </w:r>
      <w:proofErr w:type="spellEnd"/>
      <w:r w:rsidRPr="008550D5">
        <w:rPr>
          <w:rFonts w:asciiTheme="majorBidi" w:eastAsia="Times New Roman" w:hAnsiTheme="majorBidi" w:cstheme="majorBidi"/>
          <w:sz w:val="24"/>
          <w:szCs w:val="24"/>
          <w:lang w:val="en-US"/>
        </w:rPr>
        <w:t xml:space="preserve"> Hospital showed a significance value of 0.006 &lt; 0.05. Thus, it can be concluded that there is a difference in satisfaction with the use of the analgesic intravenous injection ketorolac 30mg and the use of the analgesic intravenous infusion paracetamol 1000mg in moderately mild post-operative patients at PKU Muhammadiyah </w:t>
      </w:r>
      <w:proofErr w:type="spellStart"/>
      <w:r w:rsidRPr="008550D5">
        <w:rPr>
          <w:rFonts w:asciiTheme="majorBidi" w:eastAsia="Times New Roman" w:hAnsiTheme="majorBidi" w:cstheme="majorBidi"/>
          <w:sz w:val="24"/>
          <w:szCs w:val="24"/>
          <w:lang w:val="en-US"/>
        </w:rPr>
        <w:t>Gamping</w:t>
      </w:r>
      <w:proofErr w:type="spellEnd"/>
      <w:r w:rsidRPr="008550D5">
        <w:rPr>
          <w:rFonts w:asciiTheme="majorBidi" w:eastAsia="Times New Roman" w:hAnsiTheme="majorBidi" w:cstheme="majorBidi"/>
          <w:sz w:val="24"/>
          <w:szCs w:val="24"/>
          <w:lang w:val="en-US"/>
        </w:rPr>
        <w:t xml:space="preserve"> Hospital. This is in line with research conducted by </w:t>
      </w:r>
      <w:r w:rsidR="004541D2">
        <w:rPr>
          <w:rFonts w:asciiTheme="majorBidi" w:eastAsia="Times New Roman" w:hAnsiTheme="majorBidi" w:cstheme="majorBidi"/>
          <w:sz w:val="24"/>
          <w:szCs w:val="24"/>
          <w:lang w:val="en-US"/>
        </w:rPr>
        <w:fldChar w:fldCharType="begin" w:fldLock="1"/>
      </w:r>
      <w:r w:rsidR="006821D5">
        <w:rPr>
          <w:rFonts w:asciiTheme="majorBidi" w:eastAsia="Times New Roman" w:hAnsiTheme="majorBidi" w:cstheme="majorBidi"/>
          <w:sz w:val="24"/>
          <w:szCs w:val="24"/>
          <w:lang w:val="en-US"/>
        </w:rPr>
        <w:instrText>ADDIN CSL_CITATION {"citationItems":[{"id":"ITEM-1","itemData":{"author":[{"dropping-particle":"","family":"Imani","given":"Farnad","non-dropping-particle":"","parse-names":false,"suffix":""},{"dropping-particle":"","family":"Rahimzadeh","given":"Poupak","non-dropping-particle":"","parse-names":false,"suffix":""},{"dropping-particle":"","family":"Faiz","given":"Hamid-Reza","non-dropping-particle":"","parse-names":false,"suffix":""},{"dropping-particle":"","family":"Nowruzina","given":"Shiva","non-dropping-particle":"","parse-names":false,"suffix":""},{"dropping-particle":"","family":"Shakeri","given":"Asadolla","non-dropping-particle":"","parse-names":false,"suffix":""},{"dropping-particle":"","family":"Ghahremani","given":"Mohammad","non-dropping-particle":"","parse-names":false,"suffix":""}],"container-title":"Anesthesiology and pain medicine","id":"ITEM-1","issue":"5","issued":{"date-parts":[["2018"]]},"publisher":"Brieflands","title":"Comparison of the post-caesarean analgesic effect of adding dexmedetomidine to paracetamol and ketorolac: A randomized clinical trial","type":"article-journal","volume":"8"},"uris":["http://www.mendeley.com/documents/?uuid=1b8158df-5de7-4674-a2df-3d53a3a478c4"]}],"mendeley":{"formattedCitation":"(Imani et al., 2018)","plainTextFormattedCitation":"(Imani et al., 2018)","previouslyFormattedCitation":"(Imani et al., 2018)"},"properties":{"noteIndex":0},"schema":"https://github.com/citation-style-language/schema/raw/master/csl-citation.json"}</w:instrText>
      </w:r>
      <w:r w:rsidR="004541D2">
        <w:rPr>
          <w:rFonts w:asciiTheme="majorBidi" w:eastAsia="Times New Roman" w:hAnsiTheme="majorBidi" w:cstheme="majorBidi"/>
          <w:sz w:val="24"/>
          <w:szCs w:val="24"/>
          <w:lang w:val="en-US"/>
        </w:rPr>
        <w:fldChar w:fldCharType="separate"/>
      </w:r>
      <w:r w:rsidR="004541D2" w:rsidRPr="004541D2">
        <w:rPr>
          <w:rFonts w:asciiTheme="majorBidi" w:eastAsia="Times New Roman" w:hAnsiTheme="majorBidi" w:cstheme="majorBidi"/>
          <w:noProof/>
          <w:sz w:val="24"/>
          <w:szCs w:val="24"/>
          <w:lang w:val="en-US"/>
        </w:rPr>
        <w:t>(Imani et al., 2018)</w:t>
      </w:r>
      <w:r w:rsidR="004541D2">
        <w:rPr>
          <w:rFonts w:asciiTheme="majorBidi" w:eastAsia="Times New Roman" w:hAnsiTheme="majorBidi" w:cstheme="majorBidi"/>
          <w:sz w:val="24"/>
          <w:szCs w:val="24"/>
          <w:lang w:val="en-US"/>
        </w:rPr>
        <w:fldChar w:fldCharType="end"/>
      </w:r>
      <w:r w:rsidRPr="008550D5">
        <w:rPr>
          <w:rFonts w:asciiTheme="majorBidi" w:eastAsia="Times New Roman" w:hAnsiTheme="majorBidi" w:cstheme="majorBidi"/>
          <w:sz w:val="24"/>
          <w:szCs w:val="24"/>
          <w:lang w:val="en-US"/>
        </w:rPr>
        <w:t xml:space="preserve"> which found that there were differences in satisfaction and effectiveness of using the painkillers ketorolac and paracetamol.</w:t>
      </w:r>
    </w:p>
    <w:p w14:paraId="64836E4B" w14:textId="5EAD0B3C" w:rsidR="0041703E" w:rsidRPr="008550D5" w:rsidRDefault="008550D5" w:rsidP="004F5945">
      <w:pPr>
        <w:spacing w:after="0" w:line="360" w:lineRule="auto"/>
        <w:ind w:right="-188" w:firstLine="709"/>
        <w:jc w:val="both"/>
        <w:rPr>
          <w:rFonts w:asciiTheme="majorBidi" w:eastAsia="Times New Roman" w:hAnsiTheme="majorBidi" w:cstheme="majorBidi"/>
          <w:sz w:val="24"/>
          <w:szCs w:val="24"/>
          <w:lang w:val="en-US"/>
        </w:rPr>
      </w:pPr>
      <w:r w:rsidRPr="008550D5">
        <w:rPr>
          <w:rFonts w:asciiTheme="majorBidi" w:eastAsia="Times New Roman" w:hAnsiTheme="majorBidi" w:cstheme="majorBidi"/>
          <w:sz w:val="24"/>
          <w:szCs w:val="24"/>
          <w:lang w:val="en-US"/>
        </w:rPr>
        <w:t xml:space="preserve">According to </w:t>
      </w:r>
      <w:r w:rsidR="006821D5">
        <w:rPr>
          <w:rFonts w:asciiTheme="majorBidi" w:eastAsia="Times New Roman" w:hAnsiTheme="majorBidi" w:cstheme="majorBidi"/>
          <w:sz w:val="24"/>
          <w:szCs w:val="24"/>
          <w:lang w:val="en-US"/>
        </w:rPr>
        <w:fldChar w:fldCharType="begin" w:fldLock="1"/>
      </w:r>
      <w:r w:rsidR="006821D5">
        <w:rPr>
          <w:rFonts w:asciiTheme="majorBidi" w:eastAsia="Times New Roman" w:hAnsiTheme="majorBidi" w:cstheme="majorBidi"/>
          <w:sz w:val="24"/>
          <w:szCs w:val="24"/>
          <w:lang w:val="en-US"/>
        </w:rPr>
        <w:instrText>ADDIN CSL_CITATION {"citationItems":[{"id":"ITEM-1","itemData":{"ISSN":"2337-7909","author":[{"dropping-particle":"","family":"Boesoirie","given":"Muhamad Adli","non-dropping-particle":"","parse-names":false,"suffix":""},{"dropping-particle":"","family":"Oktaliansah","given":"Ezra","non-dropping-particle":"","parse-names":false,"suffix":""},{"dropping-particle":"","family":"Bisri","given":"Tatang","non-dropping-particle":"","parse-names":false,"suffix":""}],"container-title":"Jurnal Anestesi Perioperatif","id":"ITEM-1","issue":"2","issued":{"date-parts":[["2015"]]},"page":"81-86","title":"Perbandingan Parasetamol dengan Ketorolak Intravena Sebagai Analgesia Pre-emtif Terhadap Skala Nyeri Pascabedah Labioplasti pada Pasien Pediatrik","type":"article-journal","volume":"3"},"uris":["http://www.mendeley.com/documents/?uuid=a34e33a4-d339-41a0-accd-b232b5aef47e"]}],"mendeley":{"formattedCitation":"(Boesoirie et al., 2015)","plainTextFormattedCitation":"(Boesoirie et al., 2015)","previouslyFormattedCitation":"(Boesoirie et al., 2015)"},"properties":{"noteIndex":0},"schema":"https://github.com/citation-style-language/schema/raw/master/csl-citation.json"}</w:instrText>
      </w:r>
      <w:r w:rsidR="006821D5">
        <w:rPr>
          <w:rFonts w:asciiTheme="majorBidi" w:eastAsia="Times New Roman" w:hAnsiTheme="majorBidi" w:cstheme="majorBidi"/>
          <w:sz w:val="24"/>
          <w:szCs w:val="24"/>
          <w:lang w:val="en-US"/>
        </w:rPr>
        <w:fldChar w:fldCharType="separate"/>
      </w:r>
      <w:r w:rsidR="006821D5" w:rsidRPr="006821D5">
        <w:rPr>
          <w:rFonts w:asciiTheme="majorBidi" w:eastAsia="Times New Roman" w:hAnsiTheme="majorBidi" w:cstheme="majorBidi"/>
          <w:noProof/>
          <w:sz w:val="24"/>
          <w:szCs w:val="24"/>
          <w:lang w:val="en-US"/>
        </w:rPr>
        <w:t>(Boesoirie et al., 2015)</w:t>
      </w:r>
      <w:r w:rsidR="006821D5">
        <w:rPr>
          <w:rFonts w:asciiTheme="majorBidi" w:eastAsia="Times New Roman" w:hAnsiTheme="majorBidi" w:cstheme="majorBidi"/>
          <w:sz w:val="24"/>
          <w:szCs w:val="24"/>
          <w:lang w:val="en-US"/>
        </w:rPr>
        <w:fldChar w:fldCharType="end"/>
      </w:r>
      <w:r w:rsidRPr="008550D5">
        <w:rPr>
          <w:rFonts w:asciiTheme="majorBidi" w:eastAsia="Times New Roman" w:hAnsiTheme="majorBidi" w:cstheme="majorBidi"/>
          <w:sz w:val="24"/>
          <w:szCs w:val="24"/>
          <w:lang w:val="en-US"/>
        </w:rPr>
        <w:t xml:space="preserve">, this situation is possible because of the working mechanism of ketorolac as an analgesic belonging to the non-steroidal anti-inflammatory category which will suppress the inflammatory reaction that occurs post-surgery as a cause of inflammatory pain. This situation is in line with the principle of pre-emptive analgesia, namely treatment that begins before surgery and prevents the formation of sensitization centers caused by incisional injury and inflammation (covering the surgical period and the early post-surgical period). According to </w:t>
      </w:r>
      <w:r w:rsidR="006821D5">
        <w:rPr>
          <w:rFonts w:asciiTheme="majorBidi" w:eastAsia="Times New Roman" w:hAnsiTheme="majorBidi" w:cstheme="majorBidi"/>
          <w:sz w:val="24"/>
          <w:szCs w:val="24"/>
          <w:lang w:val="en-US"/>
        </w:rPr>
        <w:fldChar w:fldCharType="begin" w:fldLock="1"/>
      </w:r>
      <w:r w:rsidR="006821D5">
        <w:rPr>
          <w:rFonts w:asciiTheme="majorBidi" w:eastAsia="Times New Roman" w:hAnsiTheme="majorBidi" w:cstheme="majorBidi"/>
          <w:sz w:val="24"/>
          <w:szCs w:val="24"/>
          <w:lang w:val="en-US"/>
        </w:rPr>
        <w:instrText>ADDIN CSL_CITATION {"citationItems":[{"id":"ITEM-1","itemData":{"author":[{"dropping-particle":"","family":"Haris","given":"Rifqi Raihan","non-dropping-particle":"","parse-names":false,"suffix":""},{"dropping-particle":"","family":"Mughni","given":"Abdul","non-dropping-particle":"","parse-names":false,"suffix":""},{"dropping-particle":"","family":"Margawati","given":"Ani","non-dropping-particle":"","parse-names":false,"suffix":""}],"id":"ITEM-1","issued":{"date-parts":[["2016"]]},"publisher":"Diponegoro University","title":"PENGARUH PEMBERIAN INJEKSI KETOROLAC TROMETHAMINE INTRAPERITONEAL TERHADAP GAMBARAN MIKROSKOPIS GASTER TIKUS WISTAR DEWASA DENGAN FRAKTUR KRURIS","type":"article"},"uris":["http://www.mendeley.com/documents/?uuid=ecfca285-859c-4c67-a62b-4a6340b6cac7"]}],"mendeley":{"formattedCitation":"(Haris et al., 2016)","plainTextFormattedCitation":"(Haris et al., 2016)","previouslyFormattedCitation":"(Haris et al., 2016)"},"properties":{"noteIndex":0},"schema":"https://github.com/citation-style-language/schema/raw/master/csl-citation.json"}</w:instrText>
      </w:r>
      <w:r w:rsidR="006821D5">
        <w:rPr>
          <w:rFonts w:asciiTheme="majorBidi" w:eastAsia="Times New Roman" w:hAnsiTheme="majorBidi" w:cstheme="majorBidi"/>
          <w:sz w:val="24"/>
          <w:szCs w:val="24"/>
          <w:lang w:val="en-US"/>
        </w:rPr>
        <w:fldChar w:fldCharType="separate"/>
      </w:r>
      <w:r w:rsidR="006821D5" w:rsidRPr="006821D5">
        <w:rPr>
          <w:rFonts w:asciiTheme="majorBidi" w:eastAsia="Times New Roman" w:hAnsiTheme="majorBidi" w:cstheme="majorBidi"/>
          <w:noProof/>
          <w:sz w:val="24"/>
          <w:szCs w:val="24"/>
          <w:lang w:val="en-US"/>
        </w:rPr>
        <w:t>(Haris et al., 2016)</w:t>
      </w:r>
      <w:r w:rsidR="006821D5">
        <w:rPr>
          <w:rFonts w:asciiTheme="majorBidi" w:eastAsia="Times New Roman" w:hAnsiTheme="majorBidi" w:cstheme="majorBidi"/>
          <w:sz w:val="24"/>
          <w:szCs w:val="24"/>
          <w:lang w:val="en-US"/>
        </w:rPr>
        <w:fldChar w:fldCharType="end"/>
      </w:r>
      <w:r w:rsidRPr="008550D5">
        <w:rPr>
          <w:rFonts w:asciiTheme="majorBidi" w:eastAsia="Times New Roman" w:hAnsiTheme="majorBidi" w:cstheme="majorBidi"/>
          <w:sz w:val="24"/>
          <w:szCs w:val="24"/>
          <w:lang w:val="en-US"/>
        </w:rPr>
        <w:t xml:space="preserve">, ketorolac works by inhibiting the production of chemical compounds that can cause inflammation and pain. Ketorolac does not cause dependence. This drug can be used as a single therapy or in combination with other pain relievers, </w:t>
      </w:r>
      <w:r w:rsidRPr="008550D5">
        <w:rPr>
          <w:rFonts w:asciiTheme="majorBidi" w:eastAsia="Times New Roman" w:hAnsiTheme="majorBidi" w:cstheme="majorBidi"/>
          <w:sz w:val="24"/>
          <w:szCs w:val="24"/>
          <w:lang w:val="en-US"/>
        </w:rPr>
        <w:lastRenderedPageBreak/>
        <w:t xml:space="preserve">including opioid pain relievers. According to Hinshaw and Atwood </w:t>
      </w:r>
      <w:r w:rsidR="006821D5">
        <w:rPr>
          <w:rFonts w:asciiTheme="majorBidi" w:eastAsia="Times New Roman" w:hAnsiTheme="majorBidi" w:cstheme="majorBidi"/>
          <w:sz w:val="24"/>
          <w:szCs w:val="24"/>
          <w:lang w:val="en-US"/>
        </w:rPr>
        <w:fldChar w:fldCharType="begin" w:fldLock="1"/>
      </w:r>
      <w:r w:rsidR="006821D5">
        <w:rPr>
          <w:rFonts w:asciiTheme="majorBidi" w:eastAsia="Times New Roman" w:hAnsiTheme="majorBidi" w:cstheme="majorBidi"/>
          <w:sz w:val="24"/>
          <w:szCs w:val="24"/>
          <w:lang w:val="en-US"/>
        </w:rPr>
        <w:instrText>ADDIN CSL_CITATION {"citationItems":[{"id":"ITEM-1","itemData":{"author":[{"dropping-particle":"","family":"Sari","given":"Indah Mutia","non-dropping-particle":"","parse-names":false,"suffix":""},{"dropping-particle":"","family":"Nasution","given":"Sri Wahyuni","non-dropping-particle":"","parse-names":false,"suffix":""},{"dropping-particle":"","family":"Girsang","given":"Ermi","non-dropping-particle":"","parse-names":false,"suffix":""},{"dropping-particle":"","family":"Ginting","given":"Chrismis Novalinda","non-dropping-particle":"","parse-names":false,"suffix":""}],"container-title":"International Journal of Research &amp; Review","id":"ITEM-1","issue":"8","issued":{"date-parts":[["2019"]]},"page":"77-85","title":"Relationship of Nursing Service Quality to Patient Satisfaction Levels in Balimbingan Hospital 2018","type":"article-journal","volume":"6"},"uris":["http://www.mendeley.com/documents/?uuid=986050ca-d9ae-4bad-b810-d71e470f7ab6"]}],"mendeley":{"formattedCitation":"(Sari et al., 2019)","plainTextFormattedCitation":"(Sari et al., 2019)","previouslyFormattedCitation":"(Sari et al., 2019)"},"properties":{"noteIndex":0},"schema":"https://github.com/citation-style-language/schema/raw/master/csl-citation.json"}</w:instrText>
      </w:r>
      <w:r w:rsidR="006821D5">
        <w:rPr>
          <w:rFonts w:asciiTheme="majorBidi" w:eastAsia="Times New Roman" w:hAnsiTheme="majorBidi" w:cstheme="majorBidi"/>
          <w:sz w:val="24"/>
          <w:szCs w:val="24"/>
          <w:lang w:val="en-US"/>
        </w:rPr>
        <w:fldChar w:fldCharType="separate"/>
      </w:r>
      <w:r w:rsidR="006821D5" w:rsidRPr="006821D5">
        <w:rPr>
          <w:rFonts w:asciiTheme="majorBidi" w:eastAsia="Times New Roman" w:hAnsiTheme="majorBidi" w:cstheme="majorBidi"/>
          <w:noProof/>
          <w:sz w:val="24"/>
          <w:szCs w:val="24"/>
          <w:lang w:val="en-US"/>
        </w:rPr>
        <w:t>(Sari et al., 2019)</w:t>
      </w:r>
      <w:r w:rsidR="006821D5">
        <w:rPr>
          <w:rFonts w:asciiTheme="majorBidi" w:eastAsia="Times New Roman" w:hAnsiTheme="majorBidi" w:cstheme="majorBidi"/>
          <w:sz w:val="24"/>
          <w:szCs w:val="24"/>
          <w:lang w:val="en-US"/>
        </w:rPr>
        <w:fldChar w:fldCharType="end"/>
      </w:r>
      <w:r w:rsidRPr="008550D5">
        <w:rPr>
          <w:rFonts w:asciiTheme="majorBidi" w:eastAsia="Times New Roman" w:hAnsiTheme="majorBidi" w:cstheme="majorBidi"/>
          <w:sz w:val="24"/>
          <w:szCs w:val="24"/>
          <w:lang w:val="en-US"/>
        </w:rPr>
        <w:t>, there are several aspects of patient satisfaction, namely, Professional Service Techniques, Trust, and Patient Education.</w:t>
      </w:r>
    </w:p>
    <w:p w14:paraId="33CA9A3A" w14:textId="77777777" w:rsidR="00684152" w:rsidRPr="008550D5" w:rsidRDefault="00684152" w:rsidP="004F5945">
      <w:pPr>
        <w:spacing w:after="0" w:line="360" w:lineRule="auto"/>
        <w:ind w:right="-188"/>
        <w:jc w:val="both"/>
        <w:rPr>
          <w:rFonts w:asciiTheme="majorBidi" w:eastAsia="Times New Roman" w:hAnsiTheme="majorBidi" w:cstheme="majorBidi"/>
          <w:sz w:val="24"/>
          <w:szCs w:val="24"/>
          <w:lang w:val="en"/>
        </w:rPr>
      </w:pPr>
    </w:p>
    <w:p w14:paraId="4292DC00" w14:textId="5AD6220C" w:rsidR="00660541" w:rsidRPr="008550D5" w:rsidRDefault="00660541" w:rsidP="004F5945">
      <w:pPr>
        <w:spacing w:after="0" w:line="360" w:lineRule="auto"/>
        <w:ind w:right="-188"/>
        <w:jc w:val="both"/>
        <w:rPr>
          <w:rFonts w:asciiTheme="majorBidi" w:hAnsiTheme="majorBidi" w:cstheme="majorBidi"/>
          <w:b/>
          <w:sz w:val="24"/>
          <w:szCs w:val="24"/>
          <w:lang w:val="en-US"/>
        </w:rPr>
      </w:pPr>
      <w:r w:rsidRPr="008550D5">
        <w:rPr>
          <w:rFonts w:asciiTheme="majorBidi" w:hAnsiTheme="majorBidi" w:cstheme="majorBidi"/>
          <w:b/>
          <w:sz w:val="24"/>
          <w:szCs w:val="24"/>
          <w:lang w:val="ms"/>
        </w:rPr>
        <w:t>CONCLUSIONS</w:t>
      </w:r>
      <w:r w:rsidR="00DE6E11" w:rsidRPr="008550D5">
        <w:rPr>
          <w:rFonts w:asciiTheme="majorBidi" w:hAnsiTheme="majorBidi" w:cstheme="majorBidi"/>
          <w:b/>
          <w:sz w:val="24"/>
          <w:szCs w:val="24"/>
          <w:lang w:val="ms"/>
        </w:rPr>
        <w:t xml:space="preserve"> </w:t>
      </w:r>
    </w:p>
    <w:p w14:paraId="52F8A9A9" w14:textId="77777777" w:rsidR="008550D5" w:rsidRPr="008550D5" w:rsidRDefault="008550D5" w:rsidP="004F5945">
      <w:pPr>
        <w:spacing w:after="0" w:line="360" w:lineRule="auto"/>
        <w:ind w:right="-188" w:firstLine="425"/>
        <w:jc w:val="both"/>
        <w:rPr>
          <w:rFonts w:asciiTheme="majorBidi" w:hAnsiTheme="majorBidi" w:cstheme="majorBidi"/>
          <w:bCs/>
          <w:sz w:val="24"/>
          <w:szCs w:val="24"/>
        </w:rPr>
      </w:pPr>
      <w:r w:rsidRPr="008550D5">
        <w:rPr>
          <w:rFonts w:asciiTheme="majorBidi" w:hAnsiTheme="majorBidi" w:cstheme="majorBidi"/>
          <w:bCs/>
          <w:sz w:val="24"/>
          <w:szCs w:val="24"/>
        </w:rPr>
        <w:t>The level of satisfaction with the use of the analgesic intravenous injection Ketorolac 30mg in moderately mild post-operative patients at PKU Muhammadiyah Gamping Hospital is higher than the use of intravenous infusion Paracetamol 1000mg.</w:t>
      </w:r>
    </w:p>
    <w:p w14:paraId="726EE0F6" w14:textId="28919981" w:rsidR="00D63DEF" w:rsidRPr="008550D5" w:rsidRDefault="008550D5" w:rsidP="004F5945">
      <w:pPr>
        <w:spacing w:after="0" w:line="360" w:lineRule="auto"/>
        <w:ind w:right="-188" w:firstLine="425"/>
        <w:jc w:val="both"/>
        <w:rPr>
          <w:rFonts w:asciiTheme="majorBidi" w:hAnsiTheme="majorBidi" w:cstheme="majorBidi"/>
          <w:bCs/>
          <w:sz w:val="24"/>
          <w:szCs w:val="24"/>
          <w:lang w:val="ms"/>
        </w:rPr>
      </w:pPr>
      <w:r w:rsidRPr="008550D5">
        <w:rPr>
          <w:rFonts w:asciiTheme="majorBidi" w:hAnsiTheme="majorBidi" w:cstheme="majorBidi"/>
          <w:bCs/>
          <w:sz w:val="24"/>
          <w:szCs w:val="24"/>
        </w:rPr>
        <w:t>The results of research and testing on the level of satisfaction with the use of the analgesic intravenous injection ketorolac 30mg and the analgesic use intravenous infusion paracetamol 1000mg in moderately mild post-operative patients at PKU Muhammadiyah Gamping Hospital showed the results of the Chi-square test had a significance value of 0.006 &lt; 0.05. Thus, it can be concluded that there is a significant relationship between the level of satisfaction with the use of the 30 mg ketorolac intravenous injection analgesic and the 1000 mg paracetamol intravenous infusion analgesic use in moderately mild post-operative patients at PKU Muhammadiyah Gamping Hospital, but the level of satisfaction in post-operative patients who use intravenous injection analgesics ketorolac 30mg was higher than in postoperative patients who used the analgesic intravenous infusion of paracetamol 1000mg.</w:t>
      </w:r>
    </w:p>
    <w:p w14:paraId="0B2420EE" w14:textId="77777777" w:rsidR="00A05A29" w:rsidRPr="008550D5" w:rsidRDefault="00A05A29" w:rsidP="004F5945">
      <w:pPr>
        <w:spacing w:after="0" w:line="360" w:lineRule="auto"/>
        <w:ind w:right="-188" w:firstLine="425"/>
        <w:jc w:val="both"/>
        <w:rPr>
          <w:rFonts w:asciiTheme="majorBidi" w:hAnsiTheme="majorBidi" w:cstheme="majorBidi"/>
          <w:color w:val="000000"/>
          <w:sz w:val="24"/>
          <w:szCs w:val="24"/>
          <w:lang w:val="en-US"/>
        </w:rPr>
      </w:pPr>
    </w:p>
    <w:p w14:paraId="22B93F4C" w14:textId="77777777" w:rsidR="00660541" w:rsidRPr="008550D5" w:rsidRDefault="00660541" w:rsidP="004F5945">
      <w:pPr>
        <w:spacing w:after="0" w:line="360" w:lineRule="auto"/>
        <w:ind w:right="-188"/>
        <w:jc w:val="both"/>
        <w:rPr>
          <w:rFonts w:asciiTheme="majorBidi" w:hAnsiTheme="majorBidi" w:cstheme="majorBidi"/>
          <w:b/>
          <w:sz w:val="24"/>
          <w:szCs w:val="24"/>
          <w:lang w:val="en-US"/>
        </w:rPr>
      </w:pPr>
      <w:r w:rsidRPr="008550D5">
        <w:rPr>
          <w:rFonts w:asciiTheme="majorBidi" w:hAnsiTheme="majorBidi" w:cstheme="majorBidi"/>
          <w:b/>
          <w:sz w:val="24"/>
          <w:szCs w:val="24"/>
          <w:lang w:val="en-US"/>
        </w:rPr>
        <w:t>REFERENCE</w:t>
      </w:r>
    </w:p>
    <w:p w14:paraId="0D6B8C74" w14:textId="7F581FBD"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Pr>
          <w:rFonts w:asciiTheme="majorBidi" w:hAnsiTheme="majorBidi" w:cstheme="majorBidi"/>
          <w:sz w:val="24"/>
          <w:szCs w:val="24"/>
          <w:lang w:val="fi-FI"/>
        </w:rPr>
        <w:fldChar w:fldCharType="begin" w:fldLock="1"/>
      </w:r>
      <w:r>
        <w:rPr>
          <w:rFonts w:asciiTheme="majorBidi" w:hAnsiTheme="majorBidi" w:cstheme="majorBidi"/>
          <w:sz w:val="24"/>
          <w:szCs w:val="24"/>
          <w:lang w:val="fi-FI"/>
        </w:rPr>
        <w:instrText xml:space="preserve">ADDIN Mendeley Bibliography CSL_BIBLIOGRAPHY </w:instrText>
      </w:r>
      <w:r>
        <w:rPr>
          <w:rFonts w:asciiTheme="majorBidi" w:hAnsiTheme="majorBidi" w:cstheme="majorBidi"/>
          <w:sz w:val="24"/>
          <w:szCs w:val="24"/>
          <w:lang w:val="fi-FI"/>
        </w:rPr>
        <w:fldChar w:fldCharType="separate"/>
      </w:r>
      <w:r w:rsidRPr="006821D5">
        <w:rPr>
          <w:rFonts w:ascii="Times New Roman" w:hAnsi="Times New Roman"/>
          <w:noProof/>
          <w:sz w:val="24"/>
          <w:szCs w:val="24"/>
        </w:rPr>
        <w:t xml:space="preserve">Admassu, W. S., Hailekiros, A. G., &amp; Abdissa, Z. D. (2016). Severity and risk factors of post-operative pain in University of Gondar Hospital, Northeast Ethiopa. </w:t>
      </w:r>
      <w:r w:rsidRPr="006821D5">
        <w:rPr>
          <w:rFonts w:ascii="Times New Roman" w:hAnsi="Times New Roman"/>
          <w:i/>
          <w:iCs/>
          <w:noProof/>
          <w:sz w:val="24"/>
          <w:szCs w:val="24"/>
        </w:rPr>
        <w:t>Journal of Anesthesia &amp; Clinical Research</w:t>
      </w:r>
      <w:r w:rsidRPr="006821D5">
        <w:rPr>
          <w:rFonts w:ascii="Times New Roman" w:hAnsi="Times New Roman"/>
          <w:noProof/>
          <w:sz w:val="24"/>
          <w:szCs w:val="24"/>
        </w:rPr>
        <w:t xml:space="preserve">, </w:t>
      </w:r>
      <w:r w:rsidRPr="006821D5">
        <w:rPr>
          <w:rFonts w:ascii="Times New Roman" w:hAnsi="Times New Roman"/>
          <w:i/>
          <w:iCs/>
          <w:noProof/>
          <w:sz w:val="24"/>
          <w:szCs w:val="24"/>
        </w:rPr>
        <w:t>7</w:t>
      </w:r>
      <w:r w:rsidRPr="006821D5">
        <w:rPr>
          <w:rFonts w:ascii="Times New Roman" w:hAnsi="Times New Roman"/>
          <w:noProof/>
          <w:sz w:val="24"/>
          <w:szCs w:val="24"/>
        </w:rPr>
        <w:t>(10), 675.</w:t>
      </w:r>
    </w:p>
    <w:p w14:paraId="71F803E5"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Boesoirie, M. A., Oktaliansah, E., &amp; Bisri, T. (2015). Perbandingan Parasetamol dengan Ketorolak Intravena Sebagai Analgesia Pre-emtif Terhadap Skala Nyeri Pascabedah Labioplasti pada Pasien Pediatrik. </w:t>
      </w:r>
      <w:r w:rsidRPr="006821D5">
        <w:rPr>
          <w:rFonts w:ascii="Times New Roman" w:hAnsi="Times New Roman"/>
          <w:i/>
          <w:iCs/>
          <w:noProof/>
          <w:sz w:val="24"/>
          <w:szCs w:val="24"/>
        </w:rPr>
        <w:t>Jurnal Anestesi Perioperatif</w:t>
      </w:r>
      <w:r w:rsidRPr="006821D5">
        <w:rPr>
          <w:rFonts w:ascii="Times New Roman" w:hAnsi="Times New Roman"/>
          <w:noProof/>
          <w:sz w:val="24"/>
          <w:szCs w:val="24"/>
        </w:rPr>
        <w:t xml:space="preserve">, </w:t>
      </w:r>
      <w:r w:rsidRPr="006821D5">
        <w:rPr>
          <w:rFonts w:ascii="Times New Roman" w:hAnsi="Times New Roman"/>
          <w:i/>
          <w:iCs/>
          <w:noProof/>
          <w:sz w:val="24"/>
          <w:szCs w:val="24"/>
        </w:rPr>
        <w:t>3</w:t>
      </w:r>
      <w:r w:rsidRPr="006821D5">
        <w:rPr>
          <w:rFonts w:ascii="Times New Roman" w:hAnsi="Times New Roman"/>
          <w:noProof/>
          <w:sz w:val="24"/>
          <w:szCs w:val="24"/>
        </w:rPr>
        <w:t>(2), 81–86.</w:t>
      </w:r>
    </w:p>
    <w:p w14:paraId="52BA6C84"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Bonnal, A., Dehon, A., Nagot, N., Macioce, V., Nogue, E., &amp; Morau, E. (2016). Patient‐controlled oral analgesia versus nurse‐controlled parenteral analgesia after caesarean section: a randomised controlled trial. </w:t>
      </w:r>
      <w:r w:rsidRPr="006821D5">
        <w:rPr>
          <w:rFonts w:ascii="Times New Roman" w:hAnsi="Times New Roman"/>
          <w:i/>
          <w:iCs/>
          <w:noProof/>
          <w:sz w:val="24"/>
          <w:szCs w:val="24"/>
        </w:rPr>
        <w:t>Anaesthesia</w:t>
      </w:r>
      <w:r w:rsidRPr="006821D5">
        <w:rPr>
          <w:rFonts w:ascii="Times New Roman" w:hAnsi="Times New Roman"/>
          <w:noProof/>
          <w:sz w:val="24"/>
          <w:szCs w:val="24"/>
        </w:rPr>
        <w:t xml:space="preserve">, </w:t>
      </w:r>
      <w:r w:rsidRPr="006821D5">
        <w:rPr>
          <w:rFonts w:ascii="Times New Roman" w:hAnsi="Times New Roman"/>
          <w:i/>
          <w:iCs/>
          <w:noProof/>
          <w:sz w:val="24"/>
          <w:szCs w:val="24"/>
        </w:rPr>
        <w:t>71</w:t>
      </w:r>
      <w:r w:rsidRPr="006821D5">
        <w:rPr>
          <w:rFonts w:ascii="Times New Roman" w:hAnsi="Times New Roman"/>
          <w:noProof/>
          <w:sz w:val="24"/>
          <w:szCs w:val="24"/>
        </w:rPr>
        <w:t>(5), 535–543.</w:t>
      </w:r>
    </w:p>
    <w:p w14:paraId="54E1D566"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Crombie, I. K., Davies, H. T. O., &amp; Macrae, W. A. (1998). Cut and thrust: antecedent surgery and trauma among patients attending a chronic pain clinic. </w:t>
      </w:r>
      <w:r w:rsidRPr="006821D5">
        <w:rPr>
          <w:rFonts w:ascii="Times New Roman" w:hAnsi="Times New Roman"/>
          <w:i/>
          <w:iCs/>
          <w:noProof/>
          <w:sz w:val="24"/>
          <w:szCs w:val="24"/>
        </w:rPr>
        <w:t>Pain</w:t>
      </w:r>
      <w:r w:rsidRPr="006821D5">
        <w:rPr>
          <w:rFonts w:ascii="Times New Roman" w:hAnsi="Times New Roman"/>
          <w:noProof/>
          <w:sz w:val="24"/>
          <w:szCs w:val="24"/>
        </w:rPr>
        <w:t xml:space="preserve">, </w:t>
      </w:r>
      <w:r w:rsidRPr="006821D5">
        <w:rPr>
          <w:rFonts w:ascii="Times New Roman" w:hAnsi="Times New Roman"/>
          <w:i/>
          <w:iCs/>
          <w:noProof/>
          <w:sz w:val="24"/>
          <w:szCs w:val="24"/>
        </w:rPr>
        <w:t>76</w:t>
      </w:r>
      <w:r w:rsidRPr="006821D5">
        <w:rPr>
          <w:rFonts w:ascii="Times New Roman" w:hAnsi="Times New Roman"/>
          <w:noProof/>
          <w:sz w:val="24"/>
          <w:szCs w:val="24"/>
        </w:rPr>
        <w:t>(1–2), 167–171.</w:t>
      </w:r>
    </w:p>
    <w:p w14:paraId="76C494E6"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lastRenderedPageBreak/>
        <w:t xml:space="preserve">Eldor, J., Kotlovker, V., &amp; Orkin, D. (2013). Pain free hospital-availability (24 hours) of anesthesiologists. </w:t>
      </w:r>
      <w:r w:rsidRPr="006821D5">
        <w:rPr>
          <w:rFonts w:ascii="Times New Roman" w:hAnsi="Times New Roman"/>
          <w:i/>
          <w:iCs/>
          <w:noProof/>
          <w:sz w:val="24"/>
          <w:szCs w:val="24"/>
        </w:rPr>
        <w:t>J. Anesth. Clin. Sci</w:t>
      </w:r>
      <w:r w:rsidRPr="006821D5">
        <w:rPr>
          <w:rFonts w:ascii="Times New Roman" w:hAnsi="Times New Roman"/>
          <w:noProof/>
          <w:sz w:val="24"/>
          <w:szCs w:val="24"/>
        </w:rPr>
        <w:t xml:space="preserve">, </w:t>
      </w:r>
      <w:r w:rsidRPr="006821D5">
        <w:rPr>
          <w:rFonts w:ascii="Times New Roman" w:hAnsi="Times New Roman"/>
          <w:i/>
          <w:iCs/>
          <w:noProof/>
          <w:sz w:val="24"/>
          <w:szCs w:val="24"/>
        </w:rPr>
        <w:t>2</w:t>
      </w:r>
      <w:r w:rsidRPr="006821D5">
        <w:rPr>
          <w:rFonts w:ascii="Times New Roman" w:hAnsi="Times New Roman"/>
          <w:noProof/>
          <w:sz w:val="24"/>
          <w:szCs w:val="24"/>
        </w:rPr>
        <w:t>(17), 10–7243.</w:t>
      </w:r>
    </w:p>
    <w:p w14:paraId="6E913C81"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Gan, T. J. (2017). Poorly controlled postoperative pain: prevalence, consequences, and prevention. </w:t>
      </w:r>
      <w:r w:rsidRPr="006821D5">
        <w:rPr>
          <w:rFonts w:ascii="Times New Roman" w:hAnsi="Times New Roman"/>
          <w:i/>
          <w:iCs/>
          <w:noProof/>
          <w:sz w:val="24"/>
          <w:szCs w:val="24"/>
        </w:rPr>
        <w:t>Journal of Pain Research</w:t>
      </w:r>
      <w:r w:rsidRPr="006821D5">
        <w:rPr>
          <w:rFonts w:ascii="Times New Roman" w:hAnsi="Times New Roman"/>
          <w:noProof/>
          <w:sz w:val="24"/>
          <w:szCs w:val="24"/>
        </w:rPr>
        <w:t>, 2287–2298.</w:t>
      </w:r>
    </w:p>
    <w:p w14:paraId="54CB11EE"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Haris, R. R., Mughni, A., &amp; Margawati, A. (2016). </w:t>
      </w:r>
      <w:r w:rsidRPr="006821D5">
        <w:rPr>
          <w:rFonts w:ascii="Times New Roman" w:hAnsi="Times New Roman"/>
          <w:i/>
          <w:iCs/>
          <w:noProof/>
          <w:sz w:val="24"/>
          <w:szCs w:val="24"/>
        </w:rPr>
        <w:t>PENGARUH PEMBERIAN INJEKSI KETOROLAC TROMETHAMINE INTRAPERITONEAL TERHADAP GAMBARAN MIKROSKOPIS GASTER TIKUS WISTAR DEWASA DENGAN FRAKTUR KRURIS</w:t>
      </w:r>
      <w:r w:rsidRPr="006821D5">
        <w:rPr>
          <w:rFonts w:ascii="Times New Roman" w:hAnsi="Times New Roman"/>
          <w:noProof/>
          <w:sz w:val="24"/>
          <w:szCs w:val="24"/>
        </w:rPr>
        <w:t>. Diponegoro University.</w:t>
      </w:r>
    </w:p>
    <w:p w14:paraId="0D7BB50D"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Imani, F., Rahimzadeh, P., Faiz, H.-R., Nowruzina, S., Shakeri, A., &amp; Ghahremani, M. (2018). Comparison of the post-caesarean analgesic effect of adding dexmedetomidine to paracetamol and ketorolac: A randomized clinical trial. </w:t>
      </w:r>
      <w:r w:rsidRPr="006821D5">
        <w:rPr>
          <w:rFonts w:ascii="Times New Roman" w:hAnsi="Times New Roman"/>
          <w:i/>
          <w:iCs/>
          <w:noProof/>
          <w:sz w:val="24"/>
          <w:szCs w:val="24"/>
        </w:rPr>
        <w:t>Anesthesiology and Pain Medicine</w:t>
      </w:r>
      <w:r w:rsidRPr="006821D5">
        <w:rPr>
          <w:rFonts w:ascii="Times New Roman" w:hAnsi="Times New Roman"/>
          <w:noProof/>
          <w:sz w:val="24"/>
          <w:szCs w:val="24"/>
        </w:rPr>
        <w:t xml:space="preserve">, </w:t>
      </w:r>
      <w:r w:rsidRPr="006821D5">
        <w:rPr>
          <w:rFonts w:ascii="Times New Roman" w:hAnsi="Times New Roman"/>
          <w:i/>
          <w:iCs/>
          <w:noProof/>
          <w:sz w:val="24"/>
          <w:szCs w:val="24"/>
        </w:rPr>
        <w:t>8</w:t>
      </w:r>
      <w:r w:rsidRPr="006821D5">
        <w:rPr>
          <w:rFonts w:ascii="Times New Roman" w:hAnsi="Times New Roman"/>
          <w:noProof/>
          <w:sz w:val="24"/>
          <w:szCs w:val="24"/>
        </w:rPr>
        <w:t>(5).</w:t>
      </w:r>
    </w:p>
    <w:p w14:paraId="5DDD622D"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Meissner, W., Coluzzi, F., Fletcher, D., Huygen, F., Morlion, B., Neugebauer, E., Pérez, A. M., &amp; Pergolizzi, J. (2015). Improving the management of post-operative acute pain: priorities for change. </w:t>
      </w:r>
      <w:r w:rsidRPr="006821D5">
        <w:rPr>
          <w:rFonts w:ascii="Times New Roman" w:hAnsi="Times New Roman"/>
          <w:i/>
          <w:iCs/>
          <w:noProof/>
          <w:sz w:val="24"/>
          <w:szCs w:val="24"/>
        </w:rPr>
        <w:t>Current Medical Research and Opinion</w:t>
      </w:r>
      <w:r w:rsidRPr="006821D5">
        <w:rPr>
          <w:rFonts w:ascii="Times New Roman" w:hAnsi="Times New Roman"/>
          <w:noProof/>
          <w:sz w:val="24"/>
          <w:szCs w:val="24"/>
        </w:rPr>
        <w:t xml:space="preserve">, </w:t>
      </w:r>
      <w:r w:rsidRPr="006821D5">
        <w:rPr>
          <w:rFonts w:ascii="Times New Roman" w:hAnsi="Times New Roman"/>
          <w:i/>
          <w:iCs/>
          <w:noProof/>
          <w:sz w:val="24"/>
          <w:szCs w:val="24"/>
        </w:rPr>
        <w:t>31</w:t>
      </w:r>
      <w:r w:rsidRPr="006821D5">
        <w:rPr>
          <w:rFonts w:ascii="Times New Roman" w:hAnsi="Times New Roman"/>
          <w:noProof/>
          <w:sz w:val="24"/>
          <w:szCs w:val="24"/>
        </w:rPr>
        <w:t>(11), 2131–2143.</w:t>
      </w:r>
    </w:p>
    <w:p w14:paraId="110C49DE"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Rismawan, W. (2019). Tingkat kecemasan pasien pre-operasi di RSUD dr. Soekardjo Kota Tasikmalaya. </w:t>
      </w:r>
      <w:r w:rsidRPr="006821D5">
        <w:rPr>
          <w:rFonts w:ascii="Times New Roman" w:hAnsi="Times New Roman"/>
          <w:i/>
          <w:iCs/>
          <w:noProof/>
          <w:sz w:val="24"/>
          <w:szCs w:val="24"/>
        </w:rPr>
        <w:t>Jurnal Kesehatan Bakti Tunas Husada: Jurnal Ilmu-Ilmu Keperawatan, Analis Kesehatan Dan Farmasi</w:t>
      </w:r>
      <w:r w:rsidRPr="006821D5">
        <w:rPr>
          <w:rFonts w:ascii="Times New Roman" w:hAnsi="Times New Roman"/>
          <w:noProof/>
          <w:sz w:val="24"/>
          <w:szCs w:val="24"/>
        </w:rPr>
        <w:t xml:space="preserve">, </w:t>
      </w:r>
      <w:r w:rsidRPr="006821D5">
        <w:rPr>
          <w:rFonts w:ascii="Times New Roman" w:hAnsi="Times New Roman"/>
          <w:i/>
          <w:iCs/>
          <w:noProof/>
          <w:sz w:val="24"/>
          <w:szCs w:val="24"/>
        </w:rPr>
        <w:t>19</w:t>
      </w:r>
      <w:r w:rsidRPr="006821D5">
        <w:rPr>
          <w:rFonts w:ascii="Times New Roman" w:hAnsi="Times New Roman"/>
          <w:noProof/>
          <w:sz w:val="24"/>
          <w:szCs w:val="24"/>
        </w:rPr>
        <w:t>(1).</w:t>
      </w:r>
    </w:p>
    <w:p w14:paraId="1F7A843F"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szCs w:val="24"/>
        </w:rPr>
      </w:pPr>
      <w:r w:rsidRPr="006821D5">
        <w:rPr>
          <w:rFonts w:ascii="Times New Roman" w:hAnsi="Times New Roman"/>
          <w:noProof/>
          <w:sz w:val="24"/>
          <w:szCs w:val="24"/>
        </w:rPr>
        <w:t xml:space="preserve">Sari, I. M., Nasution, S. W., Girsang, E., &amp; Ginting, C. N. (2019). Relationship of Nursing Service Quality to Patient Satisfaction Levels in Balimbingan Hospital 2018. </w:t>
      </w:r>
      <w:r w:rsidRPr="006821D5">
        <w:rPr>
          <w:rFonts w:ascii="Times New Roman" w:hAnsi="Times New Roman"/>
          <w:i/>
          <w:iCs/>
          <w:noProof/>
          <w:sz w:val="24"/>
          <w:szCs w:val="24"/>
        </w:rPr>
        <w:t>International Journal of Research &amp; Review</w:t>
      </w:r>
      <w:r w:rsidRPr="006821D5">
        <w:rPr>
          <w:rFonts w:ascii="Times New Roman" w:hAnsi="Times New Roman"/>
          <w:noProof/>
          <w:sz w:val="24"/>
          <w:szCs w:val="24"/>
        </w:rPr>
        <w:t xml:space="preserve">, </w:t>
      </w:r>
      <w:r w:rsidRPr="006821D5">
        <w:rPr>
          <w:rFonts w:ascii="Times New Roman" w:hAnsi="Times New Roman"/>
          <w:i/>
          <w:iCs/>
          <w:noProof/>
          <w:sz w:val="24"/>
          <w:szCs w:val="24"/>
        </w:rPr>
        <w:t>6</w:t>
      </w:r>
      <w:r w:rsidRPr="006821D5">
        <w:rPr>
          <w:rFonts w:ascii="Times New Roman" w:hAnsi="Times New Roman"/>
          <w:noProof/>
          <w:sz w:val="24"/>
          <w:szCs w:val="24"/>
        </w:rPr>
        <w:t>(8), 77–85.</w:t>
      </w:r>
    </w:p>
    <w:p w14:paraId="3A301A03" w14:textId="77777777" w:rsidR="006821D5" w:rsidRPr="006821D5" w:rsidRDefault="006821D5" w:rsidP="006821D5">
      <w:pPr>
        <w:widowControl w:val="0"/>
        <w:autoSpaceDE w:val="0"/>
        <w:autoSpaceDN w:val="0"/>
        <w:adjustRightInd w:val="0"/>
        <w:spacing w:after="0" w:line="360" w:lineRule="auto"/>
        <w:ind w:left="709" w:hanging="709"/>
        <w:jc w:val="both"/>
        <w:rPr>
          <w:rFonts w:ascii="Times New Roman" w:hAnsi="Times New Roman"/>
          <w:noProof/>
          <w:sz w:val="24"/>
        </w:rPr>
      </w:pPr>
      <w:r w:rsidRPr="006821D5">
        <w:rPr>
          <w:rFonts w:ascii="Times New Roman" w:hAnsi="Times New Roman"/>
          <w:noProof/>
          <w:sz w:val="24"/>
          <w:szCs w:val="24"/>
        </w:rPr>
        <w:t xml:space="preserve">Thompson, L. A., Zhang, S., Black, E., Das, R., Ryngaert, M., Sullivan, S., &amp; Roth, J. (2013). The association of maternal pre-pregnancy body mass index with breastfeeding initiation. </w:t>
      </w:r>
      <w:r w:rsidRPr="006821D5">
        <w:rPr>
          <w:rFonts w:ascii="Times New Roman" w:hAnsi="Times New Roman"/>
          <w:i/>
          <w:iCs/>
          <w:noProof/>
          <w:sz w:val="24"/>
          <w:szCs w:val="24"/>
        </w:rPr>
        <w:t>Maternal and Child Health Journal</w:t>
      </w:r>
      <w:r w:rsidRPr="006821D5">
        <w:rPr>
          <w:rFonts w:ascii="Times New Roman" w:hAnsi="Times New Roman"/>
          <w:noProof/>
          <w:sz w:val="24"/>
          <w:szCs w:val="24"/>
        </w:rPr>
        <w:t xml:space="preserve">, </w:t>
      </w:r>
      <w:r w:rsidRPr="006821D5">
        <w:rPr>
          <w:rFonts w:ascii="Times New Roman" w:hAnsi="Times New Roman"/>
          <w:i/>
          <w:iCs/>
          <w:noProof/>
          <w:sz w:val="24"/>
          <w:szCs w:val="24"/>
        </w:rPr>
        <w:t>17</w:t>
      </w:r>
      <w:r w:rsidRPr="006821D5">
        <w:rPr>
          <w:rFonts w:ascii="Times New Roman" w:hAnsi="Times New Roman"/>
          <w:noProof/>
          <w:sz w:val="24"/>
          <w:szCs w:val="24"/>
        </w:rPr>
        <w:t>, 1842–1851.</w:t>
      </w:r>
    </w:p>
    <w:p w14:paraId="33FD5288" w14:textId="455C41E1" w:rsidR="006A1721" w:rsidRPr="008550D5" w:rsidRDefault="006821D5" w:rsidP="006821D5">
      <w:pPr>
        <w:widowControl w:val="0"/>
        <w:autoSpaceDE w:val="0"/>
        <w:autoSpaceDN w:val="0"/>
        <w:adjustRightInd w:val="0"/>
        <w:spacing w:after="0" w:line="360" w:lineRule="auto"/>
        <w:ind w:left="709" w:hanging="709"/>
        <w:jc w:val="both"/>
        <w:rPr>
          <w:rFonts w:asciiTheme="majorBidi" w:hAnsiTheme="majorBidi" w:cstheme="majorBidi"/>
          <w:sz w:val="24"/>
          <w:szCs w:val="24"/>
          <w:lang w:val="fi-FI"/>
        </w:rPr>
      </w:pPr>
      <w:r>
        <w:rPr>
          <w:rFonts w:asciiTheme="majorBidi" w:hAnsiTheme="majorBidi" w:cstheme="majorBidi"/>
          <w:sz w:val="24"/>
          <w:szCs w:val="24"/>
          <w:lang w:val="fi-FI"/>
        </w:rPr>
        <w:fldChar w:fldCharType="end"/>
      </w:r>
    </w:p>
    <w:sectPr w:rsidR="006A1721" w:rsidRPr="008550D5" w:rsidSect="00EA4448">
      <w:headerReference w:type="even" r:id="rId10"/>
      <w:headerReference w:type="default" r:id="rId11"/>
      <w:headerReference w:type="first" r:id="rId12"/>
      <w:type w:val="continuous"/>
      <w:pgSz w:w="11906" w:h="16838"/>
      <w:pgMar w:top="1440" w:right="141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A619F" w14:textId="77777777" w:rsidR="006B7082" w:rsidRDefault="006B7082" w:rsidP="006C77D3">
      <w:pPr>
        <w:spacing w:after="0" w:line="240" w:lineRule="auto"/>
      </w:pPr>
      <w:r>
        <w:separator/>
      </w:r>
    </w:p>
  </w:endnote>
  <w:endnote w:type="continuationSeparator" w:id="0">
    <w:p w14:paraId="0DFB038E" w14:textId="77777777" w:rsidR="006B7082" w:rsidRDefault="006B7082" w:rsidP="006C7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A97C2" w14:textId="77777777" w:rsidR="006B7082" w:rsidRDefault="006B7082" w:rsidP="006C77D3">
      <w:pPr>
        <w:spacing w:after="0" w:line="240" w:lineRule="auto"/>
      </w:pPr>
      <w:r>
        <w:separator/>
      </w:r>
    </w:p>
  </w:footnote>
  <w:footnote w:type="continuationSeparator" w:id="0">
    <w:p w14:paraId="26BEED1B" w14:textId="77777777" w:rsidR="006B7082" w:rsidRDefault="006B7082" w:rsidP="006C7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C5903" w14:textId="77777777" w:rsidR="00DE3B4E" w:rsidRDefault="00000000">
    <w:pPr>
      <w:pStyle w:val="Header"/>
    </w:pPr>
    <w:r>
      <w:rPr>
        <w:noProof/>
        <w:lang w:val="en-US"/>
      </w:rPr>
      <w:pict w14:anchorId="0C27AF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1" o:spid="_x0000_s1043" type="#_x0000_t75" style="position:absolute;margin-left:0;margin-top:0;width:351pt;height:329.6pt;z-index:-251660288;mso-position-horizontal:center;mso-position-horizontal-relative:margin;mso-position-vertical:center;mso-position-vertical-relative:margin" o:allowincell="f">
          <v:imagedata r:id="rId1" o:title="images" gain="19661f" blacklevel="22938f"/>
          <w10:wrap anchorx="margin" anchory="margin"/>
        </v:shape>
      </w:pict>
    </w:r>
  </w:p>
  <w:p w14:paraId="01AB2AE3" w14:textId="77777777" w:rsidR="000F69B6" w:rsidRDefault="000F69B6"/>
  <w:p w14:paraId="29CD277F" w14:textId="77777777" w:rsidR="000F69B6" w:rsidRDefault="000F69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1B71" w14:textId="77777777" w:rsidR="00F253E4" w:rsidRDefault="00F253E4">
    <w:pPr>
      <w:pStyle w:val="Header"/>
      <w:jc w:val="right"/>
      <w:rPr>
        <w:rFonts w:ascii="Times New Roman" w:hAnsi="Times New Roman"/>
        <w:noProof/>
        <w:sz w:val="24"/>
        <w:szCs w:val="24"/>
      </w:rPr>
    </w:pPr>
    <w:r w:rsidRPr="00F253E4">
      <w:rPr>
        <w:rFonts w:ascii="Times New Roman" w:hAnsi="Times New Roman"/>
        <w:sz w:val="24"/>
        <w:szCs w:val="24"/>
      </w:rPr>
      <w:fldChar w:fldCharType="begin"/>
    </w:r>
    <w:r w:rsidRPr="00F253E4">
      <w:rPr>
        <w:rFonts w:ascii="Times New Roman" w:hAnsi="Times New Roman"/>
        <w:sz w:val="24"/>
        <w:szCs w:val="24"/>
      </w:rPr>
      <w:instrText xml:space="preserve"> PAGE   \* MERGEFORMAT </w:instrText>
    </w:r>
    <w:r w:rsidRPr="00F253E4">
      <w:rPr>
        <w:rFonts w:ascii="Times New Roman" w:hAnsi="Times New Roman"/>
        <w:sz w:val="24"/>
        <w:szCs w:val="24"/>
      </w:rPr>
      <w:fldChar w:fldCharType="separate"/>
    </w:r>
    <w:r w:rsidR="007B16D9">
      <w:rPr>
        <w:rFonts w:ascii="Times New Roman" w:hAnsi="Times New Roman"/>
        <w:noProof/>
        <w:sz w:val="24"/>
        <w:szCs w:val="24"/>
      </w:rPr>
      <w:t>95</w:t>
    </w:r>
    <w:r w:rsidRPr="00F253E4">
      <w:rPr>
        <w:rFonts w:ascii="Times New Roman" w:hAnsi="Times New Roman"/>
        <w:noProof/>
        <w:sz w:val="24"/>
        <w:szCs w:val="24"/>
      </w:rPr>
      <w:fldChar w:fldCharType="end"/>
    </w:r>
  </w:p>
  <w:p w14:paraId="1E0CB497" w14:textId="77777777" w:rsidR="00A16BDF" w:rsidRPr="00F253E4" w:rsidRDefault="00A16BDF">
    <w:pPr>
      <w:pStyle w:val="Header"/>
      <w:jc w:val="right"/>
      <w:rPr>
        <w:rFonts w:ascii="Times New Roman" w:hAnsi="Times New Roman"/>
        <w:sz w:val="24"/>
        <w:szCs w:val="24"/>
      </w:rPr>
    </w:pPr>
  </w:p>
  <w:p w14:paraId="6878C5F7" w14:textId="124AE9AB" w:rsidR="00DE3B4E" w:rsidRPr="00DA5057" w:rsidRDefault="00D87CA6" w:rsidP="00A16BDF">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61312" behindDoc="0" locked="0" layoutInCell="0" allowOverlap="1" wp14:anchorId="69788C71" wp14:editId="17FE56EA">
              <wp:simplePos x="0" y="0"/>
              <wp:positionH relativeFrom="page">
                <wp:posOffset>6934200</wp:posOffset>
              </wp:positionH>
              <wp:positionV relativeFrom="page">
                <wp:posOffset>7788910</wp:posOffset>
              </wp:positionV>
              <wp:extent cx="532765" cy="218313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9788C71" id="Rectangle 3" o:spid="_x0000_s1026" style="position:absolute;left:0;text-align:left;margin-left:546pt;margin-top:613.3pt;width:41.95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" o:allowincell="f" filled="f" stroked="f">
              <v:textbox style="layout-flow:vertical;mso-layout-flow-alt:bottom-to-top;mso-fit-shape-to-text:t">
                <w:txbxContent>
                  <w:p w14:paraId="176BF000" w14:textId="77777777" w:rsidR="00F253E4" w:rsidRPr="005529A8" w:rsidRDefault="00F253E4" w:rsidP="00F253E4">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007B16D9" w:rsidRPr="007B16D9">
                      <w:rPr>
                        <w:rFonts w:ascii="Calibri Light" w:eastAsia="Times New Roman" w:hAnsi="Calibri Light"/>
                        <w:noProof/>
                        <w:sz w:val="44"/>
                        <w:szCs w:val="44"/>
                      </w:rPr>
                      <w:t>95</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00617BA0" w:rsidRPr="00617BA0">
      <w:rPr>
        <w:rFonts w:ascii="Times New Roman" w:eastAsia="Times New Roman" w:hAnsi="Times New Roman"/>
        <w:color w:val="000000"/>
        <w:sz w:val="20"/>
        <w:szCs w:val="20"/>
        <w:lang w:val="ms"/>
      </w:rPr>
      <w:t xml:space="preserve"> </w:t>
    </w:r>
    <w:r w:rsidR="00A73AD4">
      <w:rPr>
        <w:rFonts w:ascii="Cambria" w:hAnsi="Cambria"/>
        <w:noProof/>
        <w:sz w:val="14"/>
        <w:szCs w:val="20"/>
        <w:lang w:val="ms"/>
      </w:rPr>
      <w:t>Author names</w:t>
    </w:r>
    <w:r w:rsidR="00617BA0" w:rsidRPr="00617BA0">
      <w:rPr>
        <w:rFonts w:ascii="Cambria" w:hAnsi="Cambria"/>
        <w:noProof/>
        <w:sz w:val="14"/>
        <w:szCs w:val="20"/>
      </w:rPr>
      <w:t xml:space="preserve"> </w:t>
    </w:r>
    <w:r w:rsidR="00932C4B">
      <w:rPr>
        <w:rFonts w:ascii="Cambria" w:hAnsi="Cambria"/>
        <w:noProof/>
        <w:sz w:val="14"/>
        <w:szCs w:val="20"/>
      </w:rPr>
      <w:t>dkk</w:t>
    </w:r>
    <w:r w:rsidR="00A16BDF" w:rsidRPr="00A16BDF">
      <w:rPr>
        <w:rFonts w:ascii="Cambria" w:hAnsi="Cambria"/>
        <w:noProof/>
        <w:sz w:val="14"/>
        <w:szCs w:val="20"/>
      </w:rPr>
      <w:t xml:space="preserve"> </w:t>
    </w:r>
    <w:r w:rsidR="00F253E4" w:rsidRPr="005529A8">
      <w:rPr>
        <w:rFonts w:ascii="Cambria" w:eastAsia="Calisto MT" w:hAnsi="Cambria" w:cs="Calisto MT"/>
        <w:color w:val="000000"/>
        <w:sz w:val="14"/>
        <w:szCs w:val="20"/>
      </w:rPr>
      <w:t xml:space="preserve">/ </w:t>
    </w:r>
    <w:r w:rsidR="00F253E4" w:rsidRPr="005529A8">
      <w:rPr>
        <w:rFonts w:ascii="Cambria" w:hAnsi="Cambria" w:cs="Calibri"/>
        <w:sz w:val="14"/>
        <w:szCs w:val="20"/>
      </w:rPr>
      <w:t>Scientific Periodical of Public Health and Coastal</w:t>
    </w:r>
    <w:r w:rsidR="00B17824">
      <w:rPr>
        <w:rFonts w:ascii="Cambria" w:hAnsi="Cambria" w:cs="Calibri"/>
        <w:sz w:val="14"/>
        <w:szCs w:val="20"/>
        <w:lang w:val="en-US"/>
      </w:rPr>
      <w:t xml:space="preserve"> 4</w:t>
    </w:r>
    <w:r w:rsidR="00F253E4" w:rsidRPr="000C099D">
      <w:rPr>
        <w:rFonts w:ascii="Cambria" w:hAnsi="Cambria" w:cs="Calibri"/>
        <w:sz w:val="14"/>
        <w:szCs w:val="20"/>
      </w:rPr>
      <w:t>(2),202</w:t>
    </w:r>
    <w:r w:rsidR="00B17824">
      <w:rPr>
        <w:rFonts w:ascii="Cambria" w:hAnsi="Cambria" w:cs="Calibri"/>
        <w:sz w:val="14"/>
        <w:szCs w:val="20"/>
        <w:lang w:val="en-US"/>
      </w:rPr>
      <w:t>2</w:t>
    </w:r>
    <w:r w:rsidR="00D36BD1">
      <w:rPr>
        <w:rFonts w:ascii="Cambria" w:hAnsi="Cambria" w:cs="Calibri"/>
        <w:sz w:val="14"/>
        <w:szCs w:val="20"/>
      </w:rPr>
      <w:t>,</w:t>
    </w:r>
    <w:r w:rsidR="00F253E4" w:rsidRPr="000C099D">
      <w:rPr>
        <w:rFonts w:ascii="Cambria" w:hAnsi="Cambria" w:cs="Calibri"/>
        <w:sz w:val="14"/>
        <w:szCs w:val="20"/>
      </w:rPr>
      <w:t xml:space="preserve"> halaman</w:t>
    </w:r>
    <w:r w:rsidR="00F253E4" w:rsidRPr="005529A8">
      <w:rPr>
        <w:rFonts w:ascii="Cambria" w:hAnsi="Cambria" w:cs="Calibri"/>
        <w:sz w:val="14"/>
        <w:szCs w:val="20"/>
        <w:lang w:val="en-US"/>
      </w:rPr>
      <w:t xml:space="preserve"> </w:t>
    </w:r>
    <w:r w:rsidR="00932C4B">
      <w:rPr>
        <w:rFonts w:ascii="Cambria" w:hAnsi="Cambria" w:cs="Calibri"/>
        <w:sz w:val="14"/>
        <w:szCs w:val="20"/>
      </w:rPr>
      <w:t>87</w:t>
    </w:r>
    <w:r w:rsidR="00F253E4">
      <w:rPr>
        <w:rFonts w:ascii="Cambria" w:hAnsi="Cambria" w:cs="Calibri"/>
        <w:sz w:val="14"/>
        <w:szCs w:val="20"/>
      </w:rPr>
      <w:t>-</w:t>
    </w:r>
    <w:r w:rsidR="00000000">
      <w:rPr>
        <w:noProof/>
        <w:lang w:val="en-US"/>
      </w:rPr>
      <w:pict w14:anchorId="50B0B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42" o:spid="_x0000_s1044" type="#_x0000_t75" style="position:absolute;left:0;text-align:left;margin-left:0;margin-top:0;width:351pt;height:329.6pt;z-index:-251659264;mso-position-horizontal:center;mso-position-horizontal-relative:margin;mso-position-vertical:center;mso-position-vertical-relative:margin" o:allowincell="f">
          <v:imagedata r:id="rId1" o:title="images" gain="19661f" blacklevel="22938f"/>
          <w10:wrap anchorx="margin" anchory="margin"/>
        </v:shape>
      </w:pict>
    </w:r>
    <w:r w:rsidR="00DA5057">
      <w:rPr>
        <w:rFonts w:ascii="Cambria" w:hAnsi="Cambria" w:cs="Calibri"/>
        <w:sz w:val="14"/>
        <w:szCs w:val="20"/>
      </w:rPr>
      <w:t>9</w:t>
    </w:r>
    <w:r w:rsidR="00DA5057">
      <w:rPr>
        <w:rFonts w:ascii="Cambria" w:hAnsi="Cambria" w:cs="Calibri"/>
        <w:sz w:val="14"/>
        <w:szCs w:val="20"/>
        <w:lang w:val="en-US"/>
      </w:rPr>
      <w:t>9</w:t>
    </w:r>
    <w:r w:rsidR="00B364A3">
      <w:rPr>
        <w:rFonts w:ascii="Cambria" w:hAnsi="Cambria" w:cs="Calibri"/>
        <w:sz w:val="14"/>
        <w:szCs w:val="20"/>
        <w:lang w:val="en-US"/>
      </w:rPr>
      <w:t xml:space="preserve"> </w:t>
    </w:r>
    <w:r w:rsidR="00B364A3" w:rsidRPr="00B364A3">
      <w:rPr>
        <w:rFonts w:ascii="Cambria" w:hAnsi="Cambria" w:cs="Calibri"/>
        <w:sz w:val="14"/>
        <w:szCs w:val="20"/>
        <w:lang w:val="en-US"/>
      </w:rPr>
      <w:t>(1</w:t>
    </w:r>
    <w:r w:rsidR="00B364A3">
      <w:rPr>
        <w:rFonts w:ascii="Cambria" w:hAnsi="Cambria" w:cs="Calibri"/>
        <w:sz w:val="14"/>
        <w:szCs w:val="20"/>
        <w:lang w:val="en-US"/>
      </w:rPr>
      <w:t>0</w:t>
    </w:r>
    <w:r w:rsidR="00B364A3" w:rsidRPr="00B364A3">
      <w:rPr>
        <w:rFonts w:ascii="Cambria" w:hAnsi="Cambria" w:cs="Calibri"/>
        <w:sz w:val="14"/>
        <w:szCs w:val="20"/>
        <w:lang w:val="en-US"/>
      </w:rPr>
      <w:t xml:space="preserve">pt, all caps, </w:t>
    </w:r>
    <w:r w:rsidR="00B364A3">
      <w:rPr>
        <w:rFonts w:ascii="Cambria" w:hAnsi="Cambria" w:cs="Calibri"/>
        <w:sz w:val="14"/>
        <w:szCs w:val="20"/>
        <w:lang w:val="en-US"/>
      </w:rPr>
      <w:t>Cambria, Normal</w:t>
    </w:r>
    <w:r w:rsidR="00B364A3" w:rsidRPr="00B364A3">
      <w:rPr>
        <w:rFonts w:ascii="Cambria" w:hAnsi="Cambria" w:cs="Calibri"/>
        <w:sz w:val="14"/>
        <w:szCs w:val="20"/>
        <w:lang w:val="en-US"/>
      </w:rPr>
      <w:t>)</w:t>
    </w:r>
  </w:p>
  <w:p w14:paraId="2ED5FD5D" w14:textId="77777777" w:rsidR="000F69B6" w:rsidRDefault="000F69B6"/>
  <w:p w14:paraId="02940827" w14:textId="77777777" w:rsidR="000F69B6" w:rsidRDefault="000F69B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02F7" w14:textId="4DDE922C" w:rsidR="00EA4448" w:rsidRPr="0030258A" w:rsidRDefault="00EA4448" w:rsidP="00EA4448">
    <w:pPr>
      <w:spacing w:after="403" w:line="259" w:lineRule="auto"/>
      <w:rPr>
        <w:b/>
        <w:sz w:val="24"/>
        <w:lang w:val="en-US"/>
      </w:rPr>
    </w:pPr>
    <w:r>
      <w:rPr>
        <w:noProof/>
      </w:rPr>
      <mc:AlternateContent>
        <mc:Choice Requires="wps">
          <w:drawing>
            <wp:anchor distT="0" distB="0" distL="114300" distR="114300" simplePos="0" relativeHeight="251664384" behindDoc="0" locked="0" layoutInCell="0" allowOverlap="1" wp14:anchorId="2633D6E8" wp14:editId="5429423A">
              <wp:simplePos x="0" y="0"/>
              <wp:positionH relativeFrom="page">
                <wp:posOffset>6934200</wp:posOffset>
              </wp:positionH>
              <wp:positionV relativeFrom="page">
                <wp:posOffset>7788910</wp:posOffset>
              </wp:positionV>
              <wp:extent cx="532765" cy="218313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wps:spPr>
                    <wps:txbx>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33D6E8" id="Rectangle 30" o:spid="_x0000_s1027" style="position:absolute;margin-left:546pt;margin-top:613.3pt;width:41.95pt;height:171.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" o:allowincell="f" filled="f" stroked="f">
              <v:textbox style="layout-flow:vertical;mso-layout-flow-alt:bottom-to-top;mso-fit-shape-to-text:t">
                <w:txbxContent>
                  <w:p w14:paraId="7A1B6796" w14:textId="77777777" w:rsidR="00EA4448" w:rsidRPr="009C7B82" w:rsidRDefault="00EA4448" w:rsidP="00EA4448">
                    <w:pPr>
                      <w:pStyle w:val="Footer"/>
                      <w:rPr>
                        <w:rFonts w:ascii="Calibri Light" w:eastAsia="Times New Roman" w:hAnsi="Calibri Light"/>
                        <w:sz w:val="44"/>
                        <w:szCs w:val="44"/>
                      </w:rPr>
                    </w:pPr>
                    <w:r w:rsidRPr="009C7B82">
                      <w:rPr>
                        <w:rFonts w:ascii="Calibri Light" w:eastAsia="Times New Roman" w:hAnsi="Calibri Light"/>
                      </w:rPr>
                      <w:t>Page</w:t>
                    </w:r>
                    <w:r w:rsidRPr="009C7B82">
                      <w:rPr>
                        <w:rFonts w:eastAsia="Times New Roman"/>
                      </w:rPr>
                      <w:fldChar w:fldCharType="begin"/>
                    </w:r>
                    <w:r>
                      <w:instrText xml:space="preserve"> PAGE    \* MERGEFORMAT </w:instrText>
                    </w:r>
                    <w:r w:rsidRPr="009C7B82">
                      <w:rPr>
                        <w:rFonts w:eastAsia="Times New Roman"/>
                      </w:rPr>
                      <w:fldChar w:fldCharType="separate"/>
                    </w:r>
                    <w:r w:rsidRPr="007B16D9">
                      <w:rPr>
                        <w:rFonts w:ascii="Calibri Light" w:eastAsia="Times New Roman" w:hAnsi="Calibri Light"/>
                        <w:noProof/>
                        <w:sz w:val="44"/>
                        <w:szCs w:val="44"/>
                      </w:rPr>
                      <w:t>91</w:t>
                    </w:r>
                    <w:r w:rsidRPr="009C7B82">
                      <w:rPr>
                        <w:rFonts w:ascii="Calibri Light" w:eastAsia="Times New Roman" w:hAnsi="Calibri Light"/>
                        <w:noProof/>
                        <w:sz w:val="44"/>
                        <w:szCs w:val="44"/>
                      </w:rPr>
                      <w:fldChar w:fldCharType="end"/>
                    </w:r>
                  </w:p>
                </w:txbxContent>
              </v:textbox>
              <w10:wrap anchorx="page" anchory="page"/>
            </v:rect>
          </w:pict>
        </mc:Fallback>
      </mc:AlternateContent>
    </w:r>
    <w:r>
      <w:rPr>
        <w:noProof/>
      </w:rPr>
      <mc:AlternateContent>
        <mc:Choice Requires="wpg">
          <w:drawing>
            <wp:anchor distT="0" distB="0" distL="114300" distR="114300" simplePos="0" relativeHeight="251663360" behindDoc="0" locked="0" layoutInCell="1" allowOverlap="1" wp14:anchorId="2DC8596D" wp14:editId="39FB4E2C">
              <wp:simplePos x="0" y="0"/>
              <wp:positionH relativeFrom="column">
                <wp:posOffset>2118360</wp:posOffset>
              </wp:positionH>
              <wp:positionV relativeFrom="paragraph">
                <wp:posOffset>-183515</wp:posOffset>
              </wp:positionV>
              <wp:extent cx="4076700" cy="638175"/>
              <wp:effectExtent l="0" t="133350" r="190500" b="66675"/>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6700" cy="638175"/>
                        <a:chOff x="0" y="0"/>
                        <a:chExt cx="4076700" cy="638175"/>
                      </a:xfrm>
                    </wpg:grpSpPr>
                    <wps:wsp>
                      <wps:cNvPr id="24"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0861E027" w14:textId="77777777" w:rsidR="00EA4448" w:rsidRDefault="00EA4448" w:rsidP="00EA4448">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1"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wps:txbx>
                      <wps:bodyPr rot="0" vert="horz" wrap="square" lIns="91440" tIns="45720" rIns="91440" bIns="45720" anchor="t" anchorCtr="0" upright="1">
                        <a:noAutofit/>
                      </wps:bodyPr>
                    </wps:wsp>
                    <pic:pic xmlns:pic="http://schemas.openxmlformats.org/drawingml/2006/picture">
                      <pic:nvPicPr>
                        <pic:cNvPr id="26" name="Picture 4"/>
                        <pic:cNvPicPr>
                          <a:picLocks noChangeAspect="1" noChangeArrowheads="1"/>
                        </pic:cNvPicPr>
                      </pic:nvPicPr>
                      <pic:blipFill>
                        <a:blip r:embed="rId2"/>
                        <a:srcRect/>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pic:spPr>
                    </pic:pic>
                    <wps:wsp>
                      <wps:cNvPr id="28" name="Straight Connector 5"/>
                      <wps:cNvCnPr>
                        <a:cxnSpLocks noChangeShapeType="1"/>
                      </wps:cNvCnPr>
                      <wps:spPr bwMode="auto">
                        <a:xfrm flipV="1">
                          <a:off x="0" y="542925"/>
                          <a:ext cx="3667125" cy="0"/>
                        </a:xfrm>
                        <a:prstGeom prst="line">
                          <a:avLst/>
                        </a:prstGeom>
                        <a:noFill/>
                        <a:ln w="28575" algn="ctr">
                          <a:solidFill>
                            <a:srgbClr val="7030A0"/>
                          </a:solidFill>
                          <a:miter lim="800000"/>
                          <a:headEnd/>
                          <a:tailEnd/>
                        </a:ln>
                      </wps:spPr>
                      <wps:bodyPr/>
                    </wps:wsp>
                  </wpg:wgp>
                </a:graphicData>
              </a:graphic>
              <wp14:sizeRelH relativeFrom="page">
                <wp14:pctWidth>0</wp14:pctWidth>
              </wp14:sizeRelH>
              <wp14:sizeRelV relativeFrom="page">
                <wp14:pctHeight>0</wp14:pctHeight>
              </wp14:sizeRelV>
            </wp:anchor>
          </w:drawing>
        </mc:Choice>
        <mc:Fallback>
          <w:pict>
            <v:group w14:anchorId="2DC8596D" id="Group 22" o:spid="_x0000_s1028" style="position:absolute;margin-left:166.8pt;margin-top:-14.45pt;width:321pt;height:50.25pt;z-index:251663360"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">
              <v:shapetype id="_x0000_t202" coordsize="21600,21600" o:spt="202" path="m,l,21600r21600,l21600,xe">
                <v:stroke joinstyle="miter"/>
                <v:path gradientshapeok="t" o:connecttype="rect"/>
              </v:shapetype>
              <v:shape id="Text Box 12" o:spid="_x0000_s1029"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" strokecolor="white">
                <v:textbox>
                  <w:txbxContent>
                    <w:p w14:paraId="0861E027" w14:textId="77777777" w:rsidR="00EA4448" w:rsidRDefault="00EA4448" w:rsidP="00EA4448">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i/>
                          <w:w w:val="99"/>
                          <w:sz w:val="16"/>
                          <w:lang w:val="en-US"/>
                        </w:rPr>
                        <w:t>4</w:t>
                      </w:r>
                      <w:r w:rsidRPr="005F5B4A">
                        <w:rPr>
                          <w:i/>
                          <w:w w:val="99"/>
                          <w:sz w:val="16"/>
                        </w:rPr>
                        <w:t>(</w:t>
                      </w:r>
                      <w:r>
                        <w:rPr>
                          <w:i/>
                          <w:w w:val="99"/>
                          <w:sz w:val="16"/>
                        </w:rPr>
                        <w:t>2)(202</w:t>
                      </w:r>
                      <w:r>
                        <w:rPr>
                          <w:i/>
                          <w:w w:val="99"/>
                          <w:sz w:val="16"/>
                          <w:lang w:val="en-US"/>
                        </w:rPr>
                        <w:t>2</w:t>
                      </w:r>
                      <w:r w:rsidRPr="005F5B4A">
                        <w:rPr>
                          <w:i/>
                          <w:w w:val="99"/>
                          <w:sz w:val="16"/>
                        </w:rPr>
                        <w:t>)</w:t>
                      </w:r>
                    </w:p>
                    <w:p w14:paraId="2DE0F8FB" w14:textId="77777777" w:rsidR="00EA4448" w:rsidRPr="005F5B4A" w:rsidRDefault="00EA4448" w:rsidP="00EA4448">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3" w:history="1">
                        <w:r w:rsidRPr="00481FB2">
                          <w:rPr>
                            <w:rStyle w:val="Hyperlink"/>
                            <w:i/>
                            <w:w w:val="99"/>
                            <w:sz w:val="16"/>
                            <w:lang w:val="en-ID"/>
                          </w:rPr>
                          <w:t>http://jurnal.uinsu.ac.id/index.php/contagion</w:t>
                        </w:r>
                      </w:hyperlink>
                      <w:r>
                        <w:rPr>
                          <w:i/>
                          <w:w w:val="99"/>
                          <w:sz w:val="16"/>
                          <w:lang w:val="en-ID"/>
                        </w:rPr>
                        <w:t xml:space="preserve"> </w:t>
                      </w:r>
                    </w:p>
                    <w:p w14:paraId="2ABC9398" w14:textId="77777777" w:rsidR="00EA4448" w:rsidRPr="005F5B4A" w:rsidRDefault="00EA4448" w:rsidP="00EA4448">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0"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">
                <v:imagedata r:id="rId4" o:title=""/>
                <v:shadow on="t" type="perspective" color="black" opacity="19660f" origin="-.5,-.5" offset=".32197mm,.08628mm" matrix=",2098f,3741f,64225f"/>
              </v:shape>
              <v:line id="Straight Connector 5" o:spid="_x0000_s1031"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" strokecolor="#7030a0" strokeweight="2.25pt">
                <v:stroke joinstyle="miter"/>
              </v:line>
            </v:group>
          </w:pict>
        </mc:Fallback>
      </mc:AlternateContent>
    </w:r>
  </w:p>
  <w:p w14:paraId="6088FC1E" w14:textId="77777777" w:rsidR="00DE3B4E" w:rsidRDefault="00000000">
    <w:pPr>
      <w:pStyle w:val="Header"/>
    </w:pPr>
    <w:r>
      <w:rPr>
        <w:noProof/>
        <w:lang w:val="en-US"/>
      </w:rPr>
      <w:pict w14:anchorId="26E5CBA5">
        <v:shape id="WordPictureWatermark1248909440" o:spid="_x0000_s1042" type="#_x0000_t75" style="position:absolute;margin-left:0;margin-top:0;width:351pt;height:329.6pt;z-index:-251661312;mso-position-horizontal:center;mso-position-horizontal-relative:margin;mso-position-vertical:center;mso-position-vertical-relative:margin" o:allowincell="f">
          <v:imagedata r:id="rId5" o:title="images"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3C91"/>
    <w:multiLevelType w:val="multilevel"/>
    <w:tmpl w:val="77CE7C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2994376"/>
    <w:multiLevelType w:val="hybridMultilevel"/>
    <w:tmpl w:val="B8EE28BE"/>
    <w:lvl w:ilvl="0" w:tplc="EF14889E">
      <w:start w:val="2"/>
      <w:numFmt w:val="bullet"/>
      <w:lvlText w:val="-"/>
      <w:lvlJc w:val="left"/>
      <w:pPr>
        <w:ind w:left="720" w:hanging="360"/>
      </w:pPr>
      <w:rPr>
        <w:rFonts w:ascii="Calibri" w:eastAsia="Calibri" w:hAnsi="Calibri"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3CE271B"/>
    <w:multiLevelType w:val="hybridMultilevel"/>
    <w:tmpl w:val="A77E09EE"/>
    <w:lvl w:ilvl="0" w:tplc="7CCE7A06">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043D4068"/>
    <w:multiLevelType w:val="hybridMultilevel"/>
    <w:tmpl w:val="D57EECC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8F009D3"/>
    <w:multiLevelType w:val="hybridMultilevel"/>
    <w:tmpl w:val="439632C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0C2B6F0B"/>
    <w:multiLevelType w:val="hybridMultilevel"/>
    <w:tmpl w:val="A9DAA3EC"/>
    <w:lvl w:ilvl="0" w:tplc="76C8647E">
      <w:start w:val="1"/>
      <w:numFmt w:val="decimal"/>
      <w:lvlText w:val="%1."/>
      <w:lvlJc w:val="left"/>
      <w:pPr>
        <w:ind w:left="136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6" w15:restartNumberingAfterBreak="0">
    <w:nsid w:val="127C57F1"/>
    <w:multiLevelType w:val="hybridMultilevel"/>
    <w:tmpl w:val="A42CBBA4"/>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7" w15:restartNumberingAfterBreak="0">
    <w:nsid w:val="173570BA"/>
    <w:multiLevelType w:val="hybridMultilevel"/>
    <w:tmpl w:val="CB924750"/>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A6A7B06"/>
    <w:multiLevelType w:val="hybridMultilevel"/>
    <w:tmpl w:val="C5804F40"/>
    <w:lvl w:ilvl="0" w:tplc="D0D29EC4">
      <w:start w:val="1"/>
      <w:numFmt w:val="decimal"/>
      <w:lvlText w:val="%1."/>
      <w:lvlJc w:val="left"/>
      <w:pPr>
        <w:ind w:left="742" w:hanging="360"/>
      </w:pPr>
      <w:rPr>
        <w:rFonts w:ascii="Times New Roman" w:eastAsia="Times New Roman" w:hAnsi="Times New Roman" w:cs="Times New Roman" w:hint="default"/>
        <w:w w:val="100"/>
        <w:sz w:val="24"/>
        <w:szCs w:val="24"/>
        <w:lang w:val="id" w:eastAsia="en-US" w:bidi="ar-SA"/>
      </w:rPr>
    </w:lvl>
    <w:lvl w:ilvl="1" w:tplc="7398133C">
      <w:numFmt w:val="bullet"/>
      <w:lvlText w:val="•"/>
      <w:lvlJc w:val="left"/>
      <w:pPr>
        <w:ind w:left="1098" w:hanging="360"/>
      </w:pPr>
      <w:rPr>
        <w:rFonts w:hint="default"/>
        <w:lang w:val="id" w:eastAsia="en-US" w:bidi="ar-SA"/>
      </w:rPr>
    </w:lvl>
    <w:lvl w:ilvl="2" w:tplc="32E4B4B0">
      <w:numFmt w:val="bullet"/>
      <w:lvlText w:val="•"/>
      <w:lvlJc w:val="left"/>
      <w:pPr>
        <w:ind w:left="1456" w:hanging="360"/>
      </w:pPr>
      <w:rPr>
        <w:rFonts w:hint="default"/>
        <w:lang w:val="id" w:eastAsia="en-US" w:bidi="ar-SA"/>
      </w:rPr>
    </w:lvl>
    <w:lvl w:ilvl="3" w:tplc="6E66C5BA">
      <w:numFmt w:val="bullet"/>
      <w:lvlText w:val="•"/>
      <w:lvlJc w:val="left"/>
      <w:pPr>
        <w:ind w:left="1814" w:hanging="360"/>
      </w:pPr>
      <w:rPr>
        <w:rFonts w:hint="default"/>
        <w:lang w:val="id" w:eastAsia="en-US" w:bidi="ar-SA"/>
      </w:rPr>
    </w:lvl>
    <w:lvl w:ilvl="4" w:tplc="EFA29F1C">
      <w:numFmt w:val="bullet"/>
      <w:lvlText w:val="•"/>
      <w:lvlJc w:val="left"/>
      <w:pPr>
        <w:ind w:left="2172" w:hanging="360"/>
      </w:pPr>
      <w:rPr>
        <w:rFonts w:hint="default"/>
        <w:lang w:val="id" w:eastAsia="en-US" w:bidi="ar-SA"/>
      </w:rPr>
    </w:lvl>
    <w:lvl w:ilvl="5" w:tplc="5C22F268">
      <w:numFmt w:val="bullet"/>
      <w:lvlText w:val="•"/>
      <w:lvlJc w:val="left"/>
      <w:pPr>
        <w:ind w:left="2531" w:hanging="360"/>
      </w:pPr>
      <w:rPr>
        <w:rFonts w:hint="default"/>
        <w:lang w:val="id" w:eastAsia="en-US" w:bidi="ar-SA"/>
      </w:rPr>
    </w:lvl>
    <w:lvl w:ilvl="6" w:tplc="2760F27C">
      <w:numFmt w:val="bullet"/>
      <w:lvlText w:val="•"/>
      <w:lvlJc w:val="left"/>
      <w:pPr>
        <w:ind w:left="2889" w:hanging="360"/>
      </w:pPr>
      <w:rPr>
        <w:rFonts w:hint="default"/>
        <w:lang w:val="id" w:eastAsia="en-US" w:bidi="ar-SA"/>
      </w:rPr>
    </w:lvl>
    <w:lvl w:ilvl="7" w:tplc="1792890C">
      <w:numFmt w:val="bullet"/>
      <w:lvlText w:val="•"/>
      <w:lvlJc w:val="left"/>
      <w:pPr>
        <w:ind w:left="3247" w:hanging="360"/>
      </w:pPr>
      <w:rPr>
        <w:rFonts w:hint="default"/>
        <w:lang w:val="id" w:eastAsia="en-US" w:bidi="ar-SA"/>
      </w:rPr>
    </w:lvl>
    <w:lvl w:ilvl="8" w:tplc="31981F40">
      <w:numFmt w:val="bullet"/>
      <w:lvlText w:val="•"/>
      <w:lvlJc w:val="left"/>
      <w:pPr>
        <w:ind w:left="3605" w:hanging="360"/>
      </w:pPr>
      <w:rPr>
        <w:rFonts w:hint="default"/>
        <w:lang w:val="id" w:eastAsia="en-US" w:bidi="ar-SA"/>
      </w:rPr>
    </w:lvl>
  </w:abstractNum>
  <w:abstractNum w:abstractNumId="9" w15:restartNumberingAfterBreak="0">
    <w:nsid w:val="1F3D1ED1"/>
    <w:multiLevelType w:val="hybridMultilevel"/>
    <w:tmpl w:val="8C2879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04E0399"/>
    <w:multiLevelType w:val="hybridMultilevel"/>
    <w:tmpl w:val="D6668348"/>
    <w:lvl w:ilvl="0" w:tplc="76C8647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20EC2912"/>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45C18CD"/>
    <w:multiLevelType w:val="hybridMultilevel"/>
    <w:tmpl w:val="6526E7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7C6203"/>
    <w:multiLevelType w:val="hybridMultilevel"/>
    <w:tmpl w:val="38AA5058"/>
    <w:lvl w:ilvl="0" w:tplc="A9E2DBFC">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347966"/>
    <w:multiLevelType w:val="hybridMultilevel"/>
    <w:tmpl w:val="D0D2A65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2AAC4E29"/>
    <w:multiLevelType w:val="hybridMultilevel"/>
    <w:tmpl w:val="7036552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B760B25"/>
    <w:multiLevelType w:val="hybridMultilevel"/>
    <w:tmpl w:val="7D6ACCAE"/>
    <w:lvl w:ilvl="0" w:tplc="51C2D50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2B9E7CBC"/>
    <w:multiLevelType w:val="hybridMultilevel"/>
    <w:tmpl w:val="35209B12"/>
    <w:lvl w:ilvl="0" w:tplc="6728021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8" w15:restartNumberingAfterBreak="0">
    <w:nsid w:val="2DE56F21"/>
    <w:multiLevelType w:val="hybridMultilevel"/>
    <w:tmpl w:val="2FE49A44"/>
    <w:lvl w:ilvl="0" w:tplc="67280214">
      <w:start w:val="1"/>
      <w:numFmt w:val="lowerLetter"/>
      <w:lvlText w:val="%1."/>
      <w:lvlJc w:val="left"/>
      <w:pPr>
        <w:ind w:left="928"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9" w15:restartNumberingAfterBreak="0">
    <w:nsid w:val="2DFE12C7"/>
    <w:multiLevelType w:val="hybridMultilevel"/>
    <w:tmpl w:val="1CD2E540"/>
    <w:lvl w:ilvl="0" w:tplc="8572EE9E">
      <w:start w:val="1"/>
      <w:numFmt w:val="upperLetter"/>
      <w:lvlText w:val="%1."/>
      <w:lvlJc w:val="left"/>
      <w:pPr>
        <w:ind w:left="466" w:hanging="285"/>
        <w:jc w:val="right"/>
      </w:pPr>
      <w:rPr>
        <w:rFonts w:ascii="Times New Roman" w:eastAsia="Times New Roman" w:hAnsi="Times New Roman" w:cs="Times New Roman" w:hint="default"/>
        <w:i w:val="0"/>
        <w:iCs/>
        <w:spacing w:val="-1"/>
        <w:w w:val="99"/>
        <w:sz w:val="24"/>
        <w:szCs w:val="24"/>
        <w:lang w:val="id" w:eastAsia="en-US" w:bidi="ar-SA"/>
      </w:rPr>
    </w:lvl>
    <w:lvl w:ilvl="1" w:tplc="4EB88266">
      <w:start w:val="1"/>
      <w:numFmt w:val="decimal"/>
      <w:lvlText w:val="%2."/>
      <w:lvlJc w:val="left"/>
      <w:pPr>
        <w:ind w:left="705" w:hanging="181"/>
        <w:jc w:val="right"/>
      </w:pPr>
      <w:rPr>
        <w:rFonts w:hint="default"/>
        <w:i w:val="0"/>
        <w:iCs w:val="0"/>
        <w:w w:val="100"/>
        <w:lang w:val="id" w:eastAsia="en-US" w:bidi="ar-SA"/>
      </w:rPr>
    </w:lvl>
    <w:lvl w:ilvl="2" w:tplc="CA4C6DA6">
      <w:start w:val="1"/>
      <w:numFmt w:val="upperLetter"/>
      <w:lvlText w:val="%3."/>
      <w:lvlJc w:val="left"/>
      <w:pPr>
        <w:ind w:left="824" w:hanging="360"/>
        <w:jc w:val="right"/>
      </w:pPr>
      <w:rPr>
        <w:rFonts w:hint="default"/>
        <w:spacing w:val="-1"/>
        <w:w w:val="99"/>
        <w:lang w:val="id" w:eastAsia="en-US" w:bidi="ar-SA"/>
      </w:rPr>
    </w:lvl>
    <w:lvl w:ilvl="3" w:tplc="198A1A94">
      <w:numFmt w:val="bullet"/>
      <w:lvlText w:val="•"/>
      <w:lvlJc w:val="left"/>
      <w:pPr>
        <w:ind w:left="820" w:hanging="360"/>
      </w:pPr>
      <w:rPr>
        <w:rFonts w:hint="default"/>
        <w:lang w:val="id" w:eastAsia="en-US" w:bidi="ar-SA"/>
      </w:rPr>
    </w:lvl>
    <w:lvl w:ilvl="4" w:tplc="F9A495C0">
      <w:numFmt w:val="bullet"/>
      <w:lvlText w:val="•"/>
      <w:lvlJc w:val="left"/>
      <w:pPr>
        <w:ind w:left="658" w:hanging="360"/>
      </w:pPr>
      <w:rPr>
        <w:rFonts w:hint="default"/>
        <w:lang w:val="id" w:eastAsia="en-US" w:bidi="ar-SA"/>
      </w:rPr>
    </w:lvl>
    <w:lvl w:ilvl="5" w:tplc="823CA6A8">
      <w:numFmt w:val="bullet"/>
      <w:lvlText w:val="•"/>
      <w:lvlJc w:val="left"/>
      <w:pPr>
        <w:ind w:left="497" w:hanging="360"/>
      </w:pPr>
      <w:rPr>
        <w:rFonts w:hint="default"/>
        <w:lang w:val="id" w:eastAsia="en-US" w:bidi="ar-SA"/>
      </w:rPr>
    </w:lvl>
    <w:lvl w:ilvl="6" w:tplc="2B7A4DBA">
      <w:numFmt w:val="bullet"/>
      <w:lvlText w:val="•"/>
      <w:lvlJc w:val="left"/>
      <w:pPr>
        <w:ind w:left="336" w:hanging="360"/>
      </w:pPr>
      <w:rPr>
        <w:rFonts w:hint="default"/>
        <w:lang w:val="id" w:eastAsia="en-US" w:bidi="ar-SA"/>
      </w:rPr>
    </w:lvl>
    <w:lvl w:ilvl="7" w:tplc="4392921A">
      <w:numFmt w:val="bullet"/>
      <w:lvlText w:val="•"/>
      <w:lvlJc w:val="left"/>
      <w:pPr>
        <w:ind w:left="175" w:hanging="360"/>
      </w:pPr>
      <w:rPr>
        <w:rFonts w:hint="default"/>
        <w:lang w:val="id" w:eastAsia="en-US" w:bidi="ar-SA"/>
      </w:rPr>
    </w:lvl>
    <w:lvl w:ilvl="8" w:tplc="79227190">
      <w:numFmt w:val="bullet"/>
      <w:lvlText w:val="•"/>
      <w:lvlJc w:val="left"/>
      <w:pPr>
        <w:ind w:left="14" w:hanging="360"/>
      </w:pPr>
      <w:rPr>
        <w:rFonts w:hint="default"/>
        <w:lang w:val="id" w:eastAsia="en-US" w:bidi="ar-SA"/>
      </w:rPr>
    </w:lvl>
  </w:abstractNum>
  <w:abstractNum w:abstractNumId="20" w15:restartNumberingAfterBreak="0">
    <w:nsid w:val="336F589C"/>
    <w:multiLevelType w:val="hybridMultilevel"/>
    <w:tmpl w:val="20527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E76F3E"/>
    <w:multiLevelType w:val="hybridMultilevel"/>
    <w:tmpl w:val="755E0DB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35096ABE"/>
    <w:multiLevelType w:val="hybridMultilevel"/>
    <w:tmpl w:val="F5545BFE"/>
    <w:lvl w:ilvl="0" w:tplc="D8326DE2">
      <w:start w:val="1"/>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15:restartNumberingAfterBreak="0">
    <w:nsid w:val="35DD142B"/>
    <w:multiLevelType w:val="hybridMultilevel"/>
    <w:tmpl w:val="5F2ECB2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36006F05"/>
    <w:multiLevelType w:val="hybridMultilevel"/>
    <w:tmpl w:val="B81241DC"/>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362A25B7"/>
    <w:multiLevelType w:val="hybridMultilevel"/>
    <w:tmpl w:val="38C66C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A04AD6"/>
    <w:multiLevelType w:val="hybridMultilevel"/>
    <w:tmpl w:val="534AB0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C6C3235"/>
    <w:multiLevelType w:val="hybridMultilevel"/>
    <w:tmpl w:val="97D69410"/>
    <w:lvl w:ilvl="0" w:tplc="8CD65724">
      <w:start w:val="1"/>
      <w:numFmt w:val="decimal"/>
      <w:lvlText w:val="4. %1."/>
      <w:lvlJc w:val="left"/>
      <w:pPr>
        <w:ind w:left="828"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41842B67"/>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9" w15:restartNumberingAfterBreak="0">
    <w:nsid w:val="4CB20DC5"/>
    <w:multiLevelType w:val="hybridMultilevel"/>
    <w:tmpl w:val="B3ECFBF8"/>
    <w:lvl w:ilvl="0" w:tplc="1276BA8A">
      <w:start w:val="1"/>
      <w:numFmt w:val="decimal"/>
      <w:lvlText w:val="%1."/>
      <w:lvlJc w:val="left"/>
      <w:pPr>
        <w:ind w:left="502"/>
      </w:pPr>
      <w:rPr>
        <w:rFonts w:ascii="Cambria" w:eastAsia="Calibri" w:hAnsi="Cambria" w:cs="Times New Roman"/>
        <w:b w:val="0"/>
        <w:i w:val="0"/>
        <w:strike w:val="0"/>
        <w:dstrike w:val="0"/>
        <w:color w:val="000000"/>
        <w:sz w:val="20"/>
        <w:szCs w:val="18"/>
        <w:u w:val="none" w:color="000000"/>
        <w:bdr w:val="none" w:sz="0" w:space="0" w:color="auto"/>
        <w:shd w:val="clear" w:color="auto" w:fill="auto"/>
        <w:vertAlign w:val="baseline"/>
      </w:rPr>
    </w:lvl>
    <w:lvl w:ilvl="1" w:tplc="1D721C70">
      <w:start w:val="1"/>
      <w:numFmt w:val="lowerLetter"/>
      <w:lvlText w:val="%2"/>
      <w:lvlJc w:val="left"/>
      <w:pPr>
        <w:ind w:left="12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2" w:tplc="6CB0315C">
      <w:start w:val="1"/>
      <w:numFmt w:val="lowerRoman"/>
      <w:lvlText w:val="%3"/>
      <w:lvlJc w:val="left"/>
      <w:pPr>
        <w:ind w:left="19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3" w:tplc="EEE43E2C">
      <w:start w:val="1"/>
      <w:numFmt w:val="decimal"/>
      <w:lvlText w:val="%4"/>
      <w:lvlJc w:val="left"/>
      <w:pPr>
        <w:ind w:left="266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AB4E3ED8">
      <w:start w:val="1"/>
      <w:numFmt w:val="lowerLetter"/>
      <w:lvlText w:val="%5"/>
      <w:lvlJc w:val="left"/>
      <w:pPr>
        <w:ind w:left="338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5" w:tplc="32544A38">
      <w:start w:val="1"/>
      <w:numFmt w:val="lowerRoman"/>
      <w:lvlText w:val="%6"/>
      <w:lvlJc w:val="left"/>
      <w:pPr>
        <w:ind w:left="410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6" w:tplc="B47A23BE">
      <w:start w:val="1"/>
      <w:numFmt w:val="decimal"/>
      <w:lvlText w:val="%7"/>
      <w:lvlJc w:val="left"/>
      <w:pPr>
        <w:ind w:left="482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A3E06258">
      <w:start w:val="1"/>
      <w:numFmt w:val="lowerLetter"/>
      <w:lvlText w:val="%8"/>
      <w:lvlJc w:val="left"/>
      <w:pPr>
        <w:ind w:left="5542"/>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8" w:tplc="67940944">
      <w:start w:val="1"/>
      <w:numFmt w:val="lowerRoman"/>
      <w:lvlText w:val="%9"/>
      <w:lvlJc w:val="left"/>
      <w:pPr>
        <w:ind w:left="6262"/>
      </w:pPr>
      <w:rPr>
        <w:rFonts w:ascii="Arial" w:eastAsia="Arial" w:hAnsi="Arial" w:cs="Arial"/>
        <w:b w:val="0"/>
        <w:i w:val="0"/>
        <w:strike w:val="0"/>
        <w:dstrike w:val="0"/>
        <w:color w:val="000000"/>
        <w:sz w:val="22"/>
        <w:u w:val="none" w:color="000000"/>
        <w:bdr w:val="none" w:sz="0" w:space="0" w:color="auto"/>
        <w:shd w:val="clear" w:color="auto" w:fill="auto"/>
        <w:vertAlign w:val="baseline"/>
      </w:rPr>
    </w:lvl>
  </w:abstractNum>
  <w:abstractNum w:abstractNumId="30" w15:restartNumberingAfterBreak="0">
    <w:nsid w:val="53C1493F"/>
    <w:multiLevelType w:val="hybridMultilevel"/>
    <w:tmpl w:val="B20609F0"/>
    <w:lvl w:ilvl="0" w:tplc="38D83362">
      <w:numFmt w:val="bullet"/>
      <w:lvlText w:val="•"/>
      <w:lvlJc w:val="left"/>
      <w:pPr>
        <w:ind w:left="720" w:hanging="360"/>
      </w:pPr>
      <w:rPr>
        <w:rFonts w:ascii="Times New Roman" w:eastAsia="BatangChe"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1" w15:restartNumberingAfterBreak="0">
    <w:nsid w:val="544818A9"/>
    <w:multiLevelType w:val="multilevel"/>
    <w:tmpl w:val="651C439C"/>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2" w15:restartNumberingAfterBreak="0">
    <w:nsid w:val="54D363C7"/>
    <w:multiLevelType w:val="hybridMultilevel"/>
    <w:tmpl w:val="5080CD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8644D2D"/>
    <w:multiLevelType w:val="hybridMultilevel"/>
    <w:tmpl w:val="1DA83A9E"/>
    <w:lvl w:ilvl="0" w:tplc="518869A8">
      <w:start w:val="7"/>
      <w:numFmt w:val="upperLetter"/>
      <w:lvlText w:val="%1."/>
      <w:lvlJc w:val="left"/>
      <w:pPr>
        <w:ind w:left="474" w:hanging="294"/>
      </w:pPr>
      <w:rPr>
        <w:rFonts w:ascii="Times New Roman" w:eastAsia="Times New Roman" w:hAnsi="Times New Roman" w:cs="Times New Roman" w:hint="default"/>
        <w:w w:val="99"/>
        <w:sz w:val="24"/>
        <w:szCs w:val="24"/>
        <w:lang w:val="id" w:eastAsia="en-US" w:bidi="ar-SA"/>
      </w:rPr>
    </w:lvl>
    <w:lvl w:ilvl="1" w:tplc="F0A813A4">
      <w:numFmt w:val="bullet"/>
      <w:lvlText w:val="•"/>
      <w:lvlJc w:val="left"/>
      <w:pPr>
        <w:ind w:left="856" w:hanging="294"/>
      </w:pPr>
      <w:rPr>
        <w:rFonts w:hint="default"/>
        <w:lang w:val="id" w:eastAsia="en-US" w:bidi="ar-SA"/>
      </w:rPr>
    </w:lvl>
    <w:lvl w:ilvl="2" w:tplc="E10E6C54">
      <w:numFmt w:val="bullet"/>
      <w:lvlText w:val="•"/>
      <w:lvlJc w:val="left"/>
      <w:pPr>
        <w:ind w:left="1233" w:hanging="294"/>
      </w:pPr>
      <w:rPr>
        <w:rFonts w:hint="default"/>
        <w:lang w:val="id" w:eastAsia="en-US" w:bidi="ar-SA"/>
      </w:rPr>
    </w:lvl>
    <w:lvl w:ilvl="3" w:tplc="35A8D438">
      <w:numFmt w:val="bullet"/>
      <w:lvlText w:val="•"/>
      <w:lvlJc w:val="left"/>
      <w:pPr>
        <w:ind w:left="1610" w:hanging="294"/>
      </w:pPr>
      <w:rPr>
        <w:rFonts w:hint="default"/>
        <w:lang w:val="id" w:eastAsia="en-US" w:bidi="ar-SA"/>
      </w:rPr>
    </w:lvl>
    <w:lvl w:ilvl="4" w:tplc="F80C9E7C">
      <w:numFmt w:val="bullet"/>
      <w:lvlText w:val="•"/>
      <w:lvlJc w:val="left"/>
      <w:pPr>
        <w:ind w:left="1987" w:hanging="294"/>
      </w:pPr>
      <w:rPr>
        <w:rFonts w:hint="default"/>
        <w:lang w:val="id" w:eastAsia="en-US" w:bidi="ar-SA"/>
      </w:rPr>
    </w:lvl>
    <w:lvl w:ilvl="5" w:tplc="7A3A72A2">
      <w:numFmt w:val="bullet"/>
      <w:lvlText w:val="•"/>
      <w:lvlJc w:val="left"/>
      <w:pPr>
        <w:ind w:left="2364" w:hanging="294"/>
      </w:pPr>
      <w:rPr>
        <w:rFonts w:hint="default"/>
        <w:lang w:val="id" w:eastAsia="en-US" w:bidi="ar-SA"/>
      </w:rPr>
    </w:lvl>
    <w:lvl w:ilvl="6" w:tplc="28EE9360">
      <w:numFmt w:val="bullet"/>
      <w:lvlText w:val="•"/>
      <w:lvlJc w:val="left"/>
      <w:pPr>
        <w:ind w:left="2740" w:hanging="294"/>
      </w:pPr>
      <w:rPr>
        <w:rFonts w:hint="default"/>
        <w:lang w:val="id" w:eastAsia="en-US" w:bidi="ar-SA"/>
      </w:rPr>
    </w:lvl>
    <w:lvl w:ilvl="7" w:tplc="42AAD2C4">
      <w:numFmt w:val="bullet"/>
      <w:lvlText w:val="•"/>
      <w:lvlJc w:val="left"/>
      <w:pPr>
        <w:ind w:left="3117" w:hanging="294"/>
      </w:pPr>
      <w:rPr>
        <w:rFonts w:hint="default"/>
        <w:lang w:val="id" w:eastAsia="en-US" w:bidi="ar-SA"/>
      </w:rPr>
    </w:lvl>
    <w:lvl w:ilvl="8" w:tplc="59C8DD9A">
      <w:numFmt w:val="bullet"/>
      <w:lvlText w:val="•"/>
      <w:lvlJc w:val="left"/>
      <w:pPr>
        <w:ind w:left="3494" w:hanging="294"/>
      </w:pPr>
      <w:rPr>
        <w:rFonts w:hint="default"/>
        <w:lang w:val="id" w:eastAsia="en-US" w:bidi="ar-SA"/>
      </w:rPr>
    </w:lvl>
  </w:abstractNum>
  <w:abstractNum w:abstractNumId="34" w15:restartNumberingAfterBreak="0">
    <w:nsid w:val="5D8B5EE5"/>
    <w:multiLevelType w:val="hybridMultilevel"/>
    <w:tmpl w:val="9120F770"/>
    <w:lvl w:ilvl="0" w:tplc="1C786B78">
      <w:start w:val="1"/>
      <w:numFmt w:val="upperLetter"/>
      <w:lvlText w:val="%1."/>
      <w:lvlJc w:val="left"/>
      <w:pPr>
        <w:ind w:left="607" w:hanging="360"/>
      </w:pPr>
      <w:rPr>
        <w:rFonts w:ascii="Times New Roman" w:eastAsia="Times New Roman" w:hAnsi="Times New Roman" w:cs="Times New Roman" w:hint="default"/>
        <w:spacing w:val="-1"/>
        <w:w w:val="99"/>
        <w:sz w:val="24"/>
        <w:szCs w:val="24"/>
        <w:lang w:val="id" w:eastAsia="en-US" w:bidi="ar-SA"/>
      </w:rPr>
    </w:lvl>
    <w:lvl w:ilvl="1" w:tplc="5DE6D26E">
      <w:start w:val="1"/>
      <w:numFmt w:val="decimal"/>
      <w:lvlText w:val="%2."/>
      <w:lvlJc w:val="left"/>
      <w:pPr>
        <w:ind w:left="891" w:hanging="361"/>
        <w:jc w:val="right"/>
      </w:pPr>
      <w:rPr>
        <w:rFonts w:ascii="Times New Roman" w:eastAsia="Times New Roman" w:hAnsi="Times New Roman" w:cs="Times New Roman" w:hint="default"/>
        <w:w w:val="100"/>
        <w:sz w:val="24"/>
        <w:szCs w:val="24"/>
        <w:lang w:val="id" w:eastAsia="en-US" w:bidi="ar-SA"/>
      </w:rPr>
    </w:lvl>
    <w:lvl w:ilvl="2" w:tplc="53565DB2">
      <w:numFmt w:val="bullet"/>
      <w:lvlText w:val="•"/>
      <w:lvlJc w:val="left"/>
      <w:pPr>
        <w:ind w:left="1271" w:hanging="361"/>
      </w:pPr>
      <w:rPr>
        <w:rFonts w:hint="default"/>
        <w:lang w:val="id" w:eastAsia="en-US" w:bidi="ar-SA"/>
      </w:rPr>
    </w:lvl>
    <w:lvl w:ilvl="3" w:tplc="D0E2EE1C">
      <w:numFmt w:val="bullet"/>
      <w:lvlText w:val="•"/>
      <w:lvlJc w:val="left"/>
      <w:pPr>
        <w:ind w:left="1643" w:hanging="361"/>
      </w:pPr>
      <w:rPr>
        <w:rFonts w:hint="default"/>
        <w:lang w:val="id" w:eastAsia="en-US" w:bidi="ar-SA"/>
      </w:rPr>
    </w:lvl>
    <w:lvl w:ilvl="4" w:tplc="34502B3C">
      <w:numFmt w:val="bullet"/>
      <w:lvlText w:val="•"/>
      <w:lvlJc w:val="left"/>
      <w:pPr>
        <w:ind w:left="2015" w:hanging="361"/>
      </w:pPr>
      <w:rPr>
        <w:rFonts w:hint="default"/>
        <w:lang w:val="id" w:eastAsia="en-US" w:bidi="ar-SA"/>
      </w:rPr>
    </w:lvl>
    <w:lvl w:ilvl="5" w:tplc="17FA52DC">
      <w:numFmt w:val="bullet"/>
      <w:lvlText w:val="•"/>
      <w:lvlJc w:val="left"/>
      <w:pPr>
        <w:ind w:left="2387" w:hanging="361"/>
      </w:pPr>
      <w:rPr>
        <w:rFonts w:hint="default"/>
        <w:lang w:val="id" w:eastAsia="en-US" w:bidi="ar-SA"/>
      </w:rPr>
    </w:lvl>
    <w:lvl w:ilvl="6" w:tplc="5BDEA61C">
      <w:numFmt w:val="bullet"/>
      <w:lvlText w:val="•"/>
      <w:lvlJc w:val="left"/>
      <w:pPr>
        <w:ind w:left="2759" w:hanging="361"/>
      </w:pPr>
      <w:rPr>
        <w:rFonts w:hint="default"/>
        <w:lang w:val="id" w:eastAsia="en-US" w:bidi="ar-SA"/>
      </w:rPr>
    </w:lvl>
    <w:lvl w:ilvl="7" w:tplc="0CF0C6AE">
      <w:numFmt w:val="bullet"/>
      <w:lvlText w:val="•"/>
      <w:lvlJc w:val="left"/>
      <w:pPr>
        <w:ind w:left="3131" w:hanging="361"/>
      </w:pPr>
      <w:rPr>
        <w:rFonts w:hint="default"/>
        <w:lang w:val="id" w:eastAsia="en-US" w:bidi="ar-SA"/>
      </w:rPr>
    </w:lvl>
    <w:lvl w:ilvl="8" w:tplc="7BA4E842">
      <w:numFmt w:val="bullet"/>
      <w:lvlText w:val="•"/>
      <w:lvlJc w:val="left"/>
      <w:pPr>
        <w:ind w:left="3502" w:hanging="361"/>
      </w:pPr>
      <w:rPr>
        <w:rFonts w:hint="default"/>
        <w:lang w:val="id" w:eastAsia="en-US" w:bidi="ar-SA"/>
      </w:rPr>
    </w:lvl>
  </w:abstractNum>
  <w:abstractNum w:abstractNumId="35" w15:restartNumberingAfterBreak="0">
    <w:nsid w:val="615A78B5"/>
    <w:multiLevelType w:val="hybridMultilevel"/>
    <w:tmpl w:val="4022A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A36A51"/>
    <w:multiLevelType w:val="hybridMultilevel"/>
    <w:tmpl w:val="C43A7D14"/>
    <w:lvl w:ilvl="0" w:tplc="E6FCE228">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A8534C3"/>
    <w:multiLevelType w:val="multilevel"/>
    <w:tmpl w:val="B010DC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CC515C9"/>
    <w:multiLevelType w:val="hybridMultilevel"/>
    <w:tmpl w:val="FD4A8828"/>
    <w:lvl w:ilvl="0" w:tplc="755E174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2F056D"/>
    <w:multiLevelType w:val="hybridMultilevel"/>
    <w:tmpl w:val="703655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5E5FE8"/>
    <w:multiLevelType w:val="hybridMultilevel"/>
    <w:tmpl w:val="B2A6F6DE"/>
    <w:lvl w:ilvl="0" w:tplc="0421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6863BB4"/>
    <w:multiLevelType w:val="multilevel"/>
    <w:tmpl w:val="599289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7A376498"/>
    <w:multiLevelType w:val="hybridMultilevel"/>
    <w:tmpl w:val="E730B91C"/>
    <w:lvl w:ilvl="0" w:tplc="FFFFFFFF">
      <w:start w:val="1"/>
      <w:numFmt w:val="decimal"/>
      <w:lvlText w:val="%1."/>
      <w:lvlJc w:val="left"/>
      <w:pPr>
        <w:ind w:left="1296" w:hanging="360"/>
      </w:pPr>
    </w:lvl>
    <w:lvl w:ilvl="1" w:tplc="38090019" w:tentative="1">
      <w:start w:val="1"/>
      <w:numFmt w:val="lowerLetter"/>
      <w:lvlText w:val="%2."/>
      <w:lvlJc w:val="left"/>
      <w:pPr>
        <w:ind w:left="2016" w:hanging="360"/>
      </w:pPr>
    </w:lvl>
    <w:lvl w:ilvl="2" w:tplc="3809001B" w:tentative="1">
      <w:start w:val="1"/>
      <w:numFmt w:val="lowerRoman"/>
      <w:lvlText w:val="%3."/>
      <w:lvlJc w:val="right"/>
      <w:pPr>
        <w:ind w:left="2736" w:hanging="180"/>
      </w:pPr>
    </w:lvl>
    <w:lvl w:ilvl="3" w:tplc="3809000F" w:tentative="1">
      <w:start w:val="1"/>
      <w:numFmt w:val="decimal"/>
      <w:lvlText w:val="%4."/>
      <w:lvlJc w:val="left"/>
      <w:pPr>
        <w:ind w:left="3456" w:hanging="360"/>
      </w:pPr>
    </w:lvl>
    <w:lvl w:ilvl="4" w:tplc="38090019" w:tentative="1">
      <w:start w:val="1"/>
      <w:numFmt w:val="lowerLetter"/>
      <w:lvlText w:val="%5."/>
      <w:lvlJc w:val="left"/>
      <w:pPr>
        <w:ind w:left="4176" w:hanging="360"/>
      </w:pPr>
    </w:lvl>
    <w:lvl w:ilvl="5" w:tplc="3809001B" w:tentative="1">
      <w:start w:val="1"/>
      <w:numFmt w:val="lowerRoman"/>
      <w:lvlText w:val="%6."/>
      <w:lvlJc w:val="right"/>
      <w:pPr>
        <w:ind w:left="4896" w:hanging="180"/>
      </w:pPr>
    </w:lvl>
    <w:lvl w:ilvl="6" w:tplc="3809000F" w:tentative="1">
      <w:start w:val="1"/>
      <w:numFmt w:val="decimal"/>
      <w:lvlText w:val="%7."/>
      <w:lvlJc w:val="left"/>
      <w:pPr>
        <w:ind w:left="5616" w:hanging="360"/>
      </w:pPr>
    </w:lvl>
    <w:lvl w:ilvl="7" w:tplc="38090019" w:tentative="1">
      <w:start w:val="1"/>
      <w:numFmt w:val="lowerLetter"/>
      <w:lvlText w:val="%8."/>
      <w:lvlJc w:val="left"/>
      <w:pPr>
        <w:ind w:left="6336" w:hanging="360"/>
      </w:pPr>
    </w:lvl>
    <w:lvl w:ilvl="8" w:tplc="3809001B" w:tentative="1">
      <w:start w:val="1"/>
      <w:numFmt w:val="lowerRoman"/>
      <w:lvlText w:val="%9."/>
      <w:lvlJc w:val="right"/>
      <w:pPr>
        <w:ind w:left="7056" w:hanging="180"/>
      </w:pPr>
    </w:lvl>
  </w:abstractNum>
  <w:abstractNum w:abstractNumId="43" w15:restartNumberingAfterBreak="0">
    <w:nsid w:val="7BD32385"/>
    <w:multiLevelType w:val="hybridMultilevel"/>
    <w:tmpl w:val="F8624BF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67245512">
    <w:abstractNumId w:val="28"/>
  </w:num>
  <w:num w:numId="2" w16cid:durableId="847208829">
    <w:abstractNumId w:val="20"/>
  </w:num>
  <w:num w:numId="3" w16cid:durableId="1103457991">
    <w:abstractNumId w:val="35"/>
  </w:num>
  <w:num w:numId="4" w16cid:durableId="228153123">
    <w:abstractNumId w:val="7"/>
  </w:num>
  <w:num w:numId="5" w16cid:durableId="892352530">
    <w:abstractNumId w:val="25"/>
  </w:num>
  <w:num w:numId="6" w16cid:durableId="1407533426">
    <w:abstractNumId w:val="12"/>
  </w:num>
  <w:num w:numId="7" w16cid:durableId="1917784264">
    <w:abstractNumId w:val="27"/>
  </w:num>
  <w:num w:numId="8" w16cid:durableId="17048084">
    <w:abstractNumId w:val="9"/>
  </w:num>
  <w:num w:numId="9" w16cid:durableId="109208028">
    <w:abstractNumId w:val="4"/>
  </w:num>
  <w:num w:numId="10" w16cid:durableId="1899396286">
    <w:abstractNumId w:val="1"/>
  </w:num>
  <w:num w:numId="11" w16cid:durableId="1621523900">
    <w:abstractNumId w:val="29"/>
  </w:num>
  <w:num w:numId="12" w16cid:durableId="1865055851">
    <w:abstractNumId w:val="13"/>
  </w:num>
  <w:num w:numId="13" w16cid:durableId="851263267">
    <w:abstractNumId w:val="26"/>
  </w:num>
  <w:num w:numId="14" w16cid:durableId="1701974985">
    <w:abstractNumId w:val="38"/>
  </w:num>
  <w:num w:numId="15" w16cid:durableId="849955405">
    <w:abstractNumId w:val="36"/>
  </w:num>
  <w:num w:numId="16" w16cid:durableId="496120804">
    <w:abstractNumId w:val="32"/>
  </w:num>
  <w:num w:numId="17" w16cid:durableId="2053771109">
    <w:abstractNumId w:val="11"/>
  </w:num>
  <w:num w:numId="18" w16cid:durableId="1260721125">
    <w:abstractNumId w:val="3"/>
  </w:num>
  <w:num w:numId="19" w16cid:durableId="2054697100">
    <w:abstractNumId w:val="43"/>
  </w:num>
  <w:num w:numId="20" w16cid:durableId="860361859">
    <w:abstractNumId w:val="2"/>
  </w:num>
  <w:num w:numId="21" w16cid:durableId="244923633">
    <w:abstractNumId w:val="30"/>
  </w:num>
  <w:num w:numId="22" w16cid:durableId="732242767">
    <w:abstractNumId w:val="22"/>
  </w:num>
  <w:num w:numId="23" w16cid:durableId="644240867">
    <w:abstractNumId w:val="31"/>
  </w:num>
  <w:num w:numId="24" w16cid:durableId="1891526994">
    <w:abstractNumId w:val="10"/>
  </w:num>
  <w:num w:numId="25" w16cid:durableId="750540532">
    <w:abstractNumId w:val="5"/>
  </w:num>
  <w:num w:numId="26" w16cid:durableId="875895560">
    <w:abstractNumId w:val="17"/>
  </w:num>
  <w:num w:numId="27" w16cid:durableId="301541843">
    <w:abstractNumId w:val="18"/>
  </w:num>
  <w:num w:numId="28" w16cid:durableId="965358800">
    <w:abstractNumId w:val="6"/>
  </w:num>
  <w:num w:numId="29" w16cid:durableId="754979726">
    <w:abstractNumId w:val="37"/>
  </w:num>
  <w:num w:numId="30" w16cid:durableId="211956780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8274965">
    <w:abstractNumId w:val="34"/>
  </w:num>
  <w:num w:numId="32" w16cid:durableId="836964641">
    <w:abstractNumId w:val="19"/>
  </w:num>
  <w:num w:numId="33" w16cid:durableId="231892700">
    <w:abstractNumId w:val="33"/>
  </w:num>
  <w:num w:numId="34" w16cid:durableId="1259369502">
    <w:abstractNumId w:val="14"/>
  </w:num>
  <w:num w:numId="35" w16cid:durableId="1883396261">
    <w:abstractNumId w:val="23"/>
  </w:num>
  <w:num w:numId="36" w16cid:durableId="2029797043">
    <w:abstractNumId w:val="21"/>
  </w:num>
  <w:num w:numId="37" w16cid:durableId="1284384864">
    <w:abstractNumId w:val="8"/>
  </w:num>
  <w:num w:numId="38" w16cid:durableId="527567284">
    <w:abstractNumId w:val="15"/>
  </w:num>
  <w:num w:numId="39" w16cid:durableId="1619529568">
    <w:abstractNumId w:val="39"/>
  </w:num>
  <w:num w:numId="40" w16cid:durableId="320159430">
    <w:abstractNumId w:val="42"/>
  </w:num>
  <w:num w:numId="41" w16cid:durableId="801970952">
    <w:abstractNumId w:val="24"/>
  </w:num>
  <w:num w:numId="42" w16cid:durableId="840395577">
    <w:abstractNumId w:val="16"/>
  </w:num>
  <w:num w:numId="43" w16cid:durableId="473184127">
    <w:abstractNumId w:val="41"/>
  </w:num>
  <w:num w:numId="44" w16cid:durableId="427698647">
    <w:abstractNumId w:val="0"/>
  </w:num>
  <w:num w:numId="45" w16cid:durableId="9524825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TM2sgRiAxMjcyUdpeDU4uLM/DyQAstaAHnl6NQsAAAA"/>
  </w:docVars>
  <w:rsids>
    <w:rsidRoot w:val="006C77D3"/>
    <w:rsid w:val="000022F2"/>
    <w:rsid w:val="00004884"/>
    <w:rsid w:val="000053DE"/>
    <w:rsid w:val="00010C31"/>
    <w:rsid w:val="00013930"/>
    <w:rsid w:val="00023F8C"/>
    <w:rsid w:val="00032D98"/>
    <w:rsid w:val="0004115D"/>
    <w:rsid w:val="00041811"/>
    <w:rsid w:val="00045562"/>
    <w:rsid w:val="0004716B"/>
    <w:rsid w:val="00050ACF"/>
    <w:rsid w:val="000510DE"/>
    <w:rsid w:val="00054EFA"/>
    <w:rsid w:val="00064218"/>
    <w:rsid w:val="0007052A"/>
    <w:rsid w:val="00076737"/>
    <w:rsid w:val="000816AA"/>
    <w:rsid w:val="00084FE6"/>
    <w:rsid w:val="000A7EE1"/>
    <w:rsid w:val="000B2429"/>
    <w:rsid w:val="000B5F00"/>
    <w:rsid w:val="000C099D"/>
    <w:rsid w:val="000C137F"/>
    <w:rsid w:val="000C3486"/>
    <w:rsid w:val="000D296E"/>
    <w:rsid w:val="000D2FBE"/>
    <w:rsid w:val="000F2095"/>
    <w:rsid w:val="000F2435"/>
    <w:rsid w:val="000F34B5"/>
    <w:rsid w:val="000F378A"/>
    <w:rsid w:val="000F69B6"/>
    <w:rsid w:val="00101DAE"/>
    <w:rsid w:val="0010706C"/>
    <w:rsid w:val="0011093B"/>
    <w:rsid w:val="00117DF4"/>
    <w:rsid w:val="001200C8"/>
    <w:rsid w:val="001234D9"/>
    <w:rsid w:val="0014178B"/>
    <w:rsid w:val="0015027E"/>
    <w:rsid w:val="00161487"/>
    <w:rsid w:val="001724B2"/>
    <w:rsid w:val="00176E64"/>
    <w:rsid w:val="00177A3C"/>
    <w:rsid w:val="001800BA"/>
    <w:rsid w:val="001810F7"/>
    <w:rsid w:val="00191413"/>
    <w:rsid w:val="00196BC3"/>
    <w:rsid w:val="00196BD9"/>
    <w:rsid w:val="001A158F"/>
    <w:rsid w:val="001A5618"/>
    <w:rsid w:val="001A7773"/>
    <w:rsid w:val="001B49C2"/>
    <w:rsid w:val="001C180B"/>
    <w:rsid w:val="001C496C"/>
    <w:rsid w:val="001C52D3"/>
    <w:rsid w:val="001D111D"/>
    <w:rsid w:val="001D440D"/>
    <w:rsid w:val="001D7475"/>
    <w:rsid w:val="001E51B8"/>
    <w:rsid w:val="001E5E8D"/>
    <w:rsid w:val="001F0B83"/>
    <w:rsid w:val="001F6F53"/>
    <w:rsid w:val="002062C1"/>
    <w:rsid w:val="002066D5"/>
    <w:rsid w:val="00211DA6"/>
    <w:rsid w:val="00213E67"/>
    <w:rsid w:val="002210B1"/>
    <w:rsid w:val="002279B0"/>
    <w:rsid w:val="002358F3"/>
    <w:rsid w:val="00237402"/>
    <w:rsid w:val="002413CC"/>
    <w:rsid w:val="002475F1"/>
    <w:rsid w:val="00255A36"/>
    <w:rsid w:val="00266D62"/>
    <w:rsid w:val="0028358B"/>
    <w:rsid w:val="00285B35"/>
    <w:rsid w:val="002861D9"/>
    <w:rsid w:val="00293905"/>
    <w:rsid w:val="0029615A"/>
    <w:rsid w:val="002966B0"/>
    <w:rsid w:val="002A2286"/>
    <w:rsid w:val="002B01F7"/>
    <w:rsid w:val="002B5563"/>
    <w:rsid w:val="002B740A"/>
    <w:rsid w:val="002C2168"/>
    <w:rsid w:val="002C74DE"/>
    <w:rsid w:val="002D67B3"/>
    <w:rsid w:val="002F09FA"/>
    <w:rsid w:val="002F351D"/>
    <w:rsid w:val="002F540A"/>
    <w:rsid w:val="002F5F0A"/>
    <w:rsid w:val="0030258A"/>
    <w:rsid w:val="00312EE5"/>
    <w:rsid w:val="00316A26"/>
    <w:rsid w:val="00336742"/>
    <w:rsid w:val="00341FE1"/>
    <w:rsid w:val="00343592"/>
    <w:rsid w:val="00343BE4"/>
    <w:rsid w:val="00354150"/>
    <w:rsid w:val="003717A4"/>
    <w:rsid w:val="00373358"/>
    <w:rsid w:val="00373964"/>
    <w:rsid w:val="00375EFE"/>
    <w:rsid w:val="003B2614"/>
    <w:rsid w:val="003C0A34"/>
    <w:rsid w:val="003C1A03"/>
    <w:rsid w:val="003D45F6"/>
    <w:rsid w:val="003D7CBE"/>
    <w:rsid w:val="003E54A9"/>
    <w:rsid w:val="003F25D7"/>
    <w:rsid w:val="003F2CC1"/>
    <w:rsid w:val="0040436C"/>
    <w:rsid w:val="0040520B"/>
    <w:rsid w:val="00405F5A"/>
    <w:rsid w:val="0041703E"/>
    <w:rsid w:val="00422C67"/>
    <w:rsid w:val="00431727"/>
    <w:rsid w:val="0043287A"/>
    <w:rsid w:val="004345A5"/>
    <w:rsid w:val="00435BED"/>
    <w:rsid w:val="00442371"/>
    <w:rsid w:val="00442422"/>
    <w:rsid w:val="00443B34"/>
    <w:rsid w:val="004453C0"/>
    <w:rsid w:val="004541D2"/>
    <w:rsid w:val="004621BE"/>
    <w:rsid w:val="00462BC7"/>
    <w:rsid w:val="00464386"/>
    <w:rsid w:val="00464D12"/>
    <w:rsid w:val="004679B4"/>
    <w:rsid w:val="004867CE"/>
    <w:rsid w:val="00495C67"/>
    <w:rsid w:val="004A2B67"/>
    <w:rsid w:val="004C3188"/>
    <w:rsid w:val="004D139D"/>
    <w:rsid w:val="004D76D6"/>
    <w:rsid w:val="004E03C9"/>
    <w:rsid w:val="004E1C8E"/>
    <w:rsid w:val="004E3416"/>
    <w:rsid w:val="004F5945"/>
    <w:rsid w:val="005038F5"/>
    <w:rsid w:val="00505413"/>
    <w:rsid w:val="0051165C"/>
    <w:rsid w:val="0052371E"/>
    <w:rsid w:val="0052476F"/>
    <w:rsid w:val="005330F8"/>
    <w:rsid w:val="0054743E"/>
    <w:rsid w:val="005475B4"/>
    <w:rsid w:val="0055016F"/>
    <w:rsid w:val="005529A8"/>
    <w:rsid w:val="00555B3E"/>
    <w:rsid w:val="0056139A"/>
    <w:rsid w:val="00565684"/>
    <w:rsid w:val="00572BB7"/>
    <w:rsid w:val="0057468F"/>
    <w:rsid w:val="005810DD"/>
    <w:rsid w:val="00594176"/>
    <w:rsid w:val="005948C1"/>
    <w:rsid w:val="005A5281"/>
    <w:rsid w:val="005A65F2"/>
    <w:rsid w:val="005A6C0A"/>
    <w:rsid w:val="005A6C8E"/>
    <w:rsid w:val="005B664B"/>
    <w:rsid w:val="005C3647"/>
    <w:rsid w:val="005D75C8"/>
    <w:rsid w:val="005D7695"/>
    <w:rsid w:val="005F779C"/>
    <w:rsid w:val="0060226A"/>
    <w:rsid w:val="00617BA0"/>
    <w:rsid w:val="006213C8"/>
    <w:rsid w:val="00625314"/>
    <w:rsid w:val="00627A8F"/>
    <w:rsid w:val="00634DA2"/>
    <w:rsid w:val="006358FF"/>
    <w:rsid w:val="00637E06"/>
    <w:rsid w:val="0064007E"/>
    <w:rsid w:val="0065101A"/>
    <w:rsid w:val="0065496F"/>
    <w:rsid w:val="00655449"/>
    <w:rsid w:val="00660541"/>
    <w:rsid w:val="006668A1"/>
    <w:rsid w:val="00677390"/>
    <w:rsid w:val="006821D5"/>
    <w:rsid w:val="00684152"/>
    <w:rsid w:val="00691951"/>
    <w:rsid w:val="00693271"/>
    <w:rsid w:val="00693B9E"/>
    <w:rsid w:val="0069499E"/>
    <w:rsid w:val="00695ECB"/>
    <w:rsid w:val="00697066"/>
    <w:rsid w:val="006A04EA"/>
    <w:rsid w:val="006A1721"/>
    <w:rsid w:val="006B7082"/>
    <w:rsid w:val="006B7A10"/>
    <w:rsid w:val="006C3660"/>
    <w:rsid w:val="006C77D3"/>
    <w:rsid w:val="006D3A27"/>
    <w:rsid w:val="006D5DBB"/>
    <w:rsid w:val="006E1125"/>
    <w:rsid w:val="006E333D"/>
    <w:rsid w:val="006E3A0C"/>
    <w:rsid w:val="006F6EB8"/>
    <w:rsid w:val="00700117"/>
    <w:rsid w:val="007015E0"/>
    <w:rsid w:val="00701826"/>
    <w:rsid w:val="00703ACC"/>
    <w:rsid w:val="007066D8"/>
    <w:rsid w:val="00710352"/>
    <w:rsid w:val="007114FD"/>
    <w:rsid w:val="00712E29"/>
    <w:rsid w:val="00721E04"/>
    <w:rsid w:val="007400FF"/>
    <w:rsid w:val="0076497E"/>
    <w:rsid w:val="00772AD2"/>
    <w:rsid w:val="00785477"/>
    <w:rsid w:val="007864F8"/>
    <w:rsid w:val="00786B6B"/>
    <w:rsid w:val="0079743D"/>
    <w:rsid w:val="007A17AF"/>
    <w:rsid w:val="007A4D7D"/>
    <w:rsid w:val="007B16D9"/>
    <w:rsid w:val="007B209C"/>
    <w:rsid w:val="007B4019"/>
    <w:rsid w:val="007C297E"/>
    <w:rsid w:val="007C2E32"/>
    <w:rsid w:val="007C4073"/>
    <w:rsid w:val="007C4A29"/>
    <w:rsid w:val="007C6522"/>
    <w:rsid w:val="007C7B6E"/>
    <w:rsid w:val="007D16AC"/>
    <w:rsid w:val="007D18AE"/>
    <w:rsid w:val="007D6E69"/>
    <w:rsid w:val="007D7D89"/>
    <w:rsid w:val="007F13A1"/>
    <w:rsid w:val="00810107"/>
    <w:rsid w:val="00812890"/>
    <w:rsid w:val="00830161"/>
    <w:rsid w:val="00835140"/>
    <w:rsid w:val="008354F6"/>
    <w:rsid w:val="00836CA5"/>
    <w:rsid w:val="00842849"/>
    <w:rsid w:val="008470A3"/>
    <w:rsid w:val="008524CB"/>
    <w:rsid w:val="00852620"/>
    <w:rsid w:val="008550D5"/>
    <w:rsid w:val="00865A0B"/>
    <w:rsid w:val="00875BD9"/>
    <w:rsid w:val="00877A28"/>
    <w:rsid w:val="00883512"/>
    <w:rsid w:val="00884EEE"/>
    <w:rsid w:val="0089314E"/>
    <w:rsid w:val="008A72EF"/>
    <w:rsid w:val="008B00A9"/>
    <w:rsid w:val="008B1AD7"/>
    <w:rsid w:val="008B2E96"/>
    <w:rsid w:val="008B70E6"/>
    <w:rsid w:val="008C23A0"/>
    <w:rsid w:val="008C45FE"/>
    <w:rsid w:val="008D20AD"/>
    <w:rsid w:val="008D21B6"/>
    <w:rsid w:val="008D69A3"/>
    <w:rsid w:val="008D74E9"/>
    <w:rsid w:val="008E1901"/>
    <w:rsid w:val="008E53D0"/>
    <w:rsid w:val="008F0004"/>
    <w:rsid w:val="008F5A46"/>
    <w:rsid w:val="009101C1"/>
    <w:rsid w:val="00910AED"/>
    <w:rsid w:val="009122D7"/>
    <w:rsid w:val="00930499"/>
    <w:rsid w:val="00932C4B"/>
    <w:rsid w:val="0093410A"/>
    <w:rsid w:val="0094595C"/>
    <w:rsid w:val="00946A23"/>
    <w:rsid w:val="00957C24"/>
    <w:rsid w:val="00970048"/>
    <w:rsid w:val="00972103"/>
    <w:rsid w:val="00984E4F"/>
    <w:rsid w:val="00987636"/>
    <w:rsid w:val="00991D11"/>
    <w:rsid w:val="009A016D"/>
    <w:rsid w:val="009A64DA"/>
    <w:rsid w:val="009B3B80"/>
    <w:rsid w:val="009B7474"/>
    <w:rsid w:val="009C48E9"/>
    <w:rsid w:val="009C7B82"/>
    <w:rsid w:val="009D2CCE"/>
    <w:rsid w:val="009D5F90"/>
    <w:rsid w:val="009D63DC"/>
    <w:rsid w:val="009D7D4C"/>
    <w:rsid w:val="00A05A29"/>
    <w:rsid w:val="00A14FD2"/>
    <w:rsid w:val="00A16BDF"/>
    <w:rsid w:val="00A2299C"/>
    <w:rsid w:val="00A23DF6"/>
    <w:rsid w:val="00A2429A"/>
    <w:rsid w:val="00A24F2F"/>
    <w:rsid w:val="00A4362A"/>
    <w:rsid w:val="00A44889"/>
    <w:rsid w:val="00A45DF9"/>
    <w:rsid w:val="00A540C8"/>
    <w:rsid w:val="00A61C0D"/>
    <w:rsid w:val="00A62818"/>
    <w:rsid w:val="00A62934"/>
    <w:rsid w:val="00A73AD4"/>
    <w:rsid w:val="00A82A9A"/>
    <w:rsid w:val="00A84EDB"/>
    <w:rsid w:val="00A87A6A"/>
    <w:rsid w:val="00A96570"/>
    <w:rsid w:val="00A972DF"/>
    <w:rsid w:val="00AA6EA9"/>
    <w:rsid w:val="00AB25D6"/>
    <w:rsid w:val="00AB2A80"/>
    <w:rsid w:val="00AB5DDC"/>
    <w:rsid w:val="00AC35F0"/>
    <w:rsid w:val="00AC544E"/>
    <w:rsid w:val="00AC69C5"/>
    <w:rsid w:val="00AC7FB8"/>
    <w:rsid w:val="00AE2BA3"/>
    <w:rsid w:val="00AE4439"/>
    <w:rsid w:val="00AF65DC"/>
    <w:rsid w:val="00B00408"/>
    <w:rsid w:val="00B111FF"/>
    <w:rsid w:val="00B17824"/>
    <w:rsid w:val="00B3226B"/>
    <w:rsid w:val="00B364A3"/>
    <w:rsid w:val="00B36DB7"/>
    <w:rsid w:val="00B407A6"/>
    <w:rsid w:val="00B4475B"/>
    <w:rsid w:val="00B46AFB"/>
    <w:rsid w:val="00B52E86"/>
    <w:rsid w:val="00B5434E"/>
    <w:rsid w:val="00B61B15"/>
    <w:rsid w:val="00B65DBD"/>
    <w:rsid w:val="00B6641C"/>
    <w:rsid w:val="00B710F8"/>
    <w:rsid w:val="00B747CC"/>
    <w:rsid w:val="00B75F91"/>
    <w:rsid w:val="00B82DC9"/>
    <w:rsid w:val="00B8404D"/>
    <w:rsid w:val="00BB5003"/>
    <w:rsid w:val="00BC482C"/>
    <w:rsid w:val="00BD48DC"/>
    <w:rsid w:val="00BE2AF6"/>
    <w:rsid w:val="00BE3753"/>
    <w:rsid w:val="00BE677C"/>
    <w:rsid w:val="00BF48B8"/>
    <w:rsid w:val="00C12E98"/>
    <w:rsid w:val="00C2223B"/>
    <w:rsid w:val="00C245E3"/>
    <w:rsid w:val="00C323FA"/>
    <w:rsid w:val="00C32A57"/>
    <w:rsid w:val="00C32DC5"/>
    <w:rsid w:val="00C33613"/>
    <w:rsid w:val="00C56E00"/>
    <w:rsid w:val="00C904F2"/>
    <w:rsid w:val="00C93F4C"/>
    <w:rsid w:val="00CA564A"/>
    <w:rsid w:val="00CB486C"/>
    <w:rsid w:val="00CB76B6"/>
    <w:rsid w:val="00CC7877"/>
    <w:rsid w:val="00CE0622"/>
    <w:rsid w:val="00CF4AA1"/>
    <w:rsid w:val="00CF6CFC"/>
    <w:rsid w:val="00CF78E2"/>
    <w:rsid w:val="00D01AC3"/>
    <w:rsid w:val="00D03034"/>
    <w:rsid w:val="00D079B2"/>
    <w:rsid w:val="00D10084"/>
    <w:rsid w:val="00D1376D"/>
    <w:rsid w:val="00D264EC"/>
    <w:rsid w:val="00D36BD1"/>
    <w:rsid w:val="00D63DEF"/>
    <w:rsid w:val="00D65FFB"/>
    <w:rsid w:val="00D7429E"/>
    <w:rsid w:val="00D77AD7"/>
    <w:rsid w:val="00D77C7C"/>
    <w:rsid w:val="00D81006"/>
    <w:rsid w:val="00D87CA6"/>
    <w:rsid w:val="00D92328"/>
    <w:rsid w:val="00D92B86"/>
    <w:rsid w:val="00D92EFD"/>
    <w:rsid w:val="00D9557A"/>
    <w:rsid w:val="00DA5057"/>
    <w:rsid w:val="00DB0CD4"/>
    <w:rsid w:val="00DB77D8"/>
    <w:rsid w:val="00DC0D57"/>
    <w:rsid w:val="00DC22E0"/>
    <w:rsid w:val="00DC606D"/>
    <w:rsid w:val="00DC716D"/>
    <w:rsid w:val="00DC7593"/>
    <w:rsid w:val="00DE30C2"/>
    <w:rsid w:val="00DE3B4E"/>
    <w:rsid w:val="00DE59F9"/>
    <w:rsid w:val="00DE6E11"/>
    <w:rsid w:val="00DF034A"/>
    <w:rsid w:val="00E1405D"/>
    <w:rsid w:val="00E14DF7"/>
    <w:rsid w:val="00E16D4C"/>
    <w:rsid w:val="00E22757"/>
    <w:rsid w:val="00E3308A"/>
    <w:rsid w:val="00E367D2"/>
    <w:rsid w:val="00E401EE"/>
    <w:rsid w:val="00E44667"/>
    <w:rsid w:val="00E45261"/>
    <w:rsid w:val="00E52BAB"/>
    <w:rsid w:val="00E551F9"/>
    <w:rsid w:val="00E572ED"/>
    <w:rsid w:val="00E6066A"/>
    <w:rsid w:val="00E6205B"/>
    <w:rsid w:val="00E70317"/>
    <w:rsid w:val="00E7548D"/>
    <w:rsid w:val="00E85076"/>
    <w:rsid w:val="00E857E9"/>
    <w:rsid w:val="00E90FEB"/>
    <w:rsid w:val="00E91FC2"/>
    <w:rsid w:val="00E96C2F"/>
    <w:rsid w:val="00EA24B4"/>
    <w:rsid w:val="00EA3179"/>
    <w:rsid w:val="00EA4448"/>
    <w:rsid w:val="00EB1BBC"/>
    <w:rsid w:val="00EB2746"/>
    <w:rsid w:val="00EB2E0C"/>
    <w:rsid w:val="00EB46C4"/>
    <w:rsid w:val="00EC18C7"/>
    <w:rsid w:val="00EC3C3C"/>
    <w:rsid w:val="00ED2CD1"/>
    <w:rsid w:val="00ED4795"/>
    <w:rsid w:val="00EE18F3"/>
    <w:rsid w:val="00EE5F6E"/>
    <w:rsid w:val="00EE7A4C"/>
    <w:rsid w:val="00EF1E7A"/>
    <w:rsid w:val="00EF7288"/>
    <w:rsid w:val="00F253E4"/>
    <w:rsid w:val="00F327B5"/>
    <w:rsid w:val="00F40CC1"/>
    <w:rsid w:val="00F414B5"/>
    <w:rsid w:val="00F446B2"/>
    <w:rsid w:val="00F46056"/>
    <w:rsid w:val="00F47DFA"/>
    <w:rsid w:val="00F54A5C"/>
    <w:rsid w:val="00F55FC0"/>
    <w:rsid w:val="00F56F53"/>
    <w:rsid w:val="00F62F61"/>
    <w:rsid w:val="00F630FD"/>
    <w:rsid w:val="00F654F3"/>
    <w:rsid w:val="00F80D1F"/>
    <w:rsid w:val="00F872F7"/>
    <w:rsid w:val="00FA13AC"/>
    <w:rsid w:val="00FA6F18"/>
    <w:rsid w:val="00FB165A"/>
    <w:rsid w:val="00FB4354"/>
    <w:rsid w:val="00FC3170"/>
    <w:rsid w:val="00FD0034"/>
    <w:rsid w:val="00FE0004"/>
    <w:rsid w:val="00FF12F6"/>
  </w:rsids>
  <m:mathPr>
    <m:mathFont m:val="Cambria Math"/>
    <m:brkBin m:val="before"/>
    <m:brkBinSub m:val="--"/>
    <m:smallFrac/>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C1F17"/>
  <w15:chartTrackingRefBased/>
  <w15:docId w15:val="{D4D1EDFD-825E-4CC6-989C-D39D04EE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4FD"/>
    <w:pPr>
      <w:spacing w:after="200" w:line="276" w:lineRule="auto"/>
    </w:pPr>
    <w:rPr>
      <w:sz w:val="22"/>
      <w:szCs w:val="22"/>
      <w:lang w:val="id-ID" w:eastAsia="en-US"/>
    </w:rPr>
  </w:style>
  <w:style w:type="paragraph" w:styleId="Heading1">
    <w:name w:val="heading 1"/>
    <w:basedOn w:val="Normal"/>
    <w:link w:val="Heading1Char"/>
    <w:uiPriority w:val="9"/>
    <w:qFormat/>
    <w:rsid w:val="0041703E"/>
    <w:pPr>
      <w:widowControl w:val="0"/>
      <w:autoSpaceDE w:val="0"/>
      <w:autoSpaceDN w:val="0"/>
      <w:spacing w:before="120" w:after="0"/>
      <w:ind w:left="115" w:firstLine="576"/>
      <w:jc w:val="both"/>
      <w:outlineLvl w:val="0"/>
    </w:pPr>
    <w:rPr>
      <w:rFonts w:ascii="Times New Roman" w:eastAsia="Times New Roman" w:hAnsi="Times New Roman"/>
      <w:b/>
      <w:bCs/>
      <w:sz w:val="24"/>
      <w:szCs w:val="24"/>
      <w:lang w:val="id"/>
    </w:rPr>
  </w:style>
  <w:style w:type="paragraph" w:styleId="Heading3">
    <w:name w:val="heading 3"/>
    <w:basedOn w:val="Normal"/>
    <w:next w:val="Normal"/>
    <w:link w:val="Heading3Char"/>
    <w:uiPriority w:val="9"/>
    <w:semiHidden/>
    <w:unhideWhenUsed/>
    <w:qFormat/>
    <w:rsid w:val="00023F8C"/>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link w:val="Heading4Char"/>
    <w:uiPriority w:val="9"/>
    <w:semiHidden/>
    <w:unhideWhenUsed/>
    <w:qFormat/>
    <w:rsid w:val="0068415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7D3"/>
  </w:style>
  <w:style w:type="paragraph" w:styleId="Footer">
    <w:name w:val="footer"/>
    <w:basedOn w:val="Normal"/>
    <w:link w:val="FooterChar"/>
    <w:uiPriority w:val="99"/>
    <w:unhideWhenUsed/>
    <w:rsid w:val="006C7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7D3"/>
  </w:style>
  <w:style w:type="paragraph" w:styleId="BalloonText">
    <w:name w:val="Balloon Text"/>
    <w:basedOn w:val="Normal"/>
    <w:link w:val="BalloonTextChar"/>
    <w:uiPriority w:val="99"/>
    <w:semiHidden/>
    <w:unhideWhenUsed/>
    <w:rsid w:val="006C77D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7D3"/>
    <w:rPr>
      <w:rFonts w:ascii="Tahoma" w:hAnsi="Tahoma" w:cs="Tahoma"/>
      <w:sz w:val="16"/>
      <w:szCs w:val="16"/>
    </w:rPr>
  </w:style>
  <w:style w:type="paragraph" w:styleId="ListParagraph">
    <w:name w:val="List Paragraph"/>
    <w:aliases w:val="Body of text,List Paragraph1,spasi 2 taiiii,1.2 Dst...,Heading 1 Char1,Body of text+1,Body of text+2,Body of text+3,List Paragraph11,Body of textCxSp"/>
    <w:basedOn w:val="Normal"/>
    <w:link w:val="ListParagraphChar"/>
    <w:uiPriority w:val="34"/>
    <w:qFormat/>
    <w:rsid w:val="00812890"/>
    <w:pPr>
      <w:spacing w:after="0" w:line="360" w:lineRule="auto"/>
      <w:ind w:left="720"/>
      <w:contextualSpacing/>
      <w:jc w:val="both"/>
    </w:pPr>
    <w:rPr>
      <w:rFonts w:ascii="Times New Roman" w:hAnsi="Times New Roman"/>
      <w:sz w:val="24"/>
      <w:lang w:val="en-US"/>
    </w:rPr>
  </w:style>
  <w:style w:type="paragraph" w:customStyle="1" w:styleId="Default">
    <w:name w:val="Default"/>
    <w:rsid w:val="00812890"/>
    <w:pPr>
      <w:autoSpaceDE w:val="0"/>
      <w:autoSpaceDN w:val="0"/>
      <w:adjustRightInd w:val="0"/>
    </w:pPr>
    <w:rPr>
      <w:rFonts w:cs="Calibri"/>
      <w:color w:val="000000"/>
      <w:sz w:val="24"/>
      <w:szCs w:val="24"/>
      <w:lang w:val="id-ID" w:eastAsia="en-US"/>
    </w:rPr>
  </w:style>
  <w:style w:type="table" w:styleId="TableGrid">
    <w:name w:val="Table Grid"/>
    <w:basedOn w:val="TableNormal"/>
    <w:uiPriority w:val="59"/>
    <w:rsid w:val="00812890"/>
    <w:rPr>
      <w:rFonts w:eastAsia="SimSun" w:cs="SimSu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link w:val="BodyCharChar"/>
    <w:rsid w:val="00812890"/>
    <w:pPr>
      <w:tabs>
        <w:tab w:val="left" w:pos="567"/>
      </w:tabs>
      <w:jc w:val="both"/>
    </w:pPr>
    <w:rPr>
      <w:rFonts w:ascii="Times" w:eastAsia="Times New Roman" w:hAnsi="Times"/>
      <w:color w:val="000000"/>
      <w:lang w:val="en-GB" w:eastAsia="id-ID"/>
    </w:rPr>
  </w:style>
  <w:style w:type="character" w:customStyle="1" w:styleId="BodyCharChar">
    <w:name w:val="Body Char Char"/>
    <w:link w:val="BodyChar"/>
    <w:rsid w:val="00812890"/>
    <w:rPr>
      <w:rFonts w:ascii="Times" w:eastAsia="Times New Roman" w:hAnsi="Times"/>
      <w:color w:val="000000"/>
      <w:lang w:val="en-GB" w:eastAsia="id-ID" w:bidi="ar-SA"/>
    </w:rPr>
  </w:style>
  <w:style w:type="paragraph" w:customStyle="1" w:styleId="FigureCaption">
    <w:name w:val="FigureCaption"/>
    <w:rsid w:val="00812890"/>
    <w:pPr>
      <w:spacing w:before="170"/>
      <w:ind w:left="28"/>
      <w:jc w:val="center"/>
    </w:pPr>
    <w:rPr>
      <w:rFonts w:ascii="Times" w:eastAsia="Times New Roman" w:hAnsi="Times"/>
      <w:color w:val="000000"/>
      <w:sz w:val="22"/>
      <w:szCs w:val="22"/>
      <w:lang w:val="en-GB" w:eastAsia="en-US"/>
    </w:rPr>
  </w:style>
  <w:style w:type="table" w:customStyle="1" w:styleId="Style1">
    <w:name w:val="Style1"/>
    <w:basedOn w:val="TableNormal"/>
    <w:uiPriority w:val="99"/>
    <w:qFormat/>
    <w:rsid w:val="00D01AC3"/>
    <w:tblPr/>
  </w:style>
  <w:style w:type="table" w:styleId="LightShading-Accent4">
    <w:name w:val="Light Shading Accent 4"/>
    <w:basedOn w:val="TableNormal"/>
    <w:uiPriority w:val="60"/>
    <w:rsid w:val="00D01AC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CommentReference">
    <w:name w:val="annotation reference"/>
    <w:uiPriority w:val="99"/>
    <w:semiHidden/>
    <w:unhideWhenUsed/>
    <w:rsid w:val="007015E0"/>
    <w:rPr>
      <w:sz w:val="16"/>
      <w:szCs w:val="16"/>
    </w:rPr>
  </w:style>
  <w:style w:type="paragraph" w:styleId="CommentText">
    <w:name w:val="annotation text"/>
    <w:basedOn w:val="Normal"/>
    <w:link w:val="CommentTextChar"/>
    <w:uiPriority w:val="99"/>
    <w:unhideWhenUsed/>
    <w:rsid w:val="007015E0"/>
    <w:pPr>
      <w:spacing w:line="240" w:lineRule="auto"/>
    </w:pPr>
    <w:rPr>
      <w:sz w:val="20"/>
      <w:szCs w:val="20"/>
      <w:lang w:val="x-none" w:eastAsia="x-none"/>
    </w:rPr>
  </w:style>
  <w:style w:type="character" w:customStyle="1" w:styleId="CommentTextChar">
    <w:name w:val="Comment Text Char"/>
    <w:link w:val="CommentText"/>
    <w:uiPriority w:val="99"/>
    <w:rsid w:val="007015E0"/>
    <w:rPr>
      <w:sz w:val="20"/>
      <w:szCs w:val="20"/>
    </w:rPr>
  </w:style>
  <w:style w:type="paragraph" w:styleId="CommentSubject">
    <w:name w:val="annotation subject"/>
    <w:basedOn w:val="CommentText"/>
    <w:next w:val="CommentText"/>
    <w:link w:val="CommentSubjectChar"/>
    <w:uiPriority w:val="99"/>
    <w:semiHidden/>
    <w:unhideWhenUsed/>
    <w:rsid w:val="007015E0"/>
    <w:rPr>
      <w:b/>
      <w:bCs/>
    </w:rPr>
  </w:style>
  <w:style w:type="character" w:customStyle="1" w:styleId="CommentSubjectChar">
    <w:name w:val="Comment Subject Char"/>
    <w:link w:val="CommentSubject"/>
    <w:uiPriority w:val="99"/>
    <w:semiHidden/>
    <w:rsid w:val="007015E0"/>
    <w:rPr>
      <w:b/>
      <w:bCs/>
      <w:sz w:val="20"/>
      <w:szCs w:val="20"/>
    </w:rPr>
  </w:style>
  <w:style w:type="character" w:customStyle="1" w:styleId="fontstyle01">
    <w:name w:val="fontstyle01"/>
    <w:rsid w:val="005D7695"/>
    <w:rPr>
      <w:rFonts w:ascii="Times New Roman" w:hAnsi="Times New Roman" w:cs="Times New Roman" w:hint="default"/>
      <w:b w:val="0"/>
      <w:bCs w:val="0"/>
      <w:i w:val="0"/>
      <w:iCs w:val="0"/>
      <w:color w:val="000000"/>
      <w:sz w:val="22"/>
      <w:szCs w:val="22"/>
    </w:rPr>
  </w:style>
  <w:style w:type="character" w:customStyle="1" w:styleId="fontstyle21">
    <w:name w:val="fontstyle21"/>
    <w:rsid w:val="005D7695"/>
    <w:rPr>
      <w:rFonts w:ascii="Times New Roman" w:hAnsi="Times New Roman" w:cs="Times New Roman" w:hint="default"/>
      <w:b w:val="0"/>
      <w:bCs w:val="0"/>
      <w:i/>
      <w:iCs/>
      <w:color w:val="000000"/>
      <w:sz w:val="22"/>
      <w:szCs w:val="22"/>
    </w:rPr>
  </w:style>
  <w:style w:type="character" w:customStyle="1" w:styleId="ListParagraphChar">
    <w:name w:val="List Paragraph Char"/>
    <w:aliases w:val="Body of text Char,List Paragraph1 Char,spasi 2 taiiii Char,1.2 Dst... Char,Heading 1 Char1 Char,Body of text+1 Char,Body of text+2 Char,Body of text+3 Char,List Paragraph11 Char,Body of textCxSp Char"/>
    <w:link w:val="ListParagraph"/>
    <w:uiPriority w:val="34"/>
    <w:rsid w:val="00786B6B"/>
    <w:rPr>
      <w:rFonts w:ascii="Times New Roman" w:hAnsi="Times New Roman"/>
      <w:sz w:val="24"/>
      <w:szCs w:val="22"/>
      <w:lang w:val="en-US" w:eastAsia="en-US"/>
    </w:rPr>
  </w:style>
  <w:style w:type="character" w:styleId="Hyperlink">
    <w:name w:val="Hyperlink"/>
    <w:uiPriority w:val="99"/>
    <w:unhideWhenUsed/>
    <w:rsid w:val="009C7B82"/>
    <w:rPr>
      <w:color w:val="0563C1"/>
      <w:u w:val="single"/>
    </w:rPr>
  </w:style>
  <w:style w:type="table" w:customStyle="1" w:styleId="TableGrid0">
    <w:name w:val="TableGrid"/>
    <w:rsid w:val="007D6E69"/>
    <w:rPr>
      <w:rFonts w:eastAsia="Times New Roman"/>
      <w:sz w:val="22"/>
      <w:szCs w:val="22"/>
      <w:lang w:val="en-US" w:eastAsia="en-US"/>
    </w:rPr>
    <w:tblPr>
      <w:tblCellMar>
        <w:top w:w="0" w:type="dxa"/>
        <w:left w:w="0" w:type="dxa"/>
        <w:bottom w:w="0" w:type="dxa"/>
        <w:right w:w="0" w:type="dxa"/>
      </w:tblCellMar>
    </w:tblPr>
  </w:style>
  <w:style w:type="character" w:styleId="UnresolvedMention">
    <w:name w:val="Unresolved Mention"/>
    <w:uiPriority w:val="99"/>
    <w:semiHidden/>
    <w:unhideWhenUsed/>
    <w:rsid w:val="008354F6"/>
    <w:rPr>
      <w:color w:val="605E5C"/>
      <w:shd w:val="clear" w:color="auto" w:fill="E1DFDD"/>
    </w:rPr>
  </w:style>
  <w:style w:type="paragraph" w:styleId="BodyText">
    <w:name w:val="Body Text"/>
    <w:basedOn w:val="Normal"/>
    <w:link w:val="BodyTextChar"/>
    <w:uiPriority w:val="1"/>
    <w:qFormat/>
    <w:rsid w:val="00660541"/>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link w:val="BodyText"/>
    <w:uiPriority w:val="1"/>
    <w:rsid w:val="00660541"/>
    <w:rPr>
      <w:rFonts w:ascii="Times New Roman" w:eastAsia="Times New Roman" w:hAnsi="Times New Roman"/>
      <w:sz w:val="24"/>
      <w:szCs w:val="24"/>
    </w:rPr>
  </w:style>
  <w:style w:type="paragraph" w:customStyle="1" w:styleId="TableParagraph">
    <w:name w:val="Table Paragraph"/>
    <w:basedOn w:val="Normal"/>
    <w:uiPriority w:val="1"/>
    <w:qFormat/>
    <w:rsid w:val="00660541"/>
    <w:pPr>
      <w:widowControl w:val="0"/>
      <w:autoSpaceDE w:val="0"/>
      <w:autoSpaceDN w:val="0"/>
      <w:spacing w:after="0" w:line="275" w:lineRule="exact"/>
      <w:ind w:left="110"/>
    </w:pPr>
    <w:rPr>
      <w:rFonts w:ascii="Times New Roman" w:eastAsia="Times New Roman" w:hAnsi="Times New Roman"/>
      <w:lang w:val="en-US"/>
    </w:rPr>
  </w:style>
  <w:style w:type="character" w:customStyle="1" w:styleId="Heading3Char">
    <w:name w:val="Heading 3 Char"/>
    <w:link w:val="Heading3"/>
    <w:uiPriority w:val="9"/>
    <w:semiHidden/>
    <w:rsid w:val="00023F8C"/>
    <w:rPr>
      <w:rFonts w:ascii="Calibri Light" w:eastAsia="MS Gothic" w:hAnsi="Calibri Light"/>
      <w:b/>
      <w:bCs/>
      <w:sz w:val="26"/>
      <w:szCs w:val="26"/>
      <w:lang w:val="id-ID"/>
    </w:rPr>
  </w:style>
  <w:style w:type="paragraph" w:customStyle="1" w:styleId="Equation">
    <w:name w:val="Equation"/>
    <w:basedOn w:val="Normal"/>
    <w:rsid w:val="00023F8C"/>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character" w:styleId="PlaceholderText">
    <w:name w:val="Placeholder Text"/>
    <w:basedOn w:val="DefaultParagraphFont"/>
    <w:uiPriority w:val="99"/>
    <w:semiHidden/>
    <w:rsid w:val="00DC716D"/>
    <w:rPr>
      <w:color w:val="808080"/>
    </w:rPr>
  </w:style>
  <w:style w:type="table" w:customStyle="1" w:styleId="TableGrid1">
    <w:name w:val="Table Grid1"/>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0520B"/>
    <w:rPr>
      <w:rFonts w:cs="Arial"/>
      <w:sz w:val="22"/>
      <w:szCs w:val="22"/>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31">
    <w:name w:val="List Table 2 - Accent 31"/>
    <w:basedOn w:val="TableNormal"/>
    <w:next w:val="ListTable2-Accent3"/>
    <w:uiPriority w:val="47"/>
    <w:rsid w:val="0040520B"/>
    <w:rPr>
      <w:rFonts w:cs="Arial"/>
      <w:sz w:val="22"/>
      <w:szCs w:val="22"/>
      <w:lang w:val="en-MY" w:eastAsia="en-US"/>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3">
    <w:name w:val="List Table 2 Accent 3"/>
    <w:basedOn w:val="TableNormal"/>
    <w:uiPriority w:val="47"/>
    <w:rsid w:val="0040520B"/>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4Char">
    <w:name w:val="Heading 4 Char"/>
    <w:basedOn w:val="DefaultParagraphFont"/>
    <w:link w:val="Heading4"/>
    <w:uiPriority w:val="9"/>
    <w:semiHidden/>
    <w:rsid w:val="00684152"/>
    <w:rPr>
      <w:rFonts w:asciiTheme="majorHAnsi" w:eastAsiaTheme="majorEastAsia" w:hAnsiTheme="majorHAnsi" w:cstheme="majorBidi"/>
      <w:i/>
      <w:iCs/>
      <w:color w:val="2F5496" w:themeColor="accent1" w:themeShade="BF"/>
      <w:sz w:val="22"/>
      <w:szCs w:val="22"/>
      <w:lang w:val="id-ID" w:eastAsia="en-US"/>
    </w:rPr>
  </w:style>
  <w:style w:type="table" w:styleId="PlainTable2">
    <w:name w:val="Plain Table 2"/>
    <w:basedOn w:val="TableNormal"/>
    <w:uiPriority w:val="42"/>
    <w:rsid w:val="0041703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41703E"/>
    <w:rPr>
      <w:rFonts w:ascii="Times New Roman" w:eastAsia="Times New Roman" w:hAnsi="Times New Roman"/>
      <w:b/>
      <w:bCs/>
      <w:sz w:val="24"/>
      <w:szCs w:val="24"/>
      <w:lang w:val="id" w:eastAsia="en-US"/>
    </w:rPr>
  </w:style>
  <w:style w:type="table" w:styleId="PlainTable4">
    <w:name w:val="Plain Table 4"/>
    <w:basedOn w:val="TableNormal"/>
    <w:uiPriority w:val="44"/>
    <w:rsid w:val="0041703E"/>
    <w:pPr>
      <w:widowControl w:val="0"/>
      <w:autoSpaceDE w:val="0"/>
      <w:autoSpaceDN w:val="0"/>
    </w:pPr>
    <w:rPr>
      <w:rFonts w:asciiTheme="minorHAnsi" w:eastAsiaTheme="minorHAnsi"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1Char">
    <w:name w:val="Style1 Char"/>
    <w:basedOn w:val="DefaultParagraphFont"/>
    <w:rsid w:val="0041703E"/>
    <w:rPr>
      <w:rFonts w:ascii="Times New Roman" w:eastAsia="Times New Roman" w:hAnsi="Times New Roman" w:cs="Times New Roman"/>
      <w:lang w:val="id"/>
    </w:rPr>
  </w:style>
  <w:style w:type="paragraph" w:customStyle="1" w:styleId="Isi">
    <w:name w:val="Isi"/>
    <w:basedOn w:val="Normal"/>
    <w:link w:val="IsiChar"/>
    <w:qFormat/>
    <w:rsid w:val="0041703E"/>
    <w:pPr>
      <w:spacing w:after="160" w:line="480" w:lineRule="auto"/>
      <w:ind w:firstLine="576"/>
      <w:jc w:val="both"/>
    </w:pPr>
    <w:rPr>
      <w:rFonts w:ascii="Times New Roman" w:eastAsiaTheme="minorHAnsi" w:hAnsi="Times New Roman"/>
      <w:sz w:val="24"/>
      <w:szCs w:val="24"/>
      <w:lang w:val="en-ID" w:bidi="hi-IN"/>
    </w:rPr>
  </w:style>
  <w:style w:type="character" w:customStyle="1" w:styleId="IsiChar">
    <w:name w:val="Isi Char"/>
    <w:basedOn w:val="DefaultParagraphFont"/>
    <w:link w:val="Isi"/>
    <w:rsid w:val="0041703E"/>
    <w:rPr>
      <w:rFonts w:ascii="Times New Roman" w:eastAsiaTheme="minorHAnsi" w:hAnsi="Times New Roman"/>
      <w:sz w:val="24"/>
      <w:szCs w:val="24"/>
      <w:lang w:eastAsia="en-US" w:bidi="hi-IN"/>
    </w:rPr>
  </w:style>
  <w:style w:type="paragraph" w:styleId="NormalWeb">
    <w:name w:val="Normal (Web)"/>
    <w:basedOn w:val="Normal"/>
    <w:uiPriority w:val="99"/>
    <w:unhideWhenUsed/>
    <w:rsid w:val="0041703E"/>
    <w:pPr>
      <w:spacing w:before="100" w:beforeAutospacing="1" w:after="100" w:afterAutospacing="1" w:line="240" w:lineRule="auto"/>
    </w:pPr>
    <w:rPr>
      <w:rFonts w:ascii="Times New Roman" w:eastAsia="Times New Roman" w:hAnsi="Times New Roman"/>
      <w:sz w:val="24"/>
      <w:szCs w:val="24"/>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06924">
      <w:bodyDiv w:val="1"/>
      <w:marLeft w:val="0"/>
      <w:marRight w:val="0"/>
      <w:marTop w:val="0"/>
      <w:marBottom w:val="0"/>
      <w:divBdr>
        <w:top w:val="none" w:sz="0" w:space="0" w:color="auto"/>
        <w:left w:val="none" w:sz="0" w:space="0" w:color="auto"/>
        <w:bottom w:val="none" w:sz="0" w:space="0" w:color="auto"/>
        <w:right w:val="none" w:sz="0" w:space="0" w:color="auto"/>
      </w:divBdr>
    </w:div>
    <w:div w:id="304119604">
      <w:bodyDiv w:val="1"/>
      <w:marLeft w:val="0"/>
      <w:marRight w:val="0"/>
      <w:marTop w:val="0"/>
      <w:marBottom w:val="0"/>
      <w:divBdr>
        <w:top w:val="none" w:sz="0" w:space="0" w:color="auto"/>
        <w:left w:val="none" w:sz="0" w:space="0" w:color="auto"/>
        <w:bottom w:val="none" w:sz="0" w:space="0" w:color="auto"/>
        <w:right w:val="none" w:sz="0" w:space="0" w:color="auto"/>
      </w:divBdr>
      <w:divsChild>
        <w:div w:id="13851141">
          <w:marLeft w:val="0"/>
          <w:marRight w:val="0"/>
          <w:marTop w:val="0"/>
          <w:marBottom w:val="0"/>
          <w:divBdr>
            <w:top w:val="none" w:sz="0" w:space="0" w:color="auto"/>
            <w:left w:val="none" w:sz="0" w:space="0" w:color="auto"/>
            <w:bottom w:val="none" w:sz="0" w:space="0" w:color="auto"/>
            <w:right w:val="none" w:sz="0" w:space="0" w:color="auto"/>
          </w:divBdr>
        </w:div>
        <w:div w:id="47996074">
          <w:marLeft w:val="0"/>
          <w:marRight w:val="0"/>
          <w:marTop w:val="0"/>
          <w:marBottom w:val="0"/>
          <w:divBdr>
            <w:top w:val="none" w:sz="0" w:space="0" w:color="auto"/>
            <w:left w:val="none" w:sz="0" w:space="0" w:color="auto"/>
            <w:bottom w:val="none" w:sz="0" w:space="0" w:color="auto"/>
            <w:right w:val="none" w:sz="0" w:space="0" w:color="auto"/>
          </w:divBdr>
        </w:div>
        <w:div w:id="61410802">
          <w:marLeft w:val="0"/>
          <w:marRight w:val="0"/>
          <w:marTop w:val="0"/>
          <w:marBottom w:val="0"/>
          <w:divBdr>
            <w:top w:val="none" w:sz="0" w:space="0" w:color="auto"/>
            <w:left w:val="none" w:sz="0" w:space="0" w:color="auto"/>
            <w:bottom w:val="none" w:sz="0" w:space="0" w:color="auto"/>
            <w:right w:val="none" w:sz="0" w:space="0" w:color="auto"/>
          </w:divBdr>
        </w:div>
        <w:div w:id="83379412">
          <w:marLeft w:val="0"/>
          <w:marRight w:val="0"/>
          <w:marTop w:val="0"/>
          <w:marBottom w:val="0"/>
          <w:divBdr>
            <w:top w:val="none" w:sz="0" w:space="0" w:color="auto"/>
            <w:left w:val="none" w:sz="0" w:space="0" w:color="auto"/>
            <w:bottom w:val="none" w:sz="0" w:space="0" w:color="auto"/>
            <w:right w:val="none" w:sz="0" w:space="0" w:color="auto"/>
          </w:divBdr>
        </w:div>
        <w:div w:id="105317134">
          <w:marLeft w:val="0"/>
          <w:marRight w:val="0"/>
          <w:marTop w:val="0"/>
          <w:marBottom w:val="0"/>
          <w:divBdr>
            <w:top w:val="none" w:sz="0" w:space="0" w:color="auto"/>
            <w:left w:val="none" w:sz="0" w:space="0" w:color="auto"/>
            <w:bottom w:val="none" w:sz="0" w:space="0" w:color="auto"/>
            <w:right w:val="none" w:sz="0" w:space="0" w:color="auto"/>
          </w:divBdr>
        </w:div>
        <w:div w:id="309677812">
          <w:marLeft w:val="0"/>
          <w:marRight w:val="0"/>
          <w:marTop w:val="0"/>
          <w:marBottom w:val="0"/>
          <w:divBdr>
            <w:top w:val="none" w:sz="0" w:space="0" w:color="auto"/>
            <w:left w:val="none" w:sz="0" w:space="0" w:color="auto"/>
            <w:bottom w:val="none" w:sz="0" w:space="0" w:color="auto"/>
            <w:right w:val="none" w:sz="0" w:space="0" w:color="auto"/>
          </w:divBdr>
        </w:div>
        <w:div w:id="352997716">
          <w:marLeft w:val="0"/>
          <w:marRight w:val="0"/>
          <w:marTop w:val="0"/>
          <w:marBottom w:val="0"/>
          <w:divBdr>
            <w:top w:val="none" w:sz="0" w:space="0" w:color="auto"/>
            <w:left w:val="none" w:sz="0" w:space="0" w:color="auto"/>
            <w:bottom w:val="none" w:sz="0" w:space="0" w:color="auto"/>
            <w:right w:val="none" w:sz="0" w:space="0" w:color="auto"/>
          </w:divBdr>
        </w:div>
        <w:div w:id="442653974">
          <w:marLeft w:val="0"/>
          <w:marRight w:val="0"/>
          <w:marTop w:val="0"/>
          <w:marBottom w:val="0"/>
          <w:divBdr>
            <w:top w:val="none" w:sz="0" w:space="0" w:color="auto"/>
            <w:left w:val="none" w:sz="0" w:space="0" w:color="auto"/>
            <w:bottom w:val="none" w:sz="0" w:space="0" w:color="auto"/>
            <w:right w:val="none" w:sz="0" w:space="0" w:color="auto"/>
          </w:divBdr>
        </w:div>
        <w:div w:id="456529537">
          <w:marLeft w:val="0"/>
          <w:marRight w:val="0"/>
          <w:marTop w:val="0"/>
          <w:marBottom w:val="0"/>
          <w:divBdr>
            <w:top w:val="none" w:sz="0" w:space="0" w:color="auto"/>
            <w:left w:val="none" w:sz="0" w:space="0" w:color="auto"/>
            <w:bottom w:val="none" w:sz="0" w:space="0" w:color="auto"/>
            <w:right w:val="none" w:sz="0" w:space="0" w:color="auto"/>
          </w:divBdr>
        </w:div>
        <w:div w:id="482238303">
          <w:marLeft w:val="0"/>
          <w:marRight w:val="0"/>
          <w:marTop w:val="0"/>
          <w:marBottom w:val="0"/>
          <w:divBdr>
            <w:top w:val="none" w:sz="0" w:space="0" w:color="auto"/>
            <w:left w:val="none" w:sz="0" w:space="0" w:color="auto"/>
            <w:bottom w:val="none" w:sz="0" w:space="0" w:color="auto"/>
            <w:right w:val="none" w:sz="0" w:space="0" w:color="auto"/>
          </w:divBdr>
        </w:div>
        <w:div w:id="614485071">
          <w:marLeft w:val="0"/>
          <w:marRight w:val="0"/>
          <w:marTop w:val="0"/>
          <w:marBottom w:val="0"/>
          <w:divBdr>
            <w:top w:val="none" w:sz="0" w:space="0" w:color="auto"/>
            <w:left w:val="none" w:sz="0" w:space="0" w:color="auto"/>
            <w:bottom w:val="none" w:sz="0" w:space="0" w:color="auto"/>
            <w:right w:val="none" w:sz="0" w:space="0" w:color="auto"/>
          </w:divBdr>
        </w:div>
        <w:div w:id="728572692">
          <w:marLeft w:val="0"/>
          <w:marRight w:val="0"/>
          <w:marTop w:val="0"/>
          <w:marBottom w:val="0"/>
          <w:divBdr>
            <w:top w:val="none" w:sz="0" w:space="0" w:color="auto"/>
            <w:left w:val="none" w:sz="0" w:space="0" w:color="auto"/>
            <w:bottom w:val="none" w:sz="0" w:space="0" w:color="auto"/>
            <w:right w:val="none" w:sz="0" w:space="0" w:color="auto"/>
          </w:divBdr>
        </w:div>
        <w:div w:id="744374603">
          <w:marLeft w:val="0"/>
          <w:marRight w:val="0"/>
          <w:marTop w:val="0"/>
          <w:marBottom w:val="0"/>
          <w:divBdr>
            <w:top w:val="none" w:sz="0" w:space="0" w:color="auto"/>
            <w:left w:val="none" w:sz="0" w:space="0" w:color="auto"/>
            <w:bottom w:val="none" w:sz="0" w:space="0" w:color="auto"/>
            <w:right w:val="none" w:sz="0" w:space="0" w:color="auto"/>
          </w:divBdr>
        </w:div>
        <w:div w:id="801725880">
          <w:marLeft w:val="0"/>
          <w:marRight w:val="0"/>
          <w:marTop w:val="0"/>
          <w:marBottom w:val="0"/>
          <w:divBdr>
            <w:top w:val="none" w:sz="0" w:space="0" w:color="auto"/>
            <w:left w:val="none" w:sz="0" w:space="0" w:color="auto"/>
            <w:bottom w:val="none" w:sz="0" w:space="0" w:color="auto"/>
            <w:right w:val="none" w:sz="0" w:space="0" w:color="auto"/>
          </w:divBdr>
        </w:div>
        <w:div w:id="804859855">
          <w:marLeft w:val="0"/>
          <w:marRight w:val="0"/>
          <w:marTop w:val="0"/>
          <w:marBottom w:val="0"/>
          <w:divBdr>
            <w:top w:val="none" w:sz="0" w:space="0" w:color="auto"/>
            <w:left w:val="none" w:sz="0" w:space="0" w:color="auto"/>
            <w:bottom w:val="none" w:sz="0" w:space="0" w:color="auto"/>
            <w:right w:val="none" w:sz="0" w:space="0" w:color="auto"/>
          </w:divBdr>
        </w:div>
        <w:div w:id="843785036">
          <w:marLeft w:val="0"/>
          <w:marRight w:val="0"/>
          <w:marTop w:val="0"/>
          <w:marBottom w:val="0"/>
          <w:divBdr>
            <w:top w:val="none" w:sz="0" w:space="0" w:color="auto"/>
            <w:left w:val="none" w:sz="0" w:space="0" w:color="auto"/>
            <w:bottom w:val="none" w:sz="0" w:space="0" w:color="auto"/>
            <w:right w:val="none" w:sz="0" w:space="0" w:color="auto"/>
          </w:divBdr>
        </w:div>
        <w:div w:id="875043538">
          <w:marLeft w:val="0"/>
          <w:marRight w:val="0"/>
          <w:marTop w:val="0"/>
          <w:marBottom w:val="0"/>
          <w:divBdr>
            <w:top w:val="none" w:sz="0" w:space="0" w:color="auto"/>
            <w:left w:val="none" w:sz="0" w:space="0" w:color="auto"/>
            <w:bottom w:val="none" w:sz="0" w:space="0" w:color="auto"/>
            <w:right w:val="none" w:sz="0" w:space="0" w:color="auto"/>
          </w:divBdr>
        </w:div>
        <w:div w:id="892348730">
          <w:marLeft w:val="0"/>
          <w:marRight w:val="0"/>
          <w:marTop w:val="0"/>
          <w:marBottom w:val="0"/>
          <w:divBdr>
            <w:top w:val="none" w:sz="0" w:space="0" w:color="auto"/>
            <w:left w:val="none" w:sz="0" w:space="0" w:color="auto"/>
            <w:bottom w:val="none" w:sz="0" w:space="0" w:color="auto"/>
            <w:right w:val="none" w:sz="0" w:space="0" w:color="auto"/>
          </w:divBdr>
        </w:div>
        <w:div w:id="941885502">
          <w:marLeft w:val="0"/>
          <w:marRight w:val="0"/>
          <w:marTop w:val="0"/>
          <w:marBottom w:val="0"/>
          <w:divBdr>
            <w:top w:val="none" w:sz="0" w:space="0" w:color="auto"/>
            <w:left w:val="none" w:sz="0" w:space="0" w:color="auto"/>
            <w:bottom w:val="none" w:sz="0" w:space="0" w:color="auto"/>
            <w:right w:val="none" w:sz="0" w:space="0" w:color="auto"/>
          </w:divBdr>
        </w:div>
        <w:div w:id="952320380">
          <w:marLeft w:val="0"/>
          <w:marRight w:val="0"/>
          <w:marTop w:val="0"/>
          <w:marBottom w:val="0"/>
          <w:divBdr>
            <w:top w:val="none" w:sz="0" w:space="0" w:color="auto"/>
            <w:left w:val="none" w:sz="0" w:space="0" w:color="auto"/>
            <w:bottom w:val="none" w:sz="0" w:space="0" w:color="auto"/>
            <w:right w:val="none" w:sz="0" w:space="0" w:color="auto"/>
          </w:divBdr>
        </w:div>
        <w:div w:id="984624696">
          <w:marLeft w:val="0"/>
          <w:marRight w:val="0"/>
          <w:marTop w:val="0"/>
          <w:marBottom w:val="0"/>
          <w:divBdr>
            <w:top w:val="none" w:sz="0" w:space="0" w:color="auto"/>
            <w:left w:val="none" w:sz="0" w:space="0" w:color="auto"/>
            <w:bottom w:val="none" w:sz="0" w:space="0" w:color="auto"/>
            <w:right w:val="none" w:sz="0" w:space="0" w:color="auto"/>
          </w:divBdr>
        </w:div>
        <w:div w:id="994726766">
          <w:marLeft w:val="0"/>
          <w:marRight w:val="0"/>
          <w:marTop w:val="0"/>
          <w:marBottom w:val="0"/>
          <w:divBdr>
            <w:top w:val="none" w:sz="0" w:space="0" w:color="auto"/>
            <w:left w:val="none" w:sz="0" w:space="0" w:color="auto"/>
            <w:bottom w:val="none" w:sz="0" w:space="0" w:color="auto"/>
            <w:right w:val="none" w:sz="0" w:space="0" w:color="auto"/>
          </w:divBdr>
        </w:div>
        <w:div w:id="997803946">
          <w:marLeft w:val="0"/>
          <w:marRight w:val="0"/>
          <w:marTop w:val="0"/>
          <w:marBottom w:val="0"/>
          <w:divBdr>
            <w:top w:val="none" w:sz="0" w:space="0" w:color="auto"/>
            <w:left w:val="none" w:sz="0" w:space="0" w:color="auto"/>
            <w:bottom w:val="none" w:sz="0" w:space="0" w:color="auto"/>
            <w:right w:val="none" w:sz="0" w:space="0" w:color="auto"/>
          </w:divBdr>
        </w:div>
        <w:div w:id="1031107010">
          <w:marLeft w:val="0"/>
          <w:marRight w:val="0"/>
          <w:marTop w:val="0"/>
          <w:marBottom w:val="0"/>
          <w:divBdr>
            <w:top w:val="none" w:sz="0" w:space="0" w:color="auto"/>
            <w:left w:val="none" w:sz="0" w:space="0" w:color="auto"/>
            <w:bottom w:val="none" w:sz="0" w:space="0" w:color="auto"/>
            <w:right w:val="none" w:sz="0" w:space="0" w:color="auto"/>
          </w:divBdr>
        </w:div>
        <w:div w:id="1041242617">
          <w:marLeft w:val="0"/>
          <w:marRight w:val="0"/>
          <w:marTop w:val="0"/>
          <w:marBottom w:val="0"/>
          <w:divBdr>
            <w:top w:val="none" w:sz="0" w:space="0" w:color="auto"/>
            <w:left w:val="none" w:sz="0" w:space="0" w:color="auto"/>
            <w:bottom w:val="none" w:sz="0" w:space="0" w:color="auto"/>
            <w:right w:val="none" w:sz="0" w:space="0" w:color="auto"/>
          </w:divBdr>
        </w:div>
        <w:div w:id="1078671953">
          <w:marLeft w:val="0"/>
          <w:marRight w:val="0"/>
          <w:marTop w:val="0"/>
          <w:marBottom w:val="0"/>
          <w:divBdr>
            <w:top w:val="none" w:sz="0" w:space="0" w:color="auto"/>
            <w:left w:val="none" w:sz="0" w:space="0" w:color="auto"/>
            <w:bottom w:val="none" w:sz="0" w:space="0" w:color="auto"/>
            <w:right w:val="none" w:sz="0" w:space="0" w:color="auto"/>
          </w:divBdr>
        </w:div>
        <w:div w:id="1103456590">
          <w:marLeft w:val="0"/>
          <w:marRight w:val="0"/>
          <w:marTop w:val="0"/>
          <w:marBottom w:val="0"/>
          <w:divBdr>
            <w:top w:val="none" w:sz="0" w:space="0" w:color="auto"/>
            <w:left w:val="none" w:sz="0" w:space="0" w:color="auto"/>
            <w:bottom w:val="none" w:sz="0" w:space="0" w:color="auto"/>
            <w:right w:val="none" w:sz="0" w:space="0" w:color="auto"/>
          </w:divBdr>
        </w:div>
        <w:div w:id="1114595040">
          <w:marLeft w:val="0"/>
          <w:marRight w:val="0"/>
          <w:marTop w:val="0"/>
          <w:marBottom w:val="0"/>
          <w:divBdr>
            <w:top w:val="none" w:sz="0" w:space="0" w:color="auto"/>
            <w:left w:val="none" w:sz="0" w:space="0" w:color="auto"/>
            <w:bottom w:val="none" w:sz="0" w:space="0" w:color="auto"/>
            <w:right w:val="none" w:sz="0" w:space="0" w:color="auto"/>
          </w:divBdr>
        </w:div>
        <w:div w:id="1116631496">
          <w:marLeft w:val="0"/>
          <w:marRight w:val="0"/>
          <w:marTop w:val="0"/>
          <w:marBottom w:val="0"/>
          <w:divBdr>
            <w:top w:val="none" w:sz="0" w:space="0" w:color="auto"/>
            <w:left w:val="none" w:sz="0" w:space="0" w:color="auto"/>
            <w:bottom w:val="none" w:sz="0" w:space="0" w:color="auto"/>
            <w:right w:val="none" w:sz="0" w:space="0" w:color="auto"/>
          </w:divBdr>
        </w:div>
        <w:div w:id="1131510380">
          <w:marLeft w:val="0"/>
          <w:marRight w:val="0"/>
          <w:marTop w:val="0"/>
          <w:marBottom w:val="0"/>
          <w:divBdr>
            <w:top w:val="none" w:sz="0" w:space="0" w:color="auto"/>
            <w:left w:val="none" w:sz="0" w:space="0" w:color="auto"/>
            <w:bottom w:val="none" w:sz="0" w:space="0" w:color="auto"/>
            <w:right w:val="none" w:sz="0" w:space="0" w:color="auto"/>
          </w:divBdr>
        </w:div>
        <w:div w:id="1158154660">
          <w:marLeft w:val="0"/>
          <w:marRight w:val="0"/>
          <w:marTop w:val="0"/>
          <w:marBottom w:val="0"/>
          <w:divBdr>
            <w:top w:val="none" w:sz="0" w:space="0" w:color="auto"/>
            <w:left w:val="none" w:sz="0" w:space="0" w:color="auto"/>
            <w:bottom w:val="none" w:sz="0" w:space="0" w:color="auto"/>
            <w:right w:val="none" w:sz="0" w:space="0" w:color="auto"/>
          </w:divBdr>
        </w:div>
        <w:div w:id="1173841694">
          <w:marLeft w:val="0"/>
          <w:marRight w:val="0"/>
          <w:marTop w:val="0"/>
          <w:marBottom w:val="0"/>
          <w:divBdr>
            <w:top w:val="none" w:sz="0" w:space="0" w:color="auto"/>
            <w:left w:val="none" w:sz="0" w:space="0" w:color="auto"/>
            <w:bottom w:val="none" w:sz="0" w:space="0" w:color="auto"/>
            <w:right w:val="none" w:sz="0" w:space="0" w:color="auto"/>
          </w:divBdr>
        </w:div>
        <w:div w:id="1225413985">
          <w:marLeft w:val="0"/>
          <w:marRight w:val="0"/>
          <w:marTop w:val="0"/>
          <w:marBottom w:val="0"/>
          <w:divBdr>
            <w:top w:val="none" w:sz="0" w:space="0" w:color="auto"/>
            <w:left w:val="none" w:sz="0" w:space="0" w:color="auto"/>
            <w:bottom w:val="none" w:sz="0" w:space="0" w:color="auto"/>
            <w:right w:val="none" w:sz="0" w:space="0" w:color="auto"/>
          </w:divBdr>
        </w:div>
        <w:div w:id="1252082108">
          <w:marLeft w:val="0"/>
          <w:marRight w:val="0"/>
          <w:marTop w:val="0"/>
          <w:marBottom w:val="0"/>
          <w:divBdr>
            <w:top w:val="none" w:sz="0" w:space="0" w:color="auto"/>
            <w:left w:val="none" w:sz="0" w:space="0" w:color="auto"/>
            <w:bottom w:val="none" w:sz="0" w:space="0" w:color="auto"/>
            <w:right w:val="none" w:sz="0" w:space="0" w:color="auto"/>
          </w:divBdr>
        </w:div>
        <w:div w:id="1337881933">
          <w:marLeft w:val="0"/>
          <w:marRight w:val="0"/>
          <w:marTop w:val="0"/>
          <w:marBottom w:val="0"/>
          <w:divBdr>
            <w:top w:val="none" w:sz="0" w:space="0" w:color="auto"/>
            <w:left w:val="none" w:sz="0" w:space="0" w:color="auto"/>
            <w:bottom w:val="none" w:sz="0" w:space="0" w:color="auto"/>
            <w:right w:val="none" w:sz="0" w:space="0" w:color="auto"/>
          </w:divBdr>
        </w:div>
        <w:div w:id="1346906023">
          <w:marLeft w:val="0"/>
          <w:marRight w:val="0"/>
          <w:marTop w:val="0"/>
          <w:marBottom w:val="0"/>
          <w:divBdr>
            <w:top w:val="none" w:sz="0" w:space="0" w:color="auto"/>
            <w:left w:val="none" w:sz="0" w:space="0" w:color="auto"/>
            <w:bottom w:val="none" w:sz="0" w:space="0" w:color="auto"/>
            <w:right w:val="none" w:sz="0" w:space="0" w:color="auto"/>
          </w:divBdr>
        </w:div>
        <w:div w:id="1355421289">
          <w:marLeft w:val="0"/>
          <w:marRight w:val="0"/>
          <w:marTop w:val="0"/>
          <w:marBottom w:val="0"/>
          <w:divBdr>
            <w:top w:val="none" w:sz="0" w:space="0" w:color="auto"/>
            <w:left w:val="none" w:sz="0" w:space="0" w:color="auto"/>
            <w:bottom w:val="none" w:sz="0" w:space="0" w:color="auto"/>
            <w:right w:val="none" w:sz="0" w:space="0" w:color="auto"/>
          </w:divBdr>
        </w:div>
        <w:div w:id="1367827703">
          <w:marLeft w:val="0"/>
          <w:marRight w:val="0"/>
          <w:marTop w:val="0"/>
          <w:marBottom w:val="0"/>
          <w:divBdr>
            <w:top w:val="none" w:sz="0" w:space="0" w:color="auto"/>
            <w:left w:val="none" w:sz="0" w:space="0" w:color="auto"/>
            <w:bottom w:val="none" w:sz="0" w:space="0" w:color="auto"/>
            <w:right w:val="none" w:sz="0" w:space="0" w:color="auto"/>
          </w:divBdr>
        </w:div>
        <w:div w:id="1382438983">
          <w:marLeft w:val="0"/>
          <w:marRight w:val="0"/>
          <w:marTop w:val="0"/>
          <w:marBottom w:val="0"/>
          <w:divBdr>
            <w:top w:val="none" w:sz="0" w:space="0" w:color="auto"/>
            <w:left w:val="none" w:sz="0" w:space="0" w:color="auto"/>
            <w:bottom w:val="none" w:sz="0" w:space="0" w:color="auto"/>
            <w:right w:val="none" w:sz="0" w:space="0" w:color="auto"/>
          </w:divBdr>
        </w:div>
        <w:div w:id="1560048408">
          <w:marLeft w:val="0"/>
          <w:marRight w:val="0"/>
          <w:marTop w:val="0"/>
          <w:marBottom w:val="0"/>
          <w:divBdr>
            <w:top w:val="none" w:sz="0" w:space="0" w:color="auto"/>
            <w:left w:val="none" w:sz="0" w:space="0" w:color="auto"/>
            <w:bottom w:val="none" w:sz="0" w:space="0" w:color="auto"/>
            <w:right w:val="none" w:sz="0" w:space="0" w:color="auto"/>
          </w:divBdr>
        </w:div>
        <w:div w:id="1671057902">
          <w:marLeft w:val="0"/>
          <w:marRight w:val="0"/>
          <w:marTop w:val="0"/>
          <w:marBottom w:val="0"/>
          <w:divBdr>
            <w:top w:val="none" w:sz="0" w:space="0" w:color="auto"/>
            <w:left w:val="none" w:sz="0" w:space="0" w:color="auto"/>
            <w:bottom w:val="none" w:sz="0" w:space="0" w:color="auto"/>
            <w:right w:val="none" w:sz="0" w:space="0" w:color="auto"/>
          </w:divBdr>
        </w:div>
        <w:div w:id="1696075822">
          <w:marLeft w:val="0"/>
          <w:marRight w:val="0"/>
          <w:marTop w:val="0"/>
          <w:marBottom w:val="0"/>
          <w:divBdr>
            <w:top w:val="none" w:sz="0" w:space="0" w:color="auto"/>
            <w:left w:val="none" w:sz="0" w:space="0" w:color="auto"/>
            <w:bottom w:val="none" w:sz="0" w:space="0" w:color="auto"/>
            <w:right w:val="none" w:sz="0" w:space="0" w:color="auto"/>
          </w:divBdr>
        </w:div>
        <w:div w:id="1706173601">
          <w:marLeft w:val="0"/>
          <w:marRight w:val="0"/>
          <w:marTop w:val="0"/>
          <w:marBottom w:val="0"/>
          <w:divBdr>
            <w:top w:val="none" w:sz="0" w:space="0" w:color="auto"/>
            <w:left w:val="none" w:sz="0" w:space="0" w:color="auto"/>
            <w:bottom w:val="none" w:sz="0" w:space="0" w:color="auto"/>
            <w:right w:val="none" w:sz="0" w:space="0" w:color="auto"/>
          </w:divBdr>
        </w:div>
        <w:div w:id="1707484136">
          <w:marLeft w:val="0"/>
          <w:marRight w:val="0"/>
          <w:marTop w:val="0"/>
          <w:marBottom w:val="0"/>
          <w:divBdr>
            <w:top w:val="none" w:sz="0" w:space="0" w:color="auto"/>
            <w:left w:val="none" w:sz="0" w:space="0" w:color="auto"/>
            <w:bottom w:val="none" w:sz="0" w:space="0" w:color="auto"/>
            <w:right w:val="none" w:sz="0" w:space="0" w:color="auto"/>
          </w:divBdr>
        </w:div>
        <w:div w:id="1814908248">
          <w:marLeft w:val="0"/>
          <w:marRight w:val="0"/>
          <w:marTop w:val="0"/>
          <w:marBottom w:val="0"/>
          <w:divBdr>
            <w:top w:val="none" w:sz="0" w:space="0" w:color="auto"/>
            <w:left w:val="none" w:sz="0" w:space="0" w:color="auto"/>
            <w:bottom w:val="none" w:sz="0" w:space="0" w:color="auto"/>
            <w:right w:val="none" w:sz="0" w:space="0" w:color="auto"/>
          </w:divBdr>
        </w:div>
        <w:div w:id="1824269504">
          <w:marLeft w:val="0"/>
          <w:marRight w:val="0"/>
          <w:marTop w:val="0"/>
          <w:marBottom w:val="0"/>
          <w:divBdr>
            <w:top w:val="none" w:sz="0" w:space="0" w:color="auto"/>
            <w:left w:val="none" w:sz="0" w:space="0" w:color="auto"/>
            <w:bottom w:val="none" w:sz="0" w:space="0" w:color="auto"/>
            <w:right w:val="none" w:sz="0" w:space="0" w:color="auto"/>
          </w:divBdr>
        </w:div>
        <w:div w:id="1849558005">
          <w:marLeft w:val="0"/>
          <w:marRight w:val="0"/>
          <w:marTop w:val="0"/>
          <w:marBottom w:val="0"/>
          <w:divBdr>
            <w:top w:val="none" w:sz="0" w:space="0" w:color="auto"/>
            <w:left w:val="none" w:sz="0" w:space="0" w:color="auto"/>
            <w:bottom w:val="none" w:sz="0" w:space="0" w:color="auto"/>
            <w:right w:val="none" w:sz="0" w:space="0" w:color="auto"/>
          </w:divBdr>
        </w:div>
        <w:div w:id="1952667208">
          <w:marLeft w:val="0"/>
          <w:marRight w:val="0"/>
          <w:marTop w:val="0"/>
          <w:marBottom w:val="0"/>
          <w:divBdr>
            <w:top w:val="none" w:sz="0" w:space="0" w:color="auto"/>
            <w:left w:val="none" w:sz="0" w:space="0" w:color="auto"/>
            <w:bottom w:val="none" w:sz="0" w:space="0" w:color="auto"/>
            <w:right w:val="none" w:sz="0" w:space="0" w:color="auto"/>
          </w:divBdr>
        </w:div>
        <w:div w:id="1982347824">
          <w:marLeft w:val="0"/>
          <w:marRight w:val="0"/>
          <w:marTop w:val="0"/>
          <w:marBottom w:val="0"/>
          <w:divBdr>
            <w:top w:val="none" w:sz="0" w:space="0" w:color="auto"/>
            <w:left w:val="none" w:sz="0" w:space="0" w:color="auto"/>
            <w:bottom w:val="none" w:sz="0" w:space="0" w:color="auto"/>
            <w:right w:val="none" w:sz="0" w:space="0" w:color="auto"/>
          </w:divBdr>
        </w:div>
        <w:div w:id="2020349862">
          <w:marLeft w:val="0"/>
          <w:marRight w:val="0"/>
          <w:marTop w:val="0"/>
          <w:marBottom w:val="0"/>
          <w:divBdr>
            <w:top w:val="none" w:sz="0" w:space="0" w:color="auto"/>
            <w:left w:val="none" w:sz="0" w:space="0" w:color="auto"/>
            <w:bottom w:val="none" w:sz="0" w:space="0" w:color="auto"/>
            <w:right w:val="none" w:sz="0" w:space="0" w:color="auto"/>
          </w:divBdr>
        </w:div>
        <w:div w:id="2059165875">
          <w:marLeft w:val="0"/>
          <w:marRight w:val="0"/>
          <w:marTop w:val="0"/>
          <w:marBottom w:val="0"/>
          <w:divBdr>
            <w:top w:val="none" w:sz="0" w:space="0" w:color="auto"/>
            <w:left w:val="none" w:sz="0" w:space="0" w:color="auto"/>
            <w:bottom w:val="none" w:sz="0" w:space="0" w:color="auto"/>
            <w:right w:val="none" w:sz="0" w:space="0" w:color="auto"/>
          </w:divBdr>
        </w:div>
        <w:div w:id="2110808184">
          <w:marLeft w:val="0"/>
          <w:marRight w:val="0"/>
          <w:marTop w:val="0"/>
          <w:marBottom w:val="0"/>
          <w:divBdr>
            <w:top w:val="none" w:sz="0" w:space="0" w:color="auto"/>
            <w:left w:val="none" w:sz="0" w:space="0" w:color="auto"/>
            <w:bottom w:val="none" w:sz="0" w:space="0" w:color="auto"/>
            <w:right w:val="none" w:sz="0" w:space="0" w:color="auto"/>
          </w:divBdr>
        </w:div>
      </w:divsChild>
    </w:div>
    <w:div w:id="315189831">
      <w:bodyDiv w:val="1"/>
      <w:marLeft w:val="0"/>
      <w:marRight w:val="0"/>
      <w:marTop w:val="0"/>
      <w:marBottom w:val="0"/>
      <w:divBdr>
        <w:top w:val="none" w:sz="0" w:space="0" w:color="auto"/>
        <w:left w:val="none" w:sz="0" w:space="0" w:color="auto"/>
        <w:bottom w:val="none" w:sz="0" w:space="0" w:color="auto"/>
        <w:right w:val="none" w:sz="0" w:space="0" w:color="auto"/>
      </w:divBdr>
    </w:div>
    <w:div w:id="379743767">
      <w:bodyDiv w:val="1"/>
      <w:marLeft w:val="0"/>
      <w:marRight w:val="0"/>
      <w:marTop w:val="0"/>
      <w:marBottom w:val="0"/>
      <w:divBdr>
        <w:top w:val="none" w:sz="0" w:space="0" w:color="auto"/>
        <w:left w:val="none" w:sz="0" w:space="0" w:color="auto"/>
        <w:bottom w:val="none" w:sz="0" w:space="0" w:color="auto"/>
        <w:right w:val="none" w:sz="0" w:space="0" w:color="auto"/>
      </w:divBdr>
    </w:div>
    <w:div w:id="38025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7576">
          <w:marLeft w:val="480"/>
          <w:marRight w:val="0"/>
          <w:marTop w:val="0"/>
          <w:marBottom w:val="0"/>
          <w:divBdr>
            <w:top w:val="none" w:sz="0" w:space="0" w:color="auto"/>
            <w:left w:val="none" w:sz="0" w:space="0" w:color="auto"/>
            <w:bottom w:val="none" w:sz="0" w:space="0" w:color="auto"/>
            <w:right w:val="none" w:sz="0" w:space="0" w:color="auto"/>
          </w:divBdr>
        </w:div>
        <w:div w:id="267780153">
          <w:marLeft w:val="480"/>
          <w:marRight w:val="0"/>
          <w:marTop w:val="0"/>
          <w:marBottom w:val="0"/>
          <w:divBdr>
            <w:top w:val="none" w:sz="0" w:space="0" w:color="auto"/>
            <w:left w:val="none" w:sz="0" w:space="0" w:color="auto"/>
            <w:bottom w:val="none" w:sz="0" w:space="0" w:color="auto"/>
            <w:right w:val="none" w:sz="0" w:space="0" w:color="auto"/>
          </w:divBdr>
        </w:div>
        <w:div w:id="212080574">
          <w:marLeft w:val="480"/>
          <w:marRight w:val="0"/>
          <w:marTop w:val="0"/>
          <w:marBottom w:val="0"/>
          <w:divBdr>
            <w:top w:val="none" w:sz="0" w:space="0" w:color="auto"/>
            <w:left w:val="none" w:sz="0" w:space="0" w:color="auto"/>
            <w:bottom w:val="none" w:sz="0" w:space="0" w:color="auto"/>
            <w:right w:val="none" w:sz="0" w:space="0" w:color="auto"/>
          </w:divBdr>
        </w:div>
        <w:div w:id="1894195061">
          <w:marLeft w:val="480"/>
          <w:marRight w:val="0"/>
          <w:marTop w:val="0"/>
          <w:marBottom w:val="0"/>
          <w:divBdr>
            <w:top w:val="none" w:sz="0" w:space="0" w:color="auto"/>
            <w:left w:val="none" w:sz="0" w:space="0" w:color="auto"/>
            <w:bottom w:val="none" w:sz="0" w:space="0" w:color="auto"/>
            <w:right w:val="none" w:sz="0" w:space="0" w:color="auto"/>
          </w:divBdr>
        </w:div>
        <w:div w:id="1502544758">
          <w:marLeft w:val="480"/>
          <w:marRight w:val="0"/>
          <w:marTop w:val="0"/>
          <w:marBottom w:val="0"/>
          <w:divBdr>
            <w:top w:val="none" w:sz="0" w:space="0" w:color="auto"/>
            <w:left w:val="none" w:sz="0" w:space="0" w:color="auto"/>
            <w:bottom w:val="none" w:sz="0" w:space="0" w:color="auto"/>
            <w:right w:val="none" w:sz="0" w:space="0" w:color="auto"/>
          </w:divBdr>
        </w:div>
        <w:div w:id="1184440796">
          <w:marLeft w:val="480"/>
          <w:marRight w:val="0"/>
          <w:marTop w:val="0"/>
          <w:marBottom w:val="0"/>
          <w:divBdr>
            <w:top w:val="none" w:sz="0" w:space="0" w:color="auto"/>
            <w:left w:val="none" w:sz="0" w:space="0" w:color="auto"/>
            <w:bottom w:val="none" w:sz="0" w:space="0" w:color="auto"/>
            <w:right w:val="none" w:sz="0" w:space="0" w:color="auto"/>
          </w:divBdr>
        </w:div>
      </w:divsChild>
    </w:div>
    <w:div w:id="413236596">
      <w:bodyDiv w:val="1"/>
      <w:marLeft w:val="0"/>
      <w:marRight w:val="0"/>
      <w:marTop w:val="0"/>
      <w:marBottom w:val="0"/>
      <w:divBdr>
        <w:top w:val="none" w:sz="0" w:space="0" w:color="auto"/>
        <w:left w:val="none" w:sz="0" w:space="0" w:color="auto"/>
        <w:bottom w:val="none" w:sz="0" w:space="0" w:color="auto"/>
        <w:right w:val="none" w:sz="0" w:space="0" w:color="auto"/>
      </w:divBdr>
    </w:div>
    <w:div w:id="472139552">
      <w:bodyDiv w:val="1"/>
      <w:marLeft w:val="0"/>
      <w:marRight w:val="0"/>
      <w:marTop w:val="0"/>
      <w:marBottom w:val="0"/>
      <w:divBdr>
        <w:top w:val="none" w:sz="0" w:space="0" w:color="auto"/>
        <w:left w:val="none" w:sz="0" w:space="0" w:color="auto"/>
        <w:bottom w:val="none" w:sz="0" w:space="0" w:color="auto"/>
        <w:right w:val="none" w:sz="0" w:space="0" w:color="auto"/>
      </w:divBdr>
    </w:div>
    <w:div w:id="519126179">
      <w:bodyDiv w:val="1"/>
      <w:marLeft w:val="0"/>
      <w:marRight w:val="0"/>
      <w:marTop w:val="0"/>
      <w:marBottom w:val="0"/>
      <w:divBdr>
        <w:top w:val="none" w:sz="0" w:space="0" w:color="auto"/>
        <w:left w:val="none" w:sz="0" w:space="0" w:color="auto"/>
        <w:bottom w:val="none" w:sz="0" w:space="0" w:color="auto"/>
        <w:right w:val="none" w:sz="0" w:space="0" w:color="auto"/>
      </w:divBdr>
      <w:divsChild>
        <w:div w:id="794636334">
          <w:marLeft w:val="480"/>
          <w:marRight w:val="0"/>
          <w:marTop w:val="0"/>
          <w:marBottom w:val="0"/>
          <w:divBdr>
            <w:top w:val="none" w:sz="0" w:space="0" w:color="auto"/>
            <w:left w:val="none" w:sz="0" w:space="0" w:color="auto"/>
            <w:bottom w:val="none" w:sz="0" w:space="0" w:color="auto"/>
            <w:right w:val="none" w:sz="0" w:space="0" w:color="auto"/>
          </w:divBdr>
        </w:div>
        <w:div w:id="2093773513">
          <w:marLeft w:val="480"/>
          <w:marRight w:val="0"/>
          <w:marTop w:val="0"/>
          <w:marBottom w:val="0"/>
          <w:divBdr>
            <w:top w:val="none" w:sz="0" w:space="0" w:color="auto"/>
            <w:left w:val="none" w:sz="0" w:space="0" w:color="auto"/>
            <w:bottom w:val="none" w:sz="0" w:space="0" w:color="auto"/>
            <w:right w:val="none" w:sz="0" w:space="0" w:color="auto"/>
          </w:divBdr>
        </w:div>
        <w:div w:id="1087072966">
          <w:marLeft w:val="480"/>
          <w:marRight w:val="0"/>
          <w:marTop w:val="0"/>
          <w:marBottom w:val="0"/>
          <w:divBdr>
            <w:top w:val="none" w:sz="0" w:space="0" w:color="auto"/>
            <w:left w:val="none" w:sz="0" w:space="0" w:color="auto"/>
            <w:bottom w:val="none" w:sz="0" w:space="0" w:color="auto"/>
            <w:right w:val="none" w:sz="0" w:space="0" w:color="auto"/>
          </w:divBdr>
        </w:div>
        <w:div w:id="1707637354">
          <w:marLeft w:val="480"/>
          <w:marRight w:val="0"/>
          <w:marTop w:val="0"/>
          <w:marBottom w:val="0"/>
          <w:divBdr>
            <w:top w:val="none" w:sz="0" w:space="0" w:color="auto"/>
            <w:left w:val="none" w:sz="0" w:space="0" w:color="auto"/>
            <w:bottom w:val="none" w:sz="0" w:space="0" w:color="auto"/>
            <w:right w:val="none" w:sz="0" w:space="0" w:color="auto"/>
          </w:divBdr>
        </w:div>
        <w:div w:id="1694258848">
          <w:marLeft w:val="480"/>
          <w:marRight w:val="0"/>
          <w:marTop w:val="0"/>
          <w:marBottom w:val="0"/>
          <w:divBdr>
            <w:top w:val="none" w:sz="0" w:space="0" w:color="auto"/>
            <w:left w:val="none" w:sz="0" w:space="0" w:color="auto"/>
            <w:bottom w:val="none" w:sz="0" w:space="0" w:color="auto"/>
            <w:right w:val="none" w:sz="0" w:space="0" w:color="auto"/>
          </w:divBdr>
        </w:div>
        <w:div w:id="1738552192">
          <w:marLeft w:val="480"/>
          <w:marRight w:val="0"/>
          <w:marTop w:val="0"/>
          <w:marBottom w:val="0"/>
          <w:divBdr>
            <w:top w:val="none" w:sz="0" w:space="0" w:color="auto"/>
            <w:left w:val="none" w:sz="0" w:space="0" w:color="auto"/>
            <w:bottom w:val="none" w:sz="0" w:space="0" w:color="auto"/>
            <w:right w:val="none" w:sz="0" w:space="0" w:color="auto"/>
          </w:divBdr>
        </w:div>
        <w:div w:id="1250506229">
          <w:marLeft w:val="480"/>
          <w:marRight w:val="0"/>
          <w:marTop w:val="0"/>
          <w:marBottom w:val="0"/>
          <w:divBdr>
            <w:top w:val="none" w:sz="0" w:space="0" w:color="auto"/>
            <w:left w:val="none" w:sz="0" w:space="0" w:color="auto"/>
            <w:bottom w:val="none" w:sz="0" w:space="0" w:color="auto"/>
            <w:right w:val="none" w:sz="0" w:space="0" w:color="auto"/>
          </w:divBdr>
        </w:div>
      </w:divsChild>
    </w:div>
    <w:div w:id="744762317">
      <w:bodyDiv w:val="1"/>
      <w:marLeft w:val="0"/>
      <w:marRight w:val="0"/>
      <w:marTop w:val="0"/>
      <w:marBottom w:val="0"/>
      <w:divBdr>
        <w:top w:val="none" w:sz="0" w:space="0" w:color="auto"/>
        <w:left w:val="none" w:sz="0" w:space="0" w:color="auto"/>
        <w:bottom w:val="none" w:sz="0" w:space="0" w:color="auto"/>
        <w:right w:val="none" w:sz="0" w:space="0" w:color="auto"/>
      </w:divBdr>
    </w:div>
    <w:div w:id="972179134">
      <w:bodyDiv w:val="1"/>
      <w:marLeft w:val="0"/>
      <w:marRight w:val="0"/>
      <w:marTop w:val="0"/>
      <w:marBottom w:val="0"/>
      <w:divBdr>
        <w:top w:val="none" w:sz="0" w:space="0" w:color="auto"/>
        <w:left w:val="none" w:sz="0" w:space="0" w:color="auto"/>
        <w:bottom w:val="none" w:sz="0" w:space="0" w:color="auto"/>
        <w:right w:val="none" w:sz="0" w:space="0" w:color="auto"/>
      </w:divBdr>
      <w:divsChild>
        <w:div w:id="1144007517">
          <w:marLeft w:val="480"/>
          <w:marRight w:val="0"/>
          <w:marTop w:val="0"/>
          <w:marBottom w:val="0"/>
          <w:divBdr>
            <w:top w:val="none" w:sz="0" w:space="0" w:color="auto"/>
            <w:left w:val="none" w:sz="0" w:space="0" w:color="auto"/>
            <w:bottom w:val="none" w:sz="0" w:space="0" w:color="auto"/>
            <w:right w:val="none" w:sz="0" w:space="0" w:color="auto"/>
          </w:divBdr>
        </w:div>
        <w:div w:id="820387882">
          <w:marLeft w:val="480"/>
          <w:marRight w:val="0"/>
          <w:marTop w:val="0"/>
          <w:marBottom w:val="0"/>
          <w:divBdr>
            <w:top w:val="none" w:sz="0" w:space="0" w:color="auto"/>
            <w:left w:val="none" w:sz="0" w:space="0" w:color="auto"/>
            <w:bottom w:val="none" w:sz="0" w:space="0" w:color="auto"/>
            <w:right w:val="none" w:sz="0" w:space="0" w:color="auto"/>
          </w:divBdr>
        </w:div>
        <w:div w:id="1808275236">
          <w:marLeft w:val="480"/>
          <w:marRight w:val="0"/>
          <w:marTop w:val="0"/>
          <w:marBottom w:val="0"/>
          <w:divBdr>
            <w:top w:val="none" w:sz="0" w:space="0" w:color="auto"/>
            <w:left w:val="none" w:sz="0" w:space="0" w:color="auto"/>
            <w:bottom w:val="none" w:sz="0" w:space="0" w:color="auto"/>
            <w:right w:val="none" w:sz="0" w:space="0" w:color="auto"/>
          </w:divBdr>
        </w:div>
        <w:div w:id="1260412479">
          <w:marLeft w:val="480"/>
          <w:marRight w:val="0"/>
          <w:marTop w:val="0"/>
          <w:marBottom w:val="0"/>
          <w:divBdr>
            <w:top w:val="none" w:sz="0" w:space="0" w:color="auto"/>
            <w:left w:val="none" w:sz="0" w:space="0" w:color="auto"/>
            <w:bottom w:val="none" w:sz="0" w:space="0" w:color="auto"/>
            <w:right w:val="none" w:sz="0" w:space="0" w:color="auto"/>
          </w:divBdr>
        </w:div>
        <w:div w:id="1140607781">
          <w:marLeft w:val="480"/>
          <w:marRight w:val="0"/>
          <w:marTop w:val="0"/>
          <w:marBottom w:val="0"/>
          <w:divBdr>
            <w:top w:val="none" w:sz="0" w:space="0" w:color="auto"/>
            <w:left w:val="none" w:sz="0" w:space="0" w:color="auto"/>
            <w:bottom w:val="none" w:sz="0" w:space="0" w:color="auto"/>
            <w:right w:val="none" w:sz="0" w:space="0" w:color="auto"/>
          </w:divBdr>
        </w:div>
        <w:div w:id="1892643413">
          <w:marLeft w:val="480"/>
          <w:marRight w:val="0"/>
          <w:marTop w:val="0"/>
          <w:marBottom w:val="0"/>
          <w:divBdr>
            <w:top w:val="none" w:sz="0" w:space="0" w:color="auto"/>
            <w:left w:val="none" w:sz="0" w:space="0" w:color="auto"/>
            <w:bottom w:val="none" w:sz="0" w:space="0" w:color="auto"/>
            <w:right w:val="none" w:sz="0" w:space="0" w:color="auto"/>
          </w:divBdr>
        </w:div>
        <w:div w:id="1344892470">
          <w:marLeft w:val="480"/>
          <w:marRight w:val="0"/>
          <w:marTop w:val="0"/>
          <w:marBottom w:val="0"/>
          <w:divBdr>
            <w:top w:val="none" w:sz="0" w:space="0" w:color="auto"/>
            <w:left w:val="none" w:sz="0" w:space="0" w:color="auto"/>
            <w:bottom w:val="none" w:sz="0" w:space="0" w:color="auto"/>
            <w:right w:val="none" w:sz="0" w:space="0" w:color="auto"/>
          </w:divBdr>
        </w:div>
      </w:divsChild>
    </w:div>
    <w:div w:id="1056708515">
      <w:bodyDiv w:val="1"/>
      <w:marLeft w:val="0"/>
      <w:marRight w:val="0"/>
      <w:marTop w:val="0"/>
      <w:marBottom w:val="0"/>
      <w:divBdr>
        <w:top w:val="none" w:sz="0" w:space="0" w:color="auto"/>
        <w:left w:val="none" w:sz="0" w:space="0" w:color="auto"/>
        <w:bottom w:val="none" w:sz="0" w:space="0" w:color="auto"/>
        <w:right w:val="none" w:sz="0" w:space="0" w:color="auto"/>
      </w:divBdr>
      <w:divsChild>
        <w:div w:id="2032485585">
          <w:marLeft w:val="480"/>
          <w:marRight w:val="0"/>
          <w:marTop w:val="0"/>
          <w:marBottom w:val="0"/>
          <w:divBdr>
            <w:top w:val="none" w:sz="0" w:space="0" w:color="auto"/>
            <w:left w:val="none" w:sz="0" w:space="0" w:color="auto"/>
            <w:bottom w:val="none" w:sz="0" w:space="0" w:color="auto"/>
            <w:right w:val="none" w:sz="0" w:space="0" w:color="auto"/>
          </w:divBdr>
        </w:div>
        <w:div w:id="862091076">
          <w:marLeft w:val="480"/>
          <w:marRight w:val="0"/>
          <w:marTop w:val="0"/>
          <w:marBottom w:val="0"/>
          <w:divBdr>
            <w:top w:val="none" w:sz="0" w:space="0" w:color="auto"/>
            <w:left w:val="none" w:sz="0" w:space="0" w:color="auto"/>
            <w:bottom w:val="none" w:sz="0" w:space="0" w:color="auto"/>
            <w:right w:val="none" w:sz="0" w:space="0" w:color="auto"/>
          </w:divBdr>
        </w:div>
        <w:div w:id="133064348">
          <w:marLeft w:val="480"/>
          <w:marRight w:val="0"/>
          <w:marTop w:val="0"/>
          <w:marBottom w:val="0"/>
          <w:divBdr>
            <w:top w:val="none" w:sz="0" w:space="0" w:color="auto"/>
            <w:left w:val="none" w:sz="0" w:space="0" w:color="auto"/>
            <w:bottom w:val="none" w:sz="0" w:space="0" w:color="auto"/>
            <w:right w:val="none" w:sz="0" w:space="0" w:color="auto"/>
          </w:divBdr>
        </w:div>
        <w:div w:id="62989546">
          <w:marLeft w:val="480"/>
          <w:marRight w:val="0"/>
          <w:marTop w:val="0"/>
          <w:marBottom w:val="0"/>
          <w:divBdr>
            <w:top w:val="none" w:sz="0" w:space="0" w:color="auto"/>
            <w:left w:val="none" w:sz="0" w:space="0" w:color="auto"/>
            <w:bottom w:val="none" w:sz="0" w:space="0" w:color="auto"/>
            <w:right w:val="none" w:sz="0" w:space="0" w:color="auto"/>
          </w:divBdr>
        </w:div>
        <w:div w:id="756173549">
          <w:marLeft w:val="480"/>
          <w:marRight w:val="0"/>
          <w:marTop w:val="0"/>
          <w:marBottom w:val="0"/>
          <w:divBdr>
            <w:top w:val="none" w:sz="0" w:space="0" w:color="auto"/>
            <w:left w:val="none" w:sz="0" w:space="0" w:color="auto"/>
            <w:bottom w:val="none" w:sz="0" w:space="0" w:color="auto"/>
            <w:right w:val="none" w:sz="0" w:space="0" w:color="auto"/>
          </w:divBdr>
        </w:div>
        <w:div w:id="1951936870">
          <w:marLeft w:val="480"/>
          <w:marRight w:val="0"/>
          <w:marTop w:val="0"/>
          <w:marBottom w:val="0"/>
          <w:divBdr>
            <w:top w:val="none" w:sz="0" w:space="0" w:color="auto"/>
            <w:left w:val="none" w:sz="0" w:space="0" w:color="auto"/>
            <w:bottom w:val="none" w:sz="0" w:space="0" w:color="auto"/>
            <w:right w:val="none" w:sz="0" w:space="0" w:color="auto"/>
          </w:divBdr>
        </w:div>
        <w:div w:id="704210779">
          <w:marLeft w:val="480"/>
          <w:marRight w:val="0"/>
          <w:marTop w:val="0"/>
          <w:marBottom w:val="0"/>
          <w:divBdr>
            <w:top w:val="none" w:sz="0" w:space="0" w:color="auto"/>
            <w:left w:val="none" w:sz="0" w:space="0" w:color="auto"/>
            <w:bottom w:val="none" w:sz="0" w:space="0" w:color="auto"/>
            <w:right w:val="none" w:sz="0" w:space="0" w:color="auto"/>
          </w:divBdr>
        </w:div>
        <w:div w:id="852106219">
          <w:marLeft w:val="480"/>
          <w:marRight w:val="0"/>
          <w:marTop w:val="0"/>
          <w:marBottom w:val="0"/>
          <w:divBdr>
            <w:top w:val="none" w:sz="0" w:space="0" w:color="auto"/>
            <w:left w:val="none" w:sz="0" w:space="0" w:color="auto"/>
            <w:bottom w:val="none" w:sz="0" w:space="0" w:color="auto"/>
            <w:right w:val="none" w:sz="0" w:space="0" w:color="auto"/>
          </w:divBdr>
        </w:div>
        <w:div w:id="277487761">
          <w:marLeft w:val="480"/>
          <w:marRight w:val="0"/>
          <w:marTop w:val="0"/>
          <w:marBottom w:val="0"/>
          <w:divBdr>
            <w:top w:val="none" w:sz="0" w:space="0" w:color="auto"/>
            <w:left w:val="none" w:sz="0" w:space="0" w:color="auto"/>
            <w:bottom w:val="none" w:sz="0" w:space="0" w:color="auto"/>
            <w:right w:val="none" w:sz="0" w:space="0" w:color="auto"/>
          </w:divBdr>
        </w:div>
        <w:div w:id="1674186154">
          <w:marLeft w:val="480"/>
          <w:marRight w:val="0"/>
          <w:marTop w:val="0"/>
          <w:marBottom w:val="0"/>
          <w:divBdr>
            <w:top w:val="none" w:sz="0" w:space="0" w:color="auto"/>
            <w:left w:val="none" w:sz="0" w:space="0" w:color="auto"/>
            <w:bottom w:val="none" w:sz="0" w:space="0" w:color="auto"/>
            <w:right w:val="none" w:sz="0" w:space="0" w:color="auto"/>
          </w:divBdr>
        </w:div>
        <w:div w:id="786390548">
          <w:marLeft w:val="480"/>
          <w:marRight w:val="0"/>
          <w:marTop w:val="0"/>
          <w:marBottom w:val="0"/>
          <w:divBdr>
            <w:top w:val="none" w:sz="0" w:space="0" w:color="auto"/>
            <w:left w:val="none" w:sz="0" w:space="0" w:color="auto"/>
            <w:bottom w:val="none" w:sz="0" w:space="0" w:color="auto"/>
            <w:right w:val="none" w:sz="0" w:space="0" w:color="auto"/>
          </w:divBdr>
        </w:div>
      </w:divsChild>
    </w:div>
    <w:div w:id="1659310420">
      <w:bodyDiv w:val="1"/>
      <w:marLeft w:val="0"/>
      <w:marRight w:val="0"/>
      <w:marTop w:val="0"/>
      <w:marBottom w:val="0"/>
      <w:divBdr>
        <w:top w:val="none" w:sz="0" w:space="0" w:color="auto"/>
        <w:left w:val="none" w:sz="0" w:space="0" w:color="auto"/>
        <w:bottom w:val="none" w:sz="0" w:space="0" w:color="auto"/>
        <w:right w:val="none" w:sz="0" w:space="0" w:color="auto"/>
      </w:divBdr>
      <w:divsChild>
        <w:div w:id="1333489118">
          <w:marLeft w:val="480"/>
          <w:marRight w:val="0"/>
          <w:marTop w:val="0"/>
          <w:marBottom w:val="0"/>
          <w:divBdr>
            <w:top w:val="none" w:sz="0" w:space="0" w:color="auto"/>
            <w:left w:val="none" w:sz="0" w:space="0" w:color="auto"/>
            <w:bottom w:val="none" w:sz="0" w:space="0" w:color="auto"/>
            <w:right w:val="none" w:sz="0" w:space="0" w:color="auto"/>
          </w:divBdr>
        </w:div>
        <w:div w:id="2026516147">
          <w:marLeft w:val="480"/>
          <w:marRight w:val="0"/>
          <w:marTop w:val="0"/>
          <w:marBottom w:val="0"/>
          <w:divBdr>
            <w:top w:val="none" w:sz="0" w:space="0" w:color="auto"/>
            <w:left w:val="none" w:sz="0" w:space="0" w:color="auto"/>
            <w:bottom w:val="none" w:sz="0" w:space="0" w:color="auto"/>
            <w:right w:val="none" w:sz="0" w:space="0" w:color="auto"/>
          </w:divBdr>
        </w:div>
        <w:div w:id="588394495">
          <w:marLeft w:val="480"/>
          <w:marRight w:val="0"/>
          <w:marTop w:val="0"/>
          <w:marBottom w:val="0"/>
          <w:divBdr>
            <w:top w:val="none" w:sz="0" w:space="0" w:color="auto"/>
            <w:left w:val="none" w:sz="0" w:space="0" w:color="auto"/>
            <w:bottom w:val="none" w:sz="0" w:space="0" w:color="auto"/>
            <w:right w:val="none" w:sz="0" w:space="0" w:color="auto"/>
          </w:divBdr>
        </w:div>
        <w:div w:id="1346058271">
          <w:marLeft w:val="480"/>
          <w:marRight w:val="0"/>
          <w:marTop w:val="0"/>
          <w:marBottom w:val="0"/>
          <w:divBdr>
            <w:top w:val="none" w:sz="0" w:space="0" w:color="auto"/>
            <w:left w:val="none" w:sz="0" w:space="0" w:color="auto"/>
            <w:bottom w:val="none" w:sz="0" w:space="0" w:color="auto"/>
            <w:right w:val="none" w:sz="0" w:space="0" w:color="auto"/>
          </w:divBdr>
        </w:div>
        <w:div w:id="77872813">
          <w:marLeft w:val="480"/>
          <w:marRight w:val="0"/>
          <w:marTop w:val="0"/>
          <w:marBottom w:val="0"/>
          <w:divBdr>
            <w:top w:val="none" w:sz="0" w:space="0" w:color="auto"/>
            <w:left w:val="none" w:sz="0" w:space="0" w:color="auto"/>
            <w:bottom w:val="none" w:sz="0" w:space="0" w:color="auto"/>
            <w:right w:val="none" w:sz="0" w:space="0" w:color="auto"/>
          </w:divBdr>
        </w:div>
        <w:div w:id="531383017">
          <w:marLeft w:val="480"/>
          <w:marRight w:val="0"/>
          <w:marTop w:val="0"/>
          <w:marBottom w:val="0"/>
          <w:divBdr>
            <w:top w:val="none" w:sz="0" w:space="0" w:color="auto"/>
            <w:left w:val="none" w:sz="0" w:space="0" w:color="auto"/>
            <w:bottom w:val="none" w:sz="0" w:space="0" w:color="auto"/>
            <w:right w:val="none" w:sz="0" w:space="0" w:color="auto"/>
          </w:divBdr>
        </w:div>
        <w:div w:id="1960600202">
          <w:marLeft w:val="480"/>
          <w:marRight w:val="0"/>
          <w:marTop w:val="0"/>
          <w:marBottom w:val="0"/>
          <w:divBdr>
            <w:top w:val="none" w:sz="0" w:space="0" w:color="auto"/>
            <w:left w:val="none" w:sz="0" w:space="0" w:color="auto"/>
            <w:bottom w:val="none" w:sz="0" w:space="0" w:color="auto"/>
            <w:right w:val="none" w:sz="0" w:space="0" w:color="auto"/>
          </w:divBdr>
        </w:div>
        <w:div w:id="1704985513">
          <w:marLeft w:val="480"/>
          <w:marRight w:val="0"/>
          <w:marTop w:val="0"/>
          <w:marBottom w:val="0"/>
          <w:divBdr>
            <w:top w:val="none" w:sz="0" w:space="0" w:color="auto"/>
            <w:left w:val="none" w:sz="0" w:space="0" w:color="auto"/>
            <w:bottom w:val="none" w:sz="0" w:space="0" w:color="auto"/>
            <w:right w:val="none" w:sz="0" w:space="0" w:color="auto"/>
          </w:divBdr>
        </w:div>
      </w:divsChild>
    </w:div>
    <w:div w:id="1951353403">
      <w:bodyDiv w:val="1"/>
      <w:marLeft w:val="0"/>
      <w:marRight w:val="0"/>
      <w:marTop w:val="0"/>
      <w:marBottom w:val="0"/>
      <w:divBdr>
        <w:top w:val="none" w:sz="0" w:space="0" w:color="auto"/>
        <w:left w:val="none" w:sz="0" w:space="0" w:color="auto"/>
        <w:bottom w:val="none" w:sz="0" w:space="0" w:color="auto"/>
        <w:right w:val="none" w:sz="0" w:space="0" w:color="auto"/>
      </w:divBdr>
      <w:divsChild>
        <w:div w:id="1378046942">
          <w:marLeft w:val="480"/>
          <w:marRight w:val="0"/>
          <w:marTop w:val="0"/>
          <w:marBottom w:val="0"/>
          <w:divBdr>
            <w:top w:val="none" w:sz="0" w:space="0" w:color="auto"/>
            <w:left w:val="none" w:sz="0" w:space="0" w:color="auto"/>
            <w:bottom w:val="none" w:sz="0" w:space="0" w:color="auto"/>
            <w:right w:val="none" w:sz="0" w:space="0" w:color="auto"/>
          </w:divBdr>
        </w:div>
        <w:div w:id="2069498012">
          <w:marLeft w:val="480"/>
          <w:marRight w:val="0"/>
          <w:marTop w:val="0"/>
          <w:marBottom w:val="0"/>
          <w:divBdr>
            <w:top w:val="none" w:sz="0" w:space="0" w:color="auto"/>
            <w:left w:val="none" w:sz="0" w:space="0" w:color="auto"/>
            <w:bottom w:val="none" w:sz="0" w:space="0" w:color="auto"/>
            <w:right w:val="none" w:sz="0" w:space="0" w:color="auto"/>
          </w:divBdr>
        </w:div>
        <w:div w:id="1538544159">
          <w:marLeft w:val="480"/>
          <w:marRight w:val="0"/>
          <w:marTop w:val="0"/>
          <w:marBottom w:val="0"/>
          <w:divBdr>
            <w:top w:val="none" w:sz="0" w:space="0" w:color="auto"/>
            <w:left w:val="none" w:sz="0" w:space="0" w:color="auto"/>
            <w:bottom w:val="none" w:sz="0" w:space="0" w:color="auto"/>
            <w:right w:val="none" w:sz="0" w:space="0" w:color="auto"/>
          </w:divBdr>
        </w:div>
        <w:div w:id="2147357614">
          <w:marLeft w:val="480"/>
          <w:marRight w:val="0"/>
          <w:marTop w:val="0"/>
          <w:marBottom w:val="0"/>
          <w:divBdr>
            <w:top w:val="none" w:sz="0" w:space="0" w:color="auto"/>
            <w:left w:val="none" w:sz="0" w:space="0" w:color="auto"/>
            <w:bottom w:val="none" w:sz="0" w:space="0" w:color="auto"/>
            <w:right w:val="none" w:sz="0" w:space="0" w:color="auto"/>
          </w:divBdr>
        </w:div>
        <w:div w:id="403141977">
          <w:marLeft w:val="480"/>
          <w:marRight w:val="0"/>
          <w:marTop w:val="0"/>
          <w:marBottom w:val="0"/>
          <w:divBdr>
            <w:top w:val="none" w:sz="0" w:space="0" w:color="auto"/>
            <w:left w:val="none" w:sz="0" w:space="0" w:color="auto"/>
            <w:bottom w:val="none" w:sz="0" w:space="0" w:color="auto"/>
            <w:right w:val="none" w:sz="0" w:space="0" w:color="auto"/>
          </w:divBdr>
        </w:div>
        <w:div w:id="176651085">
          <w:marLeft w:val="480"/>
          <w:marRight w:val="0"/>
          <w:marTop w:val="0"/>
          <w:marBottom w:val="0"/>
          <w:divBdr>
            <w:top w:val="none" w:sz="0" w:space="0" w:color="auto"/>
            <w:left w:val="none" w:sz="0" w:space="0" w:color="auto"/>
            <w:bottom w:val="none" w:sz="0" w:space="0" w:color="auto"/>
            <w:right w:val="none" w:sz="0" w:space="0" w:color="auto"/>
          </w:divBdr>
        </w:div>
      </w:divsChild>
    </w:div>
    <w:div w:id="206798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5" Type="http://schemas.openxmlformats.org/officeDocument/2006/relationships/image" Target="media/image1.jpeg"/><Relationship Id="rId4"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file:///D:\DATA%20ABANG\S%20K%20R%20I%20P%20S%20I\M%20A%20H%20A%20S%20I%20S%20W%20A\MELI%20UMY\DATA%20MEL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ATA%20ABANG\S%20K%20R%20I%20P%20S%20I\M%20A%20H%20A%20S%20I%20S%20W%20A\MELI%20UMY\DATA%20MELI.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Sheet1!$J$3:$M$3</c:f>
              <c:strCache>
                <c:ptCount val="4"/>
                <c:pt idx="0">
                  <c:v>21-30 Tahun</c:v>
                </c:pt>
                <c:pt idx="1">
                  <c:v>31-40 Tahun</c:v>
                </c:pt>
                <c:pt idx="2">
                  <c:v>41-50 Tahun</c:v>
                </c:pt>
                <c:pt idx="3">
                  <c:v>51-60 Tahun</c:v>
                </c:pt>
              </c:strCache>
            </c:strRef>
          </c:cat>
          <c:val>
            <c:numRef>
              <c:f>Sheet1!$J$4:$M$4</c:f>
              <c:numCache>
                <c:formatCode>General</c:formatCode>
                <c:ptCount val="4"/>
                <c:pt idx="0">
                  <c:v>14</c:v>
                </c:pt>
                <c:pt idx="1">
                  <c:v>9</c:v>
                </c:pt>
                <c:pt idx="2">
                  <c:v>10</c:v>
                </c:pt>
                <c:pt idx="3">
                  <c:v>7</c:v>
                </c:pt>
              </c:numCache>
            </c:numRef>
          </c:val>
          <c:extLst>
            <c:ext xmlns:c16="http://schemas.microsoft.com/office/drawing/2014/chart" uri="{C3380CC4-5D6E-409C-BE32-E72D297353CC}">
              <c16:uniqueId val="{00000000-1C09-4D54-A89B-B4CBEF321973}"/>
            </c:ext>
          </c:extLst>
        </c:ser>
        <c:dLbls>
          <c:showLegendKey val="0"/>
          <c:showVal val="0"/>
          <c:showCatName val="0"/>
          <c:showSerName val="0"/>
          <c:showPercent val="0"/>
          <c:showBubbleSize val="0"/>
        </c:dLbls>
        <c:gapWidth val="219"/>
        <c:overlap val="-27"/>
        <c:axId val="257115840"/>
        <c:axId val="257113760"/>
      </c:barChart>
      <c:catAx>
        <c:axId val="25711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113760"/>
        <c:crosses val="autoZero"/>
        <c:auto val="1"/>
        <c:lblAlgn val="ctr"/>
        <c:lblOffset val="100"/>
        <c:noMultiLvlLbl val="0"/>
      </c:catAx>
      <c:valAx>
        <c:axId val="257113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1158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010-4A13-ADF0-55419C33733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010-4A13-ADF0-55419C33733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Sheet2!$H$54:$I$54</c:f>
              <c:strCache>
                <c:ptCount val="2"/>
                <c:pt idx="0">
                  <c:v>Laki-laki</c:v>
                </c:pt>
                <c:pt idx="1">
                  <c:v>Perempuan</c:v>
                </c:pt>
              </c:strCache>
            </c:strRef>
          </c:cat>
          <c:val>
            <c:numRef>
              <c:f>Sheet2!$H$55:$I$55</c:f>
              <c:numCache>
                <c:formatCode>0%</c:formatCode>
                <c:ptCount val="2"/>
                <c:pt idx="0">
                  <c:v>0.4</c:v>
                </c:pt>
                <c:pt idx="1">
                  <c:v>0.6</c:v>
                </c:pt>
              </c:numCache>
            </c:numRef>
          </c:val>
          <c:extLst>
            <c:ext xmlns:c16="http://schemas.microsoft.com/office/drawing/2014/chart" uri="{C3380CC4-5D6E-409C-BE32-E72D297353CC}">
              <c16:uniqueId val="{00000004-6010-4A13-ADF0-55419C33733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9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689D-6232-443F-849E-A447F8B22C9F}">
  <we:reference id="wa104382081" version="1.55.1.0" store="en-US" storeType="OMEX"/>
  <we:alternateReferences>
    <we:reference id="wa104382081" version="1.55.1.0" store="" storeType="OMEX"/>
  </we:alternateReferences>
  <we:properties>
    <we:property name="MENDELEY_CITATIONS" value="[{&quot;citationID&quot;:&quot;MENDELEY_CITATION_75973b76-f952-4639-b820-0ed4f342ab53&quot;,&quot;properties&quot;:{&quot;noteIndex&quot;:0},&quot;isEdited&quot;:false,&quot;manualOverride&quot;:{&quot;isManuallyOverridden&quot;:false,&quot;citeprocText&quot;:&quot;(Taniguchi et al., 2012)&quot;,&quot;manualOverrideText&quot;:&quot;&quot;},&quot;citationTag&quot;:&quot;MENDELEY_CITATION_v3_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&quot;,&quot;citationItems&quot;:[{&quot;id&quot;:&quot;cde0ac6d-e060-33ce-bfd5-74918f92125f&quot;,&quot;itemData&quot;:{&quot;type&quot;:&quot;article-journal&quot;,&quot;id&quot;:&quot;cde0ac6d-e060-33ce-bfd5-74918f92125f&quot;,&quot;title&quot;:&quot;Cardiac arrest: a public health perspective&quot;,&quot;author&quot;:[{&quot;family&quot;:&quot;Taniguchi&quot;,&quot;given&quot;:&quot;Dawn&quot;,&quot;parse-names&quot;:false,&quot;dropping-particle&quot;:&quot;&quot;,&quot;non-dropping-particle&quot;:&quot;&quot;},{&quot;family&quot;:&quot;Baernstein&quot;,&quot;given&quot;:&quot;Amy&quot;,&quot;parse-names&quot;:false,&quot;dropping-particle&quot;:&quot;&quot;,&quot;non-dropping-particle&quot;:&quot;&quot;},{&quot;family&quot;:&quot;Nichol&quot;,&quot;given&quot;:&quot;Graham&quot;,&quot;parse-names&quot;:false,&quot;dropping-particle&quot;:&quot;&quot;,&quot;non-dropping-particle&quot;:&quot;&quot;}],&quot;container-title&quot;:&quot;Emergency Medicine Clinics&quot;,&quot;ISSN&quot;:&quot;0733-8627&quot;,&quot;issued&quot;:{&quot;date-parts&quot;:[[2012]]},&quot;page&quot;:&quot;1-12&quot;,&quot;publisher&quot;:&quot;Elsevier&quot;,&quot;issue&quot;:&quot;1&quot;,&quot;volume&quot;:&quot;30&quot;,&quot;container-title-short&quot;:&quot;&quot;},&quot;isTemporary&quot;:false}]},{&quot;citationID&quot;:&quot;MENDELEY_CITATION_e084eeee-be96-4a9e-91e4-2b1ed224d546&quot;,&quot;properties&quot;:{&quot;noteIndex&quot;:0},&quot;isEdited&quot;:false,&quot;manualOverride&quot;:{&quot;isManuallyOverridden&quot;:false,&quot;citeprocText&quot;:&quot;(Junaidi, 2021)&quot;,&quot;manualOverrideText&quot;:&quot;&quot;},&quot;citationTag&quot;:&quot;MENDELEY_CITATION_v3_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&quot;,&quot;citationItems&quot;:[{&quot;id&quot;:&quot;d0aba0dc-567d-3a17-a558-1ce67fd48846&quot;,&quot;itemData&quot;:{&quot;type&quot;:&quot;book&quot;,&quot;id&quot;:&quot;d0aba0dc-567d-3a17-a558-1ce67fd48846&quot;,&quot;title&quot;:&quot;MENCEGAH &amp; MENGATASI BERBAGAI PENYAKIT SENDI: Asam Urat, Rematik, dan Penyakit Sendi Lainnya&quot;,&quot;author&quot;:[{&quot;family&quot;:&quot;Junaidi&quot;,&quot;given&quot;:&quot;Iskandar&quot;,&quot;parse-names&quot;:false,&quot;dropping-particle&quot;:&quot;&quot;,&quot;non-dropping-particle&quot;:&quot;&quot;}],&quot;ISBN&quot;:&quot;6237239847&quot;,&quot;issued&quot;:{&quot;date-parts&quot;:[[2021]]},&quot;publisher&quot;:&quot;Penerbit Andi&quot;,&quot;container-title-short&quot;:&quot;&quot;},&quot;isTemporary&quot;:false}]},{&quot;citationID&quot;:&quot;MENDELEY_CITATION_3545ea7f-7deb-4253-a76a-25b41270a482&quot;,&quot;properties&quot;:{&quot;noteIndex&quot;:0},&quot;isEdited&quot;:false,&quot;manualOverride&quot;:{&quot;isManuallyOverridden&quot;:false,&quot;citeprocText&quot;:&quot;(Manurung &amp;#38; Hutapea, 2022)&quot;,&quot;manualOverrideText&quot;:&quot;&quot;},&quot;citationTag&quot;:&quot;MENDELEY_CITATION_v3_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&quot;,&quot;citationItems&quot;:[{&quot;id&quot;:&quot;288d43d6-122a-3fcc-8baf-5586d88ffcfe&quot;,&quot;itemData&quot;:{&quot;type&quot;:&quot;article-journal&quot;,&quot;id&quot;:&quot;288d43d6-122a-3fcc-8baf-5586d88ffcfe&quot;,&quot;title&quot;:&quot;Tingkat Pengetahuan Tentang Bantuan Hidup Dasar Mahasiswa Program Studi D3 Farmasi STIKES Arjuna&quot;,&quot;author&quot;:[{&quot;family&quot;:&quot;Manurung&quot;,&quot;given&quot;:&quot;Melva Epy Mardiana&quot;,&quot;parse-names&quot;:false,&quot;dropping-particle&quot;:&quot;&quot;,&quot;non-dropping-particle&quot;:&quot;&quot;},{&quot;family&quot;:&quot;Hutapea&quot;,&quot;given&quot;:&quot;Kirista&quot;,&quot;parse-names&quot;:false,&quot;dropping-particle&quot;:&quot;&quot;,&quot;non-dropping-particle&quot;:&quot;&quot;}],&quot;container-title&quot;:&quot;JURNAL KEPERAWATAN CIKINI&quot;,&quot;ISSN&quot;:&quot;2686-1984&quot;,&quot;issued&quot;:{&quot;date-parts&quot;:[[2022]]},&quot;issue&quot;:&quot;2&quot;,&quot;volume&quot;:&quot;3&quot;,&quot;container-title-short&quot;:&quot;&quot;},&quot;isTemporary&quot;:false}]},{&quot;citationID&quot;:&quot;MENDELEY_CITATION_55e753e1-b4ab-4cc4-a0c9-659fbdb2a681&quot;,&quot;properties&quot;:{&quot;noteIndex&quot;:0},&quot;isEdited&quot;:false,&quot;manualOverride&quot;:{&quot;isManuallyOverridden&quot;:false,&quot;citeprocText&quot;:&quot;(Wissenberg et al., 2013)&quot;,&quot;manualOverrideText&quot;:&quot;&quot;},&quot;citationTag&quot;:&quot;MENDELEY_CITATION_v3_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&quot;,&quot;citationItems&quot;:[{&quot;id&quot;:&quot;3637d8e0-5ad7-3585-ad6a-6205615f3179&quot;,&quot;itemData&quot;:{&quot;type&quot;:&quot;article-journal&quot;,&quot;id&quot;:&quot;3637d8e0-5ad7-3585-ad6a-6205615f3179&quot;,&quot;title&quot;:&quot;Association of national initiatives to improve cardiac arrest management with rates of bystander intervention and patient survival after out-of-hospital cardiac arrest&quot;,&quot;author&quot;:[{&quot;family&quot;:&quot;Wissenberg&quot;,&quot;given&quot;:&quot;Mads&quot;,&quot;parse-names&quot;:false,&quot;dropping-particle&quot;:&quot;&quot;,&quot;non-dropping-particle&quot;:&quot;&quot;},{&quot;family&quot;:&quot;Lippert&quot;,&quot;given&quot;:&quot;Freddy K&quot;,&quot;parse-names&quot;:false,&quot;dropping-particle&quot;:&quot;&quot;,&quot;non-dropping-particle&quot;:&quot;&quot;},{&quot;family&quot;:&quot;Folke&quot;,&quot;given&quot;:&quot;Fredrik&quot;,&quot;parse-names&quot;:false,&quot;dropping-particle&quot;:&quot;&quot;,&quot;non-dropping-particle&quot;:&quot;&quot;},{&quot;family&quot;:&quot;Weeke&quot;,&quot;given&quot;:&quot;Peter&quot;,&quot;parse-names&quot;:false,&quot;dropping-particle&quot;:&quot;&quot;,&quot;non-dropping-particle&quot;:&quot;&quot;},{&quot;family&quot;:&quot;Hansen&quot;,&quot;given&quot;:&quot;Carolina Malta&quot;,&quot;parse-names&quot;:false,&quot;dropping-particle&quot;:&quot;&quot;,&quot;non-dropping-particle&quot;:&quot;&quot;},{&quot;family&quot;:&quot;Christensen&quot;,&quot;given&quot;:&quot;Erika Frischknecht&quot;,&quot;parse-names&quot;:false,&quot;dropping-particle&quot;:&quot;&quot;,&quot;non-dropping-particle&quot;:&quot;&quot;},{&quot;family&quot;:&quot;Jans&quot;,&quot;given&quot;:&quot;Henning&quot;,&quot;parse-names&quot;:false,&quot;dropping-particle&quot;:&quot;&quot;,&quot;non-dropping-particle&quot;:&quot;&quot;},{&quot;family&quot;:&quot;Hansen&quot;,&quot;given&quot;:&quot;Poul Anders&quot;,&quot;parse-names&quot;:false,&quot;dropping-particle&quot;:&quot;&quot;,&quot;non-dropping-particle&quot;:&quot;&quot;},{&quot;family&quot;:&quot;Lang-Jensen&quot;,&quot;given&quot;:&quot;Torsten&quot;,&quot;parse-names&quot;:false,&quot;dropping-particle&quot;:&quot;&quot;,&quot;non-dropping-particle&quot;:&quot;&quot;},{&quot;family&quot;:&quot;Olesen&quot;,&quot;given&quot;:&quot;Jonas Bjerring&quot;,&quot;parse-names&quot;:false,&quot;dropping-particle&quot;:&quot;&quot;,&quot;non-dropping-particle&quot;:&quot;&quot;}],&quot;container-title&quot;:&quot;Jama&quot;,&quot;container-title-short&quot;:&quot;JAMA&quot;,&quot;ISSN&quot;:&quot;0098-7484&quot;,&quot;issued&quot;:{&quot;date-parts&quot;:[[2013]]},&quot;page&quot;:&quot;1377-1384&quot;,&quot;publisher&quot;:&quot;American Medical Association&quot;,&quot;issue&quot;:&quot;13&quot;,&quot;volume&quot;:&quot;310&quot;},&quot;isTemporary&quot;:false}]},{&quot;citationID&quot;:&quot;MENDELEY_CITATION_3503f418-64c6-4f16-8cad-0cb42e39c05c&quot;,&quot;properties&quot;:{&quot;noteIndex&quot;:0},&quot;isEdited&quot;:false,&quot;manualOverride&quot;:{&quot;isManuallyOverridden&quot;:false,&quot;citeprocText&quot;:&quot;(Kannel et al., 1975)&quot;,&quot;manualOverrideText&quot;:&quot;&quot;},&quot;citationTag&quot;:&quot;MENDELEY_CITATION_v3_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&quot;,&quot;citationItems&quot;:[{&quot;id&quot;:&quot;9441c240-541c-3232-b741-18244cb04921&quot;,&quot;itemData&quot;:{&quot;type&quot;:&quot;article-journal&quot;,&quot;id&quot;:&quot;9441c240-541c-3232-b741-18244cb04921&quot;,&quot;title&quot;:&quot;Precursors of sudden coronary death. Factors related to the incidence of sudden death.&quot;,&quot;author&quot;:[{&quot;family&quot;:&quot;Kannel&quot;,&quot;given&quot;:&quot;WILLIMi B&quot;,&quot;parse-names&quot;:false,&quot;dropping-particle&quot;:&quot;&quot;,&quot;non-dropping-particle&quot;:&quot;&quot;},{&quot;family&quot;:&quot;Doyle&quot;,&quot;given&quot;:&quot;Joseph T&quot;,&quot;parse-names&quot;:false,&quot;dropping-particle&quot;:&quot;&quot;,&quot;non-dropping-particle&quot;:&quot;&quot;},{&quot;family&quot;:&quot;McNamara&quot;,&quot;given&quot;:&quot;Patricia M&quot;,&quot;parse-names&quot;:false,&quot;dropping-particle&quot;:&quot;&quot;,&quot;non-dropping-particle&quot;:&quot;&quot;},{&quot;family&quot;:&quot;Quickenton&quot;,&quot;given&quot;:&quot;Phillip&quot;,&quot;parse-names&quot;:false,&quot;dropping-particle&quot;:&quot;&quot;,&quot;non-dropping-particle&quot;:&quot;&quot;},{&quot;family&quot;:&quot;Gordon&quot;,&quot;given&quot;:&quot;Tavia&quot;,&quot;parse-names&quot;:false,&quot;dropping-particle&quot;:&quot;&quot;,&quot;non-dropping-particle&quot;:&quot;&quot;}],&quot;container-title&quot;:&quot;Circulation&quot;,&quot;container-title-short&quot;:&quot;Circulation&quot;,&quot;ISSN&quot;:&quot;0009-7322&quot;,&quot;issued&quot;:{&quot;date-parts&quot;:[[1975]]},&quot;page&quot;:&quot;606-613&quot;,&quot;publisher&quot;:&quot;Am Heart Assoc&quot;,&quot;issue&quot;:&quot;4&quot;,&quot;volume&quot;:&quot;51&quot;},&quot;isTemporary&quot;:false}]},{&quot;citationID&quot;:&quot;MENDELEY_CITATION_6989416c-4cbc-4ce2-8567-e37acf7527e1&quot;,&quot;properties&quot;:{&quot;noteIndex&quot;:0},&quot;isEdited&quot;:false,&quot;manualOverride&quot;:{&quot;isManuallyOverridden&quot;:false,&quot;citeprocText&quot;:&quot;(Effendi, 2023)&quot;,&quot;manualOverrideText&quot;:&quot;&quot;},&quot;citationTag&quot;:&quot;MENDELEY_CITATION_v3_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&quot;,&quot;citationItems&quot;:[{&quot;id&quot;:&quot;c034788b-2e74-3a48-9dd1-294b4ae9ae6c&quot;,&quot;itemData&quot;:{&quot;type&quot;:&quot;article-journal&quot;,&quot;id&quot;:&quot;c034788b-2e74-3a48-9dd1-294b4ae9ae6c&quot;,&quot;title&quot;:&quot;Implementation of Code Blue In Hospitals&quot;,&quot;author&quot;:[{&quot;family&quot;:&quot;Effendi&quot;,&quot;given&quot;:&quot;Rinal&quot;,&quot;parse-names&quot;:false,&quot;dropping-particle&quot;:&quot;&quot;,&quot;non-dropping-particle&quot;:&quot;&quot;}],&quot;container-title&quot;:&quot;Devotion Journal of Community Service&quot;,&quot;ISSN&quot;:&quot;2797-6068&quot;,&quot;issued&quot;:{&quot;date-parts&quot;:[[2023]]},&quot;page&quot;:&quot;489-502&quot;,&quot;issue&quot;:&quot;2&quot;,&quot;volume&quot;:&quot;4&quot;,&quot;container-title-short&quot;:&quot;&quot;},&quot;isTemporary&quot;:false}]},{&quot;citationID&quot;:&quot;MENDELEY_CITATION_50172fe8-8627-4cf1-99c3-c6a63988e5a4&quot;,&quot;properties&quot;:{&quot;noteIndex&quot;:0},&quot;isEdited&quot;:false,&quot;manualOverride&quot;:{&quot;isManuallyOverridden&quot;:false,&quot;citeprocText&quot;:&quot;(Shin Tyan et al., 2019)&quot;,&quot;manualOverrideText&quot;:&quot;&quot;},&quot;citationTag&quot;:&quot;MENDELEY_CITATION_v3_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&quot;,&quot;citationItems&quot;:[{&quot;id&quot;:&quot;8f6c3251-0a32-313f-b29f-06a2dd349060&quot;,&quot;itemData&quot;:{&quot;type&quot;:&quot;article-journal&quot;,&quot;id&quot;:&quot;8f6c3251-0a32-313f-b29f-06a2dd349060&quot;,&quot;title&quot;:&quot;Awareness and Attitude Towards Basic Life Support Among Undergraduate Medical Students of Private Medical Colleges in Malaysia&quot;,&quot;author&quot;:[{&quot;family&quot;:&quot;Shin Tyan&quot;,&quot;given&quot;:&quot;L&quot;,&quot;parse-names&quot;:false,&quot;dropping-particle&quot;:&quot;&quot;,&quot;non-dropping-particle&quot;:&quot;&quot;},{&quot;family&quot;:&quot;Nelson&quot;,&quot;given&quot;:&quot;S&quot;,&quot;parse-names&quot;:false,&quot;dropping-particle&quot;:&quot;&quot;,&quot;non-dropping-particle&quot;:&quot;&quot;},{&quot;family&quot;:&quot;Jiun Chen&quot;,&quot;given&quot;:&quot;S&quot;,&quot;parse-names&quot;:false,&quot;dropping-particle&quot;:&quot;&quot;,&quot;non-dropping-particle&quot;:&quot;&quot;},{&quot;family&quot;:&quot;Nurazera Binti Kamaludin&quot;,&quot;given&quot;:&quot;S&quot;,&quot;parse-names&quot;:false,&quot;dropping-particle&quot;:&quot;&quot;,&quot;non-dropping-particle&quot;:&quot;&quot;},{&quot;family&quot;:&quot;Amran&quot;,&quot;given&quot;:&quot;A&quot;,&quot;parse-names&quot;:false,&quot;dropping-particle&quot;:&quot;&quot;,&quot;non-dropping-particle&quot;:&quot;Bin&quot;}],&quot;container-title&quot;:&quot;Open Sci J Clin Med&quot;,&quot;issued&quot;:{&quot;date-parts&quot;:[[2019]]},&quot;page&quot;:&quot;93-102&quot;,&quot;issue&quot;:&quot;3&quot;,&quot;volume&quot;:&quot;7&quot;,&quot;container-title-short&quot;:&quot;&quot;},&quot;isTemporary&quot;:false}]},{&quot;citationID&quot;:&quot;MENDELEY_CITATION_9693e297-c7d7-4761-9656-4bb0afd1a2a5&quot;,&quot;properties&quot;:{&quot;noteIndex&quot;:0},&quot;isEdited&quot;:false,&quot;manualOverride&quot;:{&quot;isManuallyOverridden&quot;:false,&quot;citeprocText&quot;:&quot;(Alghamdi et al., 2021)&quot;,&quot;manualOverrideText&quot;:&quot;&quot;},&quot;citationTag&quot;:&quot;MENDELEY_CITATION_v3_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&quot;,&quot;citationItems&quot;:[{&quot;id&quot;:&quot;f4bdffa3-03e9-3288-b6be-cad6be390652&quot;,&quot;itemData&quot;:{&quot;type&quot;:&quot;article-journal&quot;,&quot;id&quot;:&quot;f4bdffa3-03e9-3288-b6be-cad6be390652&quot;,&quot;title&quot;:&quot;Awareness and attitude about basic life support among medical school students in Jeddah University, 2019: A cross-sectional study&quot;,&quot;author&quot;:[{&quot;family&quot;:&quot;Alghamdi&quot;,&quot;given&quot;:&quot;Yousef Abdulwahab&quot;,&quot;parse-names&quot;:false,&quot;dropping-particle&quot;:&quot;&quot;,&quot;non-dropping-particle&quot;:&quot;&quot;},{&quot;family&quot;:&quot;Alghamdi&quot;,&quot;given&quot;:&quot;Tariq Ahmad&quot;,&quot;parse-names&quot;:false,&quot;dropping-particle&quot;:&quot;&quot;,&quot;non-dropping-particle&quot;:&quot;&quot;},{&quot;family&quot;:&quot;Alghamdi&quot;,&quot;given&quot;:&quot;Fahad Saleh&quot;,&quot;parse-names&quot;:false,&quot;dropping-particle&quot;:&quot;&quot;,&quot;non-dropping-particle&quot;:&quot;&quot;},{&quot;family&quot;:&quot;Alghamdi&quot;,&quot;given&quot;:&quot;Amal Hassan&quot;,&quot;parse-names&quot;:false,&quot;dropping-particle&quot;:&quot;&quot;,&quot;non-dropping-particle&quot;:&quot;&quot;}],&quot;container-title&quot;:&quot;Journal of Family Medicine and Primary Care&quot;,&quot;container-title-short&quot;:&quot;J Family Med Prim Care&quot;,&quot;issued&quot;:{&quot;date-parts&quot;:[[2021]]},&quot;page&quot;:&quot;2684&quot;,&quot;publisher&quot;:&quot;Wolters Kluwer--Medknow Publications&quot;,&quot;issue&quot;:&quot;7&quot;,&quot;volume&quot;:&quot;10&quot;},&quot;isTemporary&quot;:false}]},{&quot;citationID&quot;:&quot;MENDELEY_CITATION_2b08ff25-03b8-4ab2-8aa6-f3b044d7ab21&quot;,&quot;properties&quot;:{&quot;noteIndex&quot;:0},&quot;isEdited&quot;:false,&quot;manualOverride&quot;:{&quot;isManuallyOverridden&quot;:false,&quot;citeprocText&quot;:&quot;(Myo et al., 2020)&quot;,&quot;manualOverrideText&quot;:&quot;&quot;},&quot;citationTag&quot;:&quot;MENDELEY_CITATION_v3_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&quot;,&quot;citationItems&quot;:[{&quot;id&quot;:&quot;8cb2f674-0798-3c6e-95ea-a78102d37152&quot;,&quot;itemData&quot;:{&quot;type&quot;:&quot;article-journal&quot;,&quot;id&quot;:&quot;8cb2f674-0798-3c6e-95ea-a78102d37152&quot;,&quot;title&quot;:&quot;KNOWLEDGE AND ATTITUDE TOWARDS BASIC LIFE SUPPORT AMONG MEDICAL AND NURSING STUDENTS IN UNIVERSITI KUALA LUMPUR ROYAL COLLEGE OF MEDICINE PERAK.&quot;,&quot;author&quot;:[{&quot;family&quot;:&quot;Myo&quot;,&quot;given&quot;:&quot;T&quot;,&quot;parse-names&quot;:false,&quot;dropping-particle&quot;:&quot;&quot;,&quot;non-dropping-particle&quot;:&quot;&quot;},{&quot;family&quot;:&quot;AR&quot;,&quot;given&quot;:&quot;Mohamad Khairul Afif&quot;,&quot;parse-names&quot;:false,&quot;dropping-particle&quot;:&quot;&quot;,&quot;non-dropping-particle&quot;:&quot;&quot;},{&quot;family&quot;:&quot;Muhammad&quot;,&quot;given&quot;:&quot;Y&quot;,&quot;parse-names&quot;:false,&quot;dropping-particle&quot;:&quot;&quot;,&quot;non-dropping-particle&quot;:&quot;&quot;},{&quot;family&quot;:&quot;Adani&quot;,&quot;given&quot;:&quot;Nurul&quot;,&quot;parse-names&quot;:false,&quot;dropping-particle&quot;:&quot;&quot;,&quot;non-dropping-particle&quot;:&quot;&quot;}],&quot;container-title&quot;:&quot;S. No. Title Page no.&quot;,&quot;issued&quot;:{&quot;date-parts&quot;:[[2020]]},&quot;page&quot;:&quot;36&quot;,&quot;issue&quot;:&quot;1&quot;,&quot;volume&quot;:&quot;3&quot;,&quot;container-title-short&quot;:&quot;&quot;},&quot;isTemporary&quot;:false}]},{&quot;citationID&quot;:&quot;MENDELEY_CITATION_77b808e0-ad97-437e-9c40-23369890b8ce&quot;,&quot;properties&quot;:{&quot;noteIndex&quot;:0},&quot;isEdited&quot;:false,&quot;manualOverride&quot;:{&quot;isManuallyOverridden&quot;:false,&quot;citeprocText&quot;:&quot;(Srivilaithon et al., 2020)&quot;,&quot;manualOverrideText&quot;:&quot;&quot;},&quot;citationTag&quot;:&quot;MENDELEY_CITATION_v3_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&quot;,&quot;citationItems&quot;:[{&quot;id&quot;:&quot;52d831c2-abe8-30ee-ac1b-04fdede280cc&quot;,&quot;itemData&quot;:{&quot;type&quot;:&quot;article-journal&quot;,&quot;id&quot;:&quot;52d831c2-abe8-30ee-ac1b-04fdede280cc&quot;,&quot;title&quot;:&quot;Retention of basic-life-support knowledge and skills in second-year medical students&quot;,&quot;author&quot;:[{&quot;family&quot;:&quot;Srivilaithon&quot;,&quot;given&quot;:&quot;Winchana&quot;,&quot;parse-names&quot;:false,&quot;dropping-particle&quot;:&quot;&quot;,&quot;non-dropping-particle&quot;:&quot;&quot;},{&quot;family&quot;:&quot;Amnuaypattanapon&quot;,&quot;given&quot;:&quot;Kumpon&quot;,&quot;parse-names&quot;:false,&quot;dropping-particle&quot;:&quot;&quot;,&quot;non-dropping-particle&quot;:&quot;&quot;},{&quot;family&quot;:&quot;Limjindaporn&quot;,&quot;given&quot;:&quot;Chitlada&quot;,&quot;parse-names&quot;:false,&quot;dropping-particle&quot;:&quot;&quot;,&quot;non-dropping-particle&quot;:&quot;&quot;},{&quot;family&quot;:&quot;Diskumpon&quot;,&quot;given&quot;:&quot;Nipon&quot;,&quot;parse-names&quot;:false,&quot;dropping-particle&quot;:&quot;&quot;,&quot;non-dropping-particle&quot;:&quot;&quot;},{&quot;family&quot;:&quot;Dasanadeba&quot;,&quot;given&quot;:&quot;Ittabud&quot;,&quot;parse-names&quot;:false,&quot;dropping-particle&quot;:&quot;&quot;,&quot;non-dropping-particle&quot;:&quot;&quot;},{&quot;family&quot;:&quot;Daorattanachai&quot;,&quot;given&quot;:&quot;Kiattichai&quot;,&quot;parse-names&quot;:false,&quot;dropping-particle&quot;:&quot;&quot;,&quot;non-dropping-particle&quot;:&quot;&quot;}],&quot;container-title&quot;:&quot;Open Access Emergency Medicine&quot;,&quot;ISSN&quot;:&quot;1179-1500&quot;,&quot;issued&quot;:{&quot;date-parts&quot;:[[2020]]},&quot;page&quot;:&quot;211-217&quot;,&quot;publisher&quot;:&quot;Taylor &amp; Francis&quot;,&quot;container-title-short&quot;:&quot;&quot;},&quot;isTemporary&quot;:false}]},{&quot;citationID&quot;:&quot;MENDELEY_CITATION_d3e817f6-db6b-4596-8afa-6ebdc9d65748&quot;,&quot;properties&quot;:{&quot;noteIndex&quot;:0},&quot;isEdited&quot;:false,&quot;manualOverride&quot;:{&quot;isManuallyOverridden&quot;:false,&quot;citeprocText&quot;:&quot;(Mutiarasari et al., 2018)&quot;,&quot;manualOverrideText&quot;:&quot;&quot;},&quot;citationTag&quot;:&quot;MENDELEY_CITATION_v3_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&quot;,&quot;citationItems&quot;:[{&quot;id&quot;:&quot;a8759671-13c8-3da8-83a9-819797f509aa&quot;,&quot;itemData&quot;:{&quot;type&quot;:&quot;article-journal&quot;,&quot;id&quot;:&quot;a8759671-13c8-3da8-83a9-819797f509aa&quot;,&quot;title&quot;:&quot;Hubungan Tingkat Pengetahuan Terhadap Keterampilan Bantuan Hidup Dasar (Bhd) Tenaga Kesehatan Di Puskesmas Baluase&quot;,&quot;author&quot;:[{&quot;family&quot;:&quot;Mutiarasari&quot;,&quot;given&quot;:&quot;Diah&quot;,&quot;parse-names&quot;:false,&quot;dropping-particle&quot;:&quot;&quot;,&quot;non-dropping-particle&quot;:&quot;&quot;},{&quot;family&quot;:&quot;Raihan&quot;,&quot;given&quot;:&quot;Muh Isyraq&quot;,&quot;parse-names&quot;:false,&quot;dropping-particle&quot;:&quot;&quot;,&quot;non-dropping-particle&quot;:&quot;&quot;},{&quot;family&quot;:&quot;Mursid&quot;,&quot;given&quot;:&quot;Mursid&quot;,&quot;parse-names&quot;:false,&quot;dropping-particle&quot;:&quot;&quot;,&quot;non-dropping-particle&quot;:&quot;&quot;}],&quot;container-title&quot;:&quot;Healthy Tadulako Journal (Jurnal Kesehatan Tadulako)&quot;,&quot;ISSN&quot;:&quot;2502-0749&quot;,&quot;issued&quot;:{&quot;date-parts&quot;:[[2018]]},&quot;page&quot;:&quot;23-29&quot;,&quot;issue&quot;:&quot;3&quot;,&quot;volume&quot;:&quot;4&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GMa10</b:Tag>
    <b:SourceType>Book</b:SourceType>
    <b:Guid>{FBFDB670-0C7D-304D-936F-E4DAF1E3120C}</b:Guid>
    <b:Author>
      <b:Author>
        <b:NameList>
          <b:Person>
            <b:Last>Mangku</b:Last>
            <b:First>G</b:First>
          </b:Person>
          <b:Person>
            <b:Last>Senapathi</b:Last>
            <b:First>TGA</b:First>
          </b:Person>
        </b:NameList>
      </b:Author>
    </b:Author>
    <b:Title>Buku Ajar Ilmu Anestesia dan Reanimasi</b:Title>
    <b:City>Jakarta</b:City>
    <b:Publisher>Indeks</b:Publisher>
    <b:Year>2010</b:Year>
    <b:RefOrder>1</b:RefOrder>
  </b:Source>
  <b:Source>
    <b:Tag>IKC98</b:Tag>
    <b:SourceType>JournalArticle</b:SourceType>
    <b:Guid>{690CEE50-6422-E742-B794-D8173B4D3A21}</b:Guid>
    <b:Author>
      <b:Author>
        <b:NameList>
          <b:Person>
            <b:Last>Crombie</b:Last>
            <b:First>IK</b:First>
          </b:Person>
          <b:Person>
            <b:Last>Davies</b:Last>
            <b:First>HTO</b:First>
          </b:Person>
          <b:Person>
            <b:Last>Macrae</b:Last>
            <b:First>WA</b:First>
          </b:Person>
        </b:NameList>
      </b:Author>
    </b:Author>
    <b:Title>antecedent surgery and trauma among patients attending a chronic pain clinic.</b:Title>
    <b:JournalName>Cut and thrust</b:JournalName>
    <b:RefOrder>3</b:RefOrder>
  </b:Source>
  <b:Source>
    <b:Tag>San15</b:Tag>
    <b:SourceType>Report</b:SourceType>
    <b:Guid>{33FCBA07-2A27-0A4B-9741-40A2DD764289}</b:Guid>
    <b:Author>
      <b:Author>
        <b:NameList>
          <b:Person>
            <b:Last>Sandika</b:Last>
          </b:Person>
          <b:Person>
            <b:Last>al</b:Last>
            <b:First>et</b:First>
          </b:Person>
        </b:NameList>
      </b:Author>
    </b:Author>
    <b:Year>2015</b:Year>
    <b:RefOrder>4</b:RefOrder>
  </b:Source>
  <b:Source>
    <b:Tag>WMe15</b:Tag>
    <b:SourceType>JournalArticle</b:SourceType>
    <b:Guid>{869B586F-27D7-0940-86FF-9FA4DB80CB57}</b:Guid>
    <b:Author>
      <b:Author>
        <b:NameList>
          <b:Person>
            <b:Last>MeissneR</b:Last>
            <b:First>W</b:First>
          </b:Person>
          <b:Person>
            <b:Last>Coluzzi</b:Last>
            <b:First>F</b:First>
          </b:Person>
          <b:Person>
            <b:Last>Fletcher</b:Last>
            <b:First>D</b:First>
          </b:Person>
          <b:Person>
            <b:Last>Huygen</b:Last>
            <b:First>F</b:First>
          </b:Person>
          <b:Person>
            <b:Last>Morlion</b:Last>
            <b:First>B</b:First>
          </b:Person>
          <b:Person>
            <b:Last>Neugebauer</b:Last>
            <b:First>E</b:First>
          </b:Person>
        </b:NameList>
      </b:Author>
    </b:Author>
    <b:Title>improving the management of post-operative acute pain</b:Title>
    <b:Publisher>curr med res opin</b:Publisher>
    <b:Year>2015</b:Year>
    <b:RefOrder>5</b:RefOrder>
  </b:Source>
  <b:Source>
    <b:Tag>JEl13</b:Tag>
    <b:SourceType>JournalArticle</b:SourceType>
    <b:Guid>{0E7A5C9A-2533-7946-A39B-E0D68F25ABA6}</b:Guid>
    <b:Author>
      <b:Author>
        <b:NameList>
          <b:Person>
            <b:Last>Eldor</b:Last>
            <b:First>J</b:First>
          </b:Person>
          <b:Person>
            <b:Last>Kotlovker</b:Last>
            <b:First>V</b:First>
          </b:Person>
          <b:Person>
            <b:Last>Orkin</b:Last>
            <b:First>D</b:First>
          </b:Person>
        </b:NameList>
      </b:Author>
    </b:Author>
    <b:Title>pain free hospital availability of anesthesiologists</b:Title>
    <b:Publisher>j anesthesiol clin sci</b:Publisher>
    <b:Year>2013</b:Year>
    <b:RefOrder>6</b:RefOrder>
  </b:Source>
  <b:Source>
    <b:Tag>ABo16</b:Tag>
    <b:SourceType>JournalArticle</b:SourceType>
    <b:Guid>{91E1A5CE-A139-7A4E-9A99-4B66A8945E69}</b:Guid>
    <b:Author>
      <b:Author>
        <b:NameList>
          <b:Person>
            <b:Last>Bonnal</b:Last>
            <b:First>A</b:First>
          </b:Person>
          <b:Person>
            <b:Last>Dehon</b:Last>
            <b:First>A</b:First>
          </b:Person>
          <b:Person>
            <b:Last>Nagot</b:Last>
            <b:First>N</b:First>
          </b:Person>
          <b:Person>
            <b:Last>MacIoce</b:Last>
            <b:First>V</b:First>
          </b:Person>
          <b:Person>
            <b:Last>Nogue</b:Last>
            <b:First>E</b:First>
          </b:Person>
          <b:Person>
            <b:Last>Morau</b:Last>
            <b:First>E</b:First>
          </b:Person>
        </b:NameList>
      </b:Author>
    </b:Author>
    <b:Title>Patient-controlled oral analgesia versus nurse-controlled parenteral analgesia after caesarean section</b:Title>
    <b:JournalName>A randomised controlled trial</b:JournalName>
    <b:Publisher>Anaesthesia</b:Publisher>
    <b:Year>2016</b:Year>
    <b:RefOrder>7</b:RefOrder>
  </b:Source>
  <b:Source>
    <b:Tag>LAT12</b:Tag>
    <b:SourceType>JournalArticle</b:SourceType>
    <b:Guid>{B95EDD6B-6D67-394C-9D1E-9316D616B842}</b:Guid>
    <b:Author>
      <b:Author>
        <b:NameList>
          <b:Person>
            <b:Last>Thompson</b:Last>
            <b:First>LA</b:First>
          </b:Person>
          <b:Person>
            <b:Last>Zhang</b:Last>
            <b:First>S</b:First>
          </b:Person>
          <b:Person>
            <b:Last>Black</b:Last>
            <b:First>E</b:First>
          </b:Person>
          <b:Person>
            <b:Last>Das</b:Last>
            <b:First>R</b:First>
          </b:Person>
          <b:Person>
            <b:Last>Ryngaert</b:Last>
            <b:First>M</b:First>
          </b:Person>
          <b:Person>
            <b:Last>Sullivan</b:Last>
            <b:First>S</b:First>
          </b:Person>
        </b:NameList>
      </b:Author>
    </b:Author>
    <b:Title>he Association of Maternal Pre- pregnancy Body Mass Index with Breastfeeding Initation</b:Title>
    <b:Publisher>Matern Child Health</b:Publisher>
    <b:Year>2012</b:Year>
    <b:RefOrder>8</b:RefOrder>
  </b:Source>
  <b:Source>
    <b:Tag>Bru01</b:Tag>
    <b:SourceType>JournalArticle</b:SourceType>
    <b:Guid>{33B05139-0B0E-CA41-BA33-14A946898AE8}</b:Guid>
    <b:Author>
      <b:Author>
        <b:NameList>
          <b:Person>
            <b:Last>Brunner</b:Last>
          </b:Person>
          <b:Person>
            <b:Last>Sudarth</b:Last>
          </b:Person>
        </b:NameList>
      </b:Author>
    </b:Author>
    <b:Year>2010</b:Year>
    <b:RefOrder>2</b:RefOrder>
  </b:Source>
  <b:Source>
    <b:Tag>WHO09</b:Tag>
    <b:SourceType>Report</b:SourceType>
    <b:Guid>{05B4F703-750F-5048-B32A-569A13AC52A1}</b:Guid>
    <b:Title>Forward Programme 2008-2009</b:Title>
    <b:City>Geneva</b:City>
    <b:Year>2009</b:Year>
    <b:Author>
      <b:Author>
        <b:NameList>
          <b:Person>
            <b:Last>WHO</b:Last>
          </b:Person>
        </b:NameList>
      </b:Author>
    </b:Author>
    <b:Institution>World Health Organization</b:Institution>
    <b:RefOrder>29</b:RefOrder>
  </b:Source>
  <b:Source>
    <b:Tag>som08</b:Tag>
    <b:SourceType>Report</b:SourceType>
    <b:Guid>{D851413C-D769-C547-8950-430F92672E6A}</b:Guid>
    <b:Year>2008</b:Year>
    <b:Author>
      <b:Author>
        <b:NameList>
          <b:Person>
            <b:Last>sommer</b:Last>
          </b:Person>
          <b:Person>
            <b:Last>al</b:Last>
            <b:First>et</b:First>
          </b:Person>
        </b:NameList>
      </b:Author>
    </b:Author>
    <b:RefOrder>30</b:RefOrder>
  </b:Source>
  <b:Source>
    <b:Tag>LAS00</b:Tag>
    <b:SourceType>JournalArticle</b:SourceType>
    <b:Guid>{7F2DBB26-0F3E-5045-B771-437B05693096}</b:Guid>
    <b:Author>
      <b:Author>
        <b:NameList>
          <b:Person>
            <b:Last>Smith</b:Last>
            <b:First>LA</b:First>
          </b:Person>
          <b:Person>
            <b:Last>Carroll</b:Last>
            <b:First>D</b:First>
          </b:Person>
          <b:Person>
            <b:Last>edwards</b:Last>
            <b:First>JE</b:First>
          </b:Person>
          <b:Person>
            <b:Last>Moore</b:Last>
            <b:First>RA</b:First>
          </b:Person>
          <b:Person>
            <b:Last>McQuay</b:Last>
            <b:First>HJ</b:First>
          </b:Person>
        </b:NameList>
      </b:Author>
    </b:Author>
    <b:Title>Single-dose ketorolac and pethidine in acute postoperative pain</b:Title>
    <b:JournalName>systematic review with meta- analysis</b:JournalName>
    <b:Publisher>Br J Anaesth</b:Publisher>
    <b:Year>2000</b:Year>
    <b:RefOrder>31</b:RefOrder>
  </b:Source>
  <b:Source>
    <b:Tag>WAM08</b:Tag>
    <b:SourceType>JournalArticle</b:SourceType>
    <b:Guid>{C6AA860C-8269-EF4A-ADE1-87B24EDA6834}</b:Guid>
    <b:Author>
      <b:Author>
        <b:NameList>
          <b:Person>
            <b:Last>Macrae</b:Last>
            <b:First>WA</b:First>
          </b:Person>
        </b:NameList>
      </b:Author>
    </b:Author>
    <b:Title>Chronic post-surgical pain: 10 years on</b:Title>
    <b:Publisher>British Journal of Anaesthesia</b:Publisher>
    <b:Year>2008</b:Year>
    <b:Pages>77-86</b:Pages>
    <b:RefOrder>32</b:RefOrder>
  </b:Source>
  <b:Source>
    <b:Tag>Kam08</b:Tag>
    <b:SourceType>Book</b:SourceType>
    <b:Guid>{9B81E32D-0BDC-8B4E-AADD-DA6DA67E1D37}</b:Guid>
    <b:Author>
      <b:Author>
        <b:NameList>
          <b:Person>
            <b:Last>Indonesia</b:Last>
            <b:First>Kamus</b:First>
            <b:Middle>Besar Bahasa</b:Middle>
          </b:Person>
        </b:NameList>
      </b:Author>
    </b:Author>
    <b:StateProvince>Jakarta</b:StateProvince>
    <b:Publisher>Gramedia</b:Publisher>
    <b:Year>2008</b:Year>
    <b:Pages>1110</b:Pages>
    <b:RefOrder>33</b:RefOrder>
  </b:Source>
  <b:Source>
    <b:Tag>Phi97</b:Tag>
    <b:SourceType>JournalArticle</b:SourceType>
    <b:Guid>{B3791EB9-9ECE-A841-9208-F0E61F1A12D8}</b:Guid>
    <b:Title>Analysis, Planning, Implementation and Control</b:Title>
    <b:Publisher>New Jersey: Prentice-Hall Inc</b:Publisher>
    <b:Year>1997</b:Year>
    <b:Pages>40</b:Pages>
    <b:Author>
      <b:Author>
        <b:NameList>
          <b:Person>
            <b:Last>Kotler</b:Last>
            <b:First>Philip</b:First>
          </b:Person>
        </b:NameList>
      </b:Author>
    </b:Author>
    <b:RefOrder>34</b:RefOrder>
  </b:Source>
  <b:Source>
    <b:Tag>Uma03</b:Tag>
    <b:SourceType>Book</b:SourceType>
    <b:Guid>{B3382382-6C38-DA40-9186-E7625FB3366B}</b:Guid>
    <b:Author>
      <b:Author>
        <b:NameList>
          <b:Person>
            <b:Last>Umar</b:Last>
            <b:First>Husain</b:First>
          </b:Person>
        </b:NameList>
      </b:Author>
    </b:Author>
    <b:Title>Metode Riset Perilaku Konsumen Jasa</b:Title>
    <b:Publisher>Ghalia Indonesia</b:Publisher>
    <b:Year>2003</b:Year>
    <b:Pages>14</b:Pages>
    <b:StateProvince>Jakarta</b:StateProvince>
    <b:RefOrder>35</b:RefOrder>
  </b:Source>
  <b:Source>
    <b:Tag>bio17</b:Tag>
    <b:SourceType>JournalArticle</b:SourceType>
    <b:Guid>{CCD0EE3C-9E34-324A-8E4C-BB24DC6C5DE7}</b:Guid>
    <b:Author>
      <b:Author>
        <b:NameList>
          <b:Person>
            <b:Last>biocic</b:Last>
            <b:First>M</b:First>
          </b:Person>
          <b:Person>
            <b:Last>Vidosevic</b:Last>
            <b:First>D</b:First>
          </b:Person>
          <b:Person>
            <b:Last>Boric</b:Last>
            <b:First>T</b:First>
          </b:Person>
          <b:Person>
            <b:Last>L Giunio</b:Last>
            <b:First>D</b:First>
            <b:Middle>Fabijanic</b:Middle>
          </b:Person>
        </b:NameList>
      </b:Author>
    </b:Author>
    <b:Title>anesthesia and preoperative pain management during cardiac electronic device implantation</b:Title>
    <b:Publisher>J Pain Res</b:Publisher>
    <b:Year>2017</b:Year>
    <b:RefOrder>36</b:RefOrder>
  </b:Source>
  <b:Source>
    <b:Tag>JBG17</b:Tag>
    <b:SourceType>JournalArticle</b:SourceType>
    <b:Guid>{68B60CD6-73E4-8F43-AE8D-F1C7FB9DC7C0}</b:Guid>
    <b:Author>
      <b:Author>
        <b:NameList>
          <b:Person>
            <b:Last>Garcia</b:Last>
            <b:First>JB</b:First>
          </b:Person>
          <b:Person>
            <b:Last>Bonilla</b:Last>
            <b:First>P</b:First>
          </b:Person>
          <b:Person>
            <b:Last>Kraychette</b:Last>
            <b:First>DC</b:First>
          </b:Person>
          <b:Person>
            <b:Last>Flores</b:Last>
            <b:First>FC</b:First>
          </b:Person>
          <b:Person>
            <b:Last>valtolina</b:Last>
            <b:First>ED</b:First>
            <b:Middle>Perez de</b:Middle>
          </b:Person>
          <b:Person>
            <b:Last>Guerrero</b:Last>
            <b:First>C</b:First>
          </b:Person>
        </b:NameList>
      </b:Author>
    </b:Author>
    <b:Title>Optimizing post-operative pain management in latin america</b:Title>
    <b:Publisher>rev bras anestesiol</b:Publisher>
    <b:Year>2017</b:Year>
    <b:RefOrder>37</b:RefOrder>
  </b:Source>
  <b:Source>
    <b:Tag>VAZ06</b:Tag>
    <b:SourceType>Report</b:SourceType>
    <b:Guid>{01EB3E4D-41EB-5147-8045-8E154DB09EB9}</b:Guid>
    <b:Author>
      <b:Author>
        <b:NameList>
          <b:Person>
            <b:Last>Zeithmal</b:Last>
            <b:First>V.A</b:First>
          </b:Person>
          <b:Person>
            <b:Last>Bitner</b:Last>
          </b:Person>
        </b:NameList>
      </b:Author>
    </b:Author>
    <b:Year>2006</b:Year>
    <b:RefOrder>38</b:RefOrder>
  </b:Source>
  <b:Source>
    <b:Tag>Kam11</b:Tag>
    <b:SourceType>Book</b:SourceType>
    <b:Guid>{97587B1F-70E2-3E4A-BE0A-60ED986069F2}</b:Guid>
    <b:Title>Kamus Besar Bahasa Indonesia</b:Title>
    <b:Year>2011</b:Year>
    <b:RefOrder>39</b:RefOrder>
  </b:Source>
  <b:Source>
    <b:Tag>Dal20</b:Tag>
    <b:SourceType>JournalArticle</b:SourceType>
    <b:Guid>{3169C3E3-2E07-C44C-9614-E887668612B0}</b:Guid>
    <b:Title>erbandingan Pemberian Parasetamol Oral dan Ketorolak Intravena dalam Membantu Keberhasilan Menyusui Pasca Seksio Sesarea</b:Title>
    <b:Year>2020</b:Year>
    <b:Author>
      <b:Author>
        <b:NameList>
          <b:Person>
            <b:Last>Fidina</b:Last>
            <b:First>Dalri</b:First>
            <b:Middle>Nur</b:Middle>
          </b:Person>
          <b:Person>
            <b:Last>Attamimi</b:Last>
            <b:First>Ahsanudin</b:First>
          </b:Person>
          <b:Person>
            <b:Last>Prawitasari</b:Last>
            <b:First>Shinta</b:First>
          </b:Person>
        </b:NameList>
      </b:Author>
    </b:Author>
    <b:JournalName>Jurnal Kesehatan Reproduksi</b:JournalName>
    <b:RefOrder>9</b:RefOrder>
  </b:Source>
  <b:Source>
    <b:Tag>Ayu14</b:Tag>
    <b:SourceType>JournalArticle</b:SourceType>
    <b:Guid>{161AD338-CDAC-EB45-97F3-8B89E09F3239}</b:Guid>
    <b:Author>
      <b:Author>
        <b:NameList>
          <b:Person>
            <b:Last>Fajarini</b:Last>
            <b:First>Ayu</b:First>
            <b:Middle>Y. S.</b:Middle>
          </b:Person>
          <b:Person>
            <b:Last>Kumaat</b:Last>
            <b:First>Lucky</b:First>
          </b:Person>
          <b:Person>
            <b:Last>Laihad</b:Last>
            <b:First>Mordekhai</b:First>
          </b:Person>
        </b:NameList>
      </b:Author>
    </b:Author>
    <b:Title>PERBANDINGAN EFEKTIVITAS TRAMADOL DENGAN KOMBINASI TRAMADOL + KETOLORAC PADA PENANGANAN NYERI PASCA SEKSIO SESAREA</b:Title>
    <b:JournalName>Jurnal E-Clinil</b:JournalName>
    <b:Year>2014</b:Year>
    <b:RefOrder>10</b:RefOrder>
  </b:Source>
  <b:Source>
    <b:Tag>Nur17</b:Tag>
    <b:SourceType>JournalArticle</b:SourceType>
    <b:Guid>{9FFD1EA4-72FB-3E4B-8678-A380C0A26746}</b:Guid>
    <b:Author>
      <b:Author>
        <b:NameList>
          <b:Person>
            <b:Last>Sari</b:Last>
            <b:First>Nurmahida</b:First>
            <b:Middle>Mutia</b:Middle>
          </b:Person>
        </b:NameList>
      </b:Author>
    </b:Author>
    <b:Title>TINGKAT KEPUASAN PASIEN PASCA OPERASI DENGAN ANESTESI REGIONAL DAN ANESTESI UMUM DI RS PKU MUHAMMADIYAH GAMPING</b:Title>
    <b:JournalName>Research Repository UMY</b:JournalName>
    <b:Year>2017</b:Year>
    <b:RefOrder>11</b:RefOrder>
  </b:Source>
  <b:Source>
    <b:Tag>Agu17</b:Tag>
    <b:SourceType>JournalArticle</b:SourceType>
    <b:Guid>{E6D4D109-F574-D94E-926A-4F3B67AC9EFE}</b:Guid>
    <b:Author>
      <b:Author>
        <b:NameList>
          <b:Person>
            <b:Last>Hidayat</b:Last>
            <b:First>Agus</b:First>
            <b:Middle>Purwo</b:Middle>
          </b:Person>
          <b:Person>
            <b:Last>Harahap</b:Last>
            <b:First>M</b:First>
            <b:Middle>Sofyan</b:Middle>
          </b:Person>
          <b:Person>
            <b:Last>Villyastuti</b:Last>
            <b:First>Yulia</b:First>
            <b:Middle>Wahyu</b:Middle>
          </b:Person>
        </b:NameList>
      </b:Author>
    </b:Author>
    <b:Title>PERBEDAAN ANTARA PARASETAMOL DAN KETOROLAK TERHADAP KADAR SUBSTANSI P SERUM TIKUS WISTAR SEBAGAI ANALGESIK</b:Title>
    <b:JournalName>Jurnal Anestesiologi Indonesia</b:JournalName>
    <b:Year>2017</b:Year>
    <b:RefOrder>12</b:RefOrder>
  </b:Source>
  <b:Source>
    <b:Tag>Fai13</b:Tag>
    <b:SourceType>JournalArticle</b:SourceType>
    <b:Guid>{20FAC2DD-3C21-5844-BEC3-FCB63F1DFCB4}</b:Guid>
    <b:Author>
      <b:Author>
        <b:NameList>
          <b:Person>
            <b:Last>Faisal</b:Last>
          </b:Person>
          <b:Person>
            <b:Last>Tanra</b:Last>
            <b:First>Husni</b:First>
          </b:Person>
          <b:Person>
            <b:Last>Ahmad</b:Last>
            <b:First>Ramli</b:First>
          </b:Person>
          <b:Person>
            <b:Last>Bahar</b:Last>
            <b:First>Burhanuddin</b:First>
          </b:Person>
        </b:NameList>
      </b:Author>
    </b:Author>
    <b:Title>PERBANDINGAN EFEK KOMBINASI ANTARA PARASETAMOL 1 GR/8 JAM DAN KETAMIN 0,1 MG/KGBB/JAM DENGAN PARASETAMOL 1 GR/8 JAM DAN PETIDIN 0,1 MG/KGBB/JAM SEBAGAI MULTIMODAL ANALGESIA PASCABEDAH SEKSIO SESARIA</b:Title>
    <b:Publisher>Fakultas Kedokteran, Universitas Hasanuddin Makassar</b:Publisher>
    <b:Year>2013</b:Year>
    <b:RefOrder>13</b:RefOrder>
  </b:Source>
  <b:Source>
    <b:Tag>Mor11</b:Tag>
    <b:SourceType>JournalArticle</b:SourceType>
    <b:Guid>{366831AF-FBF7-1A48-8CB7-997766291177}</b:Guid>
    <b:Author>
      <b:Author>
        <b:NameList>
          <b:Person>
            <b:Last>Morgan</b:Last>
          </b:Person>
        </b:NameList>
      </b:Author>
    </b:Author>
    <b:Year>2011</b:Year>
    <b:RefOrder>14</b:RefOrder>
  </b:Source>
  <b:Source>
    <b:Tag>Hol64</b:Tag>
    <b:SourceType>JournalArticle</b:SourceType>
    <b:Guid>{C5EB3112-5E84-6D44-A575-F3E3F98A30DD}</b:Guid>
    <b:Author>
      <b:Author>
        <b:NameList>
          <b:Person>
            <b:Last>Holmes</b:Last>
          </b:Person>
        </b:NameList>
      </b:Author>
    </b:Author>
    <b:Year>1864</b:Year>
    <b:RefOrder>40</b:RefOrder>
  </b:Source>
  <b:Source>
    <b:Tag>ASA13</b:Tag>
    <b:SourceType>JournalArticle</b:SourceType>
    <b:Guid>{FEC4E633-F2B1-1F43-8388-4F95624F68FB}</b:Guid>
    <b:Author>
      <b:Author>
        <b:NameList>
          <b:Person>
            <b:Last>ASA</b:Last>
          </b:Person>
        </b:NameList>
      </b:Author>
    </b:Author>
    <b:JournalName>American Association of Anestesiologist</b:JournalName>
    <b:Year>2013</b:Year>
    <b:RefOrder>15</b:RefOrder>
  </b:Source>
  <b:Source>
    <b:Tag>Pot06</b:Tag>
    <b:SourceType>JournalArticle</b:SourceType>
    <b:Guid>{F4C53993-BFEF-6B4D-8E2C-2D6DC1D7D9FE}</b:Guid>
    <b:Author>
      <b:Author>
        <b:NameList>
          <b:Person>
            <b:Last>Perry</b:Last>
            <b:First>Potter</b:First>
            <b:Middle>&amp;</b:Middle>
          </b:Person>
        </b:NameList>
      </b:Author>
    </b:Author>
    <b:Year>2006</b:Year>
    <b:RefOrder>41</b:RefOrder>
  </b:Source>
  <b:Source>
    <b:Tag>Dew14</b:Tag>
    <b:SourceType>InternetSite</b:SourceType>
    <b:Guid>{E94F8459-EE83-7145-B9CC-802F9B415F89}</b:Guid>
    <b:Title>Penatalaksanaan Nyeri Pasca Operasi</b:Title>
    <b:Year>2014</b:Year>
    <b:Month>oktober</b:Month>
    <b:Author>
      <b:Author>
        <b:NameList>
          <b:Person>
            <b:Last>Kusumawati</b:Last>
            <b:First>Dewi</b:First>
          </b:Person>
        </b:NameList>
      </b:Author>
    </b:Author>
    <b:InternetSiteTitle>Hospital of Borromeus Group Rumah Sakit Santo yusup</b:InternetSiteTitle>
    <b:URL>https://www.rssantoyusup.com/penatalaksanaan-nyeri-pasca-operasi/</b:URL>
    <b:YearAccessed>2020</b:YearAccessed>
    <b:MonthAccessed>september</b:MonthAccessed>
    <b:DayAccessed>28</b:DayAccessed>
    <b:RefOrder>16</b:RefOrder>
  </b:Source>
  <b:Source>
    <b:Tag>RSU16</b:Tag>
    <b:SourceType>InternetSite</b:SourceType>
    <b:Guid>{10420651-7A7E-B142-93D9-7755A3506BFB}</b:Guid>
    <b:Author>
      <b:Author>
        <b:NameList>
          <b:Person>
            <b:Last>RSUKTS</b:Last>
          </b:Person>
        </b:NameList>
      </b:Author>
    </b:Author>
    <b:Title>Rumah Sakit Umum Kota Tangerang Selatan</b:Title>
    <b:InternetSiteTitle>PENATALAKSANAAN NYERI PASCA OPERASI</b:InternetSiteTitle>
    <b:URL>https://rsu.tangerangselatankota.go.id/penatalaksanaan-nyeri-pasca-operasi/</b:URL>
    <b:Year>2016</b:Year>
    <b:Month>November</b:Month>
    <b:Day>08</b:Day>
    <b:YearAccessed>2020</b:YearAccessed>
    <b:MonthAccessed>September</b:MonthAccessed>
    <b:DayAccessed>28</b:DayAccessed>
    <b:RefOrder>17</b:RefOrder>
  </b:Source>
  <b:Source>
    <b:Tag>GEM96</b:Tag>
    <b:SourceType>JournalArticle</b:SourceType>
    <b:Guid>{2F756F26-FB92-654B-9F60-69891CCC460F}</b:Guid>
    <b:Author>
      <b:Author>
        <b:NameList>
          <b:Person>
            <b:Last>Morgan</b:Last>
            <b:First>G.E.</b:First>
          </b:Person>
        </b:NameList>
      </b:Author>
    </b:Author>
    <b:Title>Pain Management</b:Title>
    <b:JournalName>Pain Management</b:JournalName>
    <b:Publisher>Stamford: Appleton and Lange</b:Publisher>
    <b:Year>1996</b:Year>
    <b:RefOrder>42</b:RefOrder>
  </b:Source>
  <b:Source>
    <b:Tag>RJH95</b:Tag>
    <b:SourceType>JournalArticle</b:SourceType>
    <b:Guid>{257331C7-21EB-A64D-9E2E-A7F3990A7C26}</b:Guid>
    <b:Author>
      <b:Author>
        <b:NameList>
          <b:Person>
            <b:Last>Hamill</b:Last>
            <b:First>R.J.</b:First>
          </b:Person>
        </b:NameList>
      </b:Author>
    </b:Author>
    <b:Title>The Assesment of Pain</b:Title>
    <b:JournalName>Handbook of Critical Care Pain Management</b:JournalName>
    <b:Publisher>New York, McGrow-Hill</b:Publisher>
    <b:Year>1995</b:Year>
    <b:RefOrder>43</b:RefOrder>
  </b:Source>
  <b:Source>
    <b:Tag>GMa02</b:Tag>
    <b:SourceType>JournalArticle</b:SourceType>
    <b:Guid>{3CCF0F5B-A7E3-564A-8F9A-22E90BBE85C1}</b:Guid>
    <b:Author>
      <b:Author>
        <b:NameList>
          <b:Person>
            <b:Last>Mangku</b:Last>
            <b:First>G.</b:First>
          </b:Person>
        </b:NameList>
      </b:Author>
    </b:Author>
    <b:Title>Diktat Kumpulan Kuliah, Bagian/SMF Anestesiologi dan Reanimasi</b:Title>
    <b:Publisher>Fakultas Kedokteran Universitas Udayana</b:Publisher>
    <b:Year>2002</b:Year>
    <b:RefOrder>44</b:RefOrder>
  </b:Source>
  <b:Source>
    <b:Tag>WMe151</b:Tag>
    <b:SourceType>JournalArticle</b:SourceType>
    <b:Guid>{5F5E6059-8271-4C4D-9CF1-829FA33C974F}</b:Guid>
    <b:Author>
      <b:Author>
        <b:NameList>
          <b:Person>
            <b:Last>Meissner</b:Last>
            <b:First>W.</b:First>
          </b:Person>
          <b:Person>
            <b:Last>Coluzzi</b:Last>
            <b:First>F.</b:First>
          </b:Person>
          <b:Person>
            <b:Last>Fletcher</b:Last>
            <b:First>D.</b:First>
          </b:Person>
          <b:Person>
            <b:Last>Huygen</b:Last>
            <b:First>F.</b:First>
          </b:Person>
          <b:Person>
            <b:Last>Morlion</b:Last>
            <b:First>B.</b:First>
          </b:Person>
          <b:Person>
            <b:Last>Neugebauer</b:Last>
            <b:First>E.</b:First>
          </b:Person>
        </b:NameList>
      </b:Author>
    </b:Author>
    <b:Title>Improving the management of post-operative acute pain</b:Title>
    <b:JournalName>priorities for change</b:JournalName>
    <b:Publisher>Curr Med Res Opin</b:Publisher>
    <b:Year>2015</b:Year>
    <b:RefOrder>19</b:RefOrder>
  </b:Source>
  <b:Source>
    <b:Tag>WAM081</b:Tag>
    <b:SourceType>JournalArticle</b:SourceType>
    <b:Guid>{C712CCE8-5644-5B4B-BEFB-7EF58209C9F6}</b:Guid>
    <b:Author>
      <b:Author>
        <b:NameList>
          <b:Person>
            <b:Last>Macrae</b:Last>
            <b:First>W.A.</b:First>
          </b:Person>
        </b:NameList>
      </b:Author>
    </b:Author>
    <b:Title>Chronic post-surgical pain: 10 years on</b:Title>
    <b:JournalName>British Journal of Anaesthesia</b:JournalName>
    <b:Year>2008</b:Year>
    <b:RefOrder>20</b:RefOrder>
  </b:Source>
  <b:Source>
    <b:Tag>NTo14</b:Tag>
    <b:SourceType>JournalArticle</b:SourceType>
    <b:Guid>{C40997A3-6E73-6447-9132-409DF46F9EBA}</b:Guid>
    <b:Author>
      <b:Author>
        <b:NameList>
          <b:Person>
            <b:Last>Torrance</b:Last>
            <b:First>N</b:First>
          </b:Person>
          <b:Person>
            <b:Last>Lawson</b:Last>
            <b:First>KD</b:First>
          </b:Person>
          <b:Person>
            <b:Last>Afolabi</b:Last>
            <b:First>E</b:First>
          </b:Person>
          <b:Person>
            <b:Last>Bennett</b:Last>
            <b:First>MI</b:First>
          </b:Person>
          <b:Person>
            <b:Last>Serpell</b:Last>
            <b:First>MG</b:First>
          </b:Person>
          <b:Person>
            <b:Last>Dunn</b:Last>
            <b:First>KM</b:First>
          </b:Person>
          <b:Person>
            <b:Last>al.</b:Last>
            <b:First>et</b:First>
          </b:Person>
        </b:NameList>
      </b:Author>
    </b:Author>
    <b:Title>Estimating the burden of disease in chronic pain with and without neuropathic characteristics</b:Title>
    <b:JournalName>Does the choice between the EQ-5D and SF-6D matter</b:JournalName>
    <b:Year>2014</b:Year>
    <b:RefOrder>21</b:RefOrder>
  </b:Source>
  <b:Source>
    <b:Tag>GEM961</b:Tag>
    <b:SourceType>JournalArticle</b:SourceType>
    <b:Guid>{941B8225-007B-5E48-872A-7B5BB546E563}</b:Guid>
    <b:Author>
      <b:Author>
        <b:NameList>
          <b:Person>
            <b:Last>Morgan</b:Last>
            <b:First>G.E.</b:First>
          </b:Person>
        </b:NameList>
      </b:Author>
    </b:Author>
    <b:Title>Pain Management</b:Title>
    <b:JournalName>Clinical Anesthesiology 2nd</b:JournalName>
    <b:Publisher>Stamford: Appleton and Lange</b:Publisher>
    <b:Year>1996</b:Year>
    <b:RefOrder>45</b:RefOrder>
  </b:Source>
  <b:Source>
    <b:Tag>RKS06</b:Tag>
    <b:SourceType>JournalArticle</b:SourceType>
    <b:Guid>{530EBC22-2947-0240-AE21-8CC30EF9DE35}</b:Guid>
    <b:Author>
      <b:Author>
        <b:NameList>
          <b:Person>
            <b:Last>Stoelting</b:Last>
            <b:First>R.K.</b:First>
          </b:Person>
          <b:Person>
            <b:Last>Hillier</b:Last>
            <b:First>S.C.</b:First>
          </b:Person>
        </b:NameList>
      </b:Author>
    </b:Author>
    <b:Title>pioid agonists and antagonists, local anesthetics, cyclooxygenase-2 inhibitor and nonspecific nonsteroidal antiinflammatory drugs</b:Title>
    <b:JournalName>pharmacology &amp; physiology in anesthetic practice 4th</b:JournalName>
    <b:Publisher>Philadelphia; Lippincott Williams &amp; Wilkins</b:Publisher>
    <b:Year>2006</b:Year>
    <b:RefOrder>46</b:RefOrder>
  </b:Source>
  <b:Source>
    <b:Tag>LAd14</b:Tag>
    <b:SourceType>JournalArticle</b:SourceType>
    <b:Guid>{C44592C4-E392-7948-90FA-D9EB5DC127C3}</b:Guid>
    <b:Author>
      <b:Author>
        <b:NameList>
          <b:Person>
            <b:Last>Silva</b:Last>
            <b:First>L.A.</b:First>
            <b:Middle>da</b:Middle>
          </b:Person>
          <b:Person>
            <b:Last>Rezende</b:Last>
            <b:First>J.G.</b:First>
          </b:Person>
          <b:Person>
            <b:Last>Souza</b:Last>
            <b:First>M.I.T.</b:First>
          </b:Person>
          <b:Person>
            <b:Last>Robazzi</b:Last>
            <b:First>M.L.</b:First>
          </b:Person>
          <b:Person>
            <b:Last>Dalri</b:Last>
            <b:First>R.</b:First>
            <b:Middle>de</b:Middle>
          </b:Person>
          <b:Person>
            <b:Last>Faleiros</b:Last>
            <b:First>S.A.</b:First>
          </b:Person>
          <b:Person>
            <b:Last>al.</b:Last>
            <b:First>et</b:First>
          </b:Person>
        </b:NameList>
      </b:Author>
    </b:Author>
    <b:Title>Pain in patients undergoing orthopedic surgery</b:Title>
    <b:JournalName>J Nurs UFPE</b:JournalName>
    <b:Publisher>Science Direct</b:Publisher>
    <b:Year>2014</b:Year>
    <b:Month>January</b:Month>
    <b:RefOrder>22</b:RefOrder>
  </b:Source>
  <b:Source>
    <b:Tag>BFJ97</b:Tag>
    <b:SourceType>JournalArticle</b:SourceType>
    <b:Guid>{1809C4DA-4998-0B4C-A95B-6ABE46A6DA86}</b:Guid>
    <b:Author>
      <b:Author>
        <b:NameList>
          <b:Person>
            <b:Last>James</b:Last>
            <b:First>B.F.</b:First>
          </b:Person>
          <b:Person>
            <b:Last>Ellen</b:Last>
            <b:First>L.H.</b:First>
          </b:Person>
          <b:Person>
            <b:Last>Stephen</b:Last>
            <b:First>R.</b:First>
          </b:Person>
        </b:NameList>
      </b:Author>
    </b:Author>
    <b:Title>Ketorolac for postoperative pain management in children</b:Title>
    <b:JournalName>Drug Safety</b:JournalName>
    <b:Publisher>Spinger Link</b:Publisher>
    <b:Year>1997</b:Year>
    <b:RefOrder>47</b:RefOrder>
  </b:Source>
  <b:Source>
    <b:Tag>KBa14</b:Tag>
    <b:SourceType>JournalArticle</b:SourceType>
    <b:Guid>{B77C7BE7-0C53-0243-8493-B06BA646818E}</b:Guid>
    <b:Author>
      <b:Author>
        <b:NameList>
          <b:Person>
            <b:Last>Baley</b:Last>
            <b:First>K.</b:First>
          </b:Person>
          <b:Person>
            <b:Last>Michalov</b:Last>
            <b:First>K.</b:First>
          </b:Person>
          <b:Person>
            <b:Last>Kossick</b:Last>
            <b:First>M.A</b:First>
          </b:Person>
          <b:Person>
            <b:Last>McDowell</b:Last>
            <b:First>M.</b:First>
          </b:Person>
        </b:NameList>
      </b:Author>
    </b:Author>
    <b:Title>Intravenous acetaminophen and intravenous ketorolac for management of pediatric surgical pain</b:Title>
    <b:JournalName>AANA J</b:JournalName>
    <b:Publisher>Science Direct</b:Publisher>
    <b:Year>2014</b:Year>
    <b:RefOrder>28</b:RefOrder>
  </b:Source>
  <b:Source>
    <b:Tag>Kwo04</b:Tag>
    <b:SourceType>JournalArticle</b:SourceType>
    <b:Guid>{637B0346-BE63-D944-9011-59B89E4BBE65}</b:Guid>
    <b:RefOrder>48</b:RefOrder>
  </b:Source>
  <b:Source>
    <b:Tag>Hay09</b:Tag>
    <b:SourceType>JournalArticle</b:SourceType>
    <b:Guid>{523F51A9-4923-FD42-9504-D8C95D0D2FD9}</b:Guid>
    <b:Author>
      <b:Author>
        <b:NameList>
          <b:Person>
            <b:Last>Haynes</b:Last>
            <b:First>AB</b:First>
          </b:Person>
          <b:Person>
            <b:Last>Weisher</b:Last>
            <b:First>TG</b:First>
          </b:Person>
          <b:Person>
            <b:Last>Berry</b:Last>
            <b:First>WR</b:First>
          </b:Person>
          <b:Person>
            <b:Last>Lipsits</b:Last>
            <b:First>SR</b:First>
          </b:Person>
          <b:Person>
            <b:Last>Breizat</b:Last>
            <b:First>A</b:First>
          </b:Person>
          <b:Person>
            <b:Last>Hadi</b:Last>
            <b:First>S</b:First>
          </b:Person>
          <b:Person>
            <b:Last>Dellinger</b:Last>
            <b:First>EP</b:First>
          </b:Person>
          <b:Person>
            <b:Last>Herbosa</b:Last>
            <b:First>T</b:First>
          </b:Person>
        </b:NameList>
      </b:Author>
    </b:Author>
    <b:Title>A Surgical Safety Checklist to Reduce Mor- bidity and Mortality in a Global Population</b:Title>
    <b:Year>2010</b:Year>
    <b:JournalName>N Engl J Med</b:JournalName>
    <b:RefOrder>49</b:RefOrder>
  </b:Source>
  <b:Source>
    <b:Tag>Pot061</b:Tag>
    <b:SourceType>JournalArticle</b:SourceType>
    <b:Guid>{B84528C4-89CC-B549-8B6C-2A77D418616E}</b:Guid>
    <b:RefOrder>50</b:RefOrder>
  </b:Source>
  <b:Source>
    <b:Tag>PSw13</b:Tag>
    <b:SourceType>JournalArticle</b:SourceType>
    <b:Guid>{C3A9D246-716F-DB4C-8336-7C36B557DE25}</b:Guid>
    <b:Author>
      <b:Author>
        <b:NameList>
          <b:Person>
            <b:Last>Swleboda</b:Last>
            <b:First>P</b:First>
          </b:Person>
          <b:Person>
            <b:Last>et.al.</b:Last>
          </b:Person>
        </b:NameList>
      </b:Author>
    </b:Author>
    <b:Title>Assessment of Pain: Types, Mechanism, and Treatment.</b:Title>
    <b:JournalName>Ann Agric Environ Med.</b:JournalName>
    <b:Year>2013</b:Year>
    <b:RefOrder>18</b:RefOrder>
  </b:Source>
  <b:Source>
    <b:Tag>DrR</b:Tag>
    <b:SourceType>JournalArticle</b:SourceType>
    <b:Guid>{6919C0DA-58E5-EC49-8D2A-EE8FD4AB83EE}</b:Guid>
    <b:Author>
      <b:Author>
        <b:NameList>
          <b:Person>
            <b:Last>Venkateswaran</b:Last>
            <b:First>Dr.</b:First>
            <b:Middle>Ramkumar</b:Middle>
          </b:Person>
          <b:Person>
            <b:Last>N.</b:Last>
            <b:First>Dr.</b:First>
            <b:Middle>Prasad K.</b:Middle>
          </b:Person>
        </b:NameList>
      </b:Author>
    </b:Author>
    <b:Title>MANAGEMENT OF POSTOPERATIVE PAIN</b:Title>
    <b:JournalName>Indian,J.Anesth, </b:JournalName>
    <b:Pages>345-354</b:Pages>
    <b:RefOrder>23</b:RefOrder>
  </b:Source>
  <b:Source>
    <b:Tag>Sis13</b:Tag>
    <b:SourceType>JournalArticle</b:SourceType>
    <b:Guid>{A3E894A0-0F76-F940-802A-7C419E61CBAA}</b:Guid>
    <b:Author>
      <b:Author>
        <b:NameList>
          <b:Person>
            <b:Last>Sinardja</b:Last>
            <b:First>Siska</b:First>
            <b:Middle>Permanasari</b:Middle>
          </b:Person>
          <b:Person>
            <b:Last>Aribawa</b:Last>
            <b:First>IGN</b:First>
            <b:Middle>Mahaalit</b:Middle>
          </b:Person>
        </b:NameList>
      </b:Author>
    </b:Author>
    <b:Title>PENATALAKSANAAN NYERI AKUT PADA PASIEN DENGAN PATIENT</b:Title>
    <b:JournalName>CONTROLLED ANALGESIA</b:JournalName>
    <b:Year>2013</b:Year>
    <b:RefOrder>24</b:RefOrder>
  </b:Source>
  <b:Source>
    <b:Tag>Ted14</b:Tag>
    <b:SourceType>JournalArticle</b:SourceType>
    <b:Guid>{6ECDEFDE-C9FF-E045-A69B-5FDC2A7DA289}</b:Guid>
    <b:Author>
      <b:Author>
        <b:NameList>
          <b:Person>
            <b:Last>Ferdinand</b:Last>
            <b:First>I</b:First>
            <b:Middle>Teddy</b:Middle>
          </b:Person>
          <b:Person>
            <b:Last>R.</b:Last>
            <b:First>Basuki</b:First>
            <b:Middle>Dju dju k</b:Middle>
          </b:Person>
          <b:Person>
            <b:Last>Isnga</b:Last>
          </b:Person>
        </b:NameList>
      </b:Author>
    </b:Author>
    <b:Title>Perbandingan Intensitas Nyeri Akut Setelah Pembedahan Pada Pasien dengan Regional Analgesia Epidural Teknik Kontinyu dibandingkan dengan Teknik Intermitten</b:Title>
    <b:JournalName>Jurnal Anestesiologi Indonesia</b:JournalName>
    <b:Year>2014</b:Year>
    <b:RefOrder>26</b:RefOrder>
  </b:Source>
  <b:Source>
    <b:Tag>DrR1</b:Tag>
    <b:SourceType>JournalArticle</b:SourceType>
    <b:Guid>{935A6EF8-DD4D-054E-8F29-838406AD1A8F}</b:Guid>
    <b:Author>
      <b:Author>
        <b:NameList>
          <b:Person>
            <b:Last>Venkateswaran</b:Last>
            <b:First>Dr.</b:First>
            <b:Middle>Ramkumar</b:Middle>
          </b:Person>
          <b:Person>
            <b:Last>N.</b:Last>
            <b:First>Dr.</b:First>
            <b:Middle>Prasad K.</b:Middle>
          </b:Person>
        </b:NameList>
      </b:Author>
    </b:Author>
    <b:Title>MANAGEMENT OF POSTOPERATIVE PAIN</b:Title>
    <b:JournalName>Indian,J.Anesth</b:JournalName>
    <b:Pages>345-354</b:Pages>
    <b:RefOrder>25</b:RefOrder>
  </b:Source>
  <b:Source>
    <b:Tag>SYL10</b:Tag>
    <b:SourceType>JournalArticle</b:SourceType>
    <b:Guid>{4A65BA4B-FB73-7843-97C4-237DD3E945B8}</b:Guid>
    <b:Author>
      <b:Author>
        <b:NameList>
          <b:Person>
            <b:Last>Lee</b:Last>
            <b:First>SY</b:First>
          </b:Person>
          <b:Person>
            <b:Last>Lee</b:Last>
            <b:First>WH</b:First>
          </b:Person>
          <b:Person>
            <b:Last>Lee</b:Last>
            <b:First>EH</b:First>
          </b:Person>
          <b:Person>
            <b:Last>Han</b:Last>
            <b:First>KC</b:First>
          </b:Person>
          <b:Person>
            <b:Last>Ko</b:Last>
            <b:First>YK</b:First>
          </b:Person>
        </b:NameList>
      </b:Author>
    </b:Author>
    <b:Title>The effects of paracetamol, ketorolac, and paracetamol plus morphine on pain control after thyroidectomy.</b:Title>
    <b:JournalName>Korean J Pain.</b:JournalName>
    <b:Year>2010</b:Year>
    <b:RefOrder>27</b:RefOrder>
  </b:Source>
</b:Sources>
</file>

<file path=customXml/itemProps1.xml><?xml version="1.0" encoding="utf-8"?>
<ds:datastoreItem xmlns:ds="http://schemas.openxmlformats.org/officeDocument/2006/customXml" ds:itemID="{B2EACBC2-2E32-499B-ADB5-47D63CBFC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9</Pages>
  <Words>4975</Words>
  <Characters>28361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33270</CharactersWithSpaces>
  <SharedDoc>false</SharedDoc>
  <HLinks>
    <vt:vector size="6" baseType="variant">
      <vt:variant>
        <vt:i4>1835083</vt:i4>
      </vt:variant>
      <vt:variant>
        <vt:i4>6</vt:i4>
      </vt:variant>
      <vt:variant>
        <vt:i4>0</vt:i4>
      </vt:variant>
      <vt:variant>
        <vt:i4>5</vt:i4>
      </vt:variant>
      <vt:variant>
        <vt:lpwstr>http://jurnal.uinsu.ac.id/index.php/contagion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cp:lastModifiedBy>Widya Widya</cp:lastModifiedBy>
  <cp:revision>41</cp:revision>
  <cp:lastPrinted>2019-02-05T17:01:00Z</cp:lastPrinted>
  <dcterms:created xsi:type="dcterms:W3CDTF">2023-03-06T03:30:00Z</dcterms:created>
  <dcterms:modified xsi:type="dcterms:W3CDTF">2023-10-07T05:03:00Z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https://csl.mendeley.com/styles/475823531/apa</vt:lpwstr>
  </property>
  <property fmtid="{D5CDD505-2E9C-101B-9397-08002B2CF9AE}" pid="5" name="Mendeley Recent Style Name 1_1">
    <vt:lpwstr>American Psychological Association 6th edition - Mincho Slavov</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http://www.zotero.org/styles/chicago-note-bibliography</vt:lpwstr>
  </property>
  <property fmtid="{D5CDD505-2E9C-101B-9397-08002B2CF9AE}" pid="13" name="Mendeley Recent Style Name 5_1">
    <vt:lpwstr>Chicago Manual of Style 17th edition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11th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5b7cee6a-95aa-3a93-b2b2-925eb2e3f6e4</vt:lpwstr>
  </property>
  <property fmtid="{D5CDD505-2E9C-101B-9397-08002B2CF9AE}" pid="24" name="Mendeley Citation Style_1">
    <vt:lpwstr>http://www.zotero.org/styles/apa</vt:lpwstr>
  </property>
</Properties>
</file>