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076F8F" w14:textId="64F284B6" w:rsidR="00343592" w:rsidRPr="008550D5" w:rsidRDefault="00240669" w:rsidP="00240669">
      <w:pPr>
        <w:spacing w:after="0" w:line="360" w:lineRule="auto"/>
        <w:ind w:right="-188"/>
        <w:jc w:val="center"/>
        <w:rPr>
          <w:rFonts w:asciiTheme="majorBidi" w:eastAsia="Times New Roman" w:hAnsiTheme="majorBidi" w:cstheme="majorBidi"/>
          <w:b/>
          <w:sz w:val="24"/>
          <w:szCs w:val="24"/>
          <w:lang w:val="en-US"/>
        </w:rPr>
      </w:pPr>
      <w:r w:rsidRPr="00240669">
        <w:rPr>
          <w:rFonts w:asciiTheme="majorBidi" w:eastAsia="Times New Roman" w:hAnsiTheme="majorBidi" w:cstheme="majorBidi"/>
          <w:b/>
          <w:sz w:val="24"/>
          <w:szCs w:val="24"/>
        </w:rPr>
        <w:t>Effect of Vitamin D3 on Changes in Muscle Mass in the Elderly in Nursing Homes: Double-Blind Controlled Randomized Trial</w:t>
      </w:r>
    </w:p>
    <w:p w14:paraId="4C4F75EC" w14:textId="77777777" w:rsidR="00343592" w:rsidRPr="008550D5" w:rsidRDefault="00343592" w:rsidP="008550D5">
      <w:pPr>
        <w:spacing w:after="0" w:line="360" w:lineRule="auto"/>
        <w:ind w:right="-188" w:firstLine="720"/>
        <w:jc w:val="both"/>
        <w:rPr>
          <w:rFonts w:asciiTheme="majorBidi" w:eastAsia="Times New Roman" w:hAnsiTheme="majorBidi" w:cstheme="majorBidi"/>
          <w:sz w:val="24"/>
          <w:szCs w:val="24"/>
        </w:rPr>
      </w:pPr>
    </w:p>
    <w:p w14:paraId="7D98B379" w14:textId="77777777" w:rsidR="00E15A3F" w:rsidRPr="00240669" w:rsidRDefault="00E15A3F" w:rsidP="00E15A3F">
      <w:pPr>
        <w:spacing w:after="0" w:line="360" w:lineRule="auto"/>
        <w:ind w:right="-188"/>
        <w:jc w:val="center"/>
        <w:rPr>
          <w:rFonts w:asciiTheme="majorBidi" w:eastAsia="Times New Roman" w:hAnsiTheme="majorBidi" w:cstheme="majorBidi"/>
          <w:vertAlign w:val="superscript"/>
          <w:lang w:val="en-US"/>
        </w:rPr>
      </w:pPr>
      <w:r w:rsidRPr="00240669">
        <w:rPr>
          <w:rFonts w:asciiTheme="majorBidi" w:eastAsia="Times New Roman" w:hAnsiTheme="majorBidi" w:cstheme="majorBidi"/>
          <w:bCs/>
          <w:lang w:val="id"/>
        </w:rPr>
        <w:t>Prajna Adhityarani</w:t>
      </w:r>
      <w:r w:rsidRPr="00240669">
        <w:rPr>
          <w:rFonts w:asciiTheme="majorBidi" w:eastAsia="Times New Roman" w:hAnsiTheme="majorBidi" w:cstheme="majorBidi"/>
          <w:bCs/>
          <w:vertAlign w:val="superscript"/>
          <w:lang w:val="en-US"/>
        </w:rPr>
        <w:t>1</w:t>
      </w:r>
      <w:r w:rsidRPr="008550D5">
        <w:rPr>
          <w:rFonts w:asciiTheme="majorBidi" w:eastAsia="Times New Roman" w:hAnsiTheme="majorBidi" w:cstheme="majorBidi"/>
          <w:vertAlign w:val="superscript"/>
          <w:lang w:val="en-US"/>
        </w:rPr>
        <w:t>*</w:t>
      </w:r>
      <w:r w:rsidRPr="008550D5">
        <w:rPr>
          <w:rFonts w:asciiTheme="majorBidi" w:eastAsia="Times New Roman" w:hAnsiTheme="majorBidi" w:cstheme="majorBidi"/>
          <w:lang w:val="en-US"/>
        </w:rPr>
        <w:t xml:space="preserve">, </w:t>
      </w:r>
      <w:r w:rsidRPr="00240669">
        <w:rPr>
          <w:rFonts w:asciiTheme="majorBidi" w:eastAsia="Times New Roman" w:hAnsiTheme="majorBidi" w:cstheme="majorBidi"/>
        </w:rPr>
        <w:t>Diana Sunardi</w:t>
      </w:r>
      <w:r w:rsidRPr="008550D5">
        <w:rPr>
          <w:rFonts w:asciiTheme="majorBidi" w:eastAsia="Times New Roman" w:hAnsiTheme="majorBidi" w:cstheme="majorBidi"/>
          <w:vertAlign w:val="superscript"/>
          <w:lang w:val="en-US"/>
        </w:rPr>
        <w:t>2</w:t>
      </w:r>
      <w:r>
        <w:rPr>
          <w:rFonts w:asciiTheme="majorBidi" w:eastAsia="Times New Roman" w:hAnsiTheme="majorBidi" w:cstheme="majorBidi"/>
          <w:lang w:val="en-US"/>
        </w:rPr>
        <w:t xml:space="preserve">, </w:t>
      </w:r>
      <w:r w:rsidRPr="00240669">
        <w:rPr>
          <w:rFonts w:asciiTheme="majorBidi" w:eastAsia="Times New Roman" w:hAnsiTheme="majorBidi" w:cstheme="majorBidi"/>
        </w:rPr>
        <w:t>Esthika Dewiasty</w:t>
      </w:r>
      <w:r>
        <w:rPr>
          <w:rFonts w:asciiTheme="majorBidi" w:eastAsia="Times New Roman" w:hAnsiTheme="majorBidi" w:cstheme="majorBidi"/>
          <w:vertAlign w:val="superscript"/>
          <w:lang w:val="en-US"/>
        </w:rPr>
        <w:t>3</w:t>
      </w:r>
    </w:p>
    <w:p w14:paraId="662A26D6" w14:textId="77777777" w:rsidR="00E15A3F" w:rsidRPr="008550D5" w:rsidRDefault="00E15A3F" w:rsidP="00E15A3F">
      <w:pPr>
        <w:spacing w:after="0" w:line="360" w:lineRule="auto"/>
        <w:ind w:right="-188"/>
        <w:jc w:val="center"/>
        <w:rPr>
          <w:rFonts w:asciiTheme="majorBidi" w:eastAsia="Times New Roman" w:hAnsiTheme="majorBidi" w:cstheme="majorBidi"/>
          <w:lang w:val="ms"/>
        </w:rPr>
      </w:pPr>
      <w:r w:rsidRPr="008550D5">
        <w:rPr>
          <w:rFonts w:asciiTheme="majorBidi" w:eastAsia="Times New Roman" w:hAnsiTheme="majorBidi" w:cstheme="majorBidi"/>
          <w:vertAlign w:val="superscript"/>
          <w:lang w:val="ms"/>
        </w:rPr>
        <w:t>1</w:t>
      </w:r>
      <w:r w:rsidRPr="00240669">
        <w:rPr>
          <w:rFonts w:asciiTheme="majorBidi" w:eastAsia="Times New Roman" w:hAnsiTheme="majorBidi" w:cstheme="majorBidi"/>
          <w:lang w:val="ms"/>
        </w:rPr>
        <w:t>Program Studi Magister, Ilmu Gizi Fakultas Kedokteran Universitas Indonesia, Jakarta</w:t>
      </w:r>
    </w:p>
    <w:p w14:paraId="7A20BF92" w14:textId="77777777" w:rsidR="00E15A3F" w:rsidRPr="00CF459A" w:rsidRDefault="00E15A3F" w:rsidP="00E15A3F">
      <w:pPr>
        <w:spacing w:after="0" w:line="360" w:lineRule="auto"/>
        <w:ind w:right="-188"/>
        <w:jc w:val="center"/>
        <w:rPr>
          <w:rFonts w:asciiTheme="majorBidi" w:eastAsia="Times New Roman" w:hAnsiTheme="majorBidi" w:cstheme="majorBidi"/>
          <w:lang w:val="de-DE"/>
        </w:rPr>
      </w:pPr>
      <w:r w:rsidRPr="008550D5">
        <w:rPr>
          <w:rFonts w:asciiTheme="majorBidi" w:eastAsia="Times New Roman" w:hAnsiTheme="majorBidi" w:cstheme="majorBidi"/>
          <w:vertAlign w:val="superscript"/>
          <w:lang w:val="ms"/>
        </w:rPr>
        <w:t>2</w:t>
      </w:r>
      <w:r w:rsidRPr="00CF459A">
        <w:rPr>
          <w:rFonts w:asciiTheme="majorBidi" w:eastAsia="Times New Roman" w:hAnsiTheme="majorBidi" w:cstheme="majorBidi"/>
          <w:lang w:val="de-DE"/>
        </w:rPr>
        <w:t>Program Studi Magister, Ilmu Gizi Fakultas Kedokteran Universitas Indonesia, Jakarta</w:t>
      </w:r>
    </w:p>
    <w:p w14:paraId="55625074" w14:textId="77777777" w:rsidR="00E15A3F" w:rsidRPr="008550D5" w:rsidRDefault="00E15A3F" w:rsidP="00E15A3F">
      <w:pPr>
        <w:spacing w:after="0" w:line="360" w:lineRule="auto"/>
        <w:ind w:right="-188"/>
        <w:jc w:val="center"/>
        <w:rPr>
          <w:rFonts w:asciiTheme="majorBidi" w:eastAsia="Times New Roman" w:hAnsiTheme="majorBidi" w:cstheme="majorBidi"/>
        </w:rPr>
      </w:pPr>
      <w:r w:rsidRPr="00CF459A">
        <w:rPr>
          <w:rFonts w:asciiTheme="majorBidi" w:eastAsia="Times New Roman" w:hAnsiTheme="majorBidi" w:cstheme="majorBidi"/>
          <w:vertAlign w:val="superscript"/>
          <w:lang w:val="de-DE"/>
        </w:rPr>
        <w:t>3</w:t>
      </w:r>
      <w:r w:rsidRPr="00240669">
        <w:rPr>
          <w:rFonts w:asciiTheme="majorBidi" w:eastAsia="Times New Roman" w:hAnsiTheme="majorBidi" w:cstheme="majorBidi"/>
        </w:rPr>
        <w:t xml:space="preserve">Program </w:t>
      </w:r>
      <w:r w:rsidRPr="00CF459A">
        <w:rPr>
          <w:rFonts w:asciiTheme="majorBidi" w:eastAsia="Times New Roman" w:hAnsiTheme="majorBidi" w:cstheme="majorBidi"/>
          <w:lang w:val="de-DE"/>
        </w:rPr>
        <w:t>Stud</w:t>
      </w:r>
      <w:r>
        <w:rPr>
          <w:rFonts w:asciiTheme="majorBidi" w:eastAsia="Times New Roman" w:hAnsiTheme="majorBidi" w:cstheme="majorBidi"/>
          <w:lang w:val="de-DE"/>
        </w:rPr>
        <w:t>i Geriatri</w:t>
      </w:r>
      <w:r w:rsidRPr="00240669">
        <w:rPr>
          <w:rFonts w:asciiTheme="majorBidi" w:eastAsia="Times New Roman" w:hAnsiTheme="majorBidi" w:cstheme="majorBidi"/>
        </w:rPr>
        <w:t xml:space="preserve">, Ilmu </w:t>
      </w:r>
      <w:r w:rsidRPr="00CF459A">
        <w:rPr>
          <w:rFonts w:asciiTheme="majorBidi" w:eastAsia="Times New Roman" w:hAnsiTheme="majorBidi" w:cstheme="majorBidi"/>
          <w:lang w:val="de-DE"/>
        </w:rPr>
        <w:t>Penyakit Da</w:t>
      </w:r>
      <w:r>
        <w:rPr>
          <w:rFonts w:asciiTheme="majorBidi" w:eastAsia="Times New Roman" w:hAnsiTheme="majorBidi" w:cstheme="majorBidi"/>
          <w:lang w:val="de-DE"/>
        </w:rPr>
        <w:t>lam RSCM,</w:t>
      </w:r>
      <w:r w:rsidRPr="00240669">
        <w:rPr>
          <w:rFonts w:asciiTheme="majorBidi" w:eastAsia="Times New Roman" w:hAnsiTheme="majorBidi" w:cstheme="majorBidi"/>
        </w:rPr>
        <w:t xml:space="preserve"> Jakarta</w:t>
      </w:r>
    </w:p>
    <w:p w14:paraId="537E040B" w14:textId="37B55B44" w:rsidR="00343592" w:rsidRPr="008550D5" w:rsidRDefault="00E15A3F" w:rsidP="00E15A3F">
      <w:pPr>
        <w:spacing w:after="0" w:line="360" w:lineRule="auto"/>
        <w:ind w:right="-188" w:firstLine="720"/>
        <w:jc w:val="center"/>
        <w:rPr>
          <w:rFonts w:asciiTheme="majorBidi" w:eastAsia="Times New Roman" w:hAnsiTheme="majorBidi" w:cstheme="majorBidi"/>
          <w:sz w:val="24"/>
          <w:szCs w:val="24"/>
        </w:rPr>
      </w:pPr>
      <w:r w:rsidRPr="00E15A3F">
        <w:rPr>
          <w:rFonts w:asciiTheme="majorBidi" w:eastAsia="Times New Roman" w:hAnsiTheme="majorBidi" w:cstheme="majorBidi"/>
        </w:rPr>
        <w:t>Email corespondensi :</w:t>
      </w:r>
      <w:r w:rsidRPr="008550D5">
        <w:rPr>
          <w:rFonts w:asciiTheme="majorBidi" w:eastAsia="Times New Roman" w:hAnsiTheme="majorBidi" w:cstheme="majorBidi"/>
        </w:rPr>
        <w:t xml:space="preserve"> </w:t>
      </w:r>
      <w:r>
        <w:rPr>
          <w:rFonts w:asciiTheme="majorBidi" w:eastAsia="Times New Roman" w:hAnsiTheme="majorBidi" w:cstheme="majorBidi"/>
          <w:lang w:val="en-US"/>
        </w:rPr>
        <w:t>rani.praj@yahoo.com</w:t>
      </w:r>
    </w:p>
    <w:tbl>
      <w:tblPr>
        <w:tblpPr w:leftFromText="180" w:rightFromText="180" w:vertAnchor="text" w:horzAnchor="margin" w:tblpY="155"/>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42"/>
        <w:gridCol w:w="8080"/>
      </w:tblGrid>
      <w:tr w:rsidR="00343592" w:rsidRPr="008550D5" w14:paraId="6242EAFF" w14:textId="77777777" w:rsidTr="00BA047C">
        <w:tc>
          <w:tcPr>
            <w:tcW w:w="1242" w:type="dxa"/>
            <w:shd w:val="clear" w:color="auto" w:fill="auto"/>
          </w:tcPr>
          <w:p w14:paraId="246DF9FB" w14:textId="77777777" w:rsidR="00343592" w:rsidRPr="008550D5" w:rsidRDefault="00343592" w:rsidP="008550D5">
            <w:pPr>
              <w:spacing w:after="0" w:line="360" w:lineRule="auto"/>
              <w:ind w:right="-188" w:firstLine="25"/>
              <w:jc w:val="both"/>
              <w:rPr>
                <w:rFonts w:asciiTheme="majorBidi" w:eastAsia="Times New Roman" w:hAnsiTheme="majorBidi" w:cstheme="majorBidi"/>
                <w:b/>
                <w:sz w:val="20"/>
                <w:szCs w:val="20"/>
                <w:lang w:val="en-ID"/>
              </w:rPr>
            </w:pPr>
          </w:p>
          <w:p w14:paraId="2A1BDFD0" w14:textId="77777777" w:rsidR="00343592" w:rsidRPr="008550D5" w:rsidRDefault="00343592" w:rsidP="00240669">
            <w:pPr>
              <w:spacing w:after="0" w:line="360" w:lineRule="auto"/>
              <w:ind w:firstLine="25"/>
              <w:jc w:val="both"/>
              <w:rPr>
                <w:rFonts w:asciiTheme="majorBidi" w:eastAsia="Times New Roman" w:hAnsiTheme="majorBidi" w:cstheme="majorBidi"/>
                <w:b/>
                <w:sz w:val="20"/>
                <w:szCs w:val="20"/>
                <w:lang w:val="en-ID"/>
              </w:rPr>
            </w:pPr>
            <w:r w:rsidRPr="008550D5">
              <w:rPr>
                <w:rFonts w:asciiTheme="majorBidi" w:eastAsia="Times New Roman" w:hAnsiTheme="majorBidi" w:cstheme="majorBidi"/>
                <w:b/>
                <w:sz w:val="20"/>
                <w:szCs w:val="20"/>
              </w:rPr>
              <w:t>Track Record Article</w:t>
            </w:r>
          </w:p>
          <w:p w14:paraId="0A65E8EF" w14:textId="77777777" w:rsidR="00343592" w:rsidRPr="008550D5" w:rsidRDefault="00343592" w:rsidP="008550D5">
            <w:pPr>
              <w:spacing w:after="0" w:line="360" w:lineRule="auto"/>
              <w:ind w:right="-188" w:firstLine="25"/>
              <w:jc w:val="both"/>
              <w:rPr>
                <w:rFonts w:asciiTheme="majorBidi" w:eastAsia="Times New Roman" w:hAnsiTheme="majorBidi" w:cstheme="majorBidi"/>
                <w:sz w:val="20"/>
                <w:szCs w:val="20"/>
                <w:lang w:val="en-US"/>
              </w:rPr>
            </w:pPr>
          </w:p>
          <w:p w14:paraId="02A5DF69" w14:textId="77777777" w:rsidR="00343592" w:rsidRPr="008550D5" w:rsidRDefault="00343592" w:rsidP="008550D5">
            <w:pPr>
              <w:spacing w:after="0" w:line="360" w:lineRule="auto"/>
              <w:ind w:right="-188" w:firstLine="25"/>
              <w:jc w:val="both"/>
              <w:rPr>
                <w:rFonts w:asciiTheme="majorBidi" w:eastAsia="Times New Roman" w:hAnsiTheme="majorBidi" w:cstheme="majorBidi"/>
                <w:sz w:val="20"/>
                <w:szCs w:val="20"/>
                <w:lang w:val="en-US"/>
              </w:rPr>
            </w:pPr>
            <w:r w:rsidRPr="008550D5">
              <w:rPr>
                <w:rFonts w:asciiTheme="majorBidi" w:eastAsia="Times New Roman" w:hAnsiTheme="majorBidi" w:cstheme="majorBidi"/>
                <w:sz w:val="20"/>
                <w:szCs w:val="20"/>
              </w:rPr>
              <w:t xml:space="preserve">Accepted: </w:t>
            </w:r>
          </w:p>
          <w:p w14:paraId="307876AB" w14:textId="77777777" w:rsidR="00343592" w:rsidRPr="008550D5" w:rsidRDefault="00343592" w:rsidP="008550D5">
            <w:pPr>
              <w:spacing w:after="0" w:line="360" w:lineRule="auto"/>
              <w:ind w:right="-188" w:firstLine="25"/>
              <w:jc w:val="both"/>
              <w:rPr>
                <w:rFonts w:asciiTheme="majorBidi" w:eastAsia="Times New Roman" w:hAnsiTheme="majorBidi" w:cstheme="majorBidi"/>
                <w:sz w:val="20"/>
                <w:szCs w:val="20"/>
                <w:lang w:val="en-US"/>
              </w:rPr>
            </w:pPr>
          </w:p>
          <w:p w14:paraId="186D4874" w14:textId="77777777" w:rsidR="00343592" w:rsidRPr="008550D5" w:rsidRDefault="00343592" w:rsidP="008550D5">
            <w:pPr>
              <w:spacing w:after="0" w:line="360" w:lineRule="auto"/>
              <w:ind w:right="-188" w:firstLine="25"/>
              <w:jc w:val="both"/>
              <w:rPr>
                <w:rFonts w:asciiTheme="majorBidi" w:eastAsia="Times New Roman" w:hAnsiTheme="majorBidi" w:cstheme="majorBidi"/>
                <w:sz w:val="20"/>
                <w:szCs w:val="20"/>
                <w:lang w:val="en-US"/>
              </w:rPr>
            </w:pPr>
            <w:r w:rsidRPr="008550D5">
              <w:rPr>
                <w:rFonts w:asciiTheme="majorBidi" w:eastAsia="Times New Roman" w:hAnsiTheme="majorBidi" w:cstheme="majorBidi"/>
                <w:sz w:val="20"/>
                <w:szCs w:val="20"/>
              </w:rPr>
              <w:t xml:space="preserve"> Published: </w:t>
            </w:r>
          </w:p>
          <w:p w14:paraId="33815BD0" w14:textId="77777777" w:rsidR="00343592" w:rsidRPr="008550D5" w:rsidRDefault="00343592" w:rsidP="008550D5">
            <w:pPr>
              <w:spacing w:after="0" w:line="360" w:lineRule="auto"/>
              <w:ind w:right="-188" w:firstLine="25"/>
              <w:jc w:val="both"/>
              <w:rPr>
                <w:rFonts w:asciiTheme="majorBidi" w:eastAsia="Times New Roman" w:hAnsiTheme="majorBidi" w:cstheme="majorBidi"/>
                <w:b/>
                <w:sz w:val="20"/>
                <w:szCs w:val="20"/>
              </w:rPr>
            </w:pPr>
          </w:p>
        </w:tc>
        <w:tc>
          <w:tcPr>
            <w:tcW w:w="8080" w:type="dxa"/>
            <w:shd w:val="clear" w:color="auto" w:fill="auto"/>
          </w:tcPr>
          <w:p w14:paraId="04AC13F5" w14:textId="77777777" w:rsidR="00343592" w:rsidRPr="008550D5" w:rsidRDefault="00343592" w:rsidP="008550D5">
            <w:pPr>
              <w:spacing w:after="0" w:line="360" w:lineRule="auto"/>
              <w:ind w:right="-188" w:firstLine="25"/>
              <w:jc w:val="both"/>
              <w:rPr>
                <w:rFonts w:asciiTheme="majorBidi" w:eastAsia="Times New Roman" w:hAnsiTheme="majorBidi" w:cstheme="majorBidi"/>
                <w:b/>
                <w:bCs/>
                <w:sz w:val="20"/>
                <w:szCs w:val="20"/>
                <w:lang w:val="en-US"/>
              </w:rPr>
            </w:pPr>
          </w:p>
          <w:p w14:paraId="588645DD" w14:textId="77777777" w:rsidR="00343592" w:rsidRPr="008550D5" w:rsidRDefault="00343592" w:rsidP="008550D5">
            <w:pPr>
              <w:spacing w:after="0" w:line="360" w:lineRule="auto"/>
              <w:ind w:right="-188" w:firstLine="25"/>
              <w:jc w:val="both"/>
              <w:rPr>
                <w:rFonts w:asciiTheme="majorBidi" w:eastAsia="Times New Roman" w:hAnsiTheme="majorBidi" w:cstheme="majorBidi"/>
                <w:b/>
                <w:bCs/>
                <w:sz w:val="20"/>
                <w:szCs w:val="20"/>
                <w:lang w:val="en-US"/>
              </w:rPr>
            </w:pPr>
            <w:r w:rsidRPr="008550D5">
              <w:rPr>
                <w:rFonts w:asciiTheme="majorBidi" w:eastAsia="Times New Roman" w:hAnsiTheme="majorBidi" w:cstheme="majorBidi"/>
                <w:b/>
                <w:bCs/>
                <w:sz w:val="20"/>
                <w:szCs w:val="20"/>
              </w:rPr>
              <w:t>Abstract</w:t>
            </w:r>
          </w:p>
          <w:p w14:paraId="32332167" w14:textId="77777777" w:rsidR="00343592" w:rsidRPr="008550D5" w:rsidRDefault="00343592" w:rsidP="008550D5">
            <w:pPr>
              <w:spacing w:after="0" w:line="360" w:lineRule="auto"/>
              <w:ind w:right="-188" w:firstLine="25"/>
              <w:jc w:val="both"/>
              <w:rPr>
                <w:rFonts w:asciiTheme="majorBidi" w:eastAsia="Times New Roman" w:hAnsiTheme="majorBidi" w:cstheme="majorBidi"/>
                <w:b/>
                <w:bCs/>
                <w:sz w:val="20"/>
                <w:szCs w:val="20"/>
              </w:rPr>
            </w:pPr>
          </w:p>
          <w:p w14:paraId="6E953865" w14:textId="75EE70C2" w:rsidR="00343592" w:rsidRPr="008550D5" w:rsidRDefault="00240669" w:rsidP="008550D5">
            <w:pPr>
              <w:spacing w:after="0" w:line="360" w:lineRule="auto"/>
              <w:ind w:right="-188" w:firstLine="25"/>
              <w:jc w:val="both"/>
              <w:rPr>
                <w:rFonts w:asciiTheme="majorBidi" w:eastAsia="Times New Roman" w:hAnsiTheme="majorBidi" w:cstheme="majorBidi"/>
                <w:sz w:val="20"/>
                <w:szCs w:val="20"/>
                <w:lang w:val="en-US"/>
              </w:rPr>
            </w:pPr>
            <w:r w:rsidRPr="00240669">
              <w:rPr>
                <w:rFonts w:asciiTheme="majorBidi" w:eastAsia="Times New Roman" w:hAnsiTheme="majorBidi" w:cstheme="majorBidi"/>
                <w:sz w:val="20"/>
                <w:szCs w:val="20"/>
              </w:rPr>
              <w:t>The decline in muscle mass and strength begins at the age of 30 years by 40% within 30 years, then will decrease by 40% every 10 years after the age of 60 years. Loss of muscle mass and strength in the elderly caus</w:t>
            </w:r>
            <w:r w:rsidR="00E15A3F">
              <w:rPr>
                <w:rFonts w:asciiTheme="majorBidi" w:eastAsia="Times New Roman" w:hAnsiTheme="majorBidi" w:cstheme="majorBidi"/>
                <w:sz w:val="20"/>
                <w:szCs w:val="20"/>
              </w:rPr>
              <w:t>es</w:t>
            </w:r>
            <w:r w:rsidRPr="00240669">
              <w:rPr>
                <w:rFonts w:asciiTheme="majorBidi" w:eastAsia="Times New Roman" w:hAnsiTheme="majorBidi" w:cstheme="majorBidi"/>
                <w:sz w:val="20"/>
                <w:szCs w:val="20"/>
              </w:rPr>
              <w:t xml:space="preserve"> weakness and decreased muscle function, which can lead to a decrease in the ability to perform activities of daily living, and an increased risk of falls. In addition, the elderly are prone to malnutrition, this condition will be accompanied by micronutrient deficiencies both in the elderly who are undernourished and overnourished. Giving vitamin D3 to increase muscle mass and ability and reduce fat mass in the elderly also </w:t>
            </w:r>
            <w:r w:rsidR="00E15A3F">
              <w:rPr>
                <w:rFonts w:asciiTheme="majorBidi" w:eastAsia="Times New Roman" w:hAnsiTheme="majorBidi" w:cstheme="majorBidi"/>
                <w:sz w:val="20"/>
                <w:szCs w:val="20"/>
              </w:rPr>
              <w:t>ha</w:t>
            </w:r>
            <w:r w:rsidRPr="00240669">
              <w:rPr>
                <w:rFonts w:asciiTheme="majorBidi" w:eastAsia="Times New Roman" w:hAnsiTheme="majorBidi" w:cstheme="majorBidi"/>
                <w:sz w:val="20"/>
                <w:szCs w:val="20"/>
              </w:rPr>
              <w:t>s pros and cons. So this study aims to explore the effect of giving Vitamin D3 on changes in muscle mass in the elderly. The study will also examine changes in upper arm muscle strength and evaluate the effect of Vitamin D3 on changes in muscle mass. This research is a study with an Experimental Randomised Control Trial (RCT) research design. The population was elderly who were deficient in vitamin D, while the study sample amounted to 26 control subjects and 26 action subjects. Samples are taken by consecutive sampling technique. Based on research findings, most elderly people (60–69 years) suffer from vitamin D deficiency and deficiency, although vitamin D3 supplementation has no significant effect on changes in bone density and muscle mass. However the supplement weakens muscle mass and causes bruising and bleeding, but does not weaken arm muscle mass.</w:t>
            </w:r>
          </w:p>
          <w:p w14:paraId="6DA15B92" w14:textId="16333496" w:rsidR="00343592" w:rsidRPr="008550D5" w:rsidRDefault="00343592" w:rsidP="008550D5">
            <w:pPr>
              <w:spacing w:after="0" w:line="360" w:lineRule="auto"/>
              <w:ind w:right="-188" w:firstLine="25"/>
              <w:rPr>
                <w:rFonts w:asciiTheme="majorBidi" w:eastAsia="Times New Roman" w:hAnsiTheme="majorBidi" w:cstheme="majorBidi"/>
                <w:b/>
                <w:bCs/>
                <w:sz w:val="20"/>
                <w:szCs w:val="20"/>
                <w:lang w:val="ms"/>
              </w:rPr>
            </w:pPr>
            <w:r w:rsidRPr="008550D5">
              <w:rPr>
                <w:rFonts w:asciiTheme="majorBidi" w:eastAsia="Times New Roman" w:hAnsiTheme="majorBidi" w:cstheme="majorBidi"/>
                <w:b/>
                <w:sz w:val="20"/>
                <w:szCs w:val="20"/>
              </w:rPr>
              <w:t xml:space="preserve">Keywords:  </w:t>
            </w:r>
            <w:r w:rsidR="00240669" w:rsidRPr="00240669">
              <w:rPr>
                <w:rFonts w:asciiTheme="majorBidi" w:eastAsia="Times New Roman" w:hAnsiTheme="majorBidi" w:cstheme="majorBidi"/>
                <w:b/>
                <w:bCs/>
                <w:sz w:val="20"/>
                <w:szCs w:val="20"/>
              </w:rPr>
              <w:t>vitamin d3, massa otot, lansia, panti werdha .</w:t>
            </w:r>
          </w:p>
        </w:tc>
      </w:tr>
    </w:tbl>
    <w:p w14:paraId="3C3E1553" w14:textId="77777777" w:rsidR="00343592" w:rsidRPr="008550D5" w:rsidRDefault="00343592" w:rsidP="008550D5">
      <w:pPr>
        <w:spacing w:after="0" w:line="360" w:lineRule="auto"/>
        <w:ind w:right="-188" w:firstLine="720"/>
        <w:jc w:val="both"/>
        <w:rPr>
          <w:rFonts w:asciiTheme="majorBidi" w:eastAsia="Times New Roman" w:hAnsiTheme="majorBidi" w:cstheme="majorBidi"/>
          <w:sz w:val="24"/>
          <w:szCs w:val="24"/>
          <w:lang w:val="en-US"/>
        </w:rPr>
      </w:pPr>
    </w:p>
    <w:p w14:paraId="34C4DF14" w14:textId="77777777" w:rsidR="00343592" w:rsidRPr="008550D5" w:rsidRDefault="00343592" w:rsidP="004F5945">
      <w:pPr>
        <w:spacing w:after="0" w:line="360" w:lineRule="auto"/>
        <w:ind w:right="-188"/>
        <w:jc w:val="both"/>
        <w:rPr>
          <w:rFonts w:asciiTheme="majorBidi" w:eastAsia="Times New Roman" w:hAnsiTheme="majorBidi" w:cstheme="majorBidi"/>
          <w:b/>
          <w:sz w:val="24"/>
          <w:szCs w:val="24"/>
          <w:lang w:val="en-US"/>
        </w:rPr>
      </w:pPr>
      <w:r w:rsidRPr="008550D5">
        <w:rPr>
          <w:rFonts w:asciiTheme="majorBidi" w:eastAsia="Times New Roman" w:hAnsiTheme="majorBidi" w:cstheme="majorBidi"/>
          <w:b/>
          <w:sz w:val="24"/>
          <w:szCs w:val="24"/>
        </w:rPr>
        <w:t xml:space="preserve">INTRODUCTION </w:t>
      </w:r>
      <w:bookmarkStart w:id="0" w:name="_Hlk126665048"/>
    </w:p>
    <w:bookmarkEnd w:id="0"/>
    <w:p w14:paraId="03F22D84" w14:textId="6A65CEEB" w:rsidR="00240669" w:rsidRPr="00240669" w:rsidRDefault="00240669" w:rsidP="00240669">
      <w:pPr>
        <w:spacing w:after="0" w:line="360" w:lineRule="auto"/>
        <w:ind w:right="-188" w:firstLine="720"/>
        <w:jc w:val="both"/>
        <w:rPr>
          <w:rFonts w:asciiTheme="majorBidi" w:eastAsia="Times New Roman" w:hAnsiTheme="majorBidi" w:cstheme="majorBidi"/>
          <w:sz w:val="24"/>
          <w:szCs w:val="24"/>
          <w:lang w:val="id"/>
        </w:rPr>
      </w:pPr>
      <w:r w:rsidRPr="00240669">
        <w:rPr>
          <w:rFonts w:asciiTheme="majorBidi" w:eastAsia="Times New Roman" w:hAnsiTheme="majorBidi" w:cstheme="majorBidi"/>
          <w:sz w:val="24"/>
          <w:szCs w:val="24"/>
        </w:rPr>
        <w:t>Elderly according to Law Number 13 of 1998 is someone who has reached the age of 60 (sixty) years and over. In almost five decades, the percentage of Indonesian elderly has doubled (1971-2020), namely to 9.92 percent (26 million) where female elderly are about one percent more than male elderly (10.43 percent compared to 9.42 percent)</w:t>
      </w:r>
      <w:r w:rsidRPr="00240669">
        <w:rPr>
          <w:rFonts w:asciiTheme="majorBidi" w:eastAsia="Times New Roman" w:hAnsiTheme="majorBidi" w:cstheme="majorBidi"/>
          <w:sz w:val="24"/>
          <w:szCs w:val="24"/>
        </w:rPr>
        <w:fldChar w:fldCharType="begin" w:fldLock="1"/>
      </w:r>
      <w:r>
        <w:rPr>
          <w:rFonts w:asciiTheme="majorBidi" w:eastAsia="Times New Roman" w:hAnsiTheme="majorBidi" w:cstheme="majorBidi"/>
          <w:sz w:val="24"/>
          <w:szCs w:val="24"/>
        </w:rPr>
        <w:instrText>ADDIN CSL_CITATION {"citationItems":[{"id":"ITEM-1","itemData":{"author":[{"dropping-particle":"","family":"Badan Pusat Statistik","given":"","non-dropping-particle":"","parse-names":false,"suffix":""}],"id":"ITEM-1","issued":{"date-parts":[["2020"]]},"publisher-place":"Jakarta","title":"Statistik Penduduk Lanjut Usia","type":"report"},"uris":["http://www.mendeley.com/documents/?uuid=e4b11ccc-a208-4f94-ba5d-a70699712f94","http://www.mendeley.com/documents/?uuid=8d191dfd-7510-4f06-9e8d-0842cfcd04ae"]}],"mendeley":{"formattedCitation":"(Badan Pusat Statistik, 2020)","manualFormatting":" (Badan Pusat Statistik, 2020)","plainTextFormattedCitation":"(Badan Pusat Statistik, 2020)","previouslyFormattedCitation":"(Badan Pusat Statistik, 2020)"},"properties":{"noteIndex":0},"schema":"https://github.com/citation-style-language/schema/raw/master/csl-citation.json"}</w:instrText>
      </w:r>
      <w:r w:rsidRPr="00240669">
        <w:rPr>
          <w:rFonts w:asciiTheme="majorBidi" w:eastAsia="Times New Roman" w:hAnsiTheme="majorBidi" w:cstheme="majorBidi"/>
          <w:sz w:val="24"/>
          <w:szCs w:val="24"/>
        </w:rPr>
        <w:fldChar w:fldCharType="separate"/>
      </w:r>
      <w:r w:rsidRPr="00240669">
        <w:rPr>
          <w:rFonts w:asciiTheme="majorBidi" w:eastAsia="Times New Roman" w:hAnsiTheme="majorBidi" w:cstheme="majorBidi"/>
          <w:noProof/>
          <w:sz w:val="24"/>
          <w:szCs w:val="24"/>
        </w:rPr>
        <w:t xml:space="preserve"> (Statistical Center Body, 2020)</w:t>
      </w:r>
      <w:r w:rsidRPr="00240669">
        <w:rPr>
          <w:rFonts w:asciiTheme="majorBidi" w:eastAsia="Times New Roman" w:hAnsiTheme="majorBidi" w:cstheme="majorBidi"/>
          <w:sz w:val="24"/>
          <w:szCs w:val="24"/>
        </w:rPr>
        <w:fldChar w:fldCharType="end"/>
      </w:r>
      <w:r w:rsidRPr="00240669">
        <w:rPr>
          <w:rFonts w:asciiTheme="majorBidi" w:eastAsia="Times New Roman" w:hAnsiTheme="majorBidi" w:cstheme="majorBidi"/>
          <w:sz w:val="24"/>
          <w:szCs w:val="24"/>
        </w:rPr>
        <w:t>. Indonesia itself has the eighth</w:t>
      </w:r>
      <w:r w:rsidR="00E15A3F">
        <w:rPr>
          <w:rFonts w:asciiTheme="majorBidi" w:eastAsia="Times New Roman" w:hAnsiTheme="majorBidi" w:cstheme="majorBidi"/>
          <w:sz w:val="24"/>
          <w:szCs w:val="24"/>
        </w:rPr>
        <w:t>-</w:t>
      </w:r>
      <w:r w:rsidRPr="00240669">
        <w:rPr>
          <w:rFonts w:asciiTheme="majorBidi" w:eastAsia="Times New Roman" w:hAnsiTheme="majorBidi" w:cstheme="majorBidi"/>
          <w:sz w:val="24"/>
          <w:szCs w:val="24"/>
        </w:rPr>
        <w:t>largest elderly population in the world and fourth in Asia</w:t>
      </w:r>
      <w:r w:rsidRPr="00240669">
        <w:rPr>
          <w:rFonts w:asciiTheme="majorBidi" w:eastAsia="Times New Roman" w:hAnsiTheme="majorBidi" w:cstheme="majorBidi"/>
          <w:sz w:val="24"/>
          <w:szCs w:val="24"/>
        </w:rPr>
        <w:fldChar w:fldCharType="begin" w:fldLock="1"/>
      </w:r>
      <w:r>
        <w:rPr>
          <w:rFonts w:asciiTheme="majorBidi" w:eastAsia="Times New Roman" w:hAnsiTheme="majorBidi" w:cstheme="majorBidi"/>
          <w:sz w:val="24"/>
          <w:szCs w:val="24"/>
        </w:rPr>
        <w:instrText>ADDIN CSL_CITATION {"citationItems":[{"id":"ITEM-1","itemData":{"DOI":"10.1186/s12877-019-1198-8","abstract":"Background: Information about frailty status and its transition is important to inform clinical decisions. Predicting frailty transition is beneficial for its prevention. While Indonesia is the 4th largest geriatric population in Asia, data about frailty transition is limited. This study aimed to obtain data on prevalence of frailty, its risk factors, frailty state transition and its prognostic factors, as well as to develop prognostic score for frailty state transition. Methods: Multicenter study on subjects aged ≥60 years old was done to obtain the prevalence of frailty status and to identify risk factors of frailty. Prospective cohort over 12 months was done to obtain data on frailty state transition. Multiple logistic regression analysis was performed to identify its prognostic factors from several clinical data, which then were utilized to develop prognostic score for frailty state worsening. Results: Cross-sectional data from 448 subjects showed that 25.2% of the subjects were frail based on Frailty index-40 items. Risk factors of frailty were age (OR 2.72; 95% CI 1.58-4.76), functional status (OR 2.89; 95% CI 1.79-4.67), and nutritional status (OR 3.75; 95% CI 2.29-6.13). Data from the 162 subjects who completed the cohort showed 27.2% of the cohort had frailty state worsening. Prognostic factors for frailty state worsening were being 70 years or older (OR 3.9; 95% CI 1.2-12.3, p &lt; 0.05), negative QoL, i.e., fair and poor QoL (OR 2.5; 95% CI 1.1-5.9, p &lt; 0.05), and slow gait speed (OR 2.8; 95% CI 1.3-6.4, p &lt; 0.05). The internal validation of the prognostic score consisted of those three variables showed good performance. Conclusion: The prevalence of frailty in this study among Indonesian elderly in outpatient setting was 25.2%. The risk factors of frailty were age, functional status and nutritional status. The prognostic factors for frailty state worsening were being 70 years old or older, negative QoL (fair or poor quality of life), and slow gait speed. A prognostic score to predict frailty state worsening in 12 months had been developed.","author":[{"dropping-particle":"","family":"Setiati","given":"Siti","non-dropping-particle":"","parse-names":false,"suffix":""},{"dropping-particle":"","family":"Laksmi","given":"Purwita Wijaya","non-dropping-particle":"","parse-names":false,"suffix":""},{"dropping-particle":"","family":"Aryana","given":"I G.P.Suka","non-dropping-particle":"","parse-names":false,"suffix":""},{"dropping-particle":"","family":"Sunarti","given":"Sri","non-dropping-particle":"","parse-names":false,"suffix":""},{"dropping-particle":"","family":"Widajanti","given":"Novira","non-dropping-particle":"","parse-names":false,"suffix":""},{"dropping-particle":"","family":"Dwipa","given":"Lazuardhi","non-dropping-particle":"","parse-names":false,"suffix":""},{"dropping-particle":"","family":"Seto","given":"Euphemia","non-dropping-particle":"","parse-names":false,"suffix":""},{"dropping-particle":"","family":"Istanti","given":"Rahmi","non-dropping-particle":"","parse-names":false,"suffix":""},{"dropping-particle":"","family":"Ardian","given":"Laurentius Johan","non-dropping-particle":"","parse-names":false,"suffix":""},{"dropping-particle":"","family":"Chotimah","given":"Sabrina Chusnul","non-dropping-particle":"","parse-names":false,"suffix":""}],"container-title":"BMC Geriatrics","id":"ITEM-1","issue":"1","issued":{"date-parts":[["2019"]]},"page":"1-10","publisher":"BMC Geriatrics","title":"Frailty state among Indonesian elderly: prevalence, associated factors, and frailty state transition","type":"article-journal","volume":"19"},"uris":["http://www.mendeley.com/documents/?uuid=50fa5d94-fdbb-4cf5-9177-28cf54b2b5fc","http://www.mendeley.com/documents/?uuid=5a1293ff-78fe-4f10-b51e-ab9958176728"]}],"mendeley":{"formattedCitation":"(Setiati et al., 2019)","manualFormatting":" (Setiati et al., 2019)","plainTextFormattedCitation":"(Setiati et al., 2019)","previouslyFormattedCitation":"(Setiati et al., 2019)"},"properties":{"noteIndex":0},"schema":"https://github.com/citation-style-language/schema/raw/master/csl-citation.json"}</w:instrText>
      </w:r>
      <w:r w:rsidRPr="00240669">
        <w:rPr>
          <w:rFonts w:asciiTheme="majorBidi" w:eastAsia="Times New Roman" w:hAnsiTheme="majorBidi" w:cstheme="majorBidi"/>
          <w:sz w:val="24"/>
          <w:szCs w:val="24"/>
        </w:rPr>
        <w:fldChar w:fldCharType="separate"/>
      </w:r>
      <w:r w:rsidRPr="00240669">
        <w:rPr>
          <w:rFonts w:asciiTheme="majorBidi" w:eastAsia="Times New Roman" w:hAnsiTheme="majorBidi" w:cstheme="majorBidi"/>
          <w:noProof/>
          <w:sz w:val="24"/>
          <w:szCs w:val="24"/>
        </w:rPr>
        <w:t xml:space="preserve"> (Setiati et al., 2019)</w:t>
      </w:r>
      <w:r w:rsidRPr="00240669">
        <w:rPr>
          <w:rFonts w:asciiTheme="majorBidi" w:eastAsia="Times New Roman" w:hAnsiTheme="majorBidi" w:cstheme="majorBidi"/>
          <w:sz w:val="24"/>
          <w:szCs w:val="24"/>
        </w:rPr>
        <w:fldChar w:fldCharType="end"/>
      </w:r>
      <w:r w:rsidRPr="00240669">
        <w:rPr>
          <w:rFonts w:asciiTheme="majorBidi" w:eastAsia="Times New Roman" w:hAnsiTheme="majorBidi" w:cstheme="majorBidi"/>
          <w:sz w:val="24"/>
          <w:szCs w:val="24"/>
        </w:rPr>
        <w:t xml:space="preserve">. In Indonesia alone, 1 in 4 elderly people have experienced illness in the past month, </w:t>
      </w:r>
      <w:r w:rsidRPr="00240669">
        <w:rPr>
          <w:rFonts w:asciiTheme="majorBidi" w:eastAsia="Times New Roman" w:hAnsiTheme="majorBidi" w:cstheme="majorBidi"/>
          <w:sz w:val="24"/>
          <w:szCs w:val="24"/>
        </w:rPr>
        <w:lastRenderedPageBreak/>
        <w:t>and in 2020 half of the elderly experienced health complaints both physical and psychological</w:t>
      </w:r>
      <w:r w:rsidRPr="00240669">
        <w:rPr>
          <w:rFonts w:asciiTheme="majorBidi" w:eastAsia="Times New Roman" w:hAnsiTheme="majorBidi" w:cstheme="majorBidi"/>
          <w:sz w:val="24"/>
          <w:szCs w:val="24"/>
        </w:rPr>
        <w:fldChar w:fldCharType="begin" w:fldLock="1"/>
      </w:r>
      <w:r>
        <w:rPr>
          <w:rFonts w:asciiTheme="majorBidi" w:eastAsia="Times New Roman" w:hAnsiTheme="majorBidi" w:cstheme="majorBidi"/>
          <w:sz w:val="24"/>
          <w:szCs w:val="24"/>
        </w:rPr>
        <w:instrText>ADDIN CSL_CITATION {"citationItems":[{"id":"ITEM-1","itemData":{"author":[{"dropping-particle":"","family":"Badan Pusat Statistik","given":"","non-dropping-particle":"","parse-names":false,"suffix":""}],"id":"ITEM-1","issued":{"date-parts":[["2020"]]},"publisher-place":"Jakarta","title":"Statistik Penduduk Lanjut Usia","type":"report"},"uris":["http://www.mendeley.com/documents/?uuid=8d191dfd-7510-4f06-9e8d-0842cfcd04ae","http://www.mendeley.com/documents/?uuid=e4b11ccc-a208-4f94-ba5d-a70699712f94"]}],"mendeley":{"formattedCitation":"(Badan Pusat Statistik, 2020)","manualFormatting":" (Badan Pusat Statistik, 2020)","plainTextFormattedCitation":"(Badan Pusat Statistik, 2020)","previouslyFormattedCitation":"(Badan Pusat Statistik, 2020)"},"properties":{"noteIndex":0},"schema":"https://github.com/citation-style-language/schema/raw/master/csl-citation.json"}</w:instrText>
      </w:r>
      <w:r w:rsidRPr="00240669">
        <w:rPr>
          <w:rFonts w:asciiTheme="majorBidi" w:eastAsia="Times New Roman" w:hAnsiTheme="majorBidi" w:cstheme="majorBidi"/>
          <w:sz w:val="24"/>
          <w:szCs w:val="24"/>
        </w:rPr>
        <w:fldChar w:fldCharType="separate"/>
      </w:r>
      <w:r w:rsidRPr="00240669">
        <w:rPr>
          <w:rFonts w:asciiTheme="majorBidi" w:eastAsia="Times New Roman" w:hAnsiTheme="majorBidi" w:cstheme="majorBidi"/>
          <w:noProof/>
          <w:sz w:val="24"/>
          <w:szCs w:val="24"/>
        </w:rPr>
        <w:t xml:space="preserve"> (Statistical Center Body, 2020)</w:t>
      </w:r>
      <w:r w:rsidRPr="00240669">
        <w:rPr>
          <w:rFonts w:asciiTheme="majorBidi" w:eastAsia="Times New Roman" w:hAnsiTheme="majorBidi" w:cstheme="majorBidi"/>
          <w:sz w:val="24"/>
          <w:szCs w:val="24"/>
        </w:rPr>
        <w:fldChar w:fldCharType="end"/>
      </w:r>
      <w:r w:rsidRPr="00240669">
        <w:rPr>
          <w:rFonts w:asciiTheme="majorBidi" w:eastAsia="Times New Roman" w:hAnsiTheme="majorBidi" w:cstheme="majorBidi"/>
          <w:sz w:val="24"/>
          <w:szCs w:val="24"/>
        </w:rPr>
        <w:t>, therefore health problems faced by the elderly should also be given special attention because aging itself is a complex phenomenon that has a detrimental effect on tissue homeostasis. Skeletal muscle is one of the earliest tissues affected and undergoes age-related changes such as functional impairment and loss of muscle mass</w:t>
      </w:r>
      <w:r w:rsidRPr="00240669">
        <w:rPr>
          <w:rFonts w:asciiTheme="majorBidi" w:eastAsia="Times New Roman" w:hAnsiTheme="majorBidi" w:cstheme="majorBidi"/>
          <w:sz w:val="24"/>
          <w:szCs w:val="24"/>
        </w:rPr>
        <w:fldChar w:fldCharType="begin" w:fldLock="1"/>
      </w:r>
      <w:r>
        <w:rPr>
          <w:rFonts w:asciiTheme="majorBidi" w:eastAsia="Times New Roman" w:hAnsiTheme="majorBidi" w:cstheme="majorBidi"/>
          <w:sz w:val="24"/>
          <w:szCs w:val="24"/>
        </w:rPr>
        <w:instrText>ADDIN CSL_CITATION {"citationItems":[{"id":"ITEM-1","itemData":{"DOI":"10.1016/j.freeradbiomed.2018.08.037","ISSN":"08915849","author":[{"dropping-particle":"","family":"Fernando","given":"Raquel","non-dropping-particle":"","parse-names":false,"suffix":""},{"dropping-particle":"","family":"Drescher","given":"Cathleen","non-dropping-particle":"","parse-names":false,"suffix":""},{"dropping-particle":"","family":"Nowotny","given":"Kerstin","non-dropping-particle":"","parse-names":false,"suffix":""},{"dropping-particle":"","family":"Grune","given":"Tilman","non-dropping-particle":"","parse-names":false,"suffix":""},{"dropping-particle":"","family":"Castro","given":"José Pedro","non-dropping-particle":"","parse-names":false,"suffix":""}],"container-title":"Free Radical Biology and Medicine","id":"ITEM-1","issued":{"date-parts":[["2019","2"]]},"page":"58-66","title":"Impaired proteostasis during skeletal muscle aging","type":"article-journal","volume":"132"},"uris":["http://www.mendeley.com/documents/?uuid=9e05d450-ef62-4a48-8195-3e4e81f442ce","http://www.mendeley.com/documents/?uuid=b1802e36-b3d0-4eb0-9a5f-42cbf11f2d12"]}],"mendeley":{"formattedCitation":"(Fernando et al., 2019)","manualFormatting":" (Fernando, Drescher, Nowotny, Grune, &amp; Castro, 2019)","plainTextFormattedCitation":"(Fernando et al., 2019)","previouslyFormattedCitation":"(Fernando, Drescher, Nowotny, Grune, &amp; Castro, 2019)"},"properties":{"noteIndex":0},"schema":"https://github.com/citation-style-language/schema/raw/master/csl-citation.json"}</w:instrText>
      </w:r>
      <w:r w:rsidRPr="00240669">
        <w:rPr>
          <w:rFonts w:asciiTheme="majorBidi" w:eastAsia="Times New Roman" w:hAnsiTheme="majorBidi" w:cstheme="majorBidi"/>
          <w:sz w:val="24"/>
          <w:szCs w:val="24"/>
        </w:rPr>
        <w:fldChar w:fldCharType="separate"/>
      </w:r>
      <w:r w:rsidRPr="00240669">
        <w:rPr>
          <w:rFonts w:asciiTheme="majorBidi" w:eastAsia="Times New Roman" w:hAnsiTheme="majorBidi" w:cstheme="majorBidi"/>
          <w:noProof/>
          <w:sz w:val="24"/>
          <w:szCs w:val="24"/>
        </w:rPr>
        <w:t xml:space="preserve"> (Fernando, Drescher, Nowotny, Grune, &amp; Castro, 2019)</w:t>
      </w:r>
      <w:r w:rsidRPr="00240669">
        <w:rPr>
          <w:rFonts w:asciiTheme="majorBidi" w:eastAsia="Times New Roman" w:hAnsiTheme="majorBidi" w:cstheme="majorBidi"/>
          <w:sz w:val="24"/>
          <w:szCs w:val="24"/>
        </w:rPr>
        <w:fldChar w:fldCharType="end"/>
      </w:r>
      <w:r w:rsidRPr="00240669">
        <w:rPr>
          <w:rFonts w:asciiTheme="majorBidi" w:eastAsia="Times New Roman" w:hAnsiTheme="majorBidi" w:cstheme="majorBidi"/>
          <w:sz w:val="24"/>
          <w:szCs w:val="24"/>
        </w:rPr>
        <w:t>.</w:t>
      </w:r>
    </w:p>
    <w:p w14:paraId="7CC8D89F" w14:textId="50BD37DC" w:rsidR="00240669" w:rsidRPr="00240669" w:rsidRDefault="00240669" w:rsidP="00240669">
      <w:pPr>
        <w:spacing w:after="0" w:line="360" w:lineRule="auto"/>
        <w:ind w:right="-188" w:firstLine="720"/>
        <w:jc w:val="both"/>
        <w:rPr>
          <w:rFonts w:asciiTheme="majorBidi" w:eastAsia="Times New Roman" w:hAnsiTheme="majorBidi" w:cstheme="majorBidi"/>
          <w:sz w:val="24"/>
          <w:szCs w:val="24"/>
          <w:lang w:val="id"/>
        </w:rPr>
      </w:pPr>
      <w:r w:rsidRPr="00240669">
        <w:rPr>
          <w:rFonts w:asciiTheme="majorBidi" w:eastAsia="Times New Roman" w:hAnsiTheme="majorBidi" w:cstheme="majorBidi"/>
          <w:sz w:val="24"/>
          <w:szCs w:val="24"/>
        </w:rPr>
        <w:t>The decline in muscle mass and strength begins at the age of 30 years by 40% within 30 years, then will decrease by 40% every 10 years after the age of 60 years. As a result, muscle mass becomes a quarter of the total body mass in people in their late 70s</w:t>
      </w:r>
      <w:r w:rsidRPr="00240669">
        <w:rPr>
          <w:rFonts w:asciiTheme="majorBidi" w:eastAsia="Times New Roman" w:hAnsiTheme="majorBidi" w:cstheme="majorBidi"/>
          <w:sz w:val="24"/>
          <w:szCs w:val="24"/>
        </w:rPr>
        <w:fldChar w:fldCharType="begin" w:fldLock="1"/>
      </w:r>
      <w:r>
        <w:rPr>
          <w:rFonts w:asciiTheme="majorBidi" w:eastAsia="Times New Roman" w:hAnsiTheme="majorBidi" w:cstheme="majorBidi"/>
          <w:sz w:val="24"/>
          <w:szCs w:val="24"/>
        </w:rPr>
        <w:instrText>ADDIN CSL_CITATION {"citationItems":[{"id":"ITEM-1","itemData":{"ISSN":"0125-9326","PMID":"32291366","abstract":"BACKGROUND sarcopenia and frailty cause immobility, disability, neuromuscular disorders, and homeostatic balance failure syndrome, characterized by gait and balance abnormalities in the elderly, and an increasing prevalence worldwide. This further contributes to the elevated incidence of falls and fractures, hospitalization, immobilization, and even mortality, hence, a national-level study was conducted on the prevalence rates of sarcopenia and frailty in the elderly. METHODS this descriptive study used primary data of elderly people (n = 308) in Surabaya, Indonesia. Furthermore, the biopsychosocial data, weight loss, fatigue, and physical activity measurements were obtained through interviews, while handgrip strength, muscle mass, and physical performance (walking speed) were evaluated using instruments. RESULTS the median age of the subjects was 63 years (60-100 years), and 230 (74.7%) were women. In addition the prevalence rate of sarcopenia was 41.8% (in 86 [27.9%] women), while the prevalence rate of frailty was 36.7% (in 16 [5.2%] men and 97 [31.5%] women). CONCLUSION the prevalence of sarcopenia and frailty in the elderly is significantly high, thus, it is expected that this study results are used as a basis for subsequent research, especially to determine the sarcopenia cut-off, in accordance with Indonesian sociodemography.","author":[{"dropping-particle":"","family":"Widajanti","given":"Novira","non-dropping-particle":"","parse-names":false,"suffix":""},{"dropping-particle":"","family":"Ichwani","given":"Jusri","non-dropping-particle":"","parse-names":false,"suffix":""},{"dropping-particle":"","family":"Dharmanta","given":"Rwahita Satyawati","non-dropping-particle":"","parse-names":false,"suffix":""},{"dropping-particle":"","family":"Firdausi","given":"Hadiq","non-dropping-particle":"","parse-names":false,"suffix":""},{"dropping-particle":"","family":"Haryono","given":"Yudha","non-dropping-particle":"","parse-names":false,"suffix":""},{"dropping-particle":"","family":"Yulianti","given":"Erikavitri","non-dropping-particle":"","parse-names":false,"suffix":""},{"dropping-particle":"","family":"Kandinata","given":"Stefanus Gunawan","non-dropping-particle":"","parse-names":false,"suffix":""},{"dropping-particle":"","family":"Wulandari","given":"Meilia","non-dropping-particle":"","parse-names":false,"suffix":""},{"dropping-particle":"","family":"Widyasari","given":"Rastita","non-dropping-particle":"","parse-names":false,"suffix":""},{"dropping-particle":"","family":"Adyanita","given":"Viranti Ayu","non-dropping-particle":"","parse-names":false,"suffix":""},{"dropping-particle":"","family":"Hapsanti","given":"Nuri Indah","non-dropping-particle":"","parse-names":false,"suffix":""},{"dropping-particle":"","family":"Wardana","given":"Diar Meitha","non-dropping-particle":"","parse-names":false,"suffix":""},{"dropping-particle":"","family":"Kristiana","given":"Titin","non-dropping-particle":"","parse-names":false,"suffix":""},{"dropping-particle":"","family":"Driyarkara","given":"Driyarkara","non-dropping-particle":"","parse-names":false,"suffix":""},{"dropping-particle":"","family":"Wahyuda","given":"Hemma","non-dropping-particle":"","parse-names":false,"suffix":""},{"dropping-particle":"","family":"Yunara","given":"Sarah","non-dropping-particle":"","parse-names":false,"suffix":""},{"dropping-particle":"","family":"Husna","given":"Kholidatul","non-dropping-particle":"","parse-names":false,"suffix":""}],"container-title":"Acta medica Indonesiana","id":"ITEM-1","issue":"1","issued":{"date-parts":[["2020","1"]]},"page":"5-13","title":"Sarcopenia and Frailty Profile in the Elderly Community of Surabaya: A Descriptive Study.","type":"article-journal","volume":"52"},"uris":["http://www.mendeley.com/documents/?uuid=05eecb23-4811-4780-9490-8dbedd4e41e3","http://www.mendeley.com/documents/?uuid=1978c3fe-0406-44ca-801a-2a97154eab30"]}],"mendeley":{"formattedCitation":"(Widajanti et al., 2020)","manualFormatting":" (Widajanti et al., 2020)","plainTextFormattedCitation":"(Widajanti et al., 2020)","previouslyFormattedCitation":"(Widajanti et al., 2020)"},"properties":{"noteIndex":0},"schema":"https://github.com/citation-style-language/schema/raw/master/csl-citation.json"}</w:instrText>
      </w:r>
      <w:r w:rsidRPr="00240669">
        <w:rPr>
          <w:rFonts w:asciiTheme="majorBidi" w:eastAsia="Times New Roman" w:hAnsiTheme="majorBidi" w:cstheme="majorBidi"/>
          <w:sz w:val="24"/>
          <w:szCs w:val="24"/>
        </w:rPr>
        <w:fldChar w:fldCharType="separate"/>
      </w:r>
      <w:r w:rsidRPr="00240669">
        <w:rPr>
          <w:rFonts w:asciiTheme="majorBidi" w:eastAsia="Times New Roman" w:hAnsiTheme="majorBidi" w:cstheme="majorBidi"/>
          <w:noProof/>
          <w:sz w:val="24"/>
          <w:szCs w:val="24"/>
        </w:rPr>
        <w:t xml:space="preserve"> (Widajanti et al., 2020)</w:t>
      </w:r>
      <w:r w:rsidRPr="00240669">
        <w:rPr>
          <w:rFonts w:asciiTheme="majorBidi" w:eastAsia="Times New Roman" w:hAnsiTheme="majorBidi" w:cstheme="majorBidi"/>
          <w:sz w:val="24"/>
          <w:szCs w:val="24"/>
        </w:rPr>
        <w:fldChar w:fldCharType="end"/>
      </w:r>
      <w:r w:rsidRPr="00240669">
        <w:rPr>
          <w:rFonts w:asciiTheme="majorBidi" w:eastAsia="Times New Roman" w:hAnsiTheme="majorBidi" w:cstheme="majorBidi"/>
          <w:sz w:val="24"/>
          <w:szCs w:val="24"/>
        </w:rPr>
        <w:t>. The process of decreasing muscle mass and ability in the elderly is due to chronic conditions, excessive adipokine tissue, decreased activity and ability to move, telomere erosion</w:t>
      </w:r>
      <w:r w:rsidR="00E15A3F">
        <w:rPr>
          <w:rFonts w:asciiTheme="majorBidi" w:eastAsia="Times New Roman" w:hAnsiTheme="majorBidi" w:cstheme="majorBidi"/>
          <w:sz w:val="24"/>
          <w:szCs w:val="24"/>
        </w:rPr>
        <w:t>/</w:t>
      </w:r>
      <w:r w:rsidRPr="00240669">
        <w:rPr>
          <w:rFonts w:asciiTheme="majorBidi" w:eastAsia="Times New Roman" w:hAnsiTheme="majorBidi" w:cstheme="majorBidi"/>
          <w:sz w:val="24"/>
          <w:szCs w:val="24"/>
        </w:rPr>
        <w:t>disorders, neuron degeneration, insufficient intake, anorexia, and malabsorption, hormonal factors, inflammatory processes, and mitochondrial dysfunction</w:t>
      </w:r>
      <w:r w:rsidRPr="00240669">
        <w:rPr>
          <w:rFonts w:asciiTheme="majorBidi" w:eastAsia="Times New Roman" w:hAnsiTheme="majorBidi" w:cstheme="majorBidi"/>
          <w:sz w:val="24"/>
          <w:szCs w:val="24"/>
        </w:rPr>
        <w:fldChar w:fldCharType="begin" w:fldLock="1"/>
      </w:r>
      <w:r>
        <w:rPr>
          <w:rFonts w:asciiTheme="majorBidi" w:eastAsia="Times New Roman" w:hAnsiTheme="majorBidi" w:cstheme="majorBidi"/>
          <w:sz w:val="24"/>
          <w:szCs w:val="24"/>
        </w:rPr>
        <w:instrText>ADDIN CSL_CITATION {"citationItems":[{"id":"ITEM-1","itemData":{"ISSN":"0125-9326","PMID":"32291366","abstract":"BACKGROUND sarcopenia and frailty cause immobility, disability, neuromuscular disorders, and homeostatic balance failure syndrome, characterized by gait and balance abnormalities in the elderly, and an increasing prevalence worldwide. This further contributes to the elevated incidence of falls and fractures, hospitalization, immobilization, and even mortality, hence, a national-level study was conducted on the prevalence rates of sarcopenia and frailty in the elderly. METHODS this descriptive study used primary data of elderly people (n = 308) in Surabaya, Indonesia. Furthermore, the biopsychosocial data, weight loss, fatigue, and physical activity measurements were obtained through interviews, while handgrip strength, muscle mass, and physical performance (walking speed) were evaluated using instruments. RESULTS the median age of the subjects was 63 years (60-100 years), and 230 (74.7%) were women. In addition the prevalence rate of sarcopenia was 41.8% (in 86 [27.9%] women), while the prevalence rate of frailty was 36.7% (in 16 [5.2%] men and 97 [31.5%] women). CONCLUSION the prevalence of sarcopenia and frailty in the elderly is significantly high, thus, it is expected that this study results are used as a basis for subsequent research, especially to determine the sarcopenia cut-off, in accordance with Indonesian sociodemography.","author":[{"dropping-particle":"","family":"Widajanti","given":"Novira","non-dropping-particle":"","parse-names":false,"suffix":""},{"dropping-particle":"","family":"Ichwani","given":"Jusri","non-dropping-particle":"","parse-names":false,"suffix":""},{"dropping-particle":"","family":"Dharmanta","given":"Rwahita Satyawati","non-dropping-particle":"","parse-names":false,"suffix":""},{"dropping-particle":"","family":"Firdausi","given":"Hadiq","non-dropping-particle":"","parse-names":false,"suffix":""},{"dropping-particle":"","family":"Haryono","given":"Yudha","non-dropping-particle":"","parse-names":false,"suffix":""},{"dropping-particle":"","family":"Yulianti","given":"Erikavitri","non-dropping-particle":"","parse-names":false,"suffix":""},{"dropping-particle":"","family":"Kandinata","given":"Stefanus Gunawan","non-dropping-particle":"","parse-names":false,"suffix":""},{"dropping-particle":"","family":"Wulandari","given":"Meilia","non-dropping-particle":"","parse-names":false,"suffix":""},{"dropping-particle":"","family":"Widyasari","given":"Rastita","non-dropping-particle":"","parse-names":false,"suffix":""},{"dropping-particle":"","family":"Adyanita","given":"Viranti Ayu","non-dropping-particle":"","parse-names":false,"suffix":""},{"dropping-particle":"","family":"Hapsanti","given":"Nuri Indah","non-dropping-particle":"","parse-names":false,"suffix":""},{"dropping-particle":"","family":"Wardana","given":"Diar Meitha","non-dropping-particle":"","parse-names":false,"suffix":""},{"dropping-particle":"","family":"Kristiana","given":"Titin","non-dropping-particle":"","parse-names":false,"suffix":""},{"dropping-particle":"","family":"Driyarkara","given":"Driyarkara","non-dropping-particle":"","parse-names":false,"suffix":""},{"dropping-particle":"","family":"Wahyuda","given":"Hemma","non-dropping-particle":"","parse-names":false,"suffix":""},{"dropping-particle":"","family":"Yunara","given":"Sarah","non-dropping-particle":"","parse-names":false,"suffix":""},{"dropping-particle":"","family":"Husna","given":"Kholidatul","non-dropping-particle":"","parse-names":false,"suffix":""}],"container-title":"Acta medica Indonesiana","id":"ITEM-1","issue":"1","issued":{"date-parts":[["2020","1"]]},"page":"5-13","title":"Sarcopenia and Frailty Profile in the Elderly Community of Surabaya: A Descriptive Study.","type":"article-journal","volume":"52"},"uris":["http://www.mendeley.com/documents/?uuid=1978c3fe-0406-44ca-801a-2a97154eab30","http://www.mendeley.com/documents/?uuid=05eecb23-4811-4780-9490-8dbedd4e41e3"]}],"mendeley":{"formattedCitation":"(Widajanti et al., 2020)","manualFormatting":" (Widajanti et al., 2020)","plainTextFormattedCitation":"(Widajanti et al., 2020)","previouslyFormattedCitation":"(Widajanti et al., 2020)"},"properties":{"noteIndex":0},"schema":"https://github.com/citation-style-language/schema/raw/master/csl-citation.json"}</w:instrText>
      </w:r>
      <w:r w:rsidRPr="00240669">
        <w:rPr>
          <w:rFonts w:asciiTheme="majorBidi" w:eastAsia="Times New Roman" w:hAnsiTheme="majorBidi" w:cstheme="majorBidi"/>
          <w:sz w:val="24"/>
          <w:szCs w:val="24"/>
        </w:rPr>
        <w:fldChar w:fldCharType="separate"/>
      </w:r>
      <w:r w:rsidRPr="00240669">
        <w:rPr>
          <w:rFonts w:asciiTheme="majorBidi" w:eastAsia="Times New Roman" w:hAnsiTheme="majorBidi" w:cstheme="majorBidi"/>
          <w:noProof/>
          <w:sz w:val="24"/>
          <w:szCs w:val="24"/>
        </w:rPr>
        <w:t xml:space="preserve"> (Widajanti et al., 2020)</w:t>
      </w:r>
      <w:r w:rsidRPr="00240669">
        <w:rPr>
          <w:rFonts w:asciiTheme="majorBidi" w:eastAsia="Times New Roman" w:hAnsiTheme="majorBidi" w:cstheme="majorBidi"/>
          <w:sz w:val="24"/>
          <w:szCs w:val="24"/>
        </w:rPr>
        <w:fldChar w:fldCharType="end"/>
      </w:r>
      <w:r w:rsidRPr="00240669">
        <w:rPr>
          <w:rFonts w:asciiTheme="majorBidi" w:eastAsia="Times New Roman" w:hAnsiTheme="majorBidi" w:cstheme="majorBidi"/>
          <w:sz w:val="24"/>
          <w:szCs w:val="24"/>
        </w:rPr>
        <w:t>. Loss of muscle mass and strength in the elderly, caus</w:t>
      </w:r>
      <w:r w:rsidR="00E15A3F">
        <w:rPr>
          <w:rFonts w:asciiTheme="majorBidi" w:eastAsia="Times New Roman" w:hAnsiTheme="majorBidi" w:cstheme="majorBidi"/>
          <w:sz w:val="24"/>
          <w:szCs w:val="24"/>
        </w:rPr>
        <w:t>es</w:t>
      </w:r>
      <w:r w:rsidRPr="00240669">
        <w:rPr>
          <w:rFonts w:asciiTheme="majorBidi" w:eastAsia="Times New Roman" w:hAnsiTheme="majorBidi" w:cstheme="majorBidi"/>
          <w:sz w:val="24"/>
          <w:szCs w:val="24"/>
        </w:rPr>
        <w:t xml:space="preserve"> weakness and decreased muscle function, which can lead to a decrease in the ability to perform activities of daily living, and an increased risk of falls. The prevalence of muscle weakness in the elderly was 36.7% (men 5.2%, women 31.5%) </w:t>
      </w:r>
      <w:r w:rsidRPr="00240669">
        <w:rPr>
          <w:rFonts w:asciiTheme="majorBidi" w:eastAsia="Times New Roman" w:hAnsiTheme="majorBidi" w:cstheme="majorBidi"/>
          <w:sz w:val="24"/>
          <w:szCs w:val="24"/>
        </w:rPr>
        <w:fldChar w:fldCharType="begin" w:fldLock="1"/>
      </w:r>
      <w:r>
        <w:rPr>
          <w:rFonts w:asciiTheme="majorBidi" w:eastAsia="Times New Roman" w:hAnsiTheme="majorBidi" w:cstheme="majorBidi"/>
          <w:sz w:val="24"/>
          <w:szCs w:val="24"/>
        </w:rPr>
        <w:instrText>ADDIN CSL_CITATION {"citationItems":[{"id":"ITEM-1","itemData":{"DOI":"10.3390/ijms21020592","ISSN":"1422-0067","abstract":"Aging is an inevitable and gradually progressive process affecting all organs and systems. The musculoskeletal system makes no exception, elderly exhibit an increased risk of sarcopenia (low muscle mass),dynapenia (declining muscle strength), and subsequent disability. Whereas in recent years the subject of skeletal muscle metabolic decline in the elderly has been gathering interest amongst researchers, as well as medical professionals, there are many challenges yet to be solved in order to counteract the effects of aging on muscle function efficiently. Noteworthy, it has been shown that aging individuals exhibit a decline in skeletal muscle metabolism, a phenomenon which may be linked to a number of predisposing (risk) factors such as telomere attrition, epigenetic changes, mitochondrial dysfunction, sedentary behavior (leading to body composition alterations), age-related low-grade systemic inflammation (inflammaging), hormonal imbalance, as well as a hypoproteic diet (unable to counterbalance the repercussions of the age-related increase in skeletal muscle catabolism). The present review aims to discuss the relationship between old age and muscle wasting in an effort to highlight the modifications in skeletal muscle metabolism associated with aging and physical activity.","author":[{"dropping-particle":"","family":"Rezuş","given":"Elena","non-dropping-particle":"","parse-names":false,"suffix":""},{"dropping-particle":"","family":"Burlui","given":"Alexandra","non-dropping-particle":"","parse-names":false,"suffix":""},{"dropping-particle":"","family":"Cardoneanu","given":"Anca","non-dropping-particle":"","parse-names":false,"suffix":""},{"dropping-particle":"","family":"Rezuş","given":"Ciprian","non-dropping-particle":"","parse-names":false,"suffix":""},{"dropping-particle":"","family":"Codreanu","given":"Cătălin","non-dropping-particle":"","parse-names":false,"suffix":""},{"dropping-particle":"","family":"Pârvu","given":"Mirela","non-dropping-particle":"","parse-names":false,"suffix":""},{"dropping-particle":"","family":"Rusu Zota","given":"Gabriela","non-dropping-particle":"","parse-names":false,"suffix":""},{"dropping-particle":"","family":"Tamba","given":"Bogdan Ionel","non-dropping-particle":"","parse-names":false,"suffix":""}],"container-title":"International Journal of Molecular Sciences","id":"ITEM-1","issue":"2","issued":{"date-parts":[["2020","1"]]},"page":"592","title":"Inactivity and Skeletal Muscle Metabolism: A Vicious Cycle in Old Age","type":"article-journal","volume":"21"},"uris":["http://www.mendeley.com/documents/?uuid=6830c560-15b2-482f-a36f-8a5e90cec36d","http://www.mendeley.com/documents/?uuid=09e24043-a9ee-406b-bb73-8336719259d1"]}],"mendeley":{"formattedCitation":"(Rezuş et al., 2020)","manualFormatting":" (Rezuş et al., 2020)","plainTextFormattedCitation":"(Rezuş et al., 2020)","previouslyFormattedCitation":"(Rezuş et al., 2020)"},"properties":{"noteIndex":0},"schema":"https://github.com/citation-style-language/schema/raw/master/csl-citation.json"}</w:instrText>
      </w:r>
      <w:r w:rsidRPr="00240669">
        <w:rPr>
          <w:rFonts w:asciiTheme="majorBidi" w:eastAsia="Times New Roman" w:hAnsiTheme="majorBidi" w:cstheme="majorBidi"/>
          <w:sz w:val="24"/>
          <w:szCs w:val="24"/>
        </w:rPr>
        <w:fldChar w:fldCharType="separate"/>
      </w:r>
      <w:r w:rsidRPr="00240669">
        <w:rPr>
          <w:rFonts w:asciiTheme="majorBidi" w:eastAsia="Times New Roman" w:hAnsiTheme="majorBidi" w:cstheme="majorBidi"/>
          <w:noProof/>
          <w:sz w:val="24"/>
          <w:szCs w:val="24"/>
        </w:rPr>
        <w:t xml:space="preserve"> (Rezuş et al., 2020)</w:t>
      </w:r>
      <w:r w:rsidRPr="00240669">
        <w:rPr>
          <w:rFonts w:asciiTheme="majorBidi" w:eastAsia="Times New Roman" w:hAnsiTheme="majorBidi" w:cstheme="majorBidi"/>
          <w:sz w:val="24"/>
          <w:szCs w:val="24"/>
        </w:rPr>
        <w:fldChar w:fldCharType="end"/>
      </w:r>
      <w:r w:rsidRPr="00240669">
        <w:rPr>
          <w:rFonts w:asciiTheme="majorBidi" w:eastAsia="Times New Roman" w:hAnsiTheme="majorBidi" w:cstheme="majorBidi"/>
          <w:sz w:val="24"/>
          <w:szCs w:val="24"/>
        </w:rPr>
        <w:t>.</w:t>
      </w:r>
    </w:p>
    <w:p w14:paraId="402B4A64" w14:textId="2F68BCD9" w:rsidR="00240669" w:rsidRPr="00240669" w:rsidRDefault="00240669" w:rsidP="00240669">
      <w:pPr>
        <w:spacing w:after="0" w:line="360" w:lineRule="auto"/>
        <w:ind w:right="-188" w:firstLine="720"/>
        <w:jc w:val="both"/>
        <w:rPr>
          <w:rFonts w:asciiTheme="majorBidi" w:eastAsia="Times New Roman" w:hAnsiTheme="majorBidi" w:cstheme="majorBidi"/>
          <w:sz w:val="24"/>
          <w:szCs w:val="24"/>
          <w:lang w:val="id"/>
        </w:rPr>
      </w:pPr>
      <w:r w:rsidRPr="00240669">
        <w:rPr>
          <w:rFonts w:asciiTheme="majorBidi" w:eastAsia="Times New Roman" w:hAnsiTheme="majorBidi" w:cstheme="majorBidi"/>
          <w:sz w:val="24"/>
          <w:szCs w:val="24"/>
        </w:rPr>
        <w:t>In addition, the elderly are prone to malnutrition due to physiological changes related to aging (tend to choose foods that are easily digested due to the ability to chew and digest food that decreases) and limitations in accessing healthy nutritious foods due to less diverse food sources, and the elderly tend to adjust their food menu with motor and cognitive abilities so that it becomes a menu that is always the same. This malnutrition condition will be accompanied by micronutrient deficiencies in both undernourished and overnourished elderly. Low micronutrient intakes have been reported in both developing and developed countries. 4 out of 5 elderly have low intake of vitamin D, calcium, vitamin E</w:t>
      </w:r>
      <w:r w:rsidR="00E15A3F">
        <w:rPr>
          <w:rFonts w:asciiTheme="majorBidi" w:eastAsia="Times New Roman" w:hAnsiTheme="majorBidi" w:cstheme="majorBidi"/>
          <w:sz w:val="24"/>
          <w:szCs w:val="24"/>
        </w:rPr>
        <w:t>,</w:t>
      </w:r>
      <w:r w:rsidRPr="00240669">
        <w:rPr>
          <w:rFonts w:asciiTheme="majorBidi" w:eastAsia="Times New Roman" w:hAnsiTheme="majorBidi" w:cstheme="majorBidi"/>
          <w:sz w:val="24"/>
          <w:szCs w:val="24"/>
        </w:rPr>
        <w:t xml:space="preserve"> and folate while intake of macronutrient foods ranges from 85% - 110% of RDA </w:t>
      </w:r>
      <w:r w:rsidRPr="00240669">
        <w:rPr>
          <w:rFonts w:asciiTheme="majorBidi" w:eastAsia="Times New Roman" w:hAnsiTheme="majorBidi" w:cstheme="majorBidi"/>
          <w:sz w:val="24"/>
          <w:szCs w:val="24"/>
        </w:rPr>
        <w:fldChar w:fldCharType="begin" w:fldLock="1"/>
      </w:r>
      <w:r>
        <w:rPr>
          <w:rFonts w:asciiTheme="majorBidi" w:eastAsia="Times New Roman" w:hAnsiTheme="majorBidi" w:cstheme="majorBidi"/>
          <w:sz w:val="24"/>
          <w:szCs w:val="24"/>
        </w:rPr>
        <w:instrText>ADDIN CSL_CITATION {"citationItems":[{"id":"ITEM-1","itemData":{"DOI":"10.20885/JKKI.Vol11.Iss2.art4","ISSN":"20854145","author":[{"dropping-particle":"","family":"Irawati","given":"Deasy","non-dropping-particle":"","parse-names":false,"suffix":""},{"dropping-particle":"","family":"Ekawanti","given":"Ardiana","non-dropping-particle":"","parse-names":false,"suffix":""},{"dropping-particle":"","family":"Josafat","given":"Anom","non-dropping-particle":"","parse-names":false,"suffix":""}],"container-title":"Jurnal Kedokteran dan Kesehatan Indonesia","id":"ITEM-1","issue":"2","issued":{"date-parts":[["2020","8"]]},"page":"121-129","title":"Nutritional profile in Indonesian elderly subpopulation","type":"article-journal","volume":"11"},"uris":["http://www.mendeley.com/documents/?uuid=30a5bd04-054f-479f-aec3-ac1e44eca300","http://www.mendeley.com/documents/?uuid=1c4ee8bf-7dcf-469c-bf68-9160769c93c1"]}],"mendeley":{"formattedCitation":"(Irawati et al., 2020)","manualFormatting":" (Irawati, Ekawanti, &amp; Josafat, 2020)","plainTextFormattedCitation":"(Irawati et al., 2020)","previouslyFormattedCitation":"(Irawati, Ekawanti, &amp; Josafat, 2020)"},"properties":{"noteIndex":0},"schema":"https://github.com/citation-style-language/schema/raw/master/csl-citation.json"}</w:instrText>
      </w:r>
      <w:r w:rsidRPr="00240669">
        <w:rPr>
          <w:rFonts w:asciiTheme="majorBidi" w:eastAsia="Times New Roman" w:hAnsiTheme="majorBidi" w:cstheme="majorBidi"/>
          <w:sz w:val="24"/>
          <w:szCs w:val="24"/>
        </w:rPr>
        <w:fldChar w:fldCharType="separate"/>
      </w:r>
      <w:r w:rsidRPr="00240669">
        <w:rPr>
          <w:rFonts w:asciiTheme="majorBidi" w:eastAsia="Times New Roman" w:hAnsiTheme="majorBidi" w:cstheme="majorBidi"/>
          <w:noProof/>
          <w:sz w:val="24"/>
          <w:szCs w:val="24"/>
        </w:rPr>
        <w:t>(Aaron, Ekawanti, and Josafat, 2020)</w:t>
      </w:r>
      <w:r w:rsidRPr="00240669">
        <w:rPr>
          <w:rFonts w:asciiTheme="majorBidi" w:eastAsia="Times New Roman" w:hAnsiTheme="majorBidi" w:cstheme="majorBidi"/>
          <w:sz w:val="24"/>
          <w:szCs w:val="24"/>
        </w:rPr>
        <w:fldChar w:fldCharType="end"/>
      </w:r>
      <w:r w:rsidRPr="00240669">
        <w:rPr>
          <w:rFonts w:asciiTheme="majorBidi" w:eastAsia="Times New Roman" w:hAnsiTheme="majorBidi" w:cstheme="majorBidi"/>
          <w:sz w:val="24"/>
          <w:szCs w:val="24"/>
        </w:rPr>
        <w:t xml:space="preserve">. In Indonesia, there is a study that states that 96% of the elderly in South Lampung nursing homes experience vitamin D deficiency </w:t>
      </w:r>
      <w:r w:rsidRPr="00240669">
        <w:rPr>
          <w:rFonts w:asciiTheme="majorBidi" w:eastAsia="Times New Roman" w:hAnsiTheme="majorBidi" w:cstheme="majorBidi"/>
          <w:sz w:val="24"/>
          <w:szCs w:val="24"/>
        </w:rPr>
        <w:fldChar w:fldCharType="begin" w:fldLock="1"/>
      </w:r>
      <w:r>
        <w:rPr>
          <w:rFonts w:asciiTheme="majorBidi" w:eastAsia="Times New Roman" w:hAnsiTheme="majorBidi" w:cstheme="majorBidi"/>
          <w:sz w:val="24"/>
          <w:szCs w:val="24"/>
        </w:rPr>
        <w:instrText>ADDIN CSL_CITATION {"citationItems":[{"id":"ITEM-1","itemData":{"author":[{"dropping-particle":"","family":"Hermawan","given":"Dessy","non-dropping-particle":"","parse-names":false,"suffix":""},{"dropping-particle":"","family":"Andoko","given":"","non-dropping-particle":"","parse-names":false,"suffix":""}],"container-title":"Jurnal Citra Keperawatan","id":"ITEM-1","issue":"2","issued":{"date-parts":[["2018"]]},"title":"Analisis Kadar Vitamin D Dalam Darah pada Lanjut Usia di Lampung dan Faktor yang Mempengaruhinya","type":"article-journal","volume":"6"},"uris":["http://www.mendeley.com/documents/?uuid=1b1883b7-56e4-4581-b54c-35bf71e5533b","http://www.mendeley.com/documents/?uuid=54e934a1-9344-4f9a-8b0e-8c64562fb50a"]}],"mendeley":{"formattedCitation":"(Hermawan &amp; Andoko, 2018)","manualFormatting":" (Hermawan &amp; Andoko, 2018)","plainTextFormattedCitation":"(Hermawan &amp; Andoko, 2018)","previouslyFormattedCitation":"(Hermawan &amp; Andoko, 2018)"},"properties":{"noteIndex":0},"schema":"https://github.com/citation-style-language/schema/raw/master/csl-citation.json"}</w:instrText>
      </w:r>
      <w:r w:rsidRPr="00240669">
        <w:rPr>
          <w:rFonts w:asciiTheme="majorBidi" w:eastAsia="Times New Roman" w:hAnsiTheme="majorBidi" w:cstheme="majorBidi"/>
          <w:sz w:val="24"/>
          <w:szCs w:val="24"/>
        </w:rPr>
        <w:fldChar w:fldCharType="separate"/>
      </w:r>
      <w:r w:rsidRPr="00240669">
        <w:rPr>
          <w:rFonts w:asciiTheme="majorBidi" w:eastAsia="Times New Roman" w:hAnsiTheme="majorBidi" w:cstheme="majorBidi"/>
          <w:noProof/>
          <w:sz w:val="24"/>
          <w:szCs w:val="24"/>
        </w:rPr>
        <w:t xml:space="preserve"> (Hermawan &amp;; Andoko, 2018)</w:t>
      </w:r>
      <w:r w:rsidRPr="00240669">
        <w:rPr>
          <w:rFonts w:asciiTheme="majorBidi" w:eastAsia="Times New Roman" w:hAnsiTheme="majorBidi" w:cstheme="majorBidi"/>
          <w:sz w:val="24"/>
          <w:szCs w:val="24"/>
        </w:rPr>
        <w:fldChar w:fldCharType="end"/>
      </w:r>
      <w:r w:rsidRPr="00240669">
        <w:rPr>
          <w:rFonts w:asciiTheme="majorBidi" w:eastAsia="Times New Roman" w:hAnsiTheme="majorBidi" w:cstheme="majorBidi"/>
          <w:sz w:val="24"/>
          <w:szCs w:val="24"/>
        </w:rPr>
        <w:t xml:space="preserve">. Vitamin D deficiency that occurs in the elderly is often associated with a decrease in muscle mass and ability because vitamin D deficiency </w:t>
      </w:r>
      <w:r w:rsidR="00E15A3F">
        <w:rPr>
          <w:rFonts w:asciiTheme="majorBidi" w:eastAsia="Times New Roman" w:hAnsiTheme="majorBidi" w:cstheme="majorBidi"/>
          <w:sz w:val="24"/>
          <w:szCs w:val="24"/>
        </w:rPr>
        <w:t>affects</w:t>
      </w:r>
      <w:r w:rsidRPr="00240669">
        <w:rPr>
          <w:rFonts w:asciiTheme="majorBidi" w:eastAsia="Times New Roman" w:hAnsiTheme="majorBidi" w:cstheme="majorBidi"/>
          <w:sz w:val="24"/>
          <w:szCs w:val="24"/>
        </w:rPr>
        <w:t xml:space="preserve"> Vitamin D Receptors (VDR) located mainly in fast-twitch muscle fibers, where the muscle will respond first in quick action so that adequate vitamin D can improve muscle strength and coordination, and allow fall prevention </w:t>
      </w:r>
      <w:r w:rsidRPr="00240669">
        <w:rPr>
          <w:rFonts w:asciiTheme="majorBidi" w:eastAsia="Times New Roman" w:hAnsiTheme="majorBidi" w:cstheme="majorBidi"/>
          <w:sz w:val="24"/>
          <w:szCs w:val="24"/>
        </w:rPr>
        <w:fldChar w:fldCharType="begin" w:fldLock="1"/>
      </w:r>
      <w:r>
        <w:rPr>
          <w:rFonts w:asciiTheme="majorBidi" w:eastAsia="Times New Roman" w:hAnsiTheme="majorBidi" w:cstheme="majorBidi"/>
          <w:sz w:val="24"/>
          <w:szCs w:val="24"/>
        </w:rPr>
        <w:instrText>ADDIN CSL_CITATION {"citationItems":[{"id":"ITEM-1","itemData":{"DOI":"10.3904/kjim.2017.182","ISSN":"1226-3303","author":[{"dropping-particle":"","family":"Sun","given":"Der Sheng","non-dropping-particle":"","parse-names":false,"suffix":""},{"dropping-particle":"","family":"Lee","given":"Hyunyong","non-dropping-particle":"","parse-names":false,"suffix":""},{"dropping-particle":"","family":"Yim","given":"Hyeon Woo","non-dropping-particle":"","parse-names":false,"suffix":""},{"dropping-particle":"","family":"Won","given":"Hye Sung","non-dropping-particle":"","parse-names":false,"suffix":""},{"dropping-particle":"","family":"Ko","given":"Yoon Ho","non-dropping-particle":"","parse-names":false,"suffix":""}],"container-title":"The Korean Journal of Internal Medicine","id":"ITEM-1","issue":"4","issued":{"date-parts":[["2019","7"]]},"page":"877-884","title":"The impact of sarcopenia on health-related quality of life in elderly people: Korean National Health and Nutrition Examination Survey","type":"article-journal","volume":"34"},"uris":["http://www.mendeley.com/documents/?uuid=b57f912a-5371-4576-8263-0e2b1093e3c5","http://www.mendeley.com/documents/?uuid=c4c86213-8af5-4603-95c4-18d06229e62a"]},{"id":"ITEM-2","itemData":{"DOI":"10.3389/fendo.2019.00861","ISSN":"1664-2392","author":[{"dropping-particle":"","family":"Ponti","given":"Federico","non-dropping-particle":"","parse-names":false,"suffix":""},{"dropping-particle":"","family":"Santoro","given":"Aurelia","non-dropping-particle":"","parse-names":false,"suffix":""},{"dropping-particle":"","family":"Mercatelli","given":"Daniele","non-dropping-particle":"","parse-names":false,"suffix":""},{"dropping-particle":"","family":"Gasperini","given":"Chiara","non-dropping-particle":"","parse-names":false,"suffix":""},{"dropping-particle":"","family":"Conte","given":"Maria","non-dropping-particle":"","parse-names":false,"suffix":""},{"dropping-particle":"","family":"Martucci","given":"Morena","non-dropping-particle":"","parse-names":false,"suffix":""},{"dropping-particle":"","family":"Sangiorgi","given":"Luca","non-dropping-particle":"","parse-names":false,"suffix":""},{"dropping-particle":"","family":"Franceschi","given":"Claudio","non-dropping-particle":"","parse-names":false,"suffix":""},{"dropping-particle":"","family":"Bazzocchi","given":"Alberto","non-dropping-particle":"","parse-names":false,"suffix":""}],"container-title":"Frontiers in Endocrinology","id":"ITEM-2","issued":{"date-parts":[["2020","1"]]},"title":"Aging and Imaging Assessment of Body Composition: From Fat to Facts","type":"article-journal","volume":"10"},"uris":["http://www.mendeley.com/documents/?uuid=ddb063bb-0acc-4766-9419-951cb2b4df67","http://www.mendeley.com/documents/?uuid=1e0e74a5-6da4-4e20-9d7f-cc8cad0d30a7"]}],"mendeley":{"formattedCitation":"(Ponti et al., 2020; Sun et al., 2019)","manualFormatting":" (Ponti et al., 2020; Sun, Lee, Yim, Won, &amp; Ko, 2019)","plainTextFormattedCitation":"(Ponti et al., 2020; Sun et al., 2019)","previouslyFormattedCitation":"(Ponti et al., 2020; Sun, Lee, Yim, Won, &amp; Ko, 2019)"},"properties":{"noteIndex":0},"schema":"https://github.com/citation-style-language/schema/raw/master/csl-citation.json"}</w:instrText>
      </w:r>
      <w:r w:rsidRPr="00240669">
        <w:rPr>
          <w:rFonts w:asciiTheme="majorBidi" w:eastAsia="Times New Roman" w:hAnsiTheme="majorBidi" w:cstheme="majorBidi"/>
          <w:sz w:val="24"/>
          <w:szCs w:val="24"/>
        </w:rPr>
        <w:fldChar w:fldCharType="separate"/>
      </w:r>
      <w:r w:rsidRPr="00240669">
        <w:rPr>
          <w:rFonts w:asciiTheme="majorBidi" w:eastAsia="Times New Roman" w:hAnsiTheme="majorBidi" w:cstheme="majorBidi"/>
          <w:noProof/>
          <w:sz w:val="24"/>
          <w:szCs w:val="24"/>
        </w:rPr>
        <w:t>(Ponti et al., 2020; Sun, Lee, Yim, Won, &amp; Co., 2019)</w:t>
      </w:r>
      <w:r w:rsidRPr="00240669">
        <w:rPr>
          <w:rFonts w:asciiTheme="majorBidi" w:eastAsia="Times New Roman" w:hAnsiTheme="majorBidi" w:cstheme="majorBidi"/>
          <w:sz w:val="24"/>
          <w:szCs w:val="24"/>
        </w:rPr>
        <w:fldChar w:fldCharType="end"/>
      </w:r>
      <w:r w:rsidRPr="00240669">
        <w:rPr>
          <w:rFonts w:asciiTheme="majorBidi" w:eastAsia="Times New Roman" w:hAnsiTheme="majorBidi" w:cstheme="majorBidi"/>
          <w:sz w:val="24"/>
          <w:szCs w:val="24"/>
        </w:rPr>
        <w:t xml:space="preserve">. Similarly, research conducted in Bandung and Sumedang showed that vitamin D deficiency was significantly </w:t>
      </w:r>
      <w:r w:rsidRPr="00240669">
        <w:rPr>
          <w:rFonts w:asciiTheme="majorBidi" w:eastAsia="Times New Roman" w:hAnsiTheme="majorBidi" w:cstheme="majorBidi"/>
          <w:sz w:val="24"/>
          <w:szCs w:val="24"/>
        </w:rPr>
        <w:lastRenderedPageBreak/>
        <w:t>associated with muscle mass, muscle strength</w:t>
      </w:r>
      <w:r w:rsidR="00E15A3F">
        <w:rPr>
          <w:rFonts w:asciiTheme="majorBidi" w:eastAsia="Times New Roman" w:hAnsiTheme="majorBidi" w:cstheme="majorBidi"/>
          <w:sz w:val="24"/>
          <w:szCs w:val="24"/>
        </w:rPr>
        <w:t>,</w:t>
      </w:r>
      <w:r w:rsidRPr="00240669">
        <w:rPr>
          <w:rFonts w:asciiTheme="majorBidi" w:eastAsia="Times New Roman" w:hAnsiTheme="majorBidi" w:cstheme="majorBidi"/>
          <w:sz w:val="24"/>
          <w:szCs w:val="24"/>
        </w:rPr>
        <w:t xml:space="preserve"> and fat mass in the elderly</w:t>
      </w:r>
      <w:r w:rsidRPr="00240669">
        <w:rPr>
          <w:rFonts w:asciiTheme="majorBidi" w:eastAsia="Times New Roman" w:hAnsiTheme="majorBidi" w:cstheme="majorBidi"/>
          <w:sz w:val="24"/>
          <w:szCs w:val="24"/>
        </w:rPr>
        <w:fldChar w:fldCharType="begin" w:fldLock="1"/>
      </w:r>
      <w:r>
        <w:rPr>
          <w:rFonts w:asciiTheme="majorBidi" w:eastAsia="Times New Roman" w:hAnsiTheme="majorBidi" w:cstheme="majorBidi"/>
          <w:sz w:val="24"/>
          <w:szCs w:val="24"/>
        </w:rPr>
        <w:instrText>ADDIN CSL_CITATION {"citationItems":[{"id":"ITEM-1","itemData":{"DOI":"10.3923/aje.2017.63.69","ISSN":"19921462","author":[{"dropping-particle":"","family":"Biben","given":"Vitriana","non-dropping-particle":"","parse-names":false,"suffix":""},{"dropping-particle":"","family":"Defi","given":"Irma Ruslina","non-dropping-particle":"","parse-names":false,"suffix":""},{"dropping-particle":"","family":"Nugraha","given":"Gaga Irawan","non-dropping-particle":"","parse-names":false,"suffix":""},{"dropping-particle":"","family":"Setiabudia","given":"Budi","non-dropping-particle":"","parse-names":false,"suffix":""}],"container-title":"Asian Journal of Epidemiology","id":"ITEM-1","issue":"2","issued":{"date-parts":[["2017","4"]]},"page":"63-69","title":"Vitamin D Status and its Impact on Body Composition in Elderly Community-dwelling Individuals in Bandung and Sumedang, West Java Province, Indonesia","type":"article-journal","volume":"10"},"uris":["http://www.mendeley.com/documents/?uuid=7e368812-8add-4a93-a8c1-8d715125eb24","http://www.mendeley.com/documents/?uuid=06311f9b-2352-4922-94f2-c1193e3b6f7f"]}],"mendeley":{"formattedCitation":"(Biben et al., 2017)","manualFormatting":" (Biben, Defi, Nugraha, &amp; Setiabudia, 2017)","plainTextFormattedCitation":"(Biben et al., 2017)","previouslyFormattedCitation":"(Biben, Defi, Nugraha, &amp; Setiabudia, 2017)"},"properties":{"noteIndex":0},"schema":"https://github.com/citation-style-language/schema/raw/master/csl-citation.json"}</w:instrText>
      </w:r>
      <w:r w:rsidRPr="00240669">
        <w:rPr>
          <w:rFonts w:asciiTheme="majorBidi" w:eastAsia="Times New Roman" w:hAnsiTheme="majorBidi" w:cstheme="majorBidi"/>
          <w:sz w:val="24"/>
          <w:szCs w:val="24"/>
        </w:rPr>
        <w:fldChar w:fldCharType="separate"/>
      </w:r>
      <w:r w:rsidRPr="00240669">
        <w:rPr>
          <w:rFonts w:asciiTheme="majorBidi" w:eastAsia="Times New Roman" w:hAnsiTheme="majorBidi" w:cstheme="majorBidi"/>
          <w:noProof/>
          <w:sz w:val="24"/>
          <w:szCs w:val="24"/>
        </w:rPr>
        <w:t xml:space="preserve"> (Biben, Defi, Nugraha, &amp; Setiabudia, 2017)</w:t>
      </w:r>
      <w:r w:rsidRPr="00240669">
        <w:rPr>
          <w:rFonts w:asciiTheme="majorBidi" w:eastAsia="Times New Roman" w:hAnsiTheme="majorBidi" w:cstheme="majorBidi"/>
          <w:sz w:val="24"/>
          <w:szCs w:val="24"/>
        </w:rPr>
        <w:fldChar w:fldCharType="end"/>
      </w:r>
      <w:r w:rsidRPr="00240669">
        <w:rPr>
          <w:rFonts w:asciiTheme="majorBidi" w:eastAsia="Times New Roman" w:hAnsiTheme="majorBidi" w:cstheme="majorBidi"/>
          <w:sz w:val="24"/>
          <w:szCs w:val="24"/>
        </w:rPr>
        <w:t>.</w:t>
      </w:r>
    </w:p>
    <w:p w14:paraId="57D1B744" w14:textId="0B29BBFF" w:rsidR="00240669" w:rsidRPr="00240669" w:rsidRDefault="00240669" w:rsidP="00240669">
      <w:pPr>
        <w:spacing w:after="0" w:line="360" w:lineRule="auto"/>
        <w:ind w:right="-188" w:firstLine="720"/>
        <w:jc w:val="both"/>
        <w:rPr>
          <w:rFonts w:asciiTheme="majorBidi" w:eastAsia="Times New Roman" w:hAnsiTheme="majorBidi" w:cstheme="majorBidi"/>
          <w:sz w:val="24"/>
          <w:szCs w:val="24"/>
          <w:lang w:val="id"/>
        </w:rPr>
      </w:pPr>
      <w:r w:rsidRPr="00240669">
        <w:rPr>
          <w:rFonts w:asciiTheme="majorBidi" w:eastAsia="Times New Roman" w:hAnsiTheme="majorBidi" w:cstheme="majorBidi"/>
          <w:sz w:val="24"/>
          <w:szCs w:val="24"/>
        </w:rPr>
        <w:t>Giving vitamin D3 to increase muscle mass and ability and reduce fat mass in the elderly also met pros and cons, some studies said that Vitamin D3 supplementation had no effect on body composition, with the administration of 2000 IU of Vitamin D3 and observation (sub-cohort) for two years, but in the study was not followed by observations about diet,  sun exposure and activity of each subject, besides that the subjects in the study had various variants both age, race, sex, and history of the subject's disease, besides that in the study body composition measurements were carried out at the beginning of the study and after two years the subjects took vitamin D3 supplements without looking at the subject's vitamin D3 status</w:t>
      </w:r>
      <w:r w:rsidRPr="00240669">
        <w:rPr>
          <w:rFonts w:asciiTheme="majorBidi" w:eastAsia="Times New Roman" w:hAnsiTheme="majorBidi" w:cstheme="majorBidi"/>
          <w:sz w:val="24"/>
          <w:szCs w:val="24"/>
        </w:rPr>
        <w:fldChar w:fldCharType="begin" w:fldLock="1"/>
      </w:r>
      <w:r>
        <w:rPr>
          <w:rFonts w:asciiTheme="majorBidi" w:eastAsia="Times New Roman" w:hAnsiTheme="majorBidi" w:cstheme="majorBidi"/>
          <w:sz w:val="24"/>
          <w:szCs w:val="24"/>
        </w:rPr>
        <w:instrText>ADDIN CSL_CITATION {"citationItems":[{"id":"ITEM-1","itemData":{"DOI":"10.20473/amnt.v4i1.2020.43-48","ISSN":"2580-9776","abstract":"Background: Most elderly age groups in Indonesia experience vitamin D deficiency. Increasing age and decreasing food intake of vitamin D will trigger an increase in metabolic diseases. One of the most common effects of metabolic diseases is obesity. Unhealthy diet can reduce consumption of foods that contain sources of vitamin D. The suitability of diet in preventing vitamin D deficiency is influenced by the level of knowledge about the type of food, benefits and needs about vitamin D. Objectives: To analyze the relationship of vitamin D diet in older people with obesity to the level of knowledge of vitamin D.Methods: This was analytic observational study with case control design. Data collection technique was using purposive sampling. The sample in this research were geriatric with obesity and non-obesity. Subjects in each group were 88 elderly people according to inclusion and exclusion criteria. Instruments in this research were Food Frequency Questionnaire (FFQ) and questionnaire knowledge of vitamin D amounted to 11 questions that have been done validity (r&gt; 0.361) and reliability (Cronbach's Alpha&gt; 0.6). Chi Square test was used to compare age factor with food intake and vitamin D knowledge. Results: There was significant relationship between the level of knowledge and the pattern of vitamin D intake in old age (r = 0.293; p = 0.000). However there was no difference between intake patterns and level of knowledge on vitamin D in elderly obese and non-obese (p&gt; 0.05).Conclusion: increased in vitamin D knowledge can improve food intake patterns in geriatric.ABSTRAKLatar Belakang: Kelompok usia lanjut di indonesia sebagian besar mengalami defisiensi vitamin D. Pertambahan usia dan penurunan asupan makanan vitamin D akan memicu peningkatan penyakit metabolik. Salah satu dampak penyakit metabolik yang paling sering terjadi adalah obesitas. Pola makan yang tidak sesuai dapat menurunkan konsumsi makanan yang mengandung sumber vitamin D. Kesesuaian pola makan dalam mencegah defisiensi vitamin D salah satunya dipengaruhi oleh tingkat pengetahuan mengenai jenis makanan, manfaat dan kebutuhan tubuh akan vitamin D.Tujuan: Melihat hubungan pola makan dan pengetahuan vitamin D pada usia lanjut dengan obesitas.Metode: Penelitian ini adalah observational dengan desain case control. Teknik pengumpulan data menggunakan purposive sampling. Sampel pada penelitian ini adalah masyarakat pada usia lanjut dengan obesitas dan non-obesitas. Subjek penelitian pada tiap kelom…","author":[{"dropping-particle":"","family":"Suryadinata","given":"Rivan Virlando","non-dropping-particle":"","parse-names":false,"suffix":""},{"dropping-particle":"","family":"Lorensia","given":"Amelia","non-dropping-particle":"","parse-names":false,"suffix":""}],"container-title":"Amerta Nutrition","id":"ITEM-1","issue":"1","issued":{"date-parts":[["2020","3"]]},"page":"43","title":"Frekuensi Asupan Makanan, Pengetahuan Vitamin D dan Obesitas Pada Kelompok Usia Lanjut","type":"article-journal","volume":"4"},"uris":["http://www.mendeley.com/documents/?uuid=f4c657b3-0bca-4ae4-a70e-a291a50c61c2","http://www.mendeley.com/documents/?uuid=1cbb0d02-9550-4ec2-9a11-fe662794a0ad"]}],"mendeley":{"formattedCitation":"(Suryadinata &amp; Lorensia, 2020)","manualFormatting":" (Suryadinata &amp; Lorensia, 2020)","plainTextFormattedCitation":"(Suryadinata &amp; Lorensia, 2020)","previouslyFormattedCitation":"(Suryadinata &amp; Lorensia, 2020)"},"properties":{"noteIndex":0},"schema":"https://github.com/citation-style-language/schema/raw/master/csl-citation.json"}</w:instrText>
      </w:r>
      <w:r w:rsidRPr="00240669">
        <w:rPr>
          <w:rFonts w:asciiTheme="majorBidi" w:eastAsia="Times New Roman" w:hAnsiTheme="majorBidi" w:cstheme="majorBidi"/>
          <w:sz w:val="24"/>
          <w:szCs w:val="24"/>
        </w:rPr>
        <w:fldChar w:fldCharType="separate"/>
      </w:r>
      <w:r w:rsidRPr="00240669">
        <w:rPr>
          <w:rFonts w:asciiTheme="majorBidi" w:eastAsia="Times New Roman" w:hAnsiTheme="majorBidi" w:cstheme="majorBidi"/>
          <w:noProof/>
          <w:sz w:val="24"/>
          <w:szCs w:val="24"/>
        </w:rPr>
        <w:t xml:space="preserve"> (Suryadinata &amp; Lorensia, 2020)</w:t>
      </w:r>
      <w:r w:rsidRPr="00240669">
        <w:rPr>
          <w:rFonts w:asciiTheme="majorBidi" w:eastAsia="Times New Roman" w:hAnsiTheme="majorBidi" w:cstheme="majorBidi"/>
          <w:sz w:val="24"/>
          <w:szCs w:val="24"/>
        </w:rPr>
        <w:fldChar w:fldCharType="end"/>
      </w:r>
      <w:r w:rsidRPr="00240669">
        <w:rPr>
          <w:rFonts w:asciiTheme="majorBidi" w:eastAsia="Times New Roman" w:hAnsiTheme="majorBidi" w:cstheme="majorBidi"/>
          <w:sz w:val="24"/>
          <w:szCs w:val="24"/>
        </w:rPr>
        <w:t xml:space="preserve">. </w:t>
      </w:r>
      <w:r w:rsidR="00E15A3F">
        <w:rPr>
          <w:rFonts w:asciiTheme="majorBidi" w:eastAsia="Times New Roman" w:hAnsiTheme="majorBidi" w:cstheme="majorBidi"/>
          <w:sz w:val="24"/>
          <w:szCs w:val="24"/>
        </w:rPr>
        <w:t>A</w:t>
      </w:r>
      <w:r w:rsidRPr="00240669">
        <w:rPr>
          <w:rFonts w:asciiTheme="majorBidi" w:eastAsia="Times New Roman" w:hAnsiTheme="majorBidi" w:cstheme="majorBidi"/>
          <w:sz w:val="24"/>
          <w:szCs w:val="24"/>
        </w:rPr>
        <w:t>nother study showed that giving 4000 ui per day to 60,000ui per week for 4 weeks to 6 months in adult and elderly subjects can increase muscle fiber size, intranuclear VDR concentration and increase upper and lower body muscle strength in elderly subjects and no symptoms of toxicity</w:t>
      </w:r>
      <w:r w:rsidRPr="00240669">
        <w:rPr>
          <w:rFonts w:asciiTheme="majorBidi" w:eastAsia="Times New Roman" w:hAnsiTheme="majorBidi" w:cstheme="majorBidi"/>
          <w:sz w:val="24"/>
          <w:szCs w:val="24"/>
        </w:rPr>
        <w:fldChar w:fldCharType="begin" w:fldLock="1"/>
      </w:r>
      <w:r>
        <w:rPr>
          <w:rFonts w:asciiTheme="majorBidi" w:eastAsia="Times New Roman" w:hAnsiTheme="majorBidi" w:cstheme="majorBidi"/>
          <w:sz w:val="24"/>
          <w:szCs w:val="24"/>
        </w:rPr>
        <w:instrText>ADDIN CSL_CITATION {"citationItems":[{"id":"ITEM-1","itemData":{"DOI":"10.1210/jc.2013-2820","ISSN":"0021-972X","author":[{"dropping-particle":"","family":"Ceglia","given":"Lisa","non-dropping-particle":"","parse-names":false,"suffix":""},{"dropping-particle":"","family":"Niramitmahapanya","given":"Sathit","non-dropping-particle":"","parse-names":false,"suffix":""},{"dropping-particle":"","family":"Silva Morais","given":"Mauricio","non-dropping-particle":"da","parse-names":false,"suffix":""},{"dropping-particle":"","family":"Rivas","given":"Donato A.","non-dropping-particle":"","parse-names":false,"suffix":""},{"dropping-particle":"","family":"Harris","given":"Susan S.","non-dropping-particle":"","parse-names":false,"suffix":""},{"dropping-particle":"","family":"Bischoff-Ferrari","given":"Heike","non-dropping-particle":"","parse-names":false,"suffix":""},{"dropping-particle":"","family":"Fielding","given":"Roger A.","non-dropping-particle":"","parse-names":false,"suffix":""},{"dropping-particle":"","family":"Dawson-Hughes","given":"Bess","non-dropping-particle":"","parse-names":false,"suffix":""}],"container-title":"The Journal of Clinical Endocrinology &amp; Metabolism","id":"ITEM-1","issue":"12","issued":{"date-parts":[["2013","12"]]},"page":"E1927-E1935","title":"A Randomized Study on the Effect of Vitamin D 3 Supplementation on Skeletal Muscle Morphology and Vitamin D Receptor Concentration in Older Women","type":"article-journal","volume":"98"},"uris":["http://www.mendeley.com/documents/?uuid=a173c8d6-3aec-428b-9fd3-2fea7b30c0c6","http://www.mendeley.com/documents/?uuid=ab33f47f-7164-495b-8484-6e0cc5d7ec3c"]},{"id":"ITEM-2","itemData":{"DOI":"10.1016/j.jsams.2014.07.022","ISSN":"14402440","author":[{"dropping-particle":"","family":"Tomlinson","given":"Peter B.","non-dropping-particle":"","parse-names":false,"suffix":""},{"dropping-particle":"","family":"Joseph","given":"Corey","non-dropping-particle":"","parse-names":false,"suffix":""},{"dropping-particle":"","family":"Angioi","given":"Manuela","non-dropping-particle":"","parse-names":false,"suffix":""}],"container-title":"Journal of Science and Medicine in Sport","id":"ITEM-2","issue":"5","issued":{"date-parts":[["2015","9"]]},"page":"575-580","title":"Effects of vitamin D supplementation on upper and lower body muscle strength levels in healthy individuals. A systematic review with meta-analysis","type":"article-journal","volume":"18"},"uris":["http://www.mendeley.com/documents/?uuid=8089f556-71e6-49d7-80c1-f47ac54ea1a8","http://www.mendeley.com/documents/?uuid=4e944a43-7317-4ed8-b429-fd084fc0d679"]},{"id":"ITEM-3","itemData":{"DOI":"10.1007/s00421-019-04104-x","ISSN":"1439-6319","author":[{"dropping-particle":"","family":"Dzik","given":"Katarzyna Patrycja","non-dropping-particle":"","parse-names":false,"suffix":""},{"dropping-particle":"","family":"Kaczor","given":"Jan Jacek","non-dropping-particle":"","parse-names":false,"suffix":""}],"container-title":"European Journal of Applied Physiology","id":"ITEM-3","issue":"4","issued":{"date-parts":[["2019","4"]]},"page":"825-839","title":"Mechanisms of vitamin D on skeletal muscle function: oxidative stress, energy metabolism and anabolic state","type":"article-journal","volume":"119"},"uris":["http://www.mendeley.com/documents/?uuid=773953fd-aaff-48df-b9ae-71228dee00ed","http://www.mendeley.com/documents/?uuid=b31c9504-c9e9-4327-bfbb-21f0d0ce594d"]}],"mendeley":{"formattedCitation":"(Ceglia et al., 2013; Dzik &amp; Kaczor, 2019; Tomlinson et al., 2015)","manualFormatting":" (Ceglia et al., 2013; Dzik &amp; Kaczor, 2019; Tomlinson, Joseph, &amp; Angioi, 2015)","plainTextFormattedCitation":"(Ceglia et al., 2013; Dzik &amp; Kaczor, 2019; Tomlinson et al., 2015)","previouslyFormattedCitation":"(Ceglia et al., 2013; Dzik &amp; Kaczor, 2019; Tomlinson, Joseph, &amp; Angioi, 2015)"},"properties":{"noteIndex":0},"schema":"https://github.com/citation-style-language/schema/raw/master/csl-citation.json"}</w:instrText>
      </w:r>
      <w:r w:rsidRPr="00240669">
        <w:rPr>
          <w:rFonts w:asciiTheme="majorBidi" w:eastAsia="Times New Roman" w:hAnsiTheme="majorBidi" w:cstheme="majorBidi"/>
          <w:sz w:val="24"/>
          <w:szCs w:val="24"/>
        </w:rPr>
        <w:fldChar w:fldCharType="separate"/>
      </w:r>
      <w:r w:rsidRPr="00240669">
        <w:rPr>
          <w:rFonts w:asciiTheme="majorBidi" w:eastAsia="Times New Roman" w:hAnsiTheme="majorBidi" w:cstheme="majorBidi"/>
          <w:noProof/>
          <w:sz w:val="24"/>
          <w:szCs w:val="24"/>
        </w:rPr>
        <w:t xml:space="preserve"> (Ceglia et al., 2013; Dzik &amp; Kaczor, 2019; Tomlinson, Joseph, &amp; Angioi, 2015)</w:t>
      </w:r>
      <w:r w:rsidRPr="00240669">
        <w:rPr>
          <w:rFonts w:asciiTheme="majorBidi" w:eastAsia="Times New Roman" w:hAnsiTheme="majorBidi" w:cstheme="majorBidi"/>
          <w:sz w:val="24"/>
          <w:szCs w:val="24"/>
        </w:rPr>
        <w:fldChar w:fldCharType="end"/>
      </w:r>
      <w:r w:rsidRPr="00240669">
        <w:rPr>
          <w:rFonts w:asciiTheme="majorBidi" w:eastAsia="Times New Roman" w:hAnsiTheme="majorBidi" w:cstheme="majorBidi"/>
          <w:sz w:val="24"/>
          <w:szCs w:val="24"/>
        </w:rPr>
        <w:t>. These differences of opinion need to be researched by taking into account the nutritional intake and uniformity of research subjects.</w:t>
      </w:r>
    </w:p>
    <w:p w14:paraId="672728C4" w14:textId="4C42C75E" w:rsidR="0041703E" w:rsidRPr="00E15A3F" w:rsidRDefault="00240669" w:rsidP="00E15A3F">
      <w:pPr>
        <w:spacing w:after="0" w:line="360" w:lineRule="auto"/>
        <w:ind w:right="-188" w:firstLine="720"/>
        <w:jc w:val="both"/>
        <w:rPr>
          <w:rFonts w:asciiTheme="majorBidi" w:eastAsia="Times New Roman" w:hAnsiTheme="majorBidi" w:cstheme="majorBidi"/>
          <w:sz w:val="24"/>
          <w:szCs w:val="24"/>
          <w:lang w:val="id"/>
        </w:rPr>
      </w:pPr>
      <w:r w:rsidRPr="00240669">
        <w:rPr>
          <w:rFonts w:asciiTheme="majorBidi" w:eastAsia="Times New Roman" w:hAnsiTheme="majorBidi" w:cstheme="majorBidi"/>
          <w:sz w:val="24"/>
          <w:szCs w:val="24"/>
        </w:rPr>
        <w:t>This study aims to explore the effects of vitamin D3 on changes in muscle mass in the elderly. To achieve this goal, several aspects will be examined, including socio-demographic characteristics, Vitamin D status, nutritional status, nutritional intake, as well as muscle and fat mass in the elderly in nursing homes. In addition, this study will also examine changes in upper arm muscle strength and evaluate the effect of Vitamin D3 on changes in muscle mass. The benefits of this study include further understanding of the vitamin D3 status, nutritional status, and muscle mass of the elderly for the study subjects. For researchers, the study provided insight into the impact of vitamin D3 administration on muscle mass. Meanwhile, for institutions and governments, the results of this study can be the basis for the formulation of health policies and intervention programs related to vitamin D deficiency in the elderly.</w:t>
      </w:r>
    </w:p>
    <w:p w14:paraId="3A9D1CE7" w14:textId="77777777" w:rsidR="00E15A3F" w:rsidRDefault="00E15A3F" w:rsidP="004F5945">
      <w:pPr>
        <w:spacing w:after="0" w:line="360" w:lineRule="auto"/>
        <w:ind w:right="-188"/>
        <w:jc w:val="both"/>
        <w:rPr>
          <w:rFonts w:asciiTheme="majorBidi" w:eastAsia="Times New Roman" w:hAnsiTheme="majorBidi" w:cstheme="majorBidi"/>
          <w:b/>
          <w:sz w:val="24"/>
          <w:szCs w:val="24"/>
        </w:rPr>
      </w:pPr>
    </w:p>
    <w:p w14:paraId="00E3C362" w14:textId="1AF4C102" w:rsidR="00343592" w:rsidRPr="008550D5" w:rsidRDefault="00343592" w:rsidP="004F5945">
      <w:pPr>
        <w:spacing w:after="0" w:line="360" w:lineRule="auto"/>
        <w:ind w:right="-188"/>
        <w:jc w:val="both"/>
        <w:rPr>
          <w:rFonts w:asciiTheme="majorBidi" w:eastAsia="Times New Roman" w:hAnsiTheme="majorBidi" w:cstheme="majorBidi"/>
          <w:b/>
          <w:sz w:val="24"/>
          <w:szCs w:val="24"/>
        </w:rPr>
      </w:pPr>
      <w:r w:rsidRPr="008550D5">
        <w:rPr>
          <w:rFonts w:asciiTheme="majorBidi" w:eastAsia="Times New Roman" w:hAnsiTheme="majorBidi" w:cstheme="majorBidi"/>
          <w:b/>
          <w:sz w:val="24"/>
          <w:szCs w:val="24"/>
        </w:rPr>
        <w:t xml:space="preserve">METHODS </w:t>
      </w:r>
    </w:p>
    <w:p w14:paraId="66C2901B" w14:textId="2D0260C7" w:rsidR="00240669" w:rsidRPr="00240669" w:rsidRDefault="00240669" w:rsidP="00240669">
      <w:pPr>
        <w:spacing w:after="0" w:line="360" w:lineRule="auto"/>
        <w:ind w:right="-188" w:firstLine="720"/>
        <w:jc w:val="both"/>
        <w:rPr>
          <w:rFonts w:asciiTheme="majorBidi" w:eastAsia="Times New Roman" w:hAnsiTheme="majorBidi" w:cstheme="majorBidi"/>
          <w:sz w:val="24"/>
          <w:szCs w:val="24"/>
          <w:lang w:val="id"/>
        </w:rPr>
      </w:pPr>
      <w:r w:rsidRPr="00240669">
        <w:rPr>
          <w:rFonts w:asciiTheme="majorBidi" w:eastAsia="Times New Roman" w:hAnsiTheme="majorBidi" w:cstheme="majorBidi"/>
          <w:sz w:val="24"/>
          <w:szCs w:val="24"/>
        </w:rPr>
        <w:t xml:space="preserve">This study is a study with an Experimental </w:t>
      </w:r>
      <w:r w:rsidRPr="00240669">
        <w:rPr>
          <w:rFonts w:asciiTheme="majorBidi" w:eastAsia="Times New Roman" w:hAnsiTheme="majorBidi" w:cstheme="majorBidi"/>
          <w:i/>
          <w:sz w:val="24"/>
          <w:szCs w:val="24"/>
        </w:rPr>
        <w:t xml:space="preserve">Randomised Control Trial </w:t>
      </w:r>
      <w:r w:rsidRPr="00240669">
        <w:rPr>
          <w:rFonts w:asciiTheme="majorBidi" w:eastAsia="Times New Roman" w:hAnsiTheme="majorBidi" w:cstheme="majorBidi"/>
          <w:sz w:val="24"/>
          <w:szCs w:val="24"/>
        </w:rPr>
        <w:t xml:space="preserve">(RCT) research design or a randomized controlled trial with double disguise where neither the research subject nor the researcher knows which subject is the control or treatment group. </w:t>
      </w:r>
      <w:r w:rsidRPr="00240669">
        <w:rPr>
          <w:rFonts w:asciiTheme="majorBidi" w:eastAsia="Times New Roman" w:hAnsiTheme="majorBidi" w:cstheme="majorBidi"/>
          <w:i/>
          <w:sz w:val="24"/>
          <w:szCs w:val="24"/>
        </w:rPr>
        <w:t xml:space="preserve">The primary outcome </w:t>
      </w:r>
      <w:r w:rsidR="00E15A3F">
        <w:rPr>
          <w:rFonts w:asciiTheme="majorBidi" w:eastAsia="Times New Roman" w:hAnsiTheme="majorBidi" w:cstheme="majorBidi"/>
          <w:i/>
          <w:sz w:val="24"/>
          <w:szCs w:val="24"/>
        </w:rPr>
        <w:t>of</w:t>
      </w:r>
      <w:r w:rsidRPr="00240669">
        <w:rPr>
          <w:rFonts w:asciiTheme="majorBidi" w:eastAsia="Times New Roman" w:hAnsiTheme="majorBidi" w:cstheme="majorBidi"/>
          <w:i/>
          <w:sz w:val="24"/>
          <w:szCs w:val="24"/>
        </w:rPr>
        <w:t xml:space="preserve"> this study is a change in muscle mass, while the </w:t>
      </w:r>
      <w:r w:rsidRPr="00240669">
        <w:rPr>
          <w:rFonts w:asciiTheme="majorBidi" w:eastAsia="Times New Roman" w:hAnsiTheme="majorBidi" w:cstheme="majorBidi"/>
          <w:sz w:val="24"/>
          <w:szCs w:val="24"/>
        </w:rPr>
        <w:t xml:space="preserve">secondary outcome of </w:t>
      </w:r>
      <w:r w:rsidRPr="00240669">
        <w:rPr>
          <w:rFonts w:asciiTheme="majorBidi" w:eastAsia="Times New Roman" w:hAnsiTheme="majorBidi" w:cstheme="majorBidi"/>
          <w:i/>
          <w:sz w:val="24"/>
          <w:szCs w:val="24"/>
        </w:rPr>
        <w:t xml:space="preserve">this study is a change in muscle </w:t>
      </w:r>
      <w:r w:rsidRPr="00240669">
        <w:rPr>
          <w:rFonts w:asciiTheme="majorBidi" w:eastAsia="Times New Roman" w:hAnsiTheme="majorBidi" w:cstheme="majorBidi"/>
          <w:sz w:val="24"/>
          <w:szCs w:val="24"/>
        </w:rPr>
        <w:t xml:space="preserve">strength. The elderly in the nursing home will be conducted </w:t>
      </w:r>
      <w:r w:rsidR="00E15A3F">
        <w:rPr>
          <w:rFonts w:asciiTheme="majorBidi" w:eastAsia="Times New Roman" w:hAnsiTheme="majorBidi" w:cstheme="majorBidi"/>
          <w:sz w:val="24"/>
          <w:szCs w:val="24"/>
        </w:rPr>
        <w:t xml:space="preserve">for </w:t>
      </w:r>
      <w:r w:rsidRPr="00240669">
        <w:rPr>
          <w:rFonts w:asciiTheme="majorBidi" w:eastAsia="Times New Roman" w:hAnsiTheme="majorBidi" w:cstheme="majorBidi"/>
          <w:sz w:val="24"/>
          <w:szCs w:val="24"/>
        </w:rPr>
        <w:t xml:space="preserve">a short interview regarding the personal data of the research subject, then a blood draw examination will be carried </w:t>
      </w:r>
      <w:r w:rsidRPr="00240669">
        <w:rPr>
          <w:rFonts w:asciiTheme="majorBidi" w:eastAsia="Times New Roman" w:hAnsiTheme="majorBidi" w:cstheme="majorBidi"/>
          <w:sz w:val="24"/>
          <w:szCs w:val="24"/>
        </w:rPr>
        <w:lastRenderedPageBreak/>
        <w:t xml:space="preserve">out to check vitamin D levels in the blood, examination of muscle mass and fat mass using the BIA tool and examination of upper extremity muscle strength using the </w:t>
      </w:r>
      <w:r w:rsidRPr="00240669">
        <w:rPr>
          <w:rFonts w:asciiTheme="majorBidi" w:eastAsia="Times New Roman" w:hAnsiTheme="majorBidi" w:cstheme="majorBidi"/>
          <w:i/>
          <w:sz w:val="24"/>
          <w:szCs w:val="24"/>
        </w:rPr>
        <w:t xml:space="preserve">Handgrip tool. </w:t>
      </w:r>
      <w:r w:rsidRPr="00240669">
        <w:rPr>
          <w:rFonts w:asciiTheme="majorBidi" w:eastAsia="Times New Roman" w:hAnsiTheme="majorBidi" w:cstheme="majorBidi"/>
          <w:sz w:val="24"/>
          <w:szCs w:val="24"/>
        </w:rPr>
        <w:t>After the examination of blood samples, muscle mass</w:t>
      </w:r>
      <w:r w:rsidR="00E15A3F">
        <w:rPr>
          <w:rFonts w:asciiTheme="majorBidi" w:eastAsia="Times New Roman" w:hAnsiTheme="majorBidi" w:cstheme="majorBidi"/>
          <w:sz w:val="24"/>
          <w:szCs w:val="24"/>
        </w:rPr>
        <w:t>,</w:t>
      </w:r>
      <w:r w:rsidRPr="00240669">
        <w:rPr>
          <w:rFonts w:asciiTheme="majorBidi" w:eastAsia="Times New Roman" w:hAnsiTheme="majorBidi" w:cstheme="majorBidi"/>
          <w:sz w:val="24"/>
          <w:szCs w:val="24"/>
        </w:rPr>
        <w:t xml:space="preserve"> and fat mass as well as upper extremity muscle strength, the study subjects in the control group will be given a placebo and the treatment group will be given vitamin D3 of 4000 IU in a single dose every day and will be monitored for 2 months of administration. Two months after vitamin D3 administration, re-examination of muscle mass, fat mass</w:t>
      </w:r>
      <w:r w:rsidR="00E15A3F">
        <w:rPr>
          <w:rFonts w:asciiTheme="majorBidi" w:eastAsia="Times New Roman" w:hAnsiTheme="majorBidi" w:cstheme="majorBidi"/>
          <w:sz w:val="24"/>
          <w:szCs w:val="24"/>
        </w:rPr>
        <w:t>,</w:t>
      </w:r>
      <w:r w:rsidRPr="00240669">
        <w:rPr>
          <w:rFonts w:asciiTheme="majorBidi" w:eastAsia="Times New Roman" w:hAnsiTheme="majorBidi" w:cstheme="majorBidi"/>
          <w:sz w:val="24"/>
          <w:szCs w:val="24"/>
        </w:rPr>
        <w:t xml:space="preserve"> and muscle strength of the upper extremities of the study subjects will be carried out.</w:t>
      </w:r>
    </w:p>
    <w:p w14:paraId="14AB2A8F" w14:textId="71650A23" w:rsidR="00343592" w:rsidRPr="00E15A3F" w:rsidRDefault="00240669" w:rsidP="00E15A3F">
      <w:pPr>
        <w:spacing w:after="0" w:line="360" w:lineRule="auto"/>
        <w:ind w:right="-188" w:firstLine="720"/>
        <w:jc w:val="both"/>
        <w:rPr>
          <w:rFonts w:asciiTheme="majorBidi" w:eastAsia="Times New Roman" w:hAnsiTheme="majorBidi" w:cstheme="majorBidi"/>
          <w:sz w:val="24"/>
          <w:szCs w:val="24"/>
          <w:lang w:val="en"/>
        </w:rPr>
      </w:pPr>
      <w:bookmarkStart w:id="1" w:name="3.2._Waktu_dan_Tempat"/>
      <w:bookmarkEnd w:id="1"/>
      <w:r w:rsidRPr="00240669">
        <w:rPr>
          <w:rFonts w:asciiTheme="majorBidi" w:eastAsia="Times New Roman" w:hAnsiTheme="majorBidi" w:cstheme="majorBidi"/>
          <w:sz w:val="24"/>
          <w:szCs w:val="24"/>
        </w:rPr>
        <w:t>The research was conducted at the Tresna Werdha Budi Mulia 1 Social Institution, East Jakarta. Data collection of research subjects will be carried out from April 2023 to June 2023. The population was elderly who were deficient in vitamin D, while the study sample amounted to 26 control subjects and 26 action subjects. Inclusion and exclusion criteria have been set, including being over 60 years old, staying for a minimum period of three months, and not taking vitamin D3 supplements before. Research subjects who met the inclusion criteria were 70 subjects, subjects who refused to participate in the study were 7 subjects for fear of blood sampling so there were 63 research subjects randomized to 31 subjects in the control group and 32 subjects in the treatment group. The data collection process is carried out through a series of health and laboratory examinations, as well as formal evaluations throughout the process of purchasing supplies. After the second month, muscle mass, fat, and strength will be measured again to assess the effect of vitamin D3 supplementation on changes in muscle mass, fat mass</w:t>
      </w:r>
      <w:r w:rsidR="00E15A3F">
        <w:rPr>
          <w:rFonts w:asciiTheme="majorBidi" w:eastAsia="Times New Roman" w:hAnsiTheme="majorBidi" w:cstheme="majorBidi"/>
          <w:sz w:val="24"/>
          <w:szCs w:val="24"/>
        </w:rPr>
        <w:t>,</w:t>
      </w:r>
      <w:r w:rsidRPr="00240669">
        <w:rPr>
          <w:rFonts w:asciiTheme="majorBidi" w:eastAsia="Times New Roman" w:hAnsiTheme="majorBidi" w:cstheme="majorBidi"/>
          <w:sz w:val="24"/>
          <w:szCs w:val="24"/>
        </w:rPr>
        <w:t xml:space="preserve"> and upper arm muscle strength. Samples are taken by </w:t>
      </w:r>
      <w:r w:rsidRPr="00240669">
        <w:rPr>
          <w:rFonts w:asciiTheme="majorBidi" w:eastAsia="Times New Roman" w:hAnsiTheme="majorBidi" w:cstheme="majorBidi"/>
          <w:i/>
          <w:sz w:val="24"/>
          <w:szCs w:val="24"/>
        </w:rPr>
        <w:t>consecutive sampling technique</w:t>
      </w:r>
      <w:r w:rsidRPr="00240669">
        <w:rPr>
          <w:rFonts w:asciiTheme="majorBidi" w:eastAsia="Times New Roman" w:hAnsiTheme="majorBidi" w:cstheme="majorBidi"/>
          <w:sz w:val="24"/>
          <w:szCs w:val="24"/>
        </w:rPr>
        <w:t xml:space="preserve">. </w:t>
      </w:r>
    </w:p>
    <w:p w14:paraId="519D4F37" w14:textId="77777777" w:rsidR="00E15A3F" w:rsidRDefault="00E15A3F" w:rsidP="004F5945">
      <w:pPr>
        <w:spacing w:after="0" w:line="360" w:lineRule="auto"/>
        <w:ind w:right="-188"/>
        <w:jc w:val="both"/>
        <w:rPr>
          <w:rFonts w:asciiTheme="majorBidi" w:eastAsia="Times New Roman" w:hAnsiTheme="majorBidi" w:cstheme="majorBidi"/>
          <w:b/>
          <w:sz w:val="24"/>
          <w:szCs w:val="24"/>
        </w:rPr>
      </w:pPr>
    </w:p>
    <w:p w14:paraId="058C5A96" w14:textId="31598057" w:rsidR="00343592" w:rsidRPr="008550D5" w:rsidRDefault="00343592" w:rsidP="004F5945">
      <w:pPr>
        <w:spacing w:after="0" w:line="360" w:lineRule="auto"/>
        <w:ind w:right="-188"/>
        <w:jc w:val="both"/>
        <w:rPr>
          <w:rFonts w:asciiTheme="majorBidi" w:eastAsia="Times New Roman" w:hAnsiTheme="majorBidi" w:cstheme="majorBidi"/>
          <w:b/>
          <w:sz w:val="24"/>
          <w:szCs w:val="24"/>
          <w:lang w:val="en-US"/>
        </w:rPr>
      </w:pPr>
      <w:r w:rsidRPr="008550D5">
        <w:rPr>
          <w:rFonts w:asciiTheme="majorBidi" w:eastAsia="Times New Roman" w:hAnsiTheme="majorBidi" w:cstheme="majorBidi"/>
          <w:b/>
          <w:sz w:val="24"/>
          <w:szCs w:val="24"/>
        </w:rPr>
        <w:t xml:space="preserve">RESULTS </w:t>
      </w:r>
    </w:p>
    <w:p w14:paraId="26EED174" w14:textId="6EFDB342" w:rsidR="00240669" w:rsidRPr="00240669" w:rsidRDefault="00240669" w:rsidP="00240669">
      <w:pPr>
        <w:numPr>
          <w:ilvl w:val="1"/>
          <w:numId w:val="46"/>
        </w:numPr>
        <w:spacing w:after="0" w:line="360" w:lineRule="auto"/>
        <w:ind w:left="284" w:right="-188" w:hanging="258"/>
        <w:jc w:val="both"/>
        <w:rPr>
          <w:rFonts w:asciiTheme="majorBidi" w:hAnsiTheme="majorBidi" w:cstheme="majorBidi"/>
          <w:b/>
          <w:bCs/>
          <w:color w:val="000000"/>
          <w:sz w:val="24"/>
          <w:szCs w:val="24"/>
          <w:lang w:val="id"/>
        </w:rPr>
      </w:pPr>
      <w:r w:rsidRPr="00240669">
        <w:rPr>
          <w:rFonts w:asciiTheme="majorBidi" w:hAnsiTheme="majorBidi" w:cstheme="majorBidi"/>
          <w:b/>
          <w:bCs/>
          <w:color w:val="000000"/>
          <w:sz w:val="24"/>
          <w:szCs w:val="24"/>
        </w:rPr>
        <w:t xml:space="preserve">Status Vitamin D </w:t>
      </w:r>
    </w:p>
    <w:p w14:paraId="32E60FA8" w14:textId="7BA0A42C" w:rsidR="00240669" w:rsidRPr="00CF459A" w:rsidRDefault="00240669" w:rsidP="00240669">
      <w:pPr>
        <w:spacing w:after="0" w:line="360" w:lineRule="auto"/>
        <w:ind w:right="-188" w:firstLine="709"/>
        <w:jc w:val="both"/>
        <w:rPr>
          <w:rFonts w:asciiTheme="majorBidi" w:hAnsiTheme="majorBidi" w:cstheme="majorBidi"/>
          <w:color w:val="000000"/>
          <w:sz w:val="24"/>
          <w:szCs w:val="24"/>
          <w:lang w:val="id"/>
        </w:rPr>
      </w:pPr>
      <w:r w:rsidRPr="00CF459A">
        <w:rPr>
          <w:rFonts w:asciiTheme="majorBidi" w:hAnsiTheme="majorBidi" w:cstheme="majorBidi"/>
          <w:color w:val="000000"/>
          <w:sz w:val="24"/>
          <w:szCs w:val="24"/>
        </w:rPr>
        <w:t>The median result in the control group of vitamin D status before the study was 23.5ng/ml with an interquartile range of 7.15. After the study, the average vitamin D status in the control group was 27.38 ng</w:t>
      </w:r>
      <w:r w:rsidR="00E15A3F">
        <w:rPr>
          <w:rFonts w:asciiTheme="majorBidi" w:hAnsiTheme="majorBidi" w:cstheme="majorBidi"/>
          <w:color w:val="000000"/>
          <w:sz w:val="24"/>
          <w:szCs w:val="24"/>
        </w:rPr>
        <w:t>/</w:t>
      </w:r>
      <w:r w:rsidRPr="00CF459A">
        <w:rPr>
          <w:rFonts w:asciiTheme="majorBidi" w:hAnsiTheme="majorBidi" w:cstheme="majorBidi"/>
          <w:color w:val="000000"/>
          <w:sz w:val="24"/>
          <w:szCs w:val="24"/>
        </w:rPr>
        <w:t>ml with a standard deviation of 7.46. In the treatment group, vitamin D status before the study was 17.9 ng/ml with SD 4.38. After the study, the average vitamin D level was 36.07 ng</w:t>
      </w:r>
      <w:r w:rsidR="00E15A3F">
        <w:rPr>
          <w:rFonts w:asciiTheme="majorBidi" w:hAnsiTheme="majorBidi" w:cstheme="majorBidi"/>
          <w:color w:val="000000"/>
          <w:sz w:val="24"/>
          <w:szCs w:val="24"/>
        </w:rPr>
        <w:t>/</w:t>
      </w:r>
      <w:r w:rsidRPr="00CF459A">
        <w:rPr>
          <w:rFonts w:asciiTheme="majorBidi" w:hAnsiTheme="majorBidi" w:cstheme="majorBidi"/>
          <w:color w:val="000000"/>
          <w:sz w:val="24"/>
          <w:szCs w:val="24"/>
        </w:rPr>
        <w:t>ml with SD 9.83. The Wilcoxon test in the control group found significant differences in vitamin D status before and after the study with p&lt;0.0001. The paired T-</w:t>
      </w:r>
      <w:r w:rsidR="00E15A3F">
        <w:rPr>
          <w:rFonts w:asciiTheme="majorBidi" w:hAnsiTheme="majorBidi" w:cstheme="majorBidi"/>
          <w:color w:val="000000"/>
          <w:sz w:val="24"/>
          <w:szCs w:val="24"/>
        </w:rPr>
        <w:t>t</w:t>
      </w:r>
      <w:r w:rsidRPr="00CF459A">
        <w:rPr>
          <w:rFonts w:asciiTheme="majorBidi" w:hAnsiTheme="majorBidi" w:cstheme="majorBidi"/>
          <w:color w:val="000000"/>
          <w:sz w:val="24"/>
          <w:szCs w:val="24"/>
        </w:rPr>
        <w:t>est in the treatment group found significant differences between vitamin D status before and after the study with p&lt;0.0001. Both the control group and the treatment group found significant differences in vitamin D status before and after the study.</w:t>
      </w:r>
    </w:p>
    <w:p w14:paraId="6E723723" w14:textId="77777777" w:rsidR="00E15A3F" w:rsidRDefault="00E15A3F" w:rsidP="00240669">
      <w:pPr>
        <w:spacing w:after="0" w:line="360" w:lineRule="auto"/>
        <w:ind w:right="-188" w:firstLine="709"/>
        <w:jc w:val="center"/>
        <w:rPr>
          <w:rFonts w:asciiTheme="majorBidi" w:hAnsiTheme="majorBidi" w:cstheme="majorBidi"/>
          <w:b/>
          <w:bCs/>
          <w:color w:val="000000"/>
          <w:sz w:val="24"/>
          <w:szCs w:val="24"/>
        </w:rPr>
      </w:pPr>
    </w:p>
    <w:p w14:paraId="3EF36291" w14:textId="386AA615" w:rsidR="00240669" w:rsidRPr="00240669" w:rsidRDefault="00240669" w:rsidP="00240669">
      <w:pPr>
        <w:spacing w:after="0" w:line="360" w:lineRule="auto"/>
        <w:ind w:right="-188" w:firstLine="709"/>
        <w:jc w:val="center"/>
        <w:rPr>
          <w:rFonts w:asciiTheme="majorBidi" w:hAnsiTheme="majorBidi" w:cstheme="majorBidi"/>
          <w:b/>
          <w:bCs/>
          <w:color w:val="000000"/>
          <w:sz w:val="24"/>
          <w:szCs w:val="24"/>
          <w:lang w:val="en-US"/>
        </w:rPr>
      </w:pPr>
      <w:r w:rsidRPr="00240669">
        <w:rPr>
          <w:rFonts w:asciiTheme="majorBidi" w:hAnsiTheme="majorBidi" w:cstheme="majorBidi"/>
          <w:b/>
          <w:bCs/>
          <w:color w:val="000000"/>
          <w:sz w:val="24"/>
          <w:szCs w:val="24"/>
        </w:rPr>
        <w:lastRenderedPageBreak/>
        <w:t>Table 1. Median Test Results and T-Test</w:t>
      </w:r>
    </w:p>
    <w:tbl>
      <w:tblPr>
        <w:tblStyle w:val="TableGrid"/>
        <w:tblW w:w="5000" w:type="pct"/>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110"/>
        <w:gridCol w:w="1366"/>
        <w:gridCol w:w="1283"/>
        <w:gridCol w:w="1105"/>
        <w:gridCol w:w="13"/>
        <w:gridCol w:w="1536"/>
        <w:gridCol w:w="1505"/>
        <w:gridCol w:w="1132"/>
      </w:tblGrid>
      <w:tr w:rsidR="00240669" w:rsidRPr="00240669" w14:paraId="011DE301" w14:textId="77777777" w:rsidTr="00240669">
        <w:tc>
          <w:tcPr>
            <w:tcW w:w="537" w:type="pct"/>
            <w:vMerge w:val="restart"/>
            <w:tcBorders>
              <w:top w:val="single" w:sz="4" w:space="0" w:color="auto"/>
              <w:bottom w:val="nil"/>
            </w:tcBorders>
          </w:tcPr>
          <w:p w14:paraId="1A1939E8" w14:textId="77777777" w:rsidR="00240669" w:rsidRPr="00240669" w:rsidRDefault="00240669" w:rsidP="00240669">
            <w:pPr>
              <w:spacing w:after="0" w:line="360" w:lineRule="auto"/>
              <w:ind w:right="-188"/>
              <w:jc w:val="both"/>
              <w:rPr>
                <w:rFonts w:asciiTheme="majorBidi" w:hAnsiTheme="majorBidi" w:cstheme="majorBidi"/>
                <w:b/>
                <w:bCs/>
                <w:color w:val="000000"/>
                <w:sz w:val="24"/>
                <w:szCs w:val="24"/>
                <w:lang w:val="id"/>
              </w:rPr>
            </w:pPr>
            <w:r w:rsidRPr="00240669">
              <w:rPr>
                <w:rFonts w:asciiTheme="majorBidi" w:hAnsiTheme="majorBidi" w:cstheme="majorBidi"/>
                <w:b/>
                <w:bCs/>
                <w:color w:val="000000"/>
                <w:sz w:val="24"/>
                <w:szCs w:val="24"/>
              </w:rPr>
              <w:t>Variable</w:t>
            </w:r>
          </w:p>
        </w:tc>
        <w:tc>
          <w:tcPr>
            <w:tcW w:w="2115" w:type="pct"/>
            <w:gridSpan w:val="3"/>
            <w:tcBorders>
              <w:top w:val="single" w:sz="4" w:space="0" w:color="auto"/>
              <w:bottom w:val="single" w:sz="4" w:space="0" w:color="auto"/>
            </w:tcBorders>
          </w:tcPr>
          <w:p w14:paraId="54CF3BF7" w14:textId="77777777" w:rsidR="00240669" w:rsidRPr="00240669" w:rsidRDefault="00240669" w:rsidP="00240669">
            <w:pPr>
              <w:spacing w:after="0" w:line="360" w:lineRule="auto"/>
              <w:ind w:right="-188"/>
              <w:jc w:val="both"/>
              <w:rPr>
                <w:rFonts w:asciiTheme="majorBidi" w:hAnsiTheme="majorBidi" w:cstheme="majorBidi"/>
                <w:b/>
                <w:bCs/>
                <w:color w:val="000000"/>
                <w:sz w:val="24"/>
                <w:szCs w:val="24"/>
                <w:lang w:val="id"/>
              </w:rPr>
            </w:pPr>
            <w:r w:rsidRPr="00240669">
              <w:rPr>
                <w:rFonts w:asciiTheme="majorBidi" w:hAnsiTheme="majorBidi" w:cstheme="majorBidi"/>
                <w:b/>
                <w:color w:val="000000"/>
                <w:sz w:val="24"/>
                <w:szCs w:val="24"/>
              </w:rPr>
              <w:t>Control (n=29)</w:t>
            </w:r>
          </w:p>
        </w:tc>
        <w:tc>
          <w:tcPr>
            <w:tcW w:w="2348" w:type="pct"/>
            <w:gridSpan w:val="4"/>
            <w:tcBorders>
              <w:top w:val="single" w:sz="4" w:space="0" w:color="auto"/>
              <w:bottom w:val="single" w:sz="4" w:space="0" w:color="auto"/>
            </w:tcBorders>
          </w:tcPr>
          <w:p w14:paraId="2D3C65E6" w14:textId="77777777" w:rsidR="00240669" w:rsidRPr="00240669" w:rsidRDefault="00240669" w:rsidP="00240669">
            <w:pPr>
              <w:spacing w:after="0" w:line="360" w:lineRule="auto"/>
              <w:ind w:right="-188"/>
              <w:jc w:val="both"/>
              <w:rPr>
                <w:rFonts w:asciiTheme="majorBidi" w:hAnsiTheme="majorBidi" w:cstheme="majorBidi"/>
                <w:b/>
                <w:bCs/>
                <w:color w:val="000000"/>
                <w:sz w:val="24"/>
                <w:szCs w:val="24"/>
                <w:lang w:val="id"/>
              </w:rPr>
            </w:pPr>
            <w:r w:rsidRPr="00240669">
              <w:rPr>
                <w:rFonts w:asciiTheme="majorBidi" w:hAnsiTheme="majorBidi" w:cstheme="majorBidi"/>
                <w:b/>
                <w:color w:val="000000"/>
                <w:sz w:val="24"/>
                <w:szCs w:val="24"/>
              </w:rPr>
              <w:t>Treatment</w:t>
            </w:r>
          </w:p>
        </w:tc>
      </w:tr>
      <w:tr w:rsidR="00240669" w:rsidRPr="00240669" w14:paraId="3184A052" w14:textId="77777777" w:rsidTr="00240669">
        <w:tc>
          <w:tcPr>
            <w:tcW w:w="537" w:type="pct"/>
            <w:vMerge/>
            <w:tcBorders>
              <w:top w:val="nil"/>
              <w:bottom w:val="single" w:sz="4" w:space="0" w:color="auto"/>
            </w:tcBorders>
          </w:tcPr>
          <w:p w14:paraId="729A448C" w14:textId="77777777" w:rsidR="00240669" w:rsidRPr="00240669" w:rsidRDefault="00240669" w:rsidP="00240669">
            <w:pPr>
              <w:spacing w:after="0" w:line="360" w:lineRule="auto"/>
              <w:ind w:right="-188"/>
              <w:jc w:val="both"/>
              <w:rPr>
                <w:rFonts w:asciiTheme="majorBidi" w:hAnsiTheme="majorBidi" w:cstheme="majorBidi"/>
                <w:b/>
                <w:bCs/>
                <w:color w:val="000000"/>
                <w:sz w:val="24"/>
                <w:szCs w:val="24"/>
                <w:lang w:val="id"/>
              </w:rPr>
            </w:pPr>
          </w:p>
        </w:tc>
        <w:tc>
          <w:tcPr>
            <w:tcW w:w="832" w:type="pct"/>
            <w:tcBorders>
              <w:top w:val="nil"/>
              <w:bottom w:val="single" w:sz="4" w:space="0" w:color="auto"/>
            </w:tcBorders>
          </w:tcPr>
          <w:p w14:paraId="2344AEFD" w14:textId="77777777" w:rsidR="00240669" w:rsidRPr="00240669" w:rsidRDefault="00240669" w:rsidP="00240669">
            <w:pPr>
              <w:spacing w:after="0" w:line="360" w:lineRule="auto"/>
              <w:ind w:right="-188"/>
              <w:jc w:val="both"/>
              <w:rPr>
                <w:rFonts w:asciiTheme="majorBidi" w:hAnsiTheme="majorBidi" w:cstheme="majorBidi"/>
                <w:b/>
                <w:bCs/>
                <w:color w:val="000000"/>
                <w:sz w:val="24"/>
                <w:szCs w:val="24"/>
                <w:lang w:val="id"/>
              </w:rPr>
            </w:pPr>
            <w:r w:rsidRPr="00240669">
              <w:rPr>
                <w:rFonts w:asciiTheme="majorBidi" w:hAnsiTheme="majorBidi" w:cstheme="majorBidi"/>
                <w:b/>
                <w:color w:val="000000"/>
                <w:sz w:val="24"/>
                <w:szCs w:val="24"/>
              </w:rPr>
              <w:t>Before</w:t>
            </w:r>
          </w:p>
        </w:tc>
        <w:tc>
          <w:tcPr>
            <w:tcW w:w="786" w:type="pct"/>
            <w:tcBorders>
              <w:top w:val="nil"/>
              <w:bottom w:val="single" w:sz="4" w:space="0" w:color="auto"/>
            </w:tcBorders>
          </w:tcPr>
          <w:p w14:paraId="1CF9F628" w14:textId="77777777" w:rsidR="00240669" w:rsidRPr="00240669" w:rsidRDefault="00240669" w:rsidP="00240669">
            <w:pPr>
              <w:spacing w:after="0" w:line="360" w:lineRule="auto"/>
              <w:ind w:right="-188"/>
              <w:jc w:val="both"/>
              <w:rPr>
                <w:rFonts w:asciiTheme="majorBidi" w:hAnsiTheme="majorBidi" w:cstheme="majorBidi"/>
                <w:b/>
                <w:bCs/>
                <w:color w:val="000000"/>
                <w:sz w:val="24"/>
                <w:szCs w:val="24"/>
                <w:lang w:val="id"/>
              </w:rPr>
            </w:pPr>
            <w:r w:rsidRPr="00240669">
              <w:rPr>
                <w:rFonts w:asciiTheme="majorBidi" w:hAnsiTheme="majorBidi" w:cstheme="majorBidi"/>
                <w:b/>
                <w:color w:val="000000"/>
                <w:sz w:val="24"/>
                <w:szCs w:val="24"/>
              </w:rPr>
              <w:t>After</w:t>
            </w:r>
          </w:p>
        </w:tc>
        <w:tc>
          <w:tcPr>
            <w:tcW w:w="503" w:type="pct"/>
            <w:gridSpan w:val="2"/>
            <w:tcBorders>
              <w:top w:val="nil"/>
              <w:bottom w:val="single" w:sz="4" w:space="0" w:color="auto"/>
            </w:tcBorders>
          </w:tcPr>
          <w:p w14:paraId="3C6512A1" w14:textId="77777777" w:rsidR="00240669" w:rsidRPr="00240669" w:rsidRDefault="00240669" w:rsidP="00240669">
            <w:pPr>
              <w:spacing w:after="0" w:line="360" w:lineRule="auto"/>
              <w:ind w:right="-188"/>
              <w:jc w:val="both"/>
              <w:rPr>
                <w:rFonts w:asciiTheme="majorBidi" w:hAnsiTheme="majorBidi" w:cstheme="majorBidi"/>
                <w:b/>
                <w:bCs/>
                <w:color w:val="000000"/>
                <w:sz w:val="24"/>
                <w:szCs w:val="24"/>
                <w:lang w:val="id"/>
              </w:rPr>
            </w:pPr>
            <w:r w:rsidRPr="00240669">
              <w:rPr>
                <w:rFonts w:asciiTheme="majorBidi" w:hAnsiTheme="majorBidi" w:cstheme="majorBidi"/>
                <w:b/>
                <w:color w:val="000000"/>
                <w:sz w:val="24"/>
                <w:szCs w:val="24"/>
              </w:rPr>
              <w:t>P value</w:t>
            </w:r>
          </w:p>
        </w:tc>
        <w:tc>
          <w:tcPr>
            <w:tcW w:w="926" w:type="pct"/>
            <w:tcBorders>
              <w:top w:val="nil"/>
              <w:bottom w:val="single" w:sz="4" w:space="0" w:color="auto"/>
            </w:tcBorders>
          </w:tcPr>
          <w:p w14:paraId="0C8889E0" w14:textId="77777777" w:rsidR="00240669" w:rsidRPr="00240669" w:rsidRDefault="00240669" w:rsidP="00240669">
            <w:pPr>
              <w:spacing w:after="0" w:line="360" w:lineRule="auto"/>
              <w:ind w:right="-188"/>
              <w:jc w:val="both"/>
              <w:rPr>
                <w:rFonts w:asciiTheme="majorBidi" w:hAnsiTheme="majorBidi" w:cstheme="majorBidi"/>
                <w:b/>
                <w:bCs/>
                <w:color w:val="000000"/>
                <w:sz w:val="24"/>
                <w:szCs w:val="24"/>
                <w:lang w:val="id"/>
              </w:rPr>
            </w:pPr>
            <w:r w:rsidRPr="00240669">
              <w:rPr>
                <w:rFonts w:asciiTheme="majorBidi" w:hAnsiTheme="majorBidi" w:cstheme="majorBidi"/>
                <w:b/>
                <w:color w:val="000000"/>
                <w:sz w:val="24"/>
                <w:szCs w:val="24"/>
              </w:rPr>
              <w:t>Before</w:t>
            </w:r>
          </w:p>
        </w:tc>
        <w:tc>
          <w:tcPr>
            <w:tcW w:w="909" w:type="pct"/>
            <w:tcBorders>
              <w:top w:val="nil"/>
              <w:bottom w:val="single" w:sz="4" w:space="0" w:color="auto"/>
            </w:tcBorders>
          </w:tcPr>
          <w:p w14:paraId="6D1E129D" w14:textId="77777777" w:rsidR="00240669" w:rsidRPr="00240669" w:rsidRDefault="00240669" w:rsidP="00240669">
            <w:pPr>
              <w:spacing w:after="0" w:line="360" w:lineRule="auto"/>
              <w:ind w:right="-188"/>
              <w:jc w:val="both"/>
              <w:rPr>
                <w:rFonts w:asciiTheme="majorBidi" w:hAnsiTheme="majorBidi" w:cstheme="majorBidi"/>
                <w:b/>
                <w:bCs/>
                <w:color w:val="000000"/>
                <w:sz w:val="24"/>
                <w:szCs w:val="24"/>
                <w:lang w:val="id"/>
              </w:rPr>
            </w:pPr>
            <w:r w:rsidRPr="00240669">
              <w:rPr>
                <w:rFonts w:asciiTheme="majorBidi" w:hAnsiTheme="majorBidi" w:cstheme="majorBidi"/>
                <w:b/>
                <w:color w:val="000000"/>
                <w:sz w:val="24"/>
                <w:szCs w:val="24"/>
              </w:rPr>
              <w:t>After</w:t>
            </w:r>
          </w:p>
        </w:tc>
        <w:tc>
          <w:tcPr>
            <w:tcW w:w="507" w:type="pct"/>
            <w:tcBorders>
              <w:top w:val="nil"/>
              <w:bottom w:val="single" w:sz="4" w:space="0" w:color="auto"/>
            </w:tcBorders>
          </w:tcPr>
          <w:p w14:paraId="35BD12BD" w14:textId="77777777" w:rsidR="00240669" w:rsidRPr="00240669" w:rsidRDefault="00240669" w:rsidP="00240669">
            <w:pPr>
              <w:spacing w:after="0" w:line="360" w:lineRule="auto"/>
              <w:ind w:right="-188"/>
              <w:jc w:val="both"/>
              <w:rPr>
                <w:rFonts w:asciiTheme="majorBidi" w:hAnsiTheme="majorBidi" w:cstheme="majorBidi"/>
                <w:b/>
                <w:bCs/>
                <w:color w:val="000000"/>
                <w:sz w:val="24"/>
                <w:szCs w:val="24"/>
                <w:lang w:val="id"/>
              </w:rPr>
            </w:pPr>
            <w:r w:rsidRPr="00240669">
              <w:rPr>
                <w:rFonts w:asciiTheme="majorBidi" w:hAnsiTheme="majorBidi" w:cstheme="majorBidi"/>
                <w:b/>
                <w:color w:val="000000"/>
                <w:sz w:val="24"/>
                <w:szCs w:val="24"/>
              </w:rPr>
              <w:t>P value</w:t>
            </w:r>
          </w:p>
        </w:tc>
      </w:tr>
      <w:tr w:rsidR="00240669" w:rsidRPr="00240669" w14:paraId="5393E4A1" w14:textId="77777777" w:rsidTr="00240669">
        <w:tc>
          <w:tcPr>
            <w:tcW w:w="537" w:type="pct"/>
            <w:tcBorders>
              <w:top w:val="single" w:sz="4" w:space="0" w:color="auto"/>
            </w:tcBorders>
          </w:tcPr>
          <w:p w14:paraId="48074474" w14:textId="77777777" w:rsidR="00240669" w:rsidRPr="00240669" w:rsidRDefault="00240669" w:rsidP="00240669">
            <w:pPr>
              <w:spacing w:after="0" w:line="360" w:lineRule="auto"/>
              <w:ind w:right="-188"/>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Vitamin D</w:t>
            </w:r>
          </w:p>
        </w:tc>
        <w:tc>
          <w:tcPr>
            <w:tcW w:w="832" w:type="pct"/>
            <w:tcBorders>
              <w:top w:val="single" w:sz="4" w:space="0" w:color="auto"/>
            </w:tcBorders>
          </w:tcPr>
          <w:p w14:paraId="59D9E7BC" w14:textId="77777777" w:rsidR="00240669" w:rsidRPr="00240669" w:rsidRDefault="00240669" w:rsidP="00240669">
            <w:pPr>
              <w:spacing w:after="0" w:line="360" w:lineRule="auto"/>
              <w:ind w:right="-188"/>
              <w:jc w:val="both"/>
              <w:rPr>
                <w:rFonts w:asciiTheme="majorBidi" w:hAnsiTheme="majorBidi" w:cstheme="majorBidi"/>
                <w:color w:val="000000"/>
                <w:sz w:val="24"/>
                <w:szCs w:val="24"/>
                <w:lang w:val="en-US"/>
              </w:rPr>
            </w:pPr>
            <w:r w:rsidRPr="00240669">
              <w:rPr>
                <w:rFonts w:asciiTheme="majorBidi" w:hAnsiTheme="majorBidi" w:cstheme="majorBidi"/>
                <w:color w:val="000000"/>
                <w:sz w:val="24"/>
                <w:szCs w:val="24"/>
              </w:rPr>
              <w:t>23,5 (7,15)</w:t>
            </w:r>
          </w:p>
        </w:tc>
        <w:tc>
          <w:tcPr>
            <w:tcW w:w="786" w:type="pct"/>
            <w:tcBorders>
              <w:top w:val="single" w:sz="4" w:space="0" w:color="auto"/>
            </w:tcBorders>
          </w:tcPr>
          <w:p w14:paraId="179C1016" w14:textId="77777777" w:rsidR="00240669" w:rsidRPr="00240669" w:rsidRDefault="00240669" w:rsidP="00240669">
            <w:pPr>
              <w:spacing w:after="0" w:line="360" w:lineRule="auto"/>
              <w:ind w:right="-188"/>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27.38 (SD 7.46)</w:t>
            </w:r>
          </w:p>
        </w:tc>
        <w:tc>
          <w:tcPr>
            <w:tcW w:w="503" w:type="pct"/>
            <w:gridSpan w:val="2"/>
            <w:tcBorders>
              <w:top w:val="single" w:sz="4" w:space="0" w:color="auto"/>
            </w:tcBorders>
          </w:tcPr>
          <w:p w14:paraId="5921C7F9" w14:textId="77777777" w:rsidR="00240669" w:rsidRPr="00240669" w:rsidRDefault="00240669" w:rsidP="00240669">
            <w:pPr>
              <w:spacing w:after="0" w:line="360" w:lineRule="auto"/>
              <w:ind w:right="-188"/>
              <w:jc w:val="both"/>
              <w:rPr>
                <w:rFonts w:asciiTheme="majorBidi" w:hAnsiTheme="majorBidi" w:cstheme="majorBidi"/>
                <w:color w:val="000000"/>
                <w:sz w:val="24"/>
                <w:szCs w:val="24"/>
                <w:lang w:val="en-US"/>
              </w:rPr>
            </w:pPr>
            <w:r w:rsidRPr="00240669">
              <w:rPr>
                <w:rFonts w:asciiTheme="majorBidi" w:hAnsiTheme="majorBidi" w:cstheme="majorBidi"/>
                <w:color w:val="000000"/>
                <w:sz w:val="24"/>
                <w:szCs w:val="24"/>
              </w:rPr>
              <w:t>&lt;0.0001a</w:t>
            </w:r>
          </w:p>
        </w:tc>
        <w:tc>
          <w:tcPr>
            <w:tcW w:w="926" w:type="pct"/>
            <w:tcBorders>
              <w:top w:val="single" w:sz="4" w:space="0" w:color="auto"/>
            </w:tcBorders>
          </w:tcPr>
          <w:p w14:paraId="00018D34" w14:textId="77777777" w:rsidR="00240669" w:rsidRPr="00240669" w:rsidRDefault="00240669" w:rsidP="00240669">
            <w:pPr>
              <w:spacing w:after="0" w:line="360" w:lineRule="auto"/>
              <w:ind w:right="-188"/>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17.9 (SD 4.38)</w:t>
            </w:r>
          </w:p>
        </w:tc>
        <w:tc>
          <w:tcPr>
            <w:tcW w:w="909" w:type="pct"/>
            <w:tcBorders>
              <w:top w:val="single" w:sz="4" w:space="0" w:color="auto"/>
            </w:tcBorders>
          </w:tcPr>
          <w:p w14:paraId="5692AD06" w14:textId="77777777" w:rsidR="00240669" w:rsidRPr="00240669" w:rsidRDefault="00240669" w:rsidP="00240669">
            <w:pPr>
              <w:spacing w:after="0" w:line="360" w:lineRule="auto"/>
              <w:ind w:right="-188"/>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36.07 (SD 9.83)</w:t>
            </w:r>
          </w:p>
        </w:tc>
        <w:tc>
          <w:tcPr>
            <w:tcW w:w="507" w:type="pct"/>
            <w:tcBorders>
              <w:top w:val="single" w:sz="4" w:space="0" w:color="auto"/>
            </w:tcBorders>
          </w:tcPr>
          <w:p w14:paraId="5404B4AB" w14:textId="77777777" w:rsidR="00240669" w:rsidRPr="00240669" w:rsidRDefault="00240669" w:rsidP="00240669">
            <w:pPr>
              <w:spacing w:after="0" w:line="360" w:lineRule="auto"/>
              <w:ind w:right="-188"/>
              <w:jc w:val="both"/>
              <w:rPr>
                <w:rFonts w:asciiTheme="majorBidi" w:hAnsiTheme="majorBidi" w:cstheme="majorBidi"/>
                <w:color w:val="000000"/>
                <w:sz w:val="24"/>
                <w:szCs w:val="24"/>
                <w:lang w:val="en-US"/>
              </w:rPr>
            </w:pPr>
            <w:r w:rsidRPr="00240669">
              <w:rPr>
                <w:rFonts w:asciiTheme="majorBidi" w:hAnsiTheme="majorBidi" w:cstheme="majorBidi"/>
                <w:color w:val="000000"/>
                <w:sz w:val="24"/>
                <w:szCs w:val="24"/>
              </w:rPr>
              <w:t>&lt;0.0001b</w:t>
            </w:r>
          </w:p>
        </w:tc>
      </w:tr>
    </w:tbl>
    <w:p w14:paraId="1CC2A39A" w14:textId="5DF75634" w:rsidR="00240669" w:rsidRPr="00240669" w:rsidRDefault="00240669" w:rsidP="00240669">
      <w:pPr>
        <w:spacing w:after="0" w:line="360" w:lineRule="auto"/>
        <w:ind w:right="-188"/>
        <w:rPr>
          <w:rFonts w:asciiTheme="majorBidi" w:hAnsiTheme="majorBidi" w:cstheme="majorBidi"/>
          <w:color w:val="000000"/>
          <w:sz w:val="24"/>
          <w:szCs w:val="24"/>
          <w:vertAlign w:val="superscript"/>
          <w:lang w:val="de-DE"/>
        </w:rPr>
      </w:pPr>
      <w:r w:rsidRPr="00240669">
        <w:rPr>
          <w:rFonts w:asciiTheme="majorBidi" w:hAnsiTheme="majorBidi" w:cstheme="majorBidi"/>
          <w:color w:val="000000"/>
          <w:sz w:val="24"/>
          <w:szCs w:val="24"/>
          <w:vertAlign w:val="superscript"/>
        </w:rPr>
        <w:t xml:space="preserve">a </w:t>
      </w:r>
      <w:r w:rsidRPr="00240669">
        <w:rPr>
          <w:rFonts w:asciiTheme="majorBidi" w:hAnsiTheme="majorBidi" w:cstheme="majorBidi"/>
          <w:color w:val="000000"/>
          <w:sz w:val="24"/>
          <w:szCs w:val="24"/>
        </w:rPr>
        <w:t xml:space="preserve"> Test </w:t>
      </w:r>
      <w:r w:rsidR="00E15A3F">
        <w:rPr>
          <w:rFonts w:asciiTheme="majorBidi" w:hAnsiTheme="majorBidi" w:cstheme="majorBidi"/>
          <w:color w:val="000000"/>
          <w:sz w:val="24"/>
          <w:szCs w:val="24"/>
        </w:rPr>
        <w:t>Wilcox</w:t>
      </w:r>
      <w:r w:rsidRPr="00240669">
        <w:rPr>
          <w:rFonts w:asciiTheme="majorBidi" w:hAnsiTheme="majorBidi" w:cstheme="majorBidi"/>
          <w:color w:val="000000"/>
          <w:sz w:val="24"/>
          <w:szCs w:val="24"/>
        </w:rPr>
        <w:t>on (Median)</w:t>
      </w:r>
      <w:r w:rsidRPr="00240669">
        <w:rPr>
          <w:rFonts w:asciiTheme="majorBidi" w:hAnsiTheme="majorBidi" w:cstheme="majorBidi"/>
          <w:color w:val="000000"/>
          <w:sz w:val="24"/>
          <w:szCs w:val="24"/>
          <w:vertAlign w:val="superscript"/>
        </w:rPr>
        <w:br/>
        <w:t xml:space="preserve">b </w:t>
      </w:r>
      <w:r w:rsidRPr="00240669">
        <w:rPr>
          <w:rFonts w:asciiTheme="majorBidi" w:hAnsiTheme="majorBidi" w:cstheme="majorBidi"/>
          <w:color w:val="000000"/>
          <w:sz w:val="24"/>
          <w:szCs w:val="24"/>
        </w:rPr>
        <w:t xml:space="preserve"> Test T-Test pairing</w:t>
      </w:r>
    </w:p>
    <w:p w14:paraId="720B1E1D" w14:textId="77777777" w:rsidR="00240669" w:rsidRPr="00240669" w:rsidRDefault="00240669" w:rsidP="00240669">
      <w:pPr>
        <w:numPr>
          <w:ilvl w:val="1"/>
          <w:numId w:val="46"/>
        </w:numPr>
        <w:spacing w:after="0" w:line="360" w:lineRule="auto"/>
        <w:ind w:left="284" w:right="-188" w:hanging="258"/>
        <w:jc w:val="both"/>
        <w:rPr>
          <w:rFonts w:asciiTheme="majorBidi" w:hAnsiTheme="majorBidi" w:cstheme="majorBidi"/>
          <w:b/>
          <w:bCs/>
          <w:color w:val="000000"/>
          <w:sz w:val="24"/>
          <w:szCs w:val="24"/>
          <w:lang w:val="id"/>
        </w:rPr>
      </w:pPr>
      <w:r w:rsidRPr="00240669">
        <w:rPr>
          <w:rFonts w:asciiTheme="majorBidi" w:hAnsiTheme="majorBidi" w:cstheme="majorBidi"/>
          <w:b/>
          <w:color w:val="000000"/>
          <w:sz w:val="24"/>
          <w:szCs w:val="24"/>
        </w:rPr>
        <w:t xml:space="preserve">Muscle mass and fat mass </w:t>
      </w:r>
    </w:p>
    <w:p w14:paraId="2F8F3034" w14:textId="665C6A3C" w:rsidR="00240669" w:rsidRPr="00240669" w:rsidRDefault="00240669" w:rsidP="00240669">
      <w:pPr>
        <w:spacing w:after="0" w:line="360" w:lineRule="auto"/>
        <w:ind w:right="-188" w:firstLine="709"/>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 xml:space="preserve">Measurements of muscle mass and fat mass were carried out using </w:t>
      </w:r>
      <w:r w:rsidRPr="00240669">
        <w:rPr>
          <w:rFonts w:asciiTheme="majorBidi" w:hAnsiTheme="majorBidi" w:cstheme="majorBidi"/>
          <w:i/>
          <w:color w:val="000000"/>
          <w:sz w:val="24"/>
          <w:szCs w:val="24"/>
        </w:rPr>
        <w:t>Bio Impedanc</w:t>
      </w:r>
      <w:r w:rsidR="00E15A3F">
        <w:rPr>
          <w:rFonts w:asciiTheme="majorBidi" w:hAnsiTheme="majorBidi" w:cstheme="majorBidi"/>
          <w:i/>
          <w:color w:val="000000"/>
          <w:sz w:val="24"/>
          <w:szCs w:val="24"/>
        </w:rPr>
        <w:t>e</w:t>
      </w:r>
      <w:r w:rsidRPr="00240669">
        <w:rPr>
          <w:rFonts w:asciiTheme="majorBidi" w:hAnsiTheme="majorBidi" w:cstheme="majorBidi"/>
          <w:i/>
          <w:color w:val="000000"/>
          <w:sz w:val="24"/>
          <w:szCs w:val="24"/>
        </w:rPr>
        <w:t xml:space="preserve"> Anal</w:t>
      </w:r>
      <w:r w:rsidR="00E15A3F">
        <w:rPr>
          <w:rFonts w:asciiTheme="majorBidi" w:hAnsiTheme="majorBidi" w:cstheme="majorBidi"/>
          <w:i/>
          <w:color w:val="000000"/>
          <w:sz w:val="24"/>
          <w:szCs w:val="24"/>
        </w:rPr>
        <w:t>y</w:t>
      </w:r>
      <w:r w:rsidRPr="00240669">
        <w:rPr>
          <w:rFonts w:asciiTheme="majorBidi" w:hAnsiTheme="majorBidi" w:cstheme="majorBidi"/>
          <w:i/>
          <w:color w:val="000000"/>
          <w:sz w:val="24"/>
          <w:szCs w:val="24"/>
        </w:rPr>
        <w:t>zer</w:t>
      </w:r>
      <w:r w:rsidRPr="00240669">
        <w:rPr>
          <w:rFonts w:asciiTheme="majorBidi" w:hAnsiTheme="majorBidi" w:cstheme="majorBidi"/>
          <w:color w:val="000000"/>
          <w:sz w:val="24"/>
          <w:szCs w:val="24"/>
        </w:rPr>
        <w:t xml:space="preserve"> (BIA) Karada Scan and obtained four points of muscle mass check, namely muscle mass throughout the body, torso, upper arms, lower arms</w:t>
      </w:r>
      <w:r w:rsidR="00E15A3F">
        <w:rPr>
          <w:rFonts w:asciiTheme="majorBidi" w:hAnsiTheme="majorBidi" w:cstheme="majorBidi"/>
          <w:color w:val="000000"/>
          <w:sz w:val="24"/>
          <w:szCs w:val="24"/>
        </w:rPr>
        <w:t>,</w:t>
      </w:r>
      <w:r w:rsidRPr="00240669">
        <w:rPr>
          <w:rFonts w:asciiTheme="majorBidi" w:hAnsiTheme="majorBidi" w:cstheme="majorBidi"/>
          <w:color w:val="000000"/>
          <w:sz w:val="24"/>
          <w:szCs w:val="24"/>
        </w:rPr>
        <w:t xml:space="preserve"> and lower and upper limbs. Muscle mass was measured before and after both the control and treatment groups. </w:t>
      </w:r>
    </w:p>
    <w:p w14:paraId="23390380" w14:textId="20AFF412" w:rsidR="00240669" w:rsidRPr="00240669" w:rsidRDefault="00240669" w:rsidP="00240669">
      <w:pPr>
        <w:spacing w:after="0" w:line="360" w:lineRule="auto"/>
        <w:ind w:right="-188" w:firstLine="709"/>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 xml:space="preserve">In the control group's muscle mass measurements, the normality test with the Shapiro-Wilk test on the measurements before the study found an abnormal distribution (p&lt;0.05) in arm muscle mass so that the data would be reported in the median and interquartile range; </w:t>
      </w:r>
      <w:r w:rsidR="00E15A3F">
        <w:rPr>
          <w:rFonts w:asciiTheme="majorBidi" w:hAnsiTheme="majorBidi" w:cstheme="majorBidi"/>
          <w:color w:val="000000"/>
          <w:sz w:val="24"/>
          <w:szCs w:val="24"/>
        </w:rPr>
        <w:t xml:space="preserve">of </w:t>
      </w:r>
      <w:r w:rsidRPr="00240669">
        <w:rPr>
          <w:rFonts w:asciiTheme="majorBidi" w:hAnsiTheme="majorBidi" w:cstheme="majorBidi"/>
          <w:color w:val="000000"/>
          <w:sz w:val="24"/>
          <w:szCs w:val="24"/>
        </w:rPr>
        <w:t>the rest found a normal distribution (p&gt;0.05) so that the data would be reported in average form with standard deviations. In measurements after the study, the Shapiro-Wilk test found an abnormal distribution in whole</w:t>
      </w:r>
      <w:r w:rsidR="00E15A3F">
        <w:rPr>
          <w:rFonts w:asciiTheme="majorBidi" w:hAnsiTheme="majorBidi" w:cstheme="majorBidi"/>
          <w:color w:val="000000"/>
          <w:sz w:val="24"/>
          <w:szCs w:val="24"/>
        </w:rPr>
        <w:t>-</w:t>
      </w:r>
      <w:r w:rsidRPr="00240669">
        <w:rPr>
          <w:rFonts w:asciiTheme="majorBidi" w:hAnsiTheme="majorBidi" w:cstheme="majorBidi"/>
          <w:i/>
          <w:color w:val="000000"/>
          <w:sz w:val="24"/>
          <w:szCs w:val="24"/>
        </w:rPr>
        <w:t>body muscle mass so that whole</w:t>
      </w:r>
      <w:r w:rsidR="00E15A3F">
        <w:rPr>
          <w:rFonts w:asciiTheme="majorBidi" w:hAnsiTheme="majorBidi" w:cstheme="majorBidi"/>
          <w:i/>
          <w:color w:val="000000"/>
          <w:sz w:val="24"/>
          <w:szCs w:val="24"/>
        </w:rPr>
        <w:t>-</w:t>
      </w:r>
      <w:r w:rsidRPr="00240669">
        <w:rPr>
          <w:rFonts w:asciiTheme="majorBidi" w:hAnsiTheme="majorBidi" w:cstheme="majorBidi"/>
          <w:color w:val="000000"/>
          <w:sz w:val="24"/>
          <w:szCs w:val="24"/>
        </w:rPr>
        <w:t>body</w:t>
      </w:r>
      <w:r w:rsidRPr="00240669">
        <w:rPr>
          <w:rFonts w:asciiTheme="majorBidi" w:hAnsiTheme="majorBidi" w:cstheme="majorBidi"/>
          <w:i/>
          <w:color w:val="000000"/>
          <w:sz w:val="24"/>
          <w:szCs w:val="24"/>
        </w:rPr>
        <w:t xml:space="preserve"> muscle mass</w:t>
      </w:r>
      <w:r w:rsidRPr="00240669">
        <w:rPr>
          <w:rFonts w:asciiTheme="majorBidi" w:hAnsiTheme="majorBidi" w:cstheme="majorBidi"/>
          <w:color w:val="000000"/>
          <w:sz w:val="24"/>
          <w:szCs w:val="24"/>
        </w:rPr>
        <w:t xml:space="preserve"> would be reported in the median form with an interquartile range; the rest was found to be a normal distribution so that data was reported with mean and standard deviation.</w:t>
      </w:r>
    </w:p>
    <w:p w14:paraId="5D47F959" w14:textId="30443B19" w:rsidR="00240669" w:rsidRPr="00240669" w:rsidRDefault="00240669" w:rsidP="00240669">
      <w:pPr>
        <w:spacing w:after="0" w:line="360" w:lineRule="auto"/>
        <w:ind w:right="-188" w:firstLine="709"/>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The mean/median muscle mass of the control group before the study was conducted on whole body muscle mass was 23.93% (2.54), in the torso 17.35% (2.94), muscle mass in the arms 31.6% (7.2) and muscle mass in the legs 39.19% (4.55). The average</w:t>
      </w:r>
      <w:r w:rsidR="00E15A3F">
        <w:rPr>
          <w:rFonts w:asciiTheme="majorBidi" w:hAnsiTheme="majorBidi" w:cstheme="majorBidi"/>
          <w:color w:val="000000"/>
          <w:sz w:val="24"/>
          <w:szCs w:val="24"/>
        </w:rPr>
        <w:t>/</w:t>
      </w:r>
      <w:r w:rsidRPr="00240669">
        <w:rPr>
          <w:rFonts w:asciiTheme="majorBidi" w:hAnsiTheme="majorBidi" w:cstheme="majorBidi"/>
          <w:color w:val="000000"/>
          <w:sz w:val="24"/>
          <w:szCs w:val="24"/>
        </w:rPr>
        <w:t>median muscle mass after research was conducted on whole body muscle mass was 22.3% (4.4), in the torso 16.57% (3.72), muscle mass in the arms 28.18% (5.74) and muscle mass in the legs 37.01% (4.26). Analysis of muscle mass data before and after the study was carried out with paired t</w:t>
      </w:r>
      <w:r w:rsidR="00E15A3F">
        <w:rPr>
          <w:rFonts w:asciiTheme="majorBidi" w:hAnsiTheme="majorBidi" w:cstheme="majorBidi"/>
          <w:color w:val="000000"/>
          <w:sz w:val="24"/>
          <w:szCs w:val="24"/>
        </w:rPr>
        <w:t>-</w:t>
      </w:r>
      <w:r w:rsidRPr="00240669">
        <w:rPr>
          <w:rFonts w:asciiTheme="majorBidi" w:hAnsiTheme="majorBidi" w:cstheme="majorBidi"/>
          <w:color w:val="000000"/>
          <w:sz w:val="24"/>
          <w:szCs w:val="24"/>
        </w:rPr>
        <w:t>tests for torso and leg muscle mass</w:t>
      </w:r>
      <w:r w:rsidR="00E15A3F">
        <w:rPr>
          <w:rFonts w:asciiTheme="majorBidi" w:hAnsiTheme="majorBidi" w:cstheme="majorBidi"/>
          <w:color w:val="000000"/>
          <w:sz w:val="24"/>
          <w:szCs w:val="24"/>
        </w:rPr>
        <w:t>,</w:t>
      </w:r>
      <w:r w:rsidRPr="00240669">
        <w:rPr>
          <w:rFonts w:asciiTheme="majorBidi" w:hAnsiTheme="majorBidi" w:cstheme="majorBidi"/>
          <w:color w:val="000000"/>
          <w:sz w:val="24"/>
          <w:szCs w:val="24"/>
        </w:rPr>
        <w:t xml:space="preserve"> and the Wilcoxon test for arm and whole body muscle mass. In all tests, there was no significant difference in each muscle mass (p &gt; 0.05). </w:t>
      </w:r>
    </w:p>
    <w:p w14:paraId="2D35BFD9" w14:textId="2FD4C6D3" w:rsidR="00240669" w:rsidRPr="00240669" w:rsidRDefault="00240669" w:rsidP="00240669">
      <w:pPr>
        <w:spacing w:after="0" w:line="360" w:lineRule="auto"/>
        <w:ind w:right="-188" w:firstLine="709"/>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 xml:space="preserve">In the treatment group, normality tests with the Shapiro-Wilk test on pre-study measurements found abnormal distributions (p&lt;0.05) in </w:t>
      </w:r>
      <w:r w:rsidR="00E15A3F">
        <w:rPr>
          <w:rFonts w:asciiTheme="majorBidi" w:hAnsiTheme="majorBidi" w:cstheme="majorBidi"/>
          <w:color w:val="000000"/>
          <w:sz w:val="24"/>
          <w:szCs w:val="24"/>
        </w:rPr>
        <w:t xml:space="preserve">the </w:t>
      </w:r>
      <w:r w:rsidRPr="00240669">
        <w:rPr>
          <w:rFonts w:asciiTheme="majorBidi" w:hAnsiTheme="majorBidi" w:cstheme="majorBidi"/>
          <w:color w:val="000000"/>
          <w:sz w:val="24"/>
          <w:szCs w:val="24"/>
        </w:rPr>
        <w:t>whole body, torso</w:t>
      </w:r>
      <w:r w:rsidR="00E15A3F">
        <w:rPr>
          <w:rFonts w:asciiTheme="majorBidi" w:hAnsiTheme="majorBidi" w:cstheme="majorBidi"/>
          <w:color w:val="000000"/>
          <w:sz w:val="24"/>
          <w:szCs w:val="24"/>
        </w:rPr>
        <w:t>,</w:t>
      </w:r>
      <w:r w:rsidRPr="00240669">
        <w:rPr>
          <w:rFonts w:asciiTheme="majorBidi" w:hAnsiTheme="majorBidi" w:cstheme="majorBidi"/>
          <w:color w:val="000000"/>
          <w:sz w:val="24"/>
          <w:szCs w:val="24"/>
        </w:rPr>
        <w:t xml:space="preserve"> and arm muscle mass so that data would be reported in the median and interquartile range; Leg muscle mass is found to be a normal distribution (P&gt;0.05) so that the data will be reported in average form with standard deviation. In the measurements after the study, the Shapiro-Wilk test found a normal </w:t>
      </w:r>
      <w:r w:rsidRPr="00240669">
        <w:rPr>
          <w:rFonts w:asciiTheme="majorBidi" w:hAnsiTheme="majorBidi" w:cstheme="majorBidi"/>
          <w:color w:val="000000"/>
          <w:sz w:val="24"/>
          <w:szCs w:val="24"/>
        </w:rPr>
        <w:lastRenderedPageBreak/>
        <w:t>distribution at all points of muscle mass measurement so that the data would be reported in the form of averages and standard deviations.</w:t>
      </w:r>
    </w:p>
    <w:p w14:paraId="020DAC9F" w14:textId="2B565F57" w:rsidR="00240669" w:rsidRPr="00240669" w:rsidRDefault="00240669" w:rsidP="00240669">
      <w:pPr>
        <w:spacing w:after="0" w:line="360" w:lineRule="auto"/>
        <w:ind w:right="-188" w:firstLine="709"/>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The average</w:t>
      </w:r>
      <w:r w:rsidR="00E15A3F">
        <w:rPr>
          <w:rFonts w:asciiTheme="majorBidi" w:hAnsiTheme="majorBidi" w:cstheme="majorBidi"/>
          <w:color w:val="000000"/>
          <w:sz w:val="24"/>
          <w:szCs w:val="24"/>
        </w:rPr>
        <w:t>/</w:t>
      </w:r>
      <w:r w:rsidRPr="00240669">
        <w:rPr>
          <w:rFonts w:asciiTheme="majorBidi" w:hAnsiTheme="majorBidi" w:cstheme="majorBidi"/>
          <w:color w:val="000000"/>
          <w:sz w:val="24"/>
          <w:szCs w:val="24"/>
        </w:rPr>
        <w:t>median muscle mass of the treatment group before the study was carried out on whole body muscle mass was 22.6% (4.3), in the torso 16.45% (3.9), muscle mass in the arms 26.4% (8.8), and average muscle mass in the legs 36.34% (5.8). The average muscle mass after research on whole body muscle mass was 22.03% (3.67), in the torso 15.67% (4.11), muscle mass in the arms 27.07% (5.2)</w:t>
      </w:r>
      <w:r w:rsidR="00E15A3F">
        <w:rPr>
          <w:rFonts w:asciiTheme="majorBidi" w:hAnsiTheme="majorBidi" w:cstheme="majorBidi"/>
          <w:color w:val="000000"/>
          <w:sz w:val="24"/>
          <w:szCs w:val="24"/>
        </w:rPr>
        <w:t>,</w:t>
      </w:r>
      <w:r w:rsidRPr="00240669">
        <w:rPr>
          <w:rFonts w:asciiTheme="majorBidi" w:hAnsiTheme="majorBidi" w:cstheme="majorBidi"/>
          <w:color w:val="000000"/>
          <w:sz w:val="24"/>
          <w:szCs w:val="24"/>
        </w:rPr>
        <w:t xml:space="preserve"> and muscle mass in the legs 36.01% (5.5). Analysis of muscle mass data before and after the study was carried out with paired t</w:t>
      </w:r>
      <w:r w:rsidR="00E15A3F">
        <w:rPr>
          <w:rFonts w:asciiTheme="majorBidi" w:hAnsiTheme="majorBidi" w:cstheme="majorBidi"/>
          <w:color w:val="000000"/>
          <w:sz w:val="24"/>
          <w:szCs w:val="24"/>
        </w:rPr>
        <w:t>-</w:t>
      </w:r>
      <w:r w:rsidRPr="00240669">
        <w:rPr>
          <w:rFonts w:asciiTheme="majorBidi" w:hAnsiTheme="majorBidi" w:cstheme="majorBidi"/>
          <w:color w:val="000000"/>
          <w:sz w:val="24"/>
          <w:szCs w:val="24"/>
        </w:rPr>
        <w:t xml:space="preserve">tests for leg muscle mass and Wilcoxon tests for the rest; There was no significant difference in each muscle mass (P&gt;0.05). </w:t>
      </w:r>
    </w:p>
    <w:p w14:paraId="61A3F97F" w14:textId="77777777" w:rsidR="00240669" w:rsidRPr="00240669" w:rsidRDefault="00240669" w:rsidP="00240669">
      <w:pPr>
        <w:spacing w:after="0" w:line="360" w:lineRule="auto"/>
        <w:ind w:right="-188" w:firstLine="709"/>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In fat mass measurements, in the control group, normality tests with the Shapiro-Wilk test on measurements before the study found abnormal distributions (p&lt;0.05) in torso and arm fat mass so that data would be reported in the median and interquartile range; The rest of the normal distribution (P&gt;0.05) is found so that the data will be reported in average form with standard deviation. On measurements after the study, the Shapiro-Wilk test found an abnormal distribution in the fat mass of the arms and legs so that it would be reported in the median form with the interquartile range; The rest of the distribution is found to be normal so that the data is reported with mean and standard deviation.</w:t>
      </w:r>
    </w:p>
    <w:p w14:paraId="6AA75DA5" w14:textId="73CF7BC0" w:rsidR="00240669" w:rsidRPr="00240669" w:rsidRDefault="00240669" w:rsidP="00240669">
      <w:pPr>
        <w:spacing w:after="0" w:line="360" w:lineRule="auto"/>
        <w:ind w:right="-188" w:firstLine="709"/>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The mean/median fat mass of the control group before the study was conducted on whole body fat mass was 23.49% (SD 6.74), in the torso 21.9% (interquartile range 10), fat mass in the arms 32.8% (19.3) and fat mass in the legs 30.88% (8.94). The average/median fat mass after the study was conducted on whole body muscle mass was 25.18% (7.35), in the torso 22.35% (6.90), in the arms 38.2% (19.2) and fat mass in the legs 32.3% (14.8). Analysis of fat mass data before and after the study was carried out with a paired t</w:t>
      </w:r>
      <w:r w:rsidR="00E15A3F">
        <w:rPr>
          <w:rFonts w:asciiTheme="majorBidi" w:hAnsiTheme="majorBidi" w:cstheme="majorBidi"/>
          <w:color w:val="000000"/>
          <w:sz w:val="24"/>
          <w:szCs w:val="24"/>
        </w:rPr>
        <w:t>-</w:t>
      </w:r>
      <w:r w:rsidRPr="00240669">
        <w:rPr>
          <w:rFonts w:asciiTheme="majorBidi" w:hAnsiTheme="majorBidi" w:cstheme="majorBidi"/>
          <w:color w:val="000000"/>
          <w:sz w:val="24"/>
          <w:szCs w:val="24"/>
        </w:rPr>
        <w:t>test and continued with the Wilcoxon test found no significant difference in each muscle mass (p &gt; 0.05).</w:t>
      </w:r>
    </w:p>
    <w:p w14:paraId="31C071FC" w14:textId="77777777" w:rsidR="00240669" w:rsidRPr="00240669" w:rsidRDefault="00240669" w:rsidP="00240669">
      <w:pPr>
        <w:spacing w:after="0" w:line="360" w:lineRule="auto"/>
        <w:ind w:right="-188" w:firstLine="709"/>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 xml:space="preserve">In the measurement of fat mass in the treatment group, the normality test with the Shapiro-Wilk test found an abnormal distribution (p&lt;0.05) in all measurements, both before and after the study, so that all data would be reported in the median form with the interquartile range. </w:t>
      </w:r>
    </w:p>
    <w:p w14:paraId="3EE1B1BB" w14:textId="0DF09F5A" w:rsidR="00240669" w:rsidRPr="00240669" w:rsidRDefault="00240669" w:rsidP="00240669">
      <w:pPr>
        <w:spacing w:after="0" w:line="360" w:lineRule="auto"/>
        <w:ind w:right="-188" w:firstLine="709"/>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The mean/median fat mass of the treatment group before the study was conducted on whole body fat mass was 26.8% (5.9), in the torso 24% (6.1), fat mass in the arms 42.5% (16.7) and fat mass in the legs 34.6% (8.5). The average/median fat mass after the study was conducted on whole body muscle mass was 26.75% (5), on the torso 23.55% (4.4), on the arms 41.05% (17), and fat mass on the legs 34.9% (7.2). Analysis of fat mass data before and after the study was carried out with a paired t</w:t>
      </w:r>
      <w:r w:rsidR="00E15A3F">
        <w:rPr>
          <w:rFonts w:asciiTheme="majorBidi" w:hAnsiTheme="majorBidi" w:cstheme="majorBidi"/>
          <w:color w:val="000000"/>
          <w:sz w:val="24"/>
          <w:szCs w:val="24"/>
        </w:rPr>
        <w:t>-</w:t>
      </w:r>
      <w:r w:rsidRPr="00240669">
        <w:rPr>
          <w:rFonts w:asciiTheme="majorBidi" w:hAnsiTheme="majorBidi" w:cstheme="majorBidi"/>
          <w:color w:val="000000"/>
          <w:sz w:val="24"/>
          <w:szCs w:val="24"/>
        </w:rPr>
        <w:t>test and continued with the Wilcoxon test found no significant difference in each muscle mass (p &gt; 0.05).</w:t>
      </w:r>
    </w:p>
    <w:p w14:paraId="736C1CF6" w14:textId="440D5CFD" w:rsidR="00240669" w:rsidRPr="00240669" w:rsidRDefault="00240669" w:rsidP="00240669">
      <w:pPr>
        <w:spacing w:after="0" w:line="360" w:lineRule="auto"/>
        <w:ind w:right="-188"/>
        <w:jc w:val="center"/>
        <w:rPr>
          <w:rFonts w:asciiTheme="majorBidi" w:hAnsiTheme="majorBidi" w:cstheme="majorBidi"/>
          <w:b/>
          <w:bCs/>
          <w:color w:val="000000"/>
          <w:sz w:val="24"/>
          <w:szCs w:val="24"/>
          <w:lang w:val="id"/>
        </w:rPr>
      </w:pPr>
      <w:r w:rsidRPr="00CF459A">
        <w:rPr>
          <w:rFonts w:asciiTheme="majorBidi" w:hAnsiTheme="majorBidi" w:cstheme="majorBidi"/>
          <w:b/>
          <w:color w:val="000000"/>
          <w:sz w:val="24"/>
          <w:szCs w:val="24"/>
        </w:rPr>
        <w:lastRenderedPageBreak/>
        <w:t>Table 2. Paired T Test followed by Wilcoxon Test</w:t>
      </w:r>
    </w:p>
    <w:tbl>
      <w:tblPr>
        <w:tblStyle w:val="TableGrid"/>
        <w:tblW w:w="5000" w:type="pct"/>
        <w:jc w:val="center"/>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197"/>
        <w:gridCol w:w="1380"/>
        <w:gridCol w:w="1454"/>
        <w:gridCol w:w="964"/>
        <w:gridCol w:w="1532"/>
        <w:gridCol w:w="1559"/>
        <w:gridCol w:w="964"/>
      </w:tblGrid>
      <w:tr w:rsidR="00240669" w:rsidRPr="00240669" w14:paraId="651D6D60" w14:textId="77777777" w:rsidTr="00240669">
        <w:trPr>
          <w:jc w:val="center"/>
        </w:trPr>
        <w:tc>
          <w:tcPr>
            <w:tcW w:w="645" w:type="pct"/>
            <w:vMerge w:val="restart"/>
          </w:tcPr>
          <w:p w14:paraId="159FF4E4" w14:textId="77777777" w:rsidR="00240669" w:rsidRPr="00240669" w:rsidRDefault="00240669" w:rsidP="00240669">
            <w:pPr>
              <w:spacing w:after="0" w:line="360" w:lineRule="auto"/>
              <w:ind w:right="45" w:firstLine="42"/>
              <w:jc w:val="both"/>
              <w:rPr>
                <w:rFonts w:asciiTheme="majorBidi" w:hAnsiTheme="majorBidi" w:cstheme="majorBidi"/>
                <w:b/>
                <w:bCs/>
                <w:color w:val="000000"/>
                <w:sz w:val="24"/>
                <w:szCs w:val="24"/>
                <w:lang w:val="id"/>
              </w:rPr>
            </w:pPr>
            <w:r w:rsidRPr="00240669">
              <w:rPr>
                <w:rFonts w:asciiTheme="majorBidi" w:hAnsiTheme="majorBidi" w:cstheme="majorBidi"/>
                <w:b/>
                <w:color w:val="000000"/>
                <w:sz w:val="24"/>
                <w:szCs w:val="24"/>
              </w:rPr>
              <w:t>Variable</w:t>
            </w:r>
          </w:p>
        </w:tc>
        <w:tc>
          <w:tcPr>
            <w:tcW w:w="2122" w:type="pct"/>
            <w:gridSpan w:val="3"/>
            <w:tcBorders>
              <w:bottom w:val="single" w:sz="4" w:space="0" w:color="auto"/>
            </w:tcBorders>
          </w:tcPr>
          <w:p w14:paraId="34829B7B" w14:textId="77777777" w:rsidR="00240669" w:rsidRPr="00240669" w:rsidRDefault="00240669" w:rsidP="00240669">
            <w:pPr>
              <w:spacing w:after="0" w:line="360" w:lineRule="auto"/>
              <w:ind w:right="45" w:firstLine="42"/>
              <w:jc w:val="both"/>
              <w:rPr>
                <w:rFonts w:asciiTheme="majorBidi" w:hAnsiTheme="majorBidi" w:cstheme="majorBidi"/>
                <w:b/>
                <w:bCs/>
                <w:color w:val="000000"/>
                <w:sz w:val="24"/>
                <w:szCs w:val="24"/>
                <w:lang w:val="id"/>
              </w:rPr>
            </w:pPr>
            <w:r w:rsidRPr="00240669">
              <w:rPr>
                <w:rFonts w:asciiTheme="majorBidi" w:hAnsiTheme="majorBidi" w:cstheme="majorBidi"/>
                <w:b/>
                <w:color w:val="000000"/>
                <w:sz w:val="24"/>
                <w:szCs w:val="24"/>
              </w:rPr>
              <w:t>Control</w:t>
            </w:r>
          </w:p>
        </w:tc>
        <w:tc>
          <w:tcPr>
            <w:tcW w:w="2233" w:type="pct"/>
            <w:gridSpan w:val="3"/>
            <w:tcBorders>
              <w:bottom w:val="single" w:sz="4" w:space="0" w:color="auto"/>
            </w:tcBorders>
          </w:tcPr>
          <w:p w14:paraId="1193908F" w14:textId="77777777" w:rsidR="00240669" w:rsidRPr="00240669" w:rsidRDefault="00240669" w:rsidP="00240669">
            <w:pPr>
              <w:spacing w:after="0" w:line="360" w:lineRule="auto"/>
              <w:ind w:right="45" w:firstLine="42"/>
              <w:jc w:val="both"/>
              <w:rPr>
                <w:rFonts w:asciiTheme="majorBidi" w:hAnsiTheme="majorBidi" w:cstheme="majorBidi"/>
                <w:b/>
                <w:bCs/>
                <w:color w:val="000000"/>
                <w:sz w:val="24"/>
                <w:szCs w:val="24"/>
                <w:lang w:val="id"/>
              </w:rPr>
            </w:pPr>
            <w:r w:rsidRPr="00240669">
              <w:rPr>
                <w:rFonts w:asciiTheme="majorBidi" w:hAnsiTheme="majorBidi" w:cstheme="majorBidi"/>
                <w:b/>
                <w:color w:val="000000"/>
                <w:sz w:val="24"/>
                <w:szCs w:val="24"/>
              </w:rPr>
              <w:t>Treatment</w:t>
            </w:r>
          </w:p>
        </w:tc>
      </w:tr>
      <w:tr w:rsidR="00240669" w:rsidRPr="00240669" w14:paraId="68D147A1" w14:textId="77777777" w:rsidTr="00240669">
        <w:trPr>
          <w:jc w:val="center"/>
        </w:trPr>
        <w:tc>
          <w:tcPr>
            <w:tcW w:w="645" w:type="pct"/>
            <w:vMerge/>
            <w:tcBorders>
              <w:bottom w:val="single" w:sz="4" w:space="0" w:color="auto"/>
            </w:tcBorders>
          </w:tcPr>
          <w:p w14:paraId="34F9FB41" w14:textId="77777777" w:rsidR="00240669" w:rsidRPr="00240669" w:rsidRDefault="00240669" w:rsidP="00240669">
            <w:pPr>
              <w:spacing w:after="0" w:line="360" w:lineRule="auto"/>
              <w:ind w:right="45" w:firstLine="42"/>
              <w:jc w:val="both"/>
              <w:rPr>
                <w:rFonts w:asciiTheme="majorBidi" w:hAnsiTheme="majorBidi" w:cstheme="majorBidi"/>
                <w:b/>
                <w:bCs/>
                <w:color w:val="000000"/>
                <w:sz w:val="24"/>
                <w:szCs w:val="24"/>
                <w:lang w:val="id"/>
              </w:rPr>
            </w:pPr>
          </w:p>
        </w:tc>
        <w:tc>
          <w:tcPr>
            <w:tcW w:w="815" w:type="pct"/>
            <w:tcBorders>
              <w:top w:val="single" w:sz="4" w:space="0" w:color="auto"/>
              <w:bottom w:val="single" w:sz="4" w:space="0" w:color="auto"/>
            </w:tcBorders>
          </w:tcPr>
          <w:p w14:paraId="7528BE5B" w14:textId="77777777" w:rsidR="00240669" w:rsidRPr="00240669" w:rsidRDefault="00240669" w:rsidP="00240669">
            <w:pPr>
              <w:spacing w:after="0" w:line="360" w:lineRule="auto"/>
              <w:ind w:right="45" w:firstLine="42"/>
              <w:jc w:val="both"/>
              <w:rPr>
                <w:rFonts w:asciiTheme="majorBidi" w:hAnsiTheme="majorBidi" w:cstheme="majorBidi"/>
                <w:b/>
                <w:bCs/>
                <w:color w:val="000000"/>
                <w:sz w:val="24"/>
                <w:szCs w:val="24"/>
                <w:lang w:val="id"/>
              </w:rPr>
            </w:pPr>
            <w:r w:rsidRPr="00240669">
              <w:rPr>
                <w:rFonts w:asciiTheme="majorBidi" w:hAnsiTheme="majorBidi" w:cstheme="majorBidi"/>
                <w:b/>
                <w:color w:val="000000"/>
                <w:sz w:val="24"/>
                <w:szCs w:val="24"/>
              </w:rPr>
              <w:t>Before</w:t>
            </w:r>
          </w:p>
        </w:tc>
        <w:tc>
          <w:tcPr>
            <w:tcW w:w="856" w:type="pct"/>
            <w:tcBorders>
              <w:top w:val="single" w:sz="4" w:space="0" w:color="auto"/>
              <w:bottom w:val="single" w:sz="4" w:space="0" w:color="auto"/>
            </w:tcBorders>
          </w:tcPr>
          <w:p w14:paraId="371BAFC8" w14:textId="77777777" w:rsidR="00240669" w:rsidRPr="00240669" w:rsidRDefault="00240669" w:rsidP="00240669">
            <w:pPr>
              <w:spacing w:after="0" w:line="360" w:lineRule="auto"/>
              <w:ind w:right="45" w:firstLine="42"/>
              <w:jc w:val="both"/>
              <w:rPr>
                <w:rFonts w:asciiTheme="majorBidi" w:hAnsiTheme="majorBidi" w:cstheme="majorBidi"/>
                <w:b/>
                <w:bCs/>
                <w:color w:val="000000"/>
                <w:sz w:val="24"/>
                <w:szCs w:val="24"/>
                <w:lang w:val="id"/>
              </w:rPr>
            </w:pPr>
            <w:r w:rsidRPr="00240669">
              <w:rPr>
                <w:rFonts w:asciiTheme="majorBidi" w:hAnsiTheme="majorBidi" w:cstheme="majorBidi"/>
                <w:b/>
                <w:color w:val="000000"/>
                <w:sz w:val="24"/>
                <w:szCs w:val="24"/>
              </w:rPr>
              <w:t>After</w:t>
            </w:r>
          </w:p>
        </w:tc>
        <w:tc>
          <w:tcPr>
            <w:tcW w:w="451" w:type="pct"/>
            <w:tcBorders>
              <w:top w:val="single" w:sz="4" w:space="0" w:color="auto"/>
              <w:bottom w:val="single" w:sz="4" w:space="0" w:color="auto"/>
            </w:tcBorders>
          </w:tcPr>
          <w:p w14:paraId="3C3355E9" w14:textId="77777777" w:rsidR="00240669" w:rsidRPr="00240669" w:rsidRDefault="00240669" w:rsidP="00240669">
            <w:pPr>
              <w:spacing w:after="0" w:line="360" w:lineRule="auto"/>
              <w:ind w:right="45" w:firstLine="42"/>
              <w:jc w:val="both"/>
              <w:rPr>
                <w:rFonts w:asciiTheme="majorBidi" w:hAnsiTheme="majorBidi" w:cstheme="majorBidi"/>
                <w:b/>
                <w:bCs/>
                <w:color w:val="000000"/>
                <w:sz w:val="24"/>
                <w:szCs w:val="24"/>
                <w:lang w:val="id"/>
              </w:rPr>
            </w:pPr>
            <w:r w:rsidRPr="00240669">
              <w:rPr>
                <w:rFonts w:asciiTheme="majorBidi" w:hAnsiTheme="majorBidi" w:cstheme="majorBidi"/>
                <w:b/>
                <w:color w:val="000000"/>
                <w:sz w:val="24"/>
                <w:szCs w:val="24"/>
              </w:rPr>
              <w:t>P value</w:t>
            </w:r>
          </w:p>
        </w:tc>
        <w:tc>
          <w:tcPr>
            <w:tcW w:w="899" w:type="pct"/>
            <w:tcBorders>
              <w:top w:val="single" w:sz="4" w:space="0" w:color="auto"/>
              <w:bottom w:val="single" w:sz="4" w:space="0" w:color="auto"/>
            </w:tcBorders>
          </w:tcPr>
          <w:p w14:paraId="1873A5B6" w14:textId="77777777" w:rsidR="00240669" w:rsidRPr="00240669" w:rsidRDefault="00240669" w:rsidP="00240669">
            <w:pPr>
              <w:spacing w:after="0" w:line="360" w:lineRule="auto"/>
              <w:ind w:right="45" w:firstLine="42"/>
              <w:jc w:val="both"/>
              <w:rPr>
                <w:rFonts w:asciiTheme="majorBidi" w:hAnsiTheme="majorBidi" w:cstheme="majorBidi"/>
                <w:b/>
                <w:bCs/>
                <w:color w:val="000000"/>
                <w:sz w:val="24"/>
                <w:szCs w:val="24"/>
                <w:lang w:val="id"/>
              </w:rPr>
            </w:pPr>
            <w:r w:rsidRPr="00240669">
              <w:rPr>
                <w:rFonts w:asciiTheme="majorBidi" w:hAnsiTheme="majorBidi" w:cstheme="majorBidi"/>
                <w:b/>
                <w:color w:val="000000"/>
                <w:sz w:val="24"/>
                <w:szCs w:val="24"/>
              </w:rPr>
              <w:t>Before</w:t>
            </w:r>
          </w:p>
        </w:tc>
        <w:tc>
          <w:tcPr>
            <w:tcW w:w="914" w:type="pct"/>
            <w:tcBorders>
              <w:top w:val="single" w:sz="4" w:space="0" w:color="auto"/>
              <w:bottom w:val="single" w:sz="4" w:space="0" w:color="auto"/>
            </w:tcBorders>
          </w:tcPr>
          <w:p w14:paraId="27A8F755" w14:textId="77777777" w:rsidR="00240669" w:rsidRPr="00240669" w:rsidRDefault="00240669" w:rsidP="00240669">
            <w:pPr>
              <w:spacing w:after="0" w:line="360" w:lineRule="auto"/>
              <w:ind w:right="45" w:firstLine="42"/>
              <w:jc w:val="both"/>
              <w:rPr>
                <w:rFonts w:asciiTheme="majorBidi" w:hAnsiTheme="majorBidi" w:cstheme="majorBidi"/>
                <w:b/>
                <w:bCs/>
                <w:color w:val="000000"/>
                <w:sz w:val="24"/>
                <w:szCs w:val="24"/>
                <w:lang w:val="id"/>
              </w:rPr>
            </w:pPr>
            <w:r w:rsidRPr="00240669">
              <w:rPr>
                <w:rFonts w:asciiTheme="majorBidi" w:hAnsiTheme="majorBidi" w:cstheme="majorBidi"/>
                <w:b/>
                <w:color w:val="000000"/>
                <w:sz w:val="24"/>
                <w:szCs w:val="24"/>
              </w:rPr>
              <w:t>After</w:t>
            </w:r>
          </w:p>
        </w:tc>
        <w:tc>
          <w:tcPr>
            <w:tcW w:w="419" w:type="pct"/>
            <w:tcBorders>
              <w:top w:val="single" w:sz="4" w:space="0" w:color="auto"/>
              <w:bottom w:val="single" w:sz="4" w:space="0" w:color="auto"/>
            </w:tcBorders>
          </w:tcPr>
          <w:p w14:paraId="182544E8" w14:textId="77777777" w:rsidR="00240669" w:rsidRPr="00240669" w:rsidRDefault="00240669" w:rsidP="00240669">
            <w:pPr>
              <w:spacing w:after="0" w:line="360" w:lineRule="auto"/>
              <w:ind w:right="45" w:firstLine="42"/>
              <w:jc w:val="both"/>
              <w:rPr>
                <w:rFonts w:asciiTheme="majorBidi" w:hAnsiTheme="majorBidi" w:cstheme="majorBidi"/>
                <w:b/>
                <w:bCs/>
                <w:color w:val="000000"/>
                <w:sz w:val="24"/>
                <w:szCs w:val="24"/>
                <w:lang w:val="id"/>
              </w:rPr>
            </w:pPr>
            <w:r w:rsidRPr="00240669">
              <w:rPr>
                <w:rFonts w:asciiTheme="majorBidi" w:hAnsiTheme="majorBidi" w:cstheme="majorBidi"/>
                <w:b/>
                <w:color w:val="000000"/>
                <w:sz w:val="24"/>
                <w:szCs w:val="24"/>
              </w:rPr>
              <w:t>P value</w:t>
            </w:r>
          </w:p>
        </w:tc>
      </w:tr>
      <w:tr w:rsidR="00240669" w:rsidRPr="00240669" w14:paraId="71F2E639" w14:textId="77777777" w:rsidTr="00240669">
        <w:trPr>
          <w:jc w:val="center"/>
        </w:trPr>
        <w:tc>
          <w:tcPr>
            <w:tcW w:w="645" w:type="pct"/>
            <w:tcBorders>
              <w:top w:val="single" w:sz="4" w:space="0" w:color="auto"/>
              <w:bottom w:val="nil"/>
            </w:tcBorders>
          </w:tcPr>
          <w:p w14:paraId="3FB5D30A" w14:textId="581D2EAA" w:rsidR="00240669" w:rsidRPr="00240669" w:rsidRDefault="00E15A3F" w:rsidP="00240669">
            <w:pPr>
              <w:spacing w:after="0" w:line="360" w:lineRule="auto"/>
              <w:ind w:right="45" w:firstLine="42"/>
              <w:jc w:val="both"/>
              <w:rPr>
                <w:rFonts w:asciiTheme="majorBidi" w:hAnsiTheme="majorBidi" w:cstheme="majorBidi"/>
                <w:b/>
                <w:bCs/>
                <w:color w:val="000000"/>
                <w:sz w:val="24"/>
                <w:szCs w:val="24"/>
                <w:lang w:val="id"/>
              </w:rPr>
            </w:pPr>
            <w:r w:rsidRPr="00E15A3F">
              <w:rPr>
                <w:rFonts w:asciiTheme="majorBidi" w:hAnsiTheme="majorBidi" w:cstheme="majorBidi"/>
                <w:b/>
                <w:color w:val="000000"/>
                <w:sz w:val="24"/>
                <w:szCs w:val="24"/>
              </w:rPr>
              <w:t>Fat Mass</w:t>
            </w:r>
          </w:p>
        </w:tc>
        <w:tc>
          <w:tcPr>
            <w:tcW w:w="815" w:type="pct"/>
            <w:tcBorders>
              <w:top w:val="single" w:sz="4" w:space="0" w:color="auto"/>
              <w:bottom w:val="nil"/>
            </w:tcBorders>
          </w:tcPr>
          <w:p w14:paraId="3D6E0185" w14:textId="77777777" w:rsidR="00240669" w:rsidRPr="00240669" w:rsidRDefault="00240669" w:rsidP="00240669">
            <w:pPr>
              <w:spacing w:after="0" w:line="360" w:lineRule="auto"/>
              <w:ind w:right="45" w:firstLine="42"/>
              <w:jc w:val="both"/>
              <w:rPr>
                <w:rFonts w:asciiTheme="majorBidi" w:hAnsiTheme="majorBidi" w:cstheme="majorBidi"/>
                <w:color w:val="000000"/>
                <w:sz w:val="24"/>
                <w:szCs w:val="24"/>
                <w:lang w:val="id"/>
              </w:rPr>
            </w:pPr>
          </w:p>
        </w:tc>
        <w:tc>
          <w:tcPr>
            <w:tcW w:w="856" w:type="pct"/>
            <w:tcBorders>
              <w:top w:val="single" w:sz="4" w:space="0" w:color="auto"/>
              <w:bottom w:val="nil"/>
            </w:tcBorders>
          </w:tcPr>
          <w:p w14:paraId="403D31D2" w14:textId="77777777" w:rsidR="00240669" w:rsidRPr="00240669" w:rsidRDefault="00240669" w:rsidP="00240669">
            <w:pPr>
              <w:spacing w:after="0" w:line="360" w:lineRule="auto"/>
              <w:ind w:right="45" w:firstLine="42"/>
              <w:jc w:val="both"/>
              <w:rPr>
                <w:rFonts w:asciiTheme="majorBidi" w:hAnsiTheme="majorBidi" w:cstheme="majorBidi"/>
                <w:color w:val="000000"/>
                <w:sz w:val="24"/>
                <w:szCs w:val="24"/>
                <w:lang w:val="id"/>
              </w:rPr>
            </w:pPr>
          </w:p>
        </w:tc>
        <w:tc>
          <w:tcPr>
            <w:tcW w:w="451" w:type="pct"/>
            <w:tcBorders>
              <w:top w:val="single" w:sz="4" w:space="0" w:color="auto"/>
              <w:bottom w:val="nil"/>
            </w:tcBorders>
          </w:tcPr>
          <w:p w14:paraId="06AD0B5A" w14:textId="77777777" w:rsidR="00240669" w:rsidRPr="00240669" w:rsidRDefault="00240669" w:rsidP="00240669">
            <w:pPr>
              <w:spacing w:after="0" w:line="360" w:lineRule="auto"/>
              <w:ind w:right="45" w:firstLine="42"/>
              <w:jc w:val="both"/>
              <w:rPr>
                <w:rFonts w:asciiTheme="majorBidi" w:hAnsiTheme="majorBidi" w:cstheme="majorBidi"/>
                <w:color w:val="000000"/>
                <w:sz w:val="24"/>
                <w:szCs w:val="24"/>
                <w:lang w:val="id"/>
              </w:rPr>
            </w:pPr>
          </w:p>
        </w:tc>
        <w:tc>
          <w:tcPr>
            <w:tcW w:w="899" w:type="pct"/>
            <w:tcBorders>
              <w:top w:val="single" w:sz="4" w:space="0" w:color="auto"/>
              <w:bottom w:val="nil"/>
            </w:tcBorders>
          </w:tcPr>
          <w:p w14:paraId="379928CE" w14:textId="77777777" w:rsidR="00240669" w:rsidRPr="00240669" w:rsidRDefault="00240669" w:rsidP="00240669">
            <w:pPr>
              <w:spacing w:after="0" w:line="360" w:lineRule="auto"/>
              <w:ind w:right="45" w:firstLine="42"/>
              <w:jc w:val="both"/>
              <w:rPr>
                <w:rFonts w:asciiTheme="majorBidi" w:hAnsiTheme="majorBidi" w:cstheme="majorBidi"/>
                <w:color w:val="000000"/>
                <w:sz w:val="24"/>
                <w:szCs w:val="24"/>
                <w:lang w:val="id"/>
              </w:rPr>
            </w:pPr>
          </w:p>
        </w:tc>
        <w:tc>
          <w:tcPr>
            <w:tcW w:w="914" w:type="pct"/>
            <w:tcBorders>
              <w:top w:val="single" w:sz="4" w:space="0" w:color="auto"/>
              <w:bottom w:val="nil"/>
            </w:tcBorders>
          </w:tcPr>
          <w:p w14:paraId="09BF27A7" w14:textId="77777777" w:rsidR="00240669" w:rsidRPr="00240669" w:rsidRDefault="00240669" w:rsidP="00240669">
            <w:pPr>
              <w:spacing w:after="0" w:line="360" w:lineRule="auto"/>
              <w:ind w:right="45" w:firstLine="42"/>
              <w:jc w:val="both"/>
              <w:rPr>
                <w:rFonts w:asciiTheme="majorBidi" w:hAnsiTheme="majorBidi" w:cstheme="majorBidi"/>
                <w:color w:val="000000"/>
                <w:sz w:val="24"/>
                <w:szCs w:val="24"/>
                <w:lang w:val="id"/>
              </w:rPr>
            </w:pPr>
          </w:p>
        </w:tc>
        <w:tc>
          <w:tcPr>
            <w:tcW w:w="419" w:type="pct"/>
            <w:tcBorders>
              <w:top w:val="single" w:sz="4" w:space="0" w:color="auto"/>
              <w:bottom w:val="nil"/>
            </w:tcBorders>
          </w:tcPr>
          <w:p w14:paraId="0560E9B8" w14:textId="77777777" w:rsidR="00240669" w:rsidRPr="00240669" w:rsidRDefault="00240669" w:rsidP="00240669">
            <w:pPr>
              <w:spacing w:after="0" w:line="360" w:lineRule="auto"/>
              <w:ind w:right="45" w:firstLine="42"/>
              <w:jc w:val="both"/>
              <w:rPr>
                <w:rFonts w:asciiTheme="majorBidi" w:hAnsiTheme="majorBidi" w:cstheme="majorBidi"/>
                <w:color w:val="000000"/>
                <w:sz w:val="24"/>
                <w:szCs w:val="24"/>
                <w:lang w:val="id"/>
              </w:rPr>
            </w:pPr>
          </w:p>
        </w:tc>
      </w:tr>
      <w:tr w:rsidR="00240669" w:rsidRPr="00240669" w14:paraId="495C690D" w14:textId="77777777" w:rsidTr="00240669">
        <w:trPr>
          <w:jc w:val="center"/>
        </w:trPr>
        <w:tc>
          <w:tcPr>
            <w:tcW w:w="645" w:type="pct"/>
            <w:tcBorders>
              <w:top w:val="nil"/>
            </w:tcBorders>
          </w:tcPr>
          <w:p w14:paraId="0E770342" w14:textId="77777777" w:rsidR="00240669" w:rsidRPr="00240669" w:rsidRDefault="00240669" w:rsidP="00240669">
            <w:pPr>
              <w:spacing w:after="0" w:line="360" w:lineRule="auto"/>
              <w:ind w:right="45" w:firstLine="42"/>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WB</w:t>
            </w:r>
          </w:p>
        </w:tc>
        <w:tc>
          <w:tcPr>
            <w:tcW w:w="815" w:type="pct"/>
          </w:tcPr>
          <w:p w14:paraId="06C4B9D8" w14:textId="77777777" w:rsidR="00240669" w:rsidRPr="00240669" w:rsidRDefault="00240669" w:rsidP="00240669">
            <w:pPr>
              <w:spacing w:after="0" w:line="360" w:lineRule="auto"/>
              <w:ind w:right="45" w:firstLine="42"/>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23,49% (SD 6,74)</w:t>
            </w:r>
          </w:p>
        </w:tc>
        <w:tc>
          <w:tcPr>
            <w:tcW w:w="856" w:type="pct"/>
          </w:tcPr>
          <w:p w14:paraId="441A5628" w14:textId="77777777" w:rsidR="00240669" w:rsidRPr="00240669" w:rsidRDefault="00240669" w:rsidP="00240669">
            <w:pPr>
              <w:spacing w:after="0" w:line="360" w:lineRule="auto"/>
              <w:ind w:right="45" w:firstLine="42"/>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25,18% (SD 7,35)</w:t>
            </w:r>
          </w:p>
        </w:tc>
        <w:tc>
          <w:tcPr>
            <w:tcW w:w="451" w:type="pct"/>
            <w:tcBorders>
              <w:top w:val="nil"/>
            </w:tcBorders>
          </w:tcPr>
          <w:p w14:paraId="41680955" w14:textId="77777777" w:rsidR="00240669" w:rsidRPr="00240669" w:rsidRDefault="00240669" w:rsidP="00240669">
            <w:pPr>
              <w:spacing w:after="0" w:line="360" w:lineRule="auto"/>
              <w:ind w:right="45" w:firstLine="42"/>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0,093</w:t>
            </w:r>
          </w:p>
        </w:tc>
        <w:tc>
          <w:tcPr>
            <w:tcW w:w="899" w:type="pct"/>
            <w:tcBorders>
              <w:top w:val="nil"/>
            </w:tcBorders>
          </w:tcPr>
          <w:p w14:paraId="4F3AE2B0" w14:textId="77777777" w:rsidR="00240669" w:rsidRPr="00240669" w:rsidRDefault="00240669" w:rsidP="00240669">
            <w:pPr>
              <w:spacing w:after="0" w:line="360" w:lineRule="auto"/>
              <w:ind w:right="45" w:firstLine="42"/>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26,8% (5,9)</w:t>
            </w:r>
          </w:p>
        </w:tc>
        <w:tc>
          <w:tcPr>
            <w:tcW w:w="914" w:type="pct"/>
            <w:tcBorders>
              <w:top w:val="nil"/>
            </w:tcBorders>
          </w:tcPr>
          <w:p w14:paraId="2117477E" w14:textId="77777777" w:rsidR="00240669" w:rsidRPr="00240669" w:rsidRDefault="00240669" w:rsidP="00240669">
            <w:pPr>
              <w:spacing w:after="0" w:line="360" w:lineRule="auto"/>
              <w:ind w:right="45" w:firstLine="42"/>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26,75% (5)</w:t>
            </w:r>
          </w:p>
        </w:tc>
        <w:tc>
          <w:tcPr>
            <w:tcW w:w="419" w:type="pct"/>
            <w:tcBorders>
              <w:top w:val="nil"/>
            </w:tcBorders>
          </w:tcPr>
          <w:p w14:paraId="151E602D" w14:textId="77777777" w:rsidR="00240669" w:rsidRPr="00240669" w:rsidRDefault="00240669" w:rsidP="00240669">
            <w:pPr>
              <w:spacing w:after="0" w:line="360" w:lineRule="auto"/>
              <w:ind w:right="45" w:firstLine="42"/>
              <w:jc w:val="both"/>
              <w:rPr>
                <w:rFonts w:asciiTheme="majorBidi" w:hAnsiTheme="majorBidi" w:cstheme="majorBidi"/>
                <w:color w:val="000000"/>
                <w:sz w:val="24"/>
                <w:szCs w:val="24"/>
                <w:lang w:val="en-US"/>
              </w:rPr>
            </w:pPr>
            <w:r w:rsidRPr="00240669">
              <w:rPr>
                <w:rFonts w:asciiTheme="majorBidi" w:hAnsiTheme="majorBidi" w:cstheme="majorBidi"/>
                <w:color w:val="000000"/>
                <w:sz w:val="24"/>
                <w:szCs w:val="24"/>
              </w:rPr>
              <w:t>0,399*</w:t>
            </w:r>
          </w:p>
        </w:tc>
      </w:tr>
      <w:tr w:rsidR="00240669" w:rsidRPr="00240669" w14:paraId="3E63CA5B" w14:textId="77777777" w:rsidTr="00240669">
        <w:trPr>
          <w:jc w:val="center"/>
        </w:trPr>
        <w:tc>
          <w:tcPr>
            <w:tcW w:w="645" w:type="pct"/>
          </w:tcPr>
          <w:p w14:paraId="7936F53B" w14:textId="77777777" w:rsidR="00240669" w:rsidRPr="00240669" w:rsidRDefault="00240669" w:rsidP="00240669">
            <w:pPr>
              <w:spacing w:after="0" w:line="360" w:lineRule="auto"/>
              <w:ind w:right="45" w:firstLine="42"/>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Trunks</w:t>
            </w:r>
          </w:p>
        </w:tc>
        <w:tc>
          <w:tcPr>
            <w:tcW w:w="815" w:type="pct"/>
          </w:tcPr>
          <w:p w14:paraId="4C6ACCA6" w14:textId="77777777" w:rsidR="00240669" w:rsidRPr="00240669" w:rsidRDefault="00240669" w:rsidP="00240669">
            <w:pPr>
              <w:spacing w:after="0" w:line="360" w:lineRule="auto"/>
              <w:ind w:right="45" w:firstLine="42"/>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21,9% (10)</w:t>
            </w:r>
          </w:p>
        </w:tc>
        <w:tc>
          <w:tcPr>
            <w:tcW w:w="856" w:type="pct"/>
          </w:tcPr>
          <w:p w14:paraId="3839CBA8" w14:textId="77777777" w:rsidR="00240669" w:rsidRPr="00240669" w:rsidRDefault="00240669" w:rsidP="00240669">
            <w:pPr>
              <w:spacing w:after="0" w:line="360" w:lineRule="auto"/>
              <w:ind w:right="45" w:firstLine="42"/>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22,35% (SD 6,90)</w:t>
            </w:r>
          </w:p>
        </w:tc>
        <w:tc>
          <w:tcPr>
            <w:tcW w:w="451" w:type="pct"/>
          </w:tcPr>
          <w:p w14:paraId="1C46AD39" w14:textId="77777777" w:rsidR="00240669" w:rsidRPr="00240669" w:rsidRDefault="00240669" w:rsidP="00240669">
            <w:pPr>
              <w:spacing w:after="0" w:line="360" w:lineRule="auto"/>
              <w:ind w:right="45" w:firstLine="42"/>
              <w:jc w:val="both"/>
              <w:rPr>
                <w:rFonts w:asciiTheme="majorBidi" w:hAnsiTheme="majorBidi" w:cstheme="majorBidi"/>
                <w:color w:val="000000"/>
                <w:sz w:val="24"/>
                <w:szCs w:val="24"/>
                <w:lang w:val="en-US"/>
              </w:rPr>
            </w:pPr>
            <w:r w:rsidRPr="00240669">
              <w:rPr>
                <w:rFonts w:asciiTheme="majorBidi" w:hAnsiTheme="majorBidi" w:cstheme="majorBidi"/>
                <w:color w:val="000000"/>
                <w:sz w:val="24"/>
                <w:szCs w:val="24"/>
              </w:rPr>
              <w:t>0,086*</w:t>
            </w:r>
          </w:p>
        </w:tc>
        <w:tc>
          <w:tcPr>
            <w:tcW w:w="899" w:type="pct"/>
          </w:tcPr>
          <w:p w14:paraId="5E70183B" w14:textId="77777777" w:rsidR="00240669" w:rsidRPr="00240669" w:rsidRDefault="00240669" w:rsidP="00240669">
            <w:pPr>
              <w:spacing w:after="0" w:line="360" w:lineRule="auto"/>
              <w:ind w:right="45" w:firstLine="42"/>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24% (6,1)</w:t>
            </w:r>
          </w:p>
        </w:tc>
        <w:tc>
          <w:tcPr>
            <w:tcW w:w="914" w:type="pct"/>
          </w:tcPr>
          <w:p w14:paraId="0D5E75F0" w14:textId="77777777" w:rsidR="00240669" w:rsidRPr="00240669" w:rsidRDefault="00240669" w:rsidP="00240669">
            <w:pPr>
              <w:spacing w:after="0" w:line="360" w:lineRule="auto"/>
              <w:ind w:right="45" w:firstLine="42"/>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23,55% (4,4)</w:t>
            </w:r>
          </w:p>
        </w:tc>
        <w:tc>
          <w:tcPr>
            <w:tcW w:w="419" w:type="pct"/>
          </w:tcPr>
          <w:p w14:paraId="7BDF3E3E" w14:textId="77777777" w:rsidR="00240669" w:rsidRPr="00240669" w:rsidRDefault="00240669" w:rsidP="00240669">
            <w:pPr>
              <w:spacing w:after="0" w:line="360" w:lineRule="auto"/>
              <w:ind w:right="45" w:firstLine="42"/>
              <w:jc w:val="both"/>
              <w:rPr>
                <w:rFonts w:asciiTheme="majorBidi" w:hAnsiTheme="majorBidi" w:cstheme="majorBidi"/>
                <w:color w:val="000000"/>
                <w:sz w:val="24"/>
                <w:szCs w:val="24"/>
                <w:lang w:val="en-US"/>
              </w:rPr>
            </w:pPr>
            <w:r w:rsidRPr="00240669">
              <w:rPr>
                <w:rFonts w:asciiTheme="majorBidi" w:hAnsiTheme="majorBidi" w:cstheme="majorBidi"/>
                <w:color w:val="000000"/>
                <w:sz w:val="24"/>
                <w:szCs w:val="24"/>
              </w:rPr>
              <w:t>0,53*</w:t>
            </w:r>
          </w:p>
        </w:tc>
      </w:tr>
      <w:tr w:rsidR="00240669" w:rsidRPr="00240669" w14:paraId="67257052" w14:textId="77777777" w:rsidTr="00240669">
        <w:trPr>
          <w:jc w:val="center"/>
        </w:trPr>
        <w:tc>
          <w:tcPr>
            <w:tcW w:w="645" w:type="pct"/>
          </w:tcPr>
          <w:p w14:paraId="1556EC63" w14:textId="77777777" w:rsidR="00240669" w:rsidRPr="00240669" w:rsidRDefault="00240669" w:rsidP="00240669">
            <w:pPr>
              <w:spacing w:after="0" w:line="360" w:lineRule="auto"/>
              <w:ind w:right="45" w:firstLine="42"/>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Arms</w:t>
            </w:r>
          </w:p>
        </w:tc>
        <w:tc>
          <w:tcPr>
            <w:tcW w:w="815" w:type="pct"/>
          </w:tcPr>
          <w:p w14:paraId="42B757F3" w14:textId="77777777" w:rsidR="00240669" w:rsidRPr="00240669" w:rsidRDefault="00240669" w:rsidP="00240669">
            <w:pPr>
              <w:spacing w:after="0" w:line="360" w:lineRule="auto"/>
              <w:ind w:right="45" w:firstLine="42"/>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32,8% (19,3)</w:t>
            </w:r>
          </w:p>
        </w:tc>
        <w:tc>
          <w:tcPr>
            <w:tcW w:w="856" w:type="pct"/>
          </w:tcPr>
          <w:p w14:paraId="0EB5D1C8" w14:textId="77777777" w:rsidR="00240669" w:rsidRPr="00240669" w:rsidRDefault="00240669" w:rsidP="00240669">
            <w:pPr>
              <w:spacing w:after="0" w:line="360" w:lineRule="auto"/>
              <w:ind w:right="45" w:firstLine="42"/>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38,2% (19,2)</w:t>
            </w:r>
          </w:p>
        </w:tc>
        <w:tc>
          <w:tcPr>
            <w:tcW w:w="451" w:type="pct"/>
          </w:tcPr>
          <w:p w14:paraId="703DAA96" w14:textId="77777777" w:rsidR="00240669" w:rsidRPr="00240669" w:rsidRDefault="00240669" w:rsidP="00240669">
            <w:pPr>
              <w:spacing w:after="0" w:line="360" w:lineRule="auto"/>
              <w:ind w:right="45" w:firstLine="42"/>
              <w:jc w:val="both"/>
              <w:rPr>
                <w:rFonts w:asciiTheme="majorBidi" w:hAnsiTheme="majorBidi" w:cstheme="majorBidi"/>
                <w:color w:val="000000"/>
                <w:sz w:val="24"/>
                <w:szCs w:val="24"/>
                <w:lang w:val="en-US"/>
              </w:rPr>
            </w:pPr>
            <w:r w:rsidRPr="00240669">
              <w:rPr>
                <w:rFonts w:asciiTheme="majorBidi" w:hAnsiTheme="majorBidi" w:cstheme="majorBidi"/>
                <w:color w:val="000000"/>
                <w:sz w:val="24"/>
                <w:szCs w:val="24"/>
              </w:rPr>
              <w:t>0,161*</w:t>
            </w:r>
          </w:p>
        </w:tc>
        <w:tc>
          <w:tcPr>
            <w:tcW w:w="899" w:type="pct"/>
          </w:tcPr>
          <w:p w14:paraId="08C640E5" w14:textId="77777777" w:rsidR="00240669" w:rsidRPr="00240669" w:rsidRDefault="00240669" w:rsidP="00240669">
            <w:pPr>
              <w:spacing w:after="0" w:line="360" w:lineRule="auto"/>
              <w:ind w:right="45" w:firstLine="42"/>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42,5% (16,7)</w:t>
            </w:r>
          </w:p>
        </w:tc>
        <w:tc>
          <w:tcPr>
            <w:tcW w:w="914" w:type="pct"/>
          </w:tcPr>
          <w:p w14:paraId="38B4432B" w14:textId="77777777" w:rsidR="00240669" w:rsidRPr="00240669" w:rsidRDefault="00240669" w:rsidP="00240669">
            <w:pPr>
              <w:spacing w:after="0" w:line="360" w:lineRule="auto"/>
              <w:ind w:right="45" w:firstLine="42"/>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41,05% (17)</w:t>
            </w:r>
          </w:p>
        </w:tc>
        <w:tc>
          <w:tcPr>
            <w:tcW w:w="419" w:type="pct"/>
          </w:tcPr>
          <w:p w14:paraId="7681A860" w14:textId="77777777" w:rsidR="00240669" w:rsidRPr="00240669" w:rsidRDefault="00240669" w:rsidP="00240669">
            <w:pPr>
              <w:spacing w:after="0" w:line="360" w:lineRule="auto"/>
              <w:ind w:right="45" w:firstLine="42"/>
              <w:jc w:val="both"/>
              <w:rPr>
                <w:rFonts w:asciiTheme="majorBidi" w:hAnsiTheme="majorBidi" w:cstheme="majorBidi"/>
                <w:color w:val="000000"/>
                <w:sz w:val="24"/>
                <w:szCs w:val="24"/>
                <w:lang w:val="en-US"/>
              </w:rPr>
            </w:pPr>
            <w:r w:rsidRPr="00240669">
              <w:rPr>
                <w:rFonts w:asciiTheme="majorBidi" w:hAnsiTheme="majorBidi" w:cstheme="majorBidi"/>
                <w:color w:val="000000"/>
                <w:sz w:val="24"/>
                <w:szCs w:val="24"/>
              </w:rPr>
              <w:t>0,381*</w:t>
            </w:r>
          </w:p>
        </w:tc>
      </w:tr>
      <w:tr w:rsidR="00240669" w:rsidRPr="00240669" w14:paraId="79567EC5" w14:textId="77777777" w:rsidTr="00240669">
        <w:trPr>
          <w:jc w:val="center"/>
        </w:trPr>
        <w:tc>
          <w:tcPr>
            <w:tcW w:w="645" w:type="pct"/>
          </w:tcPr>
          <w:p w14:paraId="2252E6F6" w14:textId="77777777" w:rsidR="00240669" w:rsidRPr="00240669" w:rsidRDefault="00240669" w:rsidP="00240669">
            <w:pPr>
              <w:spacing w:after="0" w:line="360" w:lineRule="auto"/>
              <w:ind w:right="45" w:firstLine="42"/>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Legs</w:t>
            </w:r>
          </w:p>
        </w:tc>
        <w:tc>
          <w:tcPr>
            <w:tcW w:w="815" w:type="pct"/>
          </w:tcPr>
          <w:p w14:paraId="617337CB" w14:textId="77777777" w:rsidR="00240669" w:rsidRPr="00240669" w:rsidRDefault="00240669" w:rsidP="00240669">
            <w:pPr>
              <w:spacing w:after="0" w:line="360" w:lineRule="auto"/>
              <w:ind w:right="45" w:firstLine="42"/>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30,88% (SD 8,94)</w:t>
            </w:r>
          </w:p>
        </w:tc>
        <w:tc>
          <w:tcPr>
            <w:tcW w:w="856" w:type="pct"/>
          </w:tcPr>
          <w:p w14:paraId="1C304B14" w14:textId="77777777" w:rsidR="00240669" w:rsidRPr="00240669" w:rsidRDefault="00240669" w:rsidP="00240669">
            <w:pPr>
              <w:spacing w:after="0" w:line="360" w:lineRule="auto"/>
              <w:ind w:right="45" w:firstLine="42"/>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32,3% (14,8)</w:t>
            </w:r>
          </w:p>
        </w:tc>
        <w:tc>
          <w:tcPr>
            <w:tcW w:w="451" w:type="pct"/>
          </w:tcPr>
          <w:p w14:paraId="03BCFA10" w14:textId="77777777" w:rsidR="00240669" w:rsidRPr="00240669" w:rsidRDefault="00240669" w:rsidP="00240669">
            <w:pPr>
              <w:spacing w:after="0" w:line="360" w:lineRule="auto"/>
              <w:ind w:right="45" w:firstLine="42"/>
              <w:jc w:val="both"/>
              <w:rPr>
                <w:rFonts w:asciiTheme="majorBidi" w:hAnsiTheme="majorBidi" w:cstheme="majorBidi"/>
                <w:color w:val="000000"/>
                <w:sz w:val="24"/>
                <w:szCs w:val="24"/>
                <w:lang w:val="en-US"/>
              </w:rPr>
            </w:pPr>
            <w:r w:rsidRPr="00240669">
              <w:rPr>
                <w:rFonts w:asciiTheme="majorBidi" w:hAnsiTheme="majorBidi" w:cstheme="majorBidi"/>
                <w:color w:val="000000"/>
                <w:sz w:val="24"/>
                <w:szCs w:val="24"/>
              </w:rPr>
              <w:t>0,158*</w:t>
            </w:r>
          </w:p>
        </w:tc>
        <w:tc>
          <w:tcPr>
            <w:tcW w:w="899" w:type="pct"/>
          </w:tcPr>
          <w:p w14:paraId="03D1E958" w14:textId="77777777" w:rsidR="00240669" w:rsidRPr="00240669" w:rsidRDefault="00240669" w:rsidP="00240669">
            <w:pPr>
              <w:spacing w:after="0" w:line="360" w:lineRule="auto"/>
              <w:ind w:right="45" w:firstLine="42"/>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34,6% (8,5)</w:t>
            </w:r>
          </w:p>
        </w:tc>
        <w:tc>
          <w:tcPr>
            <w:tcW w:w="914" w:type="pct"/>
          </w:tcPr>
          <w:p w14:paraId="26F18AEB" w14:textId="77777777" w:rsidR="00240669" w:rsidRPr="00240669" w:rsidRDefault="00240669" w:rsidP="00240669">
            <w:pPr>
              <w:spacing w:after="0" w:line="360" w:lineRule="auto"/>
              <w:ind w:right="45" w:firstLine="42"/>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34,9% (7,2)</w:t>
            </w:r>
          </w:p>
        </w:tc>
        <w:tc>
          <w:tcPr>
            <w:tcW w:w="419" w:type="pct"/>
          </w:tcPr>
          <w:p w14:paraId="1B6B2AD2" w14:textId="77777777" w:rsidR="00240669" w:rsidRPr="00240669" w:rsidRDefault="00240669" w:rsidP="00240669">
            <w:pPr>
              <w:spacing w:after="0" w:line="360" w:lineRule="auto"/>
              <w:ind w:right="45" w:firstLine="42"/>
              <w:jc w:val="both"/>
              <w:rPr>
                <w:rFonts w:asciiTheme="majorBidi" w:hAnsiTheme="majorBidi" w:cstheme="majorBidi"/>
                <w:color w:val="000000"/>
                <w:sz w:val="24"/>
                <w:szCs w:val="24"/>
                <w:lang w:val="en-US"/>
              </w:rPr>
            </w:pPr>
            <w:r w:rsidRPr="00240669">
              <w:rPr>
                <w:rFonts w:asciiTheme="majorBidi" w:hAnsiTheme="majorBidi" w:cstheme="majorBidi"/>
                <w:color w:val="000000"/>
                <w:sz w:val="24"/>
                <w:szCs w:val="24"/>
              </w:rPr>
              <w:t>0,721*</w:t>
            </w:r>
          </w:p>
        </w:tc>
      </w:tr>
      <w:tr w:rsidR="00240669" w:rsidRPr="00240669" w14:paraId="249BB0F4" w14:textId="77777777" w:rsidTr="00240669">
        <w:trPr>
          <w:jc w:val="center"/>
        </w:trPr>
        <w:tc>
          <w:tcPr>
            <w:tcW w:w="645" w:type="pct"/>
          </w:tcPr>
          <w:p w14:paraId="064A4C86" w14:textId="77777777" w:rsidR="00240669" w:rsidRPr="00240669" w:rsidRDefault="00240669" w:rsidP="00240669">
            <w:pPr>
              <w:spacing w:after="0" w:line="360" w:lineRule="auto"/>
              <w:ind w:right="45" w:firstLine="42"/>
              <w:jc w:val="both"/>
              <w:rPr>
                <w:rFonts w:asciiTheme="majorBidi" w:hAnsiTheme="majorBidi" w:cstheme="majorBidi"/>
                <w:b/>
                <w:bCs/>
                <w:color w:val="000000"/>
                <w:sz w:val="24"/>
                <w:szCs w:val="24"/>
                <w:lang w:val="id"/>
              </w:rPr>
            </w:pPr>
            <w:r w:rsidRPr="00240669">
              <w:rPr>
                <w:rFonts w:asciiTheme="majorBidi" w:hAnsiTheme="majorBidi" w:cstheme="majorBidi"/>
                <w:b/>
                <w:color w:val="000000"/>
                <w:sz w:val="24"/>
                <w:szCs w:val="24"/>
              </w:rPr>
              <w:t>Muscle Mass</w:t>
            </w:r>
          </w:p>
        </w:tc>
        <w:tc>
          <w:tcPr>
            <w:tcW w:w="815" w:type="pct"/>
          </w:tcPr>
          <w:p w14:paraId="6B665505" w14:textId="77777777" w:rsidR="00240669" w:rsidRPr="00240669" w:rsidRDefault="00240669" w:rsidP="00240669">
            <w:pPr>
              <w:spacing w:after="0" w:line="360" w:lineRule="auto"/>
              <w:ind w:right="45" w:firstLine="42"/>
              <w:jc w:val="both"/>
              <w:rPr>
                <w:rFonts w:asciiTheme="majorBidi" w:hAnsiTheme="majorBidi" w:cstheme="majorBidi"/>
                <w:color w:val="000000"/>
                <w:sz w:val="24"/>
                <w:szCs w:val="24"/>
                <w:lang w:val="id"/>
              </w:rPr>
            </w:pPr>
          </w:p>
        </w:tc>
        <w:tc>
          <w:tcPr>
            <w:tcW w:w="856" w:type="pct"/>
          </w:tcPr>
          <w:p w14:paraId="4FD87E54" w14:textId="77777777" w:rsidR="00240669" w:rsidRPr="00240669" w:rsidRDefault="00240669" w:rsidP="00240669">
            <w:pPr>
              <w:spacing w:after="0" w:line="360" w:lineRule="auto"/>
              <w:ind w:right="45" w:firstLine="42"/>
              <w:jc w:val="both"/>
              <w:rPr>
                <w:rFonts w:asciiTheme="majorBidi" w:hAnsiTheme="majorBidi" w:cstheme="majorBidi"/>
                <w:color w:val="000000"/>
                <w:sz w:val="24"/>
                <w:szCs w:val="24"/>
                <w:lang w:val="id"/>
              </w:rPr>
            </w:pPr>
          </w:p>
        </w:tc>
        <w:tc>
          <w:tcPr>
            <w:tcW w:w="451" w:type="pct"/>
          </w:tcPr>
          <w:p w14:paraId="3F732A5E" w14:textId="77777777" w:rsidR="00240669" w:rsidRPr="00240669" w:rsidRDefault="00240669" w:rsidP="00240669">
            <w:pPr>
              <w:spacing w:after="0" w:line="360" w:lineRule="auto"/>
              <w:ind w:right="45" w:firstLine="42"/>
              <w:jc w:val="both"/>
              <w:rPr>
                <w:rFonts w:asciiTheme="majorBidi" w:hAnsiTheme="majorBidi" w:cstheme="majorBidi"/>
                <w:color w:val="000000"/>
                <w:sz w:val="24"/>
                <w:szCs w:val="24"/>
                <w:lang w:val="id"/>
              </w:rPr>
            </w:pPr>
          </w:p>
        </w:tc>
        <w:tc>
          <w:tcPr>
            <w:tcW w:w="899" w:type="pct"/>
          </w:tcPr>
          <w:p w14:paraId="402D276C" w14:textId="77777777" w:rsidR="00240669" w:rsidRPr="00240669" w:rsidRDefault="00240669" w:rsidP="00240669">
            <w:pPr>
              <w:spacing w:after="0" w:line="360" w:lineRule="auto"/>
              <w:ind w:right="45" w:firstLine="42"/>
              <w:jc w:val="both"/>
              <w:rPr>
                <w:rFonts w:asciiTheme="majorBidi" w:hAnsiTheme="majorBidi" w:cstheme="majorBidi"/>
                <w:color w:val="000000"/>
                <w:sz w:val="24"/>
                <w:szCs w:val="24"/>
                <w:lang w:val="id"/>
              </w:rPr>
            </w:pPr>
          </w:p>
        </w:tc>
        <w:tc>
          <w:tcPr>
            <w:tcW w:w="914" w:type="pct"/>
          </w:tcPr>
          <w:p w14:paraId="1F4E3AD2" w14:textId="77777777" w:rsidR="00240669" w:rsidRPr="00240669" w:rsidRDefault="00240669" w:rsidP="00240669">
            <w:pPr>
              <w:spacing w:after="0" w:line="360" w:lineRule="auto"/>
              <w:ind w:right="45" w:firstLine="42"/>
              <w:jc w:val="both"/>
              <w:rPr>
                <w:rFonts w:asciiTheme="majorBidi" w:hAnsiTheme="majorBidi" w:cstheme="majorBidi"/>
                <w:color w:val="000000"/>
                <w:sz w:val="24"/>
                <w:szCs w:val="24"/>
                <w:lang w:val="id"/>
              </w:rPr>
            </w:pPr>
          </w:p>
        </w:tc>
        <w:tc>
          <w:tcPr>
            <w:tcW w:w="419" w:type="pct"/>
          </w:tcPr>
          <w:p w14:paraId="173342F0" w14:textId="77777777" w:rsidR="00240669" w:rsidRPr="00240669" w:rsidRDefault="00240669" w:rsidP="00240669">
            <w:pPr>
              <w:spacing w:after="0" w:line="360" w:lineRule="auto"/>
              <w:ind w:right="45" w:firstLine="42"/>
              <w:jc w:val="both"/>
              <w:rPr>
                <w:rFonts w:asciiTheme="majorBidi" w:hAnsiTheme="majorBidi" w:cstheme="majorBidi"/>
                <w:color w:val="000000"/>
                <w:sz w:val="24"/>
                <w:szCs w:val="24"/>
                <w:lang w:val="id"/>
              </w:rPr>
            </w:pPr>
          </w:p>
        </w:tc>
      </w:tr>
      <w:tr w:rsidR="00240669" w:rsidRPr="00240669" w14:paraId="3AC64A63" w14:textId="77777777" w:rsidTr="00240669">
        <w:trPr>
          <w:jc w:val="center"/>
        </w:trPr>
        <w:tc>
          <w:tcPr>
            <w:tcW w:w="645" w:type="pct"/>
          </w:tcPr>
          <w:p w14:paraId="03E04A39" w14:textId="77777777" w:rsidR="00240669" w:rsidRPr="00240669" w:rsidRDefault="00240669" w:rsidP="00240669">
            <w:pPr>
              <w:spacing w:after="0" w:line="360" w:lineRule="auto"/>
              <w:ind w:right="45" w:firstLine="42"/>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WB</w:t>
            </w:r>
          </w:p>
        </w:tc>
        <w:tc>
          <w:tcPr>
            <w:tcW w:w="815" w:type="pct"/>
          </w:tcPr>
          <w:p w14:paraId="4E8C2E6B" w14:textId="77777777" w:rsidR="00240669" w:rsidRPr="00240669" w:rsidRDefault="00240669" w:rsidP="00240669">
            <w:pPr>
              <w:spacing w:after="0" w:line="360" w:lineRule="auto"/>
              <w:ind w:right="45" w:firstLine="42"/>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23,93% (SD 2,54)</w:t>
            </w:r>
          </w:p>
        </w:tc>
        <w:tc>
          <w:tcPr>
            <w:tcW w:w="856" w:type="pct"/>
          </w:tcPr>
          <w:p w14:paraId="72DDA42C" w14:textId="77777777" w:rsidR="00240669" w:rsidRPr="00240669" w:rsidRDefault="00240669" w:rsidP="00240669">
            <w:pPr>
              <w:spacing w:after="0" w:line="360" w:lineRule="auto"/>
              <w:ind w:right="45" w:firstLine="42"/>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22,3% (4,4)</w:t>
            </w:r>
          </w:p>
        </w:tc>
        <w:tc>
          <w:tcPr>
            <w:tcW w:w="451" w:type="pct"/>
          </w:tcPr>
          <w:p w14:paraId="3BF01C01" w14:textId="77777777" w:rsidR="00240669" w:rsidRPr="00240669" w:rsidRDefault="00240669" w:rsidP="00240669">
            <w:pPr>
              <w:spacing w:after="0" w:line="360" w:lineRule="auto"/>
              <w:ind w:right="45" w:firstLine="42"/>
              <w:jc w:val="both"/>
              <w:rPr>
                <w:rFonts w:asciiTheme="majorBidi" w:hAnsiTheme="majorBidi" w:cstheme="majorBidi"/>
                <w:color w:val="000000"/>
                <w:sz w:val="24"/>
                <w:szCs w:val="24"/>
                <w:lang w:val="en-US"/>
              </w:rPr>
            </w:pPr>
            <w:r w:rsidRPr="00240669">
              <w:rPr>
                <w:rFonts w:asciiTheme="majorBidi" w:hAnsiTheme="majorBidi" w:cstheme="majorBidi"/>
                <w:color w:val="000000"/>
                <w:sz w:val="24"/>
                <w:szCs w:val="24"/>
              </w:rPr>
              <w:t>0,058*</w:t>
            </w:r>
          </w:p>
        </w:tc>
        <w:tc>
          <w:tcPr>
            <w:tcW w:w="899" w:type="pct"/>
          </w:tcPr>
          <w:p w14:paraId="056F1B1F" w14:textId="77777777" w:rsidR="00240669" w:rsidRPr="00240669" w:rsidRDefault="00240669" w:rsidP="00240669">
            <w:pPr>
              <w:spacing w:after="0" w:line="360" w:lineRule="auto"/>
              <w:ind w:right="45" w:firstLine="42"/>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22,6% (4,3)</w:t>
            </w:r>
          </w:p>
        </w:tc>
        <w:tc>
          <w:tcPr>
            <w:tcW w:w="914" w:type="pct"/>
          </w:tcPr>
          <w:p w14:paraId="1270360D" w14:textId="77777777" w:rsidR="00240669" w:rsidRPr="00240669" w:rsidRDefault="00240669" w:rsidP="00240669">
            <w:pPr>
              <w:spacing w:after="0" w:line="360" w:lineRule="auto"/>
              <w:ind w:right="45" w:firstLine="42"/>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21,8 (19,3 – 24,45)</w:t>
            </w:r>
          </w:p>
        </w:tc>
        <w:tc>
          <w:tcPr>
            <w:tcW w:w="419" w:type="pct"/>
          </w:tcPr>
          <w:p w14:paraId="75D656A1" w14:textId="77777777" w:rsidR="00240669" w:rsidRPr="00240669" w:rsidRDefault="00240669" w:rsidP="00240669">
            <w:pPr>
              <w:spacing w:after="0" w:line="360" w:lineRule="auto"/>
              <w:ind w:right="45" w:firstLine="42"/>
              <w:jc w:val="both"/>
              <w:rPr>
                <w:rFonts w:asciiTheme="majorBidi" w:hAnsiTheme="majorBidi" w:cstheme="majorBidi"/>
                <w:color w:val="000000"/>
                <w:sz w:val="24"/>
                <w:szCs w:val="24"/>
                <w:lang w:val="en-US"/>
              </w:rPr>
            </w:pPr>
            <w:r w:rsidRPr="00240669">
              <w:rPr>
                <w:rFonts w:asciiTheme="majorBidi" w:hAnsiTheme="majorBidi" w:cstheme="majorBidi"/>
                <w:color w:val="000000"/>
                <w:sz w:val="24"/>
                <w:szCs w:val="24"/>
              </w:rPr>
              <w:t>0,029*</w:t>
            </w:r>
          </w:p>
        </w:tc>
      </w:tr>
      <w:tr w:rsidR="00240669" w:rsidRPr="00240669" w14:paraId="54E36687" w14:textId="77777777" w:rsidTr="00240669">
        <w:trPr>
          <w:jc w:val="center"/>
        </w:trPr>
        <w:tc>
          <w:tcPr>
            <w:tcW w:w="645" w:type="pct"/>
          </w:tcPr>
          <w:p w14:paraId="64208105" w14:textId="77777777" w:rsidR="00240669" w:rsidRPr="00240669" w:rsidRDefault="00240669" w:rsidP="00240669">
            <w:pPr>
              <w:spacing w:after="0" w:line="360" w:lineRule="auto"/>
              <w:ind w:right="45" w:firstLine="42"/>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Trunks</w:t>
            </w:r>
          </w:p>
        </w:tc>
        <w:tc>
          <w:tcPr>
            <w:tcW w:w="815" w:type="pct"/>
          </w:tcPr>
          <w:p w14:paraId="4E027A7A" w14:textId="77777777" w:rsidR="00240669" w:rsidRPr="00240669" w:rsidRDefault="00240669" w:rsidP="00240669">
            <w:pPr>
              <w:spacing w:after="0" w:line="360" w:lineRule="auto"/>
              <w:ind w:right="45" w:firstLine="42"/>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17,35% (SD 2,94)</w:t>
            </w:r>
          </w:p>
        </w:tc>
        <w:tc>
          <w:tcPr>
            <w:tcW w:w="856" w:type="pct"/>
          </w:tcPr>
          <w:p w14:paraId="5021761B" w14:textId="77777777" w:rsidR="00240669" w:rsidRPr="00240669" w:rsidRDefault="00240669" w:rsidP="00240669">
            <w:pPr>
              <w:spacing w:after="0" w:line="360" w:lineRule="auto"/>
              <w:ind w:right="45" w:firstLine="42"/>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16,57% (SD 3,72)</w:t>
            </w:r>
          </w:p>
        </w:tc>
        <w:tc>
          <w:tcPr>
            <w:tcW w:w="451" w:type="pct"/>
          </w:tcPr>
          <w:p w14:paraId="2EBCD735" w14:textId="77777777" w:rsidR="00240669" w:rsidRPr="00240669" w:rsidRDefault="00240669" w:rsidP="00240669">
            <w:pPr>
              <w:spacing w:after="0" w:line="360" w:lineRule="auto"/>
              <w:ind w:right="45" w:firstLine="42"/>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0,094</w:t>
            </w:r>
          </w:p>
        </w:tc>
        <w:tc>
          <w:tcPr>
            <w:tcW w:w="899" w:type="pct"/>
          </w:tcPr>
          <w:p w14:paraId="1D98C73A" w14:textId="77777777" w:rsidR="00240669" w:rsidRPr="00240669" w:rsidRDefault="00240669" w:rsidP="00240669">
            <w:pPr>
              <w:spacing w:after="0" w:line="360" w:lineRule="auto"/>
              <w:ind w:right="45" w:firstLine="42"/>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16,45% (3,9)</w:t>
            </w:r>
          </w:p>
        </w:tc>
        <w:tc>
          <w:tcPr>
            <w:tcW w:w="914" w:type="pct"/>
          </w:tcPr>
          <w:p w14:paraId="091FADAD" w14:textId="77777777" w:rsidR="00240669" w:rsidRPr="00240669" w:rsidRDefault="00240669" w:rsidP="00240669">
            <w:pPr>
              <w:spacing w:after="0" w:line="360" w:lineRule="auto"/>
              <w:ind w:right="45" w:firstLine="42"/>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16,1 (13,1 – 17,6)</w:t>
            </w:r>
          </w:p>
        </w:tc>
        <w:tc>
          <w:tcPr>
            <w:tcW w:w="419" w:type="pct"/>
          </w:tcPr>
          <w:p w14:paraId="1F5682C4" w14:textId="77777777" w:rsidR="00240669" w:rsidRPr="00240669" w:rsidRDefault="00240669" w:rsidP="00240669">
            <w:pPr>
              <w:spacing w:after="0" w:line="360" w:lineRule="auto"/>
              <w:ind w:right="45" w:firstLine="42"/>
              <w:jc w:val="both"/>
              <w:rPr>
                <w:rFonts w:asciiTheme="majorBidi" w:hAnsiTheme="majorBidi" w:cstheme="majorBidi"/>
                <w:color w:val="000000"/>
                <w:sz w:val="24"/>
                <w:szCs w:val="24"/>
                <w:lang w:val="en-US"/>
              </w:rPr>
            </w:pPr>
            <w:r w:rsidRPr="00240669">
              <w:rPr>
                <w:rFonts w:asciiTheme="majorBidi" w:hAnsiTheme="majorBidi" w:cstheme="majorBidi"/>
                <w:color w:val="000000"/>
                <w:sz w:val="24"/>
                <w:szCs w:val="24"/>
              </w:rPr>
              <w:t>0,416*</w:t>
            </w:r>
          </w:p>
        </w:tc>
      </w:tr>
      <w:tr w:rsidR="00240669" w:rsidRPr="00240669" w14:paraId="29607E1C" w14:textId="77777777" w:rsidTr="00240669">
        <w:trPr>
          <w:jc w:val="center"/>
        </w:trPr>
        <w:tc>
          <w:tcPr>
            <w:tcW w:w="645" w:type="pct"/>
          </w:tcPr>
          <w:p w14:paraId="32E13444" w14:textId="77777777" w:rsidR="00240669" w:rsidRPr="00240669" w:rsidRDefault="00240669" w:rsidP="00240669">
            <w:pPr>
              <w:spacing w:after="0" w:line="360" w:lineRule="auto"/>
              <w:ind w:right="45" w:firstLine="42"/>
              <w:jc w:val="both"/>
              <w:rPr>
                <w:rFonts w:asciiTheme="majorBidi" w:hAnsiTheme="majorBidi" w:cstheme="majorBidi"/>
                <w:color w:val="000000"/>
                <w:sz w:val="24"/>
                <w:szCs w:val="24"/>
                <w:lang w:val="en-US"/>
              </w:rPr>
            </w:pPr>
            <w:r w:rsidRPr="00240669">
              <w:rPr>
                <w:rFonts w:asciiTheme="majorBidi" w:hAnsiTheme="majorBidi" w:cstheme="majorBidi"/>
                <w:color w:val="000000"/>
                <w:sz w:val="24"/>
                <w:szCs w:val="24"/>
              </w:rPr>
              <w:t>Cute</w:t>
            </w:r>
          </w:p>
        </w:tc>
        <w:tc>
          <w:tcPr>
            <w:tcW w:w="815" w:type="pct"/>
          </w:tcPr>
          <w:p w14:paraId="049EEBC6" w14:textId="77777777" w:rsidR="00240669" w:rsidRPr="00240669" w:rsidRDefault="00240669" w:rsidP="00240669">
            <w:pPr>
              <w:spacing w:after="0" w:line="360" w:lineRule="auto"/>
              <w:ind w:right="45" w:firstLine="42"/>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31,6% (7,2)</w:t>
            </w:r>
          </w:p>
        </w:tc>
        <w:tc>
          <w:tcPr>
            <w:tcW w:w="856" w:type="pct"/>
          </w:tcPr>
          <w:p w14:paraId="5FC7C0F4" w14:textId="77777777" w:rsidR="00240669" w:rsidRPr="00240669" w:rsidRDefault="00240669" w:rsidP="00240669">
            <w:pPr>
              <w:spacing w:after="0" w:line="360" w:lineRule="auto"/>
              <w:ind w:right="45" w:firstLine="42"/>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28,18% (5,74)</w:t>
            </w:r>
          </w:p>
        </w:tc>
        <w:tc>
          <w:tcPr>
            <w:tcW w:w="451" w:type="pct"/>
          </w:tcPr>
          <w:p w14:paraId="0D42290F" w14:textId="77777777" w:rsidR="00240669" w:rsidRPr="00240669" w:rsidRDefault="00240669" w:rsidP="00240669">
            <w:pPr>
              <w:spacing w:after="0" w:line="360" w:lineRule="auto"/>
              <w:ind w:right="45" w:firstLine="42"/>
              <w:jc w:val="both"/>
              <w:rPr>
                <w:rFonts w:asciiTheme="majorBidi" w:hAnsiTheme="majorBidi" w:cstheme="majorBidi"/>
                <w:color w:val="000000"/>
                <w:sz w:val="24"/>
                <w:szCs w:val="24"/>
                <w:lang w:val="en-US"/>
              </w:rPr>
            </w:pPr>
            <w:r w:rsidRPr="00240669">
              <w:rPr>
                <w:rFonts w:asciiTheme="majorBidi" w:hAnsiTheme="majorBidi" w:cstheme="majorBidi"/>
                <w:color w:val="000000"/>
                <w:sz w:val="24"/>
                <w:szCs w:val="24"/>
              </w:rPr>
              <w:t>0,187*</w:t>
            </w:r>
          </w:p>
        </w:tc>
        <w:tc>
          <w:tcPr>
            <w:tcW w:w="899" w:type="pct"/>
          </w:tcPr>
          <w:p w14:paraId="3E2DE4D0" w14:textId="77777777" w:rsidR="00240669" w:rsidRPr="00240669" w:rsidRDefault="00240669" w:rsidP="00240669">
            <w:pPr>
              <w:spacing w:after="0" w:line="360" w:lineRule="auto"/>
              <w:ind w:right="45" w:firstLine="42"/>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26,4% (8,8)</w:t>
            </w:r>
          </w:p>
        </w:tc>
        <w:tc>
          <w:tcPr>
            <w:tcW w:w="914" w:type="pct"/>
          </w:tcPr>
          <w:p w14:paraId="01AFDA88" w14:textId="77777777" w:rsidR="00240669" w:rsidRPr="00240669" w:rsidRDefault="00240669" w:rsidP="00240669">
            <w:pPr>
              <w:spacing w:after="0" w:line="360" w:lineRule="auto"/>
              <w:ind w:right="45" w:firstLine="42"/>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26,35 (23,97 – 31,35)</w:t>
            </w:r>
          </w:p>
        </w:tc>
        <w:tc>
          <w:tcPr>
            <w:tcW w:w="419" w:type="pct"/>
          </w:tcPr>
          <w:p w14:paraId="525F3426" w14:textId="77777777" w:rsidR="00240669" w:rsidRPr="00240669" w:rsidRDefault="00240669" w:rsidP="00240669">
            <w:pPr>
              <w:spacing w:after="0" w:line="360" w:lineRule="auto"/>
              <w:ind w:right="45" w:firstLine="42"/>
              <w:jc w:val="both"/>
              <w:rPr>
                <w:rFonts w:asciiTheme="majorBidi" w:hAnsiTheme="majorBidi" w:cstheme="majorBidi"/>
                <w:color w:val="000000"/>
                <w:sz w:val="24"/>
                <w:szCs w:val="24"/>
                <w:lang w:val="en-US"/>
              </w:rPr>
            </w:pPr>
            <w:r w:rsidRPr="00240669">
              <w:rPr>
                <w:rFonts w:asciiTheme="majorBidi" w:hAnsiTheme="majorBidi" w:cstheme="majorBidi"/>
                <w:color w:val="000000"/>
                <w:sz w:val="24"/>
                <w:szCs w:val="24"/>
              </w:rPr>
              <w:t>0,704*</w:t>
            </w:r>
          </w:p>
        </w:tc>
      </w:tr>
      <w:tr w:rsidR="00240669" w:rsidRPr="00240669" w14:paraId="477D1479" w14:textId="77777777" w:rsidTr="00240669">
        <w:trPr>
          <w:jc w:val="center"/>
        </w:trPr>
        <w:tc>
          <w:tcPr>
            <w:tcW w:w="645" w:type="pct"/>
          </w:tcPr>
          <w:p w14:paraId="75D2BCA7" w14:textId="77777777" w:rsidR="00240669" w:rsidRPr="00240669" w:rsidRDefault="00240669" w:rsidP="00240669">
            <w:pPr>
              <w:spacing w:after="0" w:line="360" w:lineRule="auto"/>
              <w:ind w:right="45" w:firstLine="42"/>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Legs</w:t>
            </w:r>
          </w:p>
        </w:tc>
        <w:tc>
          <w:tcPr>
            <w:tcW w:w="815" w:type="pct"/>
          </w:tcPr>
          <w:p w14:paraId="309C539F" w14:textId="77777777" w:rsidR="00240669" w:rsidRPr="00240669" w:rsidRDefault="00240669" w:rsidP="00240669">
            <w:pPr>
              <w:spacing w:after="0" w:line="360" w:lineRule="auto"/>
              <w:ind w:right="45" w:firstLine="42"/>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39,19% (SD 4,55)</w:t>
            </w:r>
          </w:p>
        </w:tc>
        <w:tc>
          <w:tcPr>
            <w:tcW w:w="856" w:type="pct"/>
          </w:tcPr>
          <w:p w14:paraId="7840C576" w14:textId="77777777" w:rsidR="00240669" w:rsidRPr="00240669" w:rsidRDefault="00240669" w:rsidP="00240669">
            <w:pPr>
              <w:spacing w:after="0" w:line="360" w:lineRule="auto"/>
              <w:ind w:right="45" w:firstLine="42"/>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37,04 (4,26)</w:t>
            </w:r>
          </w:p>
        </w:tc>
        <w:tc>
          <w:tcPr>
            <w:tcW w:w="451" w:type="pct"/>
          </w:tcPr>
          <w:p w14:paraId="67E443BD" w14:textId="77777777" w:rsidR="00240669" w:rsidRPr="00240669" w:rsidRDefault="00240669" w:rsidP="00240669">
            <w:pPr>
              <w:spacing w:after="0" w:line="360" w:lineRule="auto"/>
              <w:ind w:right="45" w:firstLine="42"/>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0,061</w:t>
            </w:r>
          </w:p>
        </w:tc>
        <w:tc>
          <w:tcPr>
            <w:tcW w:w="899" w:type="pct"/>
          </w:tcPr>
          <w:p w14:paraId="3B079DE0" w14:textId="77777777" w:rsidR="00240669" w:rsidRPr="00240669" w:rsidRDefault="00240669" w:rsidP="00240669">
            <w:pPr>
              <w:spacing w:after="0" w:line="360" w:lineRule="auto"/>
              <w:ind w:right="45" w:firstLine="42"/>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36,34% (SD 5,82)</w:t>
            </w:r>
          </w:p>
        </w:tc>
        <w:tc>
          <w:tcPr>
            <w:tcW w:w="914" w:type="pct"/>
          </w:tcPr>
          <w:p w14:paraId="2E4069A7" w14:textId="77777777" w:rsidR="00240669" w:rsidRPr="00240669" w:rsidRDefault="00240669" w:rsidP="00240669">
            <w:pPr>
              <w:spacing w:after="0" w:line="360" w:lineRule="auto"/>
              <w:ind w:right="45" w:firstLine="42"/>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35,15 (31,80 – 39,85)</w:t>
            </w:r>
          </w:p>
        </w:tc>
        <w:tc>
          <w:tcPr>
            <w:tcW w:w="419" w:type="pct"/>
          </w:tcPr>
          <w:p w14:paraId="7821E5E2" w14:textId="77777777" w:rsidR="00240669" w:rsidRPr="00240669" w:rsidRDefault="00240669" w:rsidP="00240669">
            <w:pPr>
              <w:spacing w:after="0" w:line="360" w:lineRule="auto"/>
              <w:ind w:right="45" w:firstLine="42"/>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0,676</w:t>
            </w:r>
          </w:p>
        </w:tc>
      </w:tr>
    </w:tbl>
    <w:p w14:paraId="186F161E" w14:textId="368B69DF" w:rsidR="00240669" w:rsidRPr="00240669" w:rsidRDefault="00240669" w:rsidP="00240669">
      <w:pPr>
        <w:spacing w:after="0" w:line="360" w:lineRule="auto"/>
        <w:ind w:right="-188"/>
        <w:jc w:val="both"/>
        <w:rPr>
          <w:rFonts w:asciiTheme="majorBidi" w:hAnsiTheme="majorBidi" w:cstheme="majorBidi"/>
          <w:color w:val="000000"/>
          <w:sz w:val="24"/>
          <w:szCs w:val="24"/>
          <w:vertAlign w:val="superscript"/>
          <w:lang w:val="de-DE"/>
        </w:rPr>
      </w:pPr>
      <w:r w:rsidRPr="00240669">
        <w:rPr>
          <w:rFonts w:asciiTheme="majorBidi" w:hAnsiTheme="majorBidi" w:cstheme="majorBidi"/>
          <w:color w:val="000000"/>
          <w:sz w:val="24"/>
          <w:szCs w:val="24"/>
          <w:vertAlign w:val="superscript"/>
        </w:rPr>
        <w:t>T</w:t>
      </w:r>
      <w:r w:rsidR="00E15A3F">
        <w:rPr>
          <w:rFonts w:asciiTheme="majorBidi" w:hAnsiTheme="majorBidi" w:cstheme="majorBidi"/>
          <w:color w:val="000000"/>
          <w:sz w:val="24"/>
          <w:szCs w:val="24"/>
          <w:vertAlign w:val="superscript"/>
        </w:rPr>
        <w:t>-</w:t>
      </w:r>
      <w:r w:rsidRPr="00240669">
        <w:rPr>
          <w:rFonts w:asciiTheme="majorBidi" w:hAnsiTheme="majorBidi" w:cstheme="majorBidi"/>
          <w:color w:val="000000"/>
          <w:sz w:val="24"/>
          <w:szCs w:val="24"/>
          <w:vertAlign w:val="superscript"/>
        </w:rPr>
        <w:t>test paired test;* Wilxocon test</w:t>
      </w:r>
    </w:p>
    <w:p w14:paraId="78B03BE9" w14:textId="77777777" w:rsidR="00240669" w:rsidRPr="00240669" w:rsidRDefault="00240669" w:rsidP="00240669">
      <w:pPr>
        <w:numPr>
          <w:ilvl w:val="1"/>
          <w:numId w:val="46"/>
        </w:numPr>
        <w:spacing w:after="0" w:line="360" w:lineRule="auto"/>
        <w:ind w:left="284" w:right="-188" w:hanging="258"/>
        <w:jc w:val="both"/>
        <w:rPr>
          <w:rFonts w:asciiTheme="majorBidi" w:hAnsiTheme="majorBidi" w:cstheme="majorBidi"/>
          <w:b/>
          <w:bCs/>
          <w:color w:val="000000"/>
          <w:sz w:val="24"/>
          <w:szCs w:val="24"/>
          <w:lang w:val="id"/>
        </w:rPr>
      </w:pPr>
      <w:r w:rsidRPr="00240669">
        <w:rPr>
          <w:rFonts w:asciiTheme="majorBidi" w:hAnsiTheme="majorBidi" w:cstheme="majorBidi"/>
          <w:b/>
          <w:color w:val="000000"/>
          <w:sz w:val="24"/>
          <w:szCs w:val="24"/>
        </w:rPr>
        <w:t xml:space="preserve">Upper arm muscle strength </w:t>
      </w:r>
    </w:p>
    <w:p w14:paraId="1BF750A2" w14:textId="30BB274B" w:rsidR="00240669" w:rsidRDefault="00240669" w:rsidP="00240669">
      <w:pPr>
        <w:spacing w:after="0" w:line="360" w:lineRule="auto"/>
        <w:ind w:right="-188" w:firstLine="709"/>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 xml:space="preserve">Upper arm muscle strength was measured using the </w:t>
      </w:r>
      <w:r w:rsidRPr="00240669">
        <w:rPr>
          <w:rFonts w:asciiTheme="majorBidi" w:hAnsiTheme="majorBidi" w:cstheme="majorBidi"/>
          <w:i/>
          <w:color w:val="000000"/>
          <w:sz w:val="24"/>
          <w:szCs w:val="24"/>
        </w:rPr>
        <w:t xml:space="preserve">Handgrip </w:t>
      </w:r>
      <w:r w:rsidRPr="00240669">
        <w:rPr>
          <w:rFonts w:asciiTheme="majorBidi" w:hAnsiTheme="majorBidi" w:cstheme="majorBidi"/>
          <w:color w:val="000000"/>
          <w:sz w:val="24"/>
          <w:szCs w:val="24"/>
        </w:rPr>
        <w:t>"Jamar" tool, by measuring the subject's hand grip to see the strength of the subject's upper arm muscles. The normality test was carried out with the Shapiro-Wilk test, obtain</w:t>
      </w:r>
      <w:r w:rsidR="00E15A3F">
        <w:rPr>
          <w:rFonts w:asciiTheme="majorBidi" w:hAnsiTheme="majorBidi" w:cstheme="majorBidi"/>
          <w:color w:val="000000"/>
          <w:sz w:val="24"/>
          <w:szCs w:val="24"/>
        </w:rPr>
        <w:t>ing</w:t>
      </w:r>
      <w:r w:rsidRPr="00240669">
        <w:rPr>
          <w:rFonts w:asciiTheme="majorBidi" w:hAnsiTheme="majorBidi" w:cstheme="majorBidi"/>
          <w:color w:val="000000"/>
          <w:sz w:val="24"/>
          <w:szCs w:val="24"/>
        </w:rPr>
        <w:t xml:space="preserve"> abnormal data distribution on the results of </w:t>
      </w:r>
      <w:r w:rsidRPr="00240669">
        <w:rPr>
          <w:rFonts w:asciiTheme="majorBidi" w:hAnsiTheme="majorBidi" w:cstheme="majorBidi"/>
          <w:i/>
          <w:color w:val="000000"/>
          <w:sz w:val="24"/>
          <w:szCs w:val="24"/>
        </w:rPr>
        <w:t>handgrip</w:t>
      </w:r>
      <w:r w:rsidRPr="00240669">
        <w:rPr>
          <w:rFonts w:asciiTheme="majorBidi" w:hAnsiTheme="majorBidi" w:cstheme="majorBidi"/>
          <w:color w:val="000000"/>
          <w:sz w:val="24"/>
          <w:szCs w:val="24"/>
        </w:rPr>
        <w:t xml:space="preserve"> measurements in the control group before the study. The distribution of data was normal in the control group after the study, as well as in the treatment group both before and after the study. The median upper arm muscle strength before the study in the control group was 8kg (interquartile range 10) and the average muscle strength after the study was 11.17kg (SD 6.07). </w:t>
      </w:r>
      <w:r w:rsidRPr="00240669">
        <w:rPr>
          <w:rFonts w:asciiTheme="majorBidi" w:hAnsiTheme="majorBidi" w:cstheme="majorBidi"/>
          <w:color w:val="000000"/>
          <w:sz w:val="24"/>
          <w:szCs w:val="24"/>
        </w:rPr>
        <w:lastRenderedPageBreak/>
        <w:t>Analysis of upper arm muscle strength data before and after the study was carried out with a paired t</w:t>
      </w:r>
      <w:r w:rsidR="00E15A3F">
        <w:rPr>
          <w:rFonts w:asciiTheme="majorBidi" w:hAnsiTheme="majorBidi" w:cstheme="majorBidi"/>
          <w:color w:val="000000"/>
          <w:sz w:val="24"/>
          <w:szCs w:val="24"/>
        </w:rPr>
        <w:t>-</w:t>
      </w:r>
      <w:r w:rsidRPr="00240669">
        <w:rPr>
          <w:rFonts w:asciiTheme="majorBidi" w:hAnsiTheme="majorBidi" w:cstheme="majorBidi"/>
          <w:color w:val="000000"/>
          <w:sz w:val="24"/>
          <w:szCs w:val="24"/>
        </w:rPr>
        <w:t>test and continued with the Wilcoxon test; There was no significant difference (p&gt;0.05). The average upper arm muscle strength after the study in the treatment group was 9.48kg (SD 5.61) and after the study was 11.81kg (SD 6.20), and data analysis of upper arm muscle strength before and after the study was carried out with a paired t</w:t>
      </w:r>
      <w:r w:rsidR="00E15A3F">
        <w:rPr>
          <w:rFonts w:asciiTheme="majorBidi" w:hAnsiTheme="majorBidi" w:cstheme="majorBidi"/>
          <w:color w:val="000000"/>
          <w:sz w:val="24"/>
          <w:szCs w:val="24"/>
        </w:rPr>
        <w:t>-</w:t>
      </w:r>
      <w:r w:rsidRPr="00240669">
        <w:rPr>
          <w:rFonts w:asciiTheme="majorBidi" w:hAnsiTheme="majorBidi" w:cstheme="majorBidi"/>
          <w:color w:val="000000"/>
          <w:sz w:val="24"/>
          <w:szCs w:val="24"/>
        </w:rPr>
        <w:t>test and continued with the Wilcoxon test found a significant difference (p &lt; 0.05).</w:t>
      </w:r>
    </w:p>
    <w:p w14:paraId="66A5C72E" w14:textId="6353FE94" w:rsidR="00240669" w:rsidRPr="00CF459A" w:rsidRDefault="00C57D52" w:rsidP="00C57D52">
      <w:pPr>
        <w:spacing w:after="0" w:line="360" w:lineRule="auto"/>
        <w:ind w:right="-188"/>
        <w:jc w:val="center"/>
        <w:rPr>
          <w:rFonts w:asciiTheme="majorBidi" w:hAnsiTheme="majorBidi" w:cstheme="majorBidi"/>
          <w:b/>
          <w:bCs/>
          <w:color w:val="000000"/>
          <w:sz w:val="24"/>
          <w:szCs w:val="24"/>
          <w:lang w:val="de-DE"/>
        </w:rPr>
      </w:pPr>
      <w:r w:rsidRPr="00CF459A">
        <w:rPr>
          <w:rFonts w:asciiTheme="majorBidi" w:hAnsiTheme="majorBidi" w:cstheme="majorBidi"/>
          <w:b/>
          <w:color w:val="000000"/>
          <w:sz w:val="24"/>
          <w:szCs w:val="24"/>
        </w:rPr>
        <w:t>Table 3.  T-Test: Paired test and Wil</w:t>
      </w:r>
      <w:r w:rsidR="00E15A3F">
        <w:rPr>
          <w:rFonts w:asciiTheme="majorBidi" w:hAnsiTheme="majorBidi" w:cstheme="majorBidi"/>
          <w:b/>
          <w:color w:val="000000"/>
          <w:sz w:val="24"/>
          <w:szCs w:val="24"/>
        </w:rPr>
        <w:t>cox</w:t>
      </w:r>
      <w:r w:rsidRPr="00CF459A">
        <w:rPr>
          <w:rFonts w:asciiTheme="majorBidi" w:hAnsiTheme="majorBidi" w:cstheme="majorBidi"/>
          <w:b/>
          <w:color w:val="000000"/>
          <w:sz w:val="24"/>
          <w:szCs w:val="24"/>
        </w:rPr>
        <w:t>on test</w:t>
      </w:r>
    </w:p>
    <w:tbl>
      <w:tblPr>
        <w:tblStyle w:val="TableGrid"/>
        <w:tblW w:w="5000" w:type="pct"/>
        <w:jc w:val="center"/>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665"/>
        <w:gridCol w:w="1412"/>
        <w:gridCol w:w="1249"/>
        <w:gridCol w:w="876"/>
        <w:gridCol w:w="1376"/>
        <w:gridCol w:w="1460"/>
        <w:gridCol w:w="1012"/>
      </w:tblGrid>
      <w:tr w:rsidR="00240669" w:rsidRPr="00240669" w14:paraId="4AC93D36" w14:textId="77777777" w:rsidTr="00240669">
        <w:trPr>
          <w:jc w:val="center"/>
        </w:trPr>
        <w:tc>
          <w:tcPr>
            <w:tcW w:w="926" w:type="pct"/>
            <w:vMerge w:val="restart"/>
          </w:tcPr>
          <w:p w14:paraId="79DD1B68" w14:textId="77777777" w:rsidR="00240669" w:rsidRPr="00240669" w:rsidRDefault="00240669" w:rsidP="00240669">
            <w:pPr>
              <w:spacing w:after="0" w:line="360" w:lineRule="auto"/>
              <w:ind w:right="-188"/>
              <w:jc w:val="both"/>
              <w:rPr>
                <w:rFonts w:asciiTheme="majorBidi" w:hAnsiTheme="majorBidi" w:cstheme="majorBidi"/>
                <w:b/>
                <w:bCs/>
                <w:color w:val="000000"/>
                <w:sz w:val="24"/>
                <w:szCs w:val="24"/>
                <w:lang w:val="id"/>
              </w:rPr>
            </w:pPr>
            <w:r w:rsidRPr="00240669">
              <w:rPr>
                <w:rFonts w:asciiTheme="majorBidi" w:hAnsiTheme="majorBidi" w:cstheme="majorBidi"/>
                <w:b/>
                <w:color w:val="000000"/>
                <w:sz w:val="24"/>
                <w:szCs w:val="24"/>
              </w:rPr>
              <w:t>Variable</w:t>
            </w:r>
          </w:p>
        </w:tc>
        <w:tc>
          <w:tcPr>
            <w:tcW w:w="1968" w:type="pct"/>
            <w:gridSpan w:val="3"/>
            <w:tcBorders>
              <w:bottom w:val="single" w:sz="4" w:space="0" w:color="auto"/>
            </w:tcBorders>
          </w:tcPr>
          <w:p w14:paraId="32716CB4" w14:textId="77777777" w:rsidR="00240669" w:rsidRPr="00240669" w:rsidRDefault="00240669" w:rsidP="00240669">
            <w:pPr>
              <w:spacing w:after="0" w:line="360" w:lineRule="auto"/>
              <w:ind w:right="-188"/>
              <w:jc w:val="both"/>
              <w:rPr>
                <w:rFonts w:asciiTheme="majorBidi" w:hAnsiTheme="majorBidi" w:cstheme="majorBidi"/>
                <w:b/>
                <w:bCs/>
                <w:color w:val="000000"/>
                <w:sz w:val="24"/>
                <w:szCs w:val="24"/>
                <w:lang w:val="id"/>
              </w:rPr>
            </w:pPr>
            <w:r w:rsidRPr="00240669">
              <w:rPr>
                <w:rFonts w:asciiTheme="majorBidi" w:hAnsiTheme="majorBidi" w:cstheme="majorBidi"/>
                <w:b/>
                <w:color w:val="000000"/>
                <w:sz w:val="24"/>
                <w:szCs w:val="24"/>
              </w:rPr>
              <w:t>Control</w:t>
            </w:r>
          </w:p>
        </w:tc>
        <w:tc>
          <w:tcPr>
            <w:tcW w:w="2106" w:type="pct"/>
            <w:gridSpan w:val="3"/>
            <w:tcBorders>
              <w:bottom w:val="single" w:sz="4" w:space="0" w:color="auto"/>
            </w:tcBorders>
          </w:tcPr>
          <w:p w14:paraId="4463FC0C" w14:textId="77777777" w:rsidR="00240669" w:rsidRPr="00240669" w:rsidRDefault="00240669" w:rsidP="00240669">
            <w:pPr>
              <w:spacing w:after="0" w:line="360" w:lineRule="auto"/>
              <w:ind w:right="-188"/>
              <w:jc w:val="both"/>
              <w:rPr>
                <w:rFonts w:asciiTheme="majorBidi" w:hAnsiTheme="majorBidi" w:cstheme="majorBidi"/>
                <w:b/>
                <w:bCs/>
                <w:color w:val="000000"/>
                <w:sz w:val="24"/>
                <w:szCs w:val="24"/>
                <w:lang w:val="id"/>
              </w:rPr>
            </w:pPr>
            <w:r w:rsidRPr="00240669">
              <w:rPr>
                <w:rFonts w:asciiTheme="majorBidi" w:hAnsiTheme="majorBidi" w:cstheme="majorBidi"/>
                <w:b/>
                <w:color w:val="000000"/>
                <w:sz w:val="24"/>
                <w:szCs w:val="24"/>
              </w:rPr>
              <w:t>Treatment</w:t>
            </w:r>
          </w:p>
        </w:tc>
      </w:tr>
      <w:tr w:rsidR="00240669" w:rsidRPr="00240669" w14:paraId="570152C7" w14:textId="77777777" w:rsidTr="00240669">
        <w:trPr>
          <w:jc w:val="center"/>
        </w:trPr>
        <w:tc>
          <w:tcPr>
            <w:tcW w:w="926" w:type="pct"/>
            <w:vMerge/>
            <w:tcBorders>
              <w:bottom w:val="single" w:sz="4" w:space="0" w:color="auto"/>
            </w:tcBorders>
          </w:tcPr>
          <w:p w14:paraId="253E2D31" w14:textId="77777777" w:rsidR="00240669" w:rsidRPr="00240669" w:rsidRDefault="00240669" w:rsidP="00240669">
            <w:pPr>
              <w:spacing w:after="0" w:line="360" w:lineRule="auto"/>
              <w:ind w:right="-188"/>
              <w:jc w:val="both"/>
              <w:rPr>
                <w:rFonts w:asciiTheme="majorBidi" w:hAnsiTheme="majorBidi" w:cstheme="majorBidi"/>
                <w:b/>
                <w:bCs/>
                <w:color w:val="000000"/>
                <w:sz w:val="24"/>
                <w:szCs w:val="24"/>
                <w:lang w:val="id"/>
              </w:rPr>
            </w:pPr>
          </w:p>
        </w:tc>
        <w:tc>
          <w:tcPr>
            <w:tcW w:w="786" w:type="pct"/>
            <w:tcBorders>
              <w:top w:val="single" w:sz="4" w:space="0" w:color="auto"/>
              <w:bottom w:val="single" w:sz="4" w:space="0" w:color="auto"/>
            </w:tcBorders>
          </w:tcPr>
          <w:p w14:paraId="5D586BD8" w14:textId="77777777" w:rsidR="00240669" w:rsidRPr="00240669" w:rsidRDefault="00240669" w:rsidP="00240669">
            <w:pPr>
              <w:spacing w:after="0" w:line="360" w:lineRule="auto"/>
              <w:ind w:right="-188"/>
              <w:jc w:val="both"/>
              <w:rPr>
                <w:rFonts w:asciiTheme="majorBidi" w:hAnsiTheme="majorBidi" w:cstheme="majorBidi"/>
                <w:b/>
                <w:bCs/>
                <w:color w:val="000000"/>
                <w:sz w:val="24"/>
                <w:szCs w:val="24"/>
                <w:lang w:val="id"/>
              </w:rPr>
            </w:pPr>
            <w:r w:rsidRPr="00240669">
              <w:rPr>
                <w:rFonts w:asciiTheme="majorBidi" w:hAnsiTheme="majorBidi" w:cstheme="majorBidi"/>
                <w:b/>
                <w:color w:val="000000"/>
                <w:sz w:val="24"/>
                <w:szCs w:val="24"/>
              </w:rPr>
              <w:t>Before</w:t>
            </w:r>
          </w:p>
        </w:tc>
        <w:tc>
          <w:tcPr>
            <w:tcW w:w="696" w:type="pct"/>
            <w:tcBorders>
              <w:top w:val="single" w:sz="4" w:space="0" w:color="auto"/>
              <w:bottom w:val="single" w:sz="4" w:space="0" w:color="auto"/>
            </w:tcBorders>
          </w:tcPr>
          <w:p w14:paraId="242E1C68" w14:textId="77777777" w:rsidR="00240669" w:rsidRPr="00240669" w:rsidRDefault="00240669" w:rsidP="00240669">
            <w:pPr>
              <w:spacing w:after="0" w:line="360" w:lineRule="auto"/>
              <w:ind w:right="-188"/>
              <w:jc w:val="both"/>
              <w:rPr>
                <w:rFonts w:asciiTheme="majorBidi" w:hAnsiTheme="majorBidi" w:cstheme="majorBidi"/>
                <w:b/>
                <w:bCs/>
                <w:color w:val="000000"/>
                <w:sz w:val="24"/>
                <w:szCs w:val="24"/>
                <w:lang w:val="id"/>
              </w:rPr>
            </w:pPr>
            <w:r w:rsidRPr="00240669">
              <w:rPr>
                <w:rFonts w:asciiTheme="majorBidi" w:hAnsiTheme="majorBidi" w:cstheme="majorBidi"/>
                <w:b/>
                <w:color w:val="000000"/>
                <w:sz w:val="24"/>
                <w:szCs w:val="24"/>
              </w:rPr>
              <w:t>After</w:t>
            </w:r>
          </w:p>
        </w:tc>
        <w:tc>
          <w:tcPr>
            <w:tcW w:w="486" w:type="pct"/>
            <w:tcBorders>
              <w:top w:val="single" w:sz="4" w:space="0" w:color="auto"/>
              <w:bottom w:val="single" w:sz="4" w:space="0" w:color="auto"/>
            </w:tcBorders>
          </w:tcPr>
          <w:p w14:paraId="18047A94" w14:textId="77777777" w:rsidR="00240669" w:rsidRPr="00240669" w:rsidRDefault="00240669" w:rsidP="00240669">
            <w:pPr>
              <w:spacing w:after="0" w:line="360" w:lineRule="auto"/>
              <w:ind w:right="-188"/>
              <w:jc w:val="both"/>
              <w:rPr>
                <w:rFonts w:asciiTheme="majorBidi" w:hAnsiTheme="majorBidi" w:cstheme="majorBidi"/>
                <w:b/>
                <w:bCs/>
                <w:color w:val="000000"/>
                <w:sz w:val="24"/>
                <w:szCs w:val="24"/>
                <w:lang w:val="id"/>
              </w:rPr>
            </w:pPr>
            <w:r w:rsidRPr="00240669">
              <w:rPr>
                <w:rFonts w:asciiTheme="majorBidi" w:hAnsiTheme="majorBidi" w:cstheme="majorBidi"/>
                <w:b/>
                <w:color w:val="000000"/>
                <w:sz w:val="24"/>
                <w:szCs w:val="24"/>
              </w:rPr>
              <w:t>P value</w:t>
            </w:r>
          </w:p>
        </w:tc>
        <w:tc>
          <w:tcPr>
            <w:tcW w:w="769" w:type="pct"/>
            <w:tcBorders>
              <w:top w:val="single" w:sz="4" w:space="0" w:color="auto"/>
              <w:bottom w:val="single" w:sz="4" w:space="0" w:color="auto"/>
            </w:tcBorders>
          </w:tcPr>
          <w:p w14:paraId="7EDF4D76" w14:textId="77777777" w:rsidR="00240669" w:rsidRPr="00240669" w:rsidRDefault="00240669" w:rsidP="00240669">
            <w:pPr>
              <w:spacing w:after="0" w:line="360" w:lineRule="auto"/>
              <w:ind w:right="-188"/>
              <w:jc w:val="both"/>
              <w:rPr>
                <w:rFonts w:asciiTheme="majorBidi" w:hAnsiTheme="majorBidi" w:cstheme="majorBidi"/>
                <w:b/>
                <w:bCs/>
                <w:color w:val="000000"/>
                <w:sz w:val="24"/>
                <w:szCs w:val="24"/>
                <w:lang w:val="id"/>
              </w:rPr>
            </w:pPr>
            <w:r w:rsidRPr="00240669">
              <w:rPr>
                <w:rFonts w:asciiTheme="majorBidi" w:hAnsiTheme="majorBidi" w:cstheme="majorBidi"/>
                <w:b/>
                <w:color w:val="000000"/>
                <w:sz w:val="24"/>
                <w:szCs w:val="24"/>
              </w:rPr>
              <w:t>Before</w:t>
            </w:r>
          </w:p>
        </w:tc>
        <w:tc>
          <w:tcPr>
            <w:tcW w:w="812" w:type="pct"/>
            <w:tcBorders>
              <w:top w:val="single" w:sz="4" w:space="0" w:color="auto"/>
              <w:bottom w:val="single" w:sz="4" w:space="0" w:color="auto"/>
            </w:tcBorders>
          </w:tcPr>
          <w:p w14:paraId="57ABB5EE" w14:textId="77777777" w:rsidR="00240669" w:rsidRPr="00240669" w:rsidRDefault="00240669" w:rsidP="00240669">
            <w:pPr>
              <w:spacing w:after="0" w:line="360" w:lineRule="auto"/>
              <w:ind w:right="-188"/>
              <w:jc w:val="both"/>
              <w:rPr>
                <w:rFonts w:asciiTheme="majorBidi" w:hAnsiTheme="majorBidi" w:cstheme="majorBidi"/>
                <w:b/>
                <w:bCs/>
                <w:color w:val="000000"/>
                <w:sz w:val="24"/>
                <w:szCs w:val="24"/>
                <w:lang w:val="id"/>
              </w:rPr>
            </w:pPr>
            <w:r w:rsidRPr="00240669">
              <w:rPr>
                <w:rFonts w:asciiTheme="majorBidi" w:hAnsiTheme="majorBidi" w:cstheme="majorBidi"/>
                <w:b/>
                <w:color w:val="000000"/>
                <w:sz w:val="24"/>
                <w:szCs w:val="24"/>
              </w:rPr>
              <w:t>After</w:t>
            </w:r>
          </w:p>
        </w:tc>
        <w:tc>
          <w:tcPr>
            <w:tcW w:w="525" w:type="pct"/>
            <w:tcBorders>
              <w:top w:val="single" w:sz="4" w:space="0" w:color="auto"/>
              <w:bottom w:val="single" w:sz="4" w:space="0" w:color="auto"/>
            </w:tcBorders>
          </w:tcPr>
          <w:p w14:paraId="716F5448" w14:textId="77777777" w:rsidR="00240669" w:rsidRPr="00240669" w:rsidRDefault="00240669" w:rsidP="00240669">
            <w:pPr>
              <w:spacing w:after="0" w:line="360" w:lineRule="auto"/>
              <w:ind w:right="-188"/>
              <w:jc w:val="both"/>
              <w:rPr>
                <w:rFonts w:asciiTheme="majorBidi" w:hAnsiTheme="majorBidi" w:cstheme="majorBidi"/>
                <w:b/>
                <w:bCs/>
                <w:color w:val="000000"/>
                <w:sz w:val="24"/>
                <w:szCs w:val="24"/>
                <w:lang w:val="id"/>
              </w:rPr>
            </w:pPr>
            <w:r w:rsidRPr="00240669">
              <w:rPr>
                <w:rFonts w:asciiTheme="majorBidi" w:hAnsiTheme="majorBidi" w:cstheme="majorBidi"/>
                <w:b/>
                <w:color w:val="000000"/>
                <w:sz w:val="24"/>
                <w:szCs w:val="24"/>
              </w:rPr>
              <w:t>P value</w:t>
            </w:r>
          </w:p>
        </w:tc>
      </w:tr>
      <w:tr w:rsidR="00240669" w:rsidRPr="00240669" w14:paraId="557EFC33" w14:textId="77777777" w:rsidTr="00240669">
        <w:trPr>
          <w:jc w:val="center"/>
        </w:trPr>
        <w:tc>
          <w:tcPr>
            <w:tcW w:w="926" w:type="pct"/>
            <w:tcBorders>
              <w:top w:val="single" w:sz="4" w:space="0" w:color="auto"/>
              <w:bottom w:val="single" w:sz="4" w:space="0" w:color="auto"/>
            </w:tcBorders>
          </w:tcPr>
          <w:p w14:paraId="68D1899C" w14:textId="77777777" w:rsidR="00240669" w:rsidRPr="00240669" w:rsidRDefault="00240669" w:rsidP="00240669">
            <w:pPr>
              <w:spacing w:after="0" w:line="360" w:lineRule="auto"/>
              <w:ind w:right="-188"/>
              <w:jc w:val="both"/>
              <w:rPr>
                <w:rFonts w:asciiTheme="majorBidi" w:hAnsiTheme="majorBidi" w:cstheme="majorBidi"/>
                <w:b/>
                <w:bCs/>
                <w:color w:val="000000"/>
                <w:sz w:val="24"/>
                <w:szCs w:val="24"/>
                <w:lang w:val="id"/>
              </w:rPr>
            </w:pPr>
            <w:r w:rsidRPr="00240669">
              <w:rPr>
                <w:rFonts w:asciiTheme="majorBidi" w:hAnsiTheme="majorBidi" w:cstheme="majorBidi"/>
                <w:b/>
                <w:color w:val="000000"/>
                <w:sz w:val="24"/>
                <w:szCs w:val="24"/>
              </w:rPr>
              <w:t>Muscle Strength</w:t>
            </w:r>
          </w:p>
        </w:tc>
        <w:tc>
          <w:tcPr>
            <w:tcW w:w="786" w:type="pct"/>
          </w:tcPr>
          <w:p w14:paraId="49992666" w14:textId="77777777" w:rsidR="00240669" w:rsidRPr="00240669" w:rsidRDefault="00240669" w:rsidP="00240669">
            <w:pPr>
              <w:spacing w:after="0" w:line="360" w:lineRule="auto"/>
              <w:ind w:right="-188"/>
              <w:jc w:val="both"/>
              <w:rPr>
                <w:rFonts w:asciiTheme="majorBidi" w:hAnsiTheme="majorBidi" w:cstheme="majorBidi"/>
                <w:color w:val="000000"/>
                <w:sz w:val="24"/>
                <w:szCs w:val="24"/>
                <w:lang w:val="en-US"/>
              </w:rPr>
            </w:pPr>
            <w:r w:rsidRPr="00240669">
              <w:rPr>
                <w:rFonts w:asciiTheme="majorBidi" w:hAnsiTheme="majorBidi" w:cstheme="majorBidi"/>
                <w:color w:val="000000"/>
                <w:sz w:val="24"/>
                <w:szCs w:val="24"/>
              </w:rPr>
              <w:t>8 (10)</w:t>
            </w:r>
          </w:p>
        </w:tc>
        <w:tc>
          <w:tcPr>
            <w:tcW w:w="696" w:type="pct"/>
          </w:tcPr>
          <w:p w14:paraId="1362F325" w14:textId="77777777" w:rsidR="00240669" w:rsidRPr="00240669" w:rsidRDefault="00240669" w:rsidP="00240669">
            <w:pPr>
              <w:spacing w:after="0" w:line="360" w:lineRule="auto"/>
              <w:ind w:right="-188"/>
              <w:jc w:val="both"/>
              <w:rPr>
                <w:rFonts w:asciiTheme="majorBidi" w:hAnsiTheme="majorBidi" w:cstheme="majorBidi"/>
                <w:color w:val="000000"/>
                <w:sz w:val="24"/>
                <w:szCs w:val="24"/>
                <w:lang w:val="en-US"/>
              </w:rPr>
            </w:pPr>
            <w:r w:rsidRPr="00240669">
              <w:rPr>
                <w:rFonts w:asciiTheme="majorBidi" w:hAnsiTheme="majorBidi" w:cstheme="majorBidi"/>
                <w:color w:val="000000"/>
                <w:sz w:val="24"/>
                <w:szCs w:val="24"/>
              </w:rPr>
              <w:t>11,17 (6,07)</w:t>
            </w:r>
          </w:p>
        </w:tc>
        <w:tc>
          <w:tcPr>
            <w:tcW w:w="486" w:type="pct"/>
            <w:tcBorders>
              <w:top w:val="single" w:sz="4" w:space="0" w:color="auto"/>
              <w:bottom w:val="single" w:sz="4" w:space="0" w:color="auto"/>
            </w:tcBorders>
          </w:tcPr>
          <w:p w14:paraId="56168EFC" w14:textId="77777777" w:rsidR="00240669" w:rsidRPr="00240669" w:rsidRDefault="00240669" w:rsidP="00240669">
            <w:pPr>
              <w:spacing w:after="0" w:line="360" w:lineRule="auto"/>
              <w:ind w:right="-188"/>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0,241*</w:t>
            </w:r>
          </w:p>
        </w:tc>
        <w:tc>
          <w:tcPr>
            <w:tcW w:w="769" w:type="pct"/>
            <w:tcBorders>
              <w:top w:val="single" w:sz="4" w:space="0" w:color="auto"/>
              <w:bottom w:val="single" w:sz="4" w:space="0" w:color="auto"/>
            </w:tcBorders>
          </w:tcPr>
          <w:p w14:paraId="3A782A65" w14:textId="77777777" w:rsidR="00240669" w:rsidRPr="00240669" w:rsidRDefault="00240669" w:rsidP="00240669">
            <w:pPr>
              <w:spacing w:after="0" w:line="360" w:lineRule="auto"/>
              <w:ind w:right="-188"/>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9,48 (SD 5,60)</w:t>
            </w:r>
          </w:p>
        </w:tc>
        <w:tc>
          <w:tcPr>
            <w:tcW w:w="812" w:type="pct"/>
            <w:tcBorders>
              <w:top w:val="single" w:sz="4" w:space="0" w:color="auto"/>
              <w:bottom w:val="single" w:sz="4" w:space="0" w:color="auto"/>
            </w:tcBorders>
          </w:tcPr>
          <w:p w14:paraId="2EFF3E28" w14:textId="77777777" w:rsidR="00240669" w:rsidRPr="00240669" w:rsidRDefault="00240669" w:rsidP="00240669">
            <w:pPr>
              <w:spacing w:after="0" w:line="360" w:lineRule="auto"/>
              <w:ind w:right="-188"/>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11,81 (SD 6,20)</w:t>
            </w:r>
          </w:p>
        </w:tc>
        <w:tc>
          <w:tcPr>
            <w:tcW w:w="525" w:type="pct"/>
            <w:tcBorders>
              <w:top w:val="single" w:sz="4" w:space="0" w:color="auto"/>
              <w:bottom w:val="single" w:sz="4" w:space="0" w:color="auto"/>
            </w:tcBorders>
          </w:tcPr>
          <w:p w14:paraId="110059BA" w14:textId="77777777" w:rsidR="00240669" w:rsidRPr="00240669" w:rsidRDefault="00240669" w:rsidP="00240669">
            <w:pPr>
              <w:spacing w:after="0" w:line="360" w:lineRule="auto"/>
              <w:ind w:right="-188"/>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&lt;0,0001</w:t>
            </w:r>
          </w:p>
        </w:tc>
      </w:tr>
    </w:tbl>
    <w:p w14:paraId="70056A60" w14:textId="0C84485A" w:rsidR="00240669" w:rsidRPr="00240669" w:rsidRDefault="00240669" w:rsidP="00240669">
      <w:pPr>
        <w:spacing w:after="0" w:line="360" w:lineRule="auto"/>
        <w:ind w:right="-188" w:firstLine="709"/>
        <w:jc w:val="both"/>
        <w:rPr>
          <w:rFonts w:asciiTheme="majorBidi" w:hAnsiTheme="majorBidi" w:cstheme="majorBidi"/>
          <w:color w:val="000000"/>
          <w:sz w:val="24"/>
          <w:szCs w:val="24"/>
          <w:vertAlign w:val="superscript"/>
          <w:lang w:val="de-DE"/>
        </w:rPr>
      </w:pPr>
      <w:r w:rsidRPr="00240669">
        <w:rPr>
          <w:rFonts w:asciiTheme="majorBidi" w:hAnsiTheme="majorBidi" w:cstheme="majorBidi"/>
          <w:color w:val="000000"/>
          <w:sz w:val="24"/>
          <w:szCs w:val="24"/>
          <w:vertAlign w:val="superscript"/>
        </w:rPr>
        <w:t>T</w:t>
      </w:r>
      <w:r w:rsidR="00E15A3F">
        <w:rPr>
          <w:rFonts w:asciiTheme="majorBidi" w:hAnsiTheme="majorBidi" w:cstheme="majorBidi"/>
          <w:color w:val="000000"/>
          <w:sz w:val="24"/>
          <w:szCs w:val="24"/>
          <w:vertAlign w:val="superscript"/>
        </w:rPr>
        <w:t>-</w:t>
      </w:r>
      <w:r w:rsidRPr="00240669">
        <w:rPr>
          <w:rFonts w:asciiTheme="majorBidi" w:hAnsiTheme="majorBidi" w:cstheme="majorBidi"/>
          <w:color w:val="000000"/>
          <w:sz w:val="24"/>
          <w:szCs w:val="24"/>
          <w:vertAlign w:val="superscript"/>
        </w:rPr>
        <w:t>test paired test;* Wilxocon test</w:t>
      </w:r>
    </w:p>
    <w:p w14:paraId="0DDDE5F3" w14:textId="05420634" w:rsidR="00240669" w:rsidRPr="00240669" w:rsidRDefault="00240669" w:rsidP="00C57D52">
      <w:pPr>
        <w:numPr>
          <w:ilvl w:val="1"/>
          <w:numId w:val="46"/>
        </w:numPr>
        <w:spacing w:after="0" w:line="360" w:lineRule="auto"/>
        <w:ind w:left="284" w:right="-188" w:hanging="258"/>
        <w:jc w:val="both"/>
        <w:rPr>
          <w:rFonts w:asciiTheme="majorBidi" w:hAnsiTheme="majorBidi" w:cstheme="majorBidi"/>
          <w:b/>
          <w:bCs/>
          <w:color w:val="000000"/>
          <w:sz w:val="24"/>
          <w:szCs w:val="24"/>
          <w:lang w:val="id"/>
        </w:rPr>
      </w:pPr>
      <w:r w:rsidRPr="00240669">
        <w:rPr>
          <w:rFonts w:asciiTheme="majorBidi" w:hAnsiTheme="majorBidi" w:cstheme="majorBidi"/>
          <w:b/>
          <w:color w:val="000000"/>
          <w:sz w:val="24"/>
          <w:szCs w:val="24"/>
        </w:rPr>
        <w:t>The effect of vitamin D3 on changes in fat mass, muscle mass, and upper arm muscle strength in the elderly in nursing homes</w:t>
      </w:r>
    </w:p>
    <w:p w14:paraId="14CB5AF8" w14:textId="30860C2E" w:rsidR="00240669" w:rsidRPr="00CF459A" w:rsidRDefault="00240669" w:rsidP="00240669">
      <w:pPr>
        <w:spacing w:after="0" w:line="360" w:lineRule="auto"/>
        <w:ind w:right="-188"/>
        <w:jc w:val="center"/>
        <w:rPr>
          <w:rFonts w:asciiTheme="majorBidi" w:hAnsiTheme="majorBidi" w:cstheme="majorBidi"/>
          <w:b/>
          <w:bCs/>
          <w:color w:val="000000"/>
          <w:sz w:val="24"/>
          <w:szCs w:val="24"/>
          <w:lang w:val="de-DE"/>
        </w:rPr>
      </w:pPr>
      <w:r w:rsidRPr="00CF459A">
        <w:rPr>
          <w:rFonts w:asciiTheme="majorBidi" w:hAnsiTheme="majorBidi" w:cstheme="majorBidi"/>
          <w:b/>
          <w:color w:val="000000"/>
          <w:sz w:val="24"/>
          <w:szCs w:val="24"/>
        </w:rPr>
        <w:t>Table 4. Unpaired T-Test Results and Mann Withney Test</w:t>
      </w:r>
    </w:p>
    <w:tbl>
      <w:tblPr>
        <w:tblStyle w:val="TableGrid"/>
        <w:tblW w:w="5000" w:type="pct"/>
        <w:jc w:val="center"/>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2056"/>
        <w:gridCol w:w="2469"/>
        <w:gridCol w:w="3086"/>
        <w:gridCol w:w="1439"/>
      </w:tblGrid>
      <w:tr w:rsidR="00240669" w:rsidRPr="00240669" w14:paraId="22569E6C" w14:textId="77777777" w:rsidTr="00240669">
        <w:trPr>
          <w:jc w:val="center"/>
        </w:trPr>
        <w:tc>
          <w:tcPr>
            <w:tcW w:w="1136" w:type="pct"/>
            <w:vMerge w:val="restart"/>
          </w:tcPr>
          <w:p w14:paraId="586D9EB4" w14:textId="77777777" w:rsidR="00240669" w:rsidRPr="00240669" w:rsidRDefault="00240669" w:rsidP="00240669">
            <w:pPr>
              <w:spacing w:after="0" w:line="360" w:lineRule="auto"/>
              <w:ind w:right="-188"/>
              <w:jc w:val="both"/>
              <w:rPr>
                <w:rFonts w:asciiTheme="majorBidi" w:hAnsiTheme="majorBidi" w:cstheme="majorBidi"/>
                <w:b/>
                <w:bCs/>
                <w:color w:val="000000"/>
                <w:sz w:val="24"/>
                <w:szCs w:val="24"/>
                <w:lang w:val="id"/>
              </w:rPr>
            </w:pPr>
            <w:r w:rsidRPr="00240669">
              <w:rPr>
                <w:rFonts w:asciiTheme="majorBidi" w:hAnsiTheme="majorBidi" w:cstheme="majorBidi"/>
                <w:b/>
                <w:color w:val="000000"/>
                <w:sz w:val="24"/>
                <w:szCs w:val="24"/>
              </w:rPr>
              <w:t>Variable</w:t>
            </w:r>
          </w:p>
        </w:tc>
        <w:tc>
          <w:tcPr>
            <w:tcW w:w="3864" w:type="pct"/>
            <w:gridSpan w:val="3"/>
          </w:tcPr>
          <w:p w14:paraId="006E4B97" w14:textId="439A6330" w:rsidR="00240669" w:rsidRPr="00240669" w:rsidRDefault="00C57D52" w:rsidP="00240669">
            <w:pPr>
              <w:spacing w:after="0" w:line="360" w:lineRule="auto"/>
              <w:ind w:right="-188"/>
              <w:jc w:val="both"/>
              <w:rPr>
                <w:rFonts w:asciiTheme="majorBidi" w:hAnsiTheme="majorBidi" w:cstheme="majorBidi"/>
                <w:b/>
                <w:bCs/>
                <w:color w:val="000000"/>
                <w:sz w:val="24"/>
                <w:szCs w:val="24"/>
                <w:lang w:val="id"/>
              </w:rPr>
            </w:pPr>
            <w:r>
              <w:rPr>
                <w:rFonts w:asciiTheme="majorBidi" w:hAnsiTheme="majorBidi" w:cstheme="majorBidi"/>
                <w:b/>
                <w:color w:val="000000"/>
                <w:sz w:val="24"/>
                <w:szCs w:val="24"/>
              </w:rPr>
              <w:t xml:space="preserve">  Group</w:t>
            </w:r>
          </w:p>
        </w:tc>
      </w:tr>
      <w:tr w:rsidR="00240669" w:rsidRPr="00240669" w14:paraId="2F452AD0" w14:textId="77777777" w:rsidTr="00240669">
        <w:trPr>
          <w:jc w:val="center"/>
        </w:trPr>
        <w:tc>
          <w:tcPr>
            <w:tcW w:w="1136" w:type="pct"/>
            <w:vMerge/>
            <w:tcBorders>
              <w:bottom w:val="single" w:sz="4" w:space="0" w:color="auto"/>
            </w:tcBorders>
          </w:tcPr>
          <w:p w14:paraId="70086269" w14:textId="77777777" w:rsidR="00240669" w:rsidRPr="00240669" w:rsidRDefault="00240669" w:rsidP="00240669">
            <w:pPr>
              <w:spacing w:after="0" w:line="360" w:lineRule="auto"/>
              <w:ind w:right="-188"/>
              <w:jc w:val="both"/>
              <w:rPr>
                <w:rFonts w:asciiTheme="majorBidi" w:hAnsiTheme="majorBidi" w:cstheme="majorBidi"/>
                <w:b/>
                <w:bCs/>
                <w:color w:val="000000"/>
                <w:sz w:val="24"/>
                <w:szCs w:val="24"/>
                <w:lang w:val="id"/>
              </w:rPr>
            </w:pPr>
          </w:p>
        </w:tc>
        <w:tc>
          <w:tcPr>
            <w:tcW w:w="1364" w:type="pct"/>
            <w:tcBorders>
              <w:top w:val="single" w:sz="4" w:space="0" w:color="auto"/>
              <w:bottom w:val="single" w:sz="4" w:space="0" w:color="auto"/>
            </w:tcBorders>
          </w:tcPr>
          <w:p w14:paraId="0CB43EEF" w14:textId="77777777" w:rsidR="00240669" w:rsidRPr="00240669" w:rsidRDefault="00240669" w:rsidP="00240669">
            <w:pPr>
              <w:spacing w:after="0" w:line="360" w:lineRule="auto"/>
              <w:ind w:right="-188"/>
              <w:jc w:val="both"/>
              <w:rPr>
                <w:rFonts w:asciiTheme="majorBidi" w:hAnsiTheme="majorBidi" w:cstheme="majorBidi"/>
                <w:b/>
                <w:bCs/>
                <w:color w:val="000000"/>
                <w:sz w:val="24"/>
                <w:szCs w:val="24"/>
                <w:lang w:val="id"/>
              </w:rPr>
            </w:pPr>
            <w:r w:rsidRPr="00240669">
              <w:rPr>
                <w:rFonts w:asciiTheme="majorBidi" w:hAnsiTheme="majorBidi" w:cstheme="majorBidi"/>
                <w:b/>
                <w:color w:val="000000"/>
                <w:sz w:val="24"/>
                <w:szCs w:val="24"/>
              </w:rPr>
              <w:t>Control</w:t>
            </w:r>
          </w:p>
        </w:tc>
        <w:tc>
          <w:tcPr>
            <w:tcW w:w="1705" w:type="pct"/>
            <w:tcBorders>
              <w:top w:val="single" w:sz="4" w:space="0" w:color="auto"/>
              <w:bottom w:val="single" w:sz="4" w:space="0" w:color="auto"/>
            </w:tcBorders>
          </w:tcPr>
          <w:p w14:paraId="79DF1E87" w14:textId="77777777" w:rsidR="00240669" w:rsidRPr="00240669" w:rsidRDefault="00240669" w:rsidP="00240669">
            <w:pPr>
              <w:spacing w:after="0" w:line="360" w:lineRule="auto"/>
              <w:ind w:right="-188"/>
              <w:jc w:val="both"/>
              <w:rPr>
                <w:rFonts w:asciiTheme="majorBidi" w:hAnsiTheme="majorBidi" w:cstheme="majorBidi"/>
                <w:b/>
                <w:bCs/>
                <w:color w:val="000000"/>
                <w:sz w:val="24"/>
                <w:szCs w:val="24"/>
                <w:lang w:val="id"/>
              </w:rPr>
            </w:pPr>
            <w:r w:rsidRPr="00240669">
              <w:rPr>
                <w:rFonts w:asciiTheme="majorBidi" w:hAnsiTheme="majorBidi" w:cstheme="majorBidi"/>
                <w:b/>
                <w:color w:val="000000"/>
                <w:sz w:val="24"/>
                <w:szCs w:val="24"/>
              </w:rPr>
              <w:t>Treatment</w:t>
            </w:r>
          </w:p>
        </w:tc>
        <w:tc>
          <w:tcPr>
            <w:tcW w:w="795" w:type="pct"/>
            <w:tcBorders>
              <w:bottom w:val="single" w:sz="4" w:space="0" w:color="auto"/>
            </w:tcBorders>
          </w:tcPr>
          <w:p w14:paraId="7FA31AB9" w14:textId="77777777" w:rsidR="00240669" w:rsidRPr="00240669" w:rsidRDefault="00240669" w:rsidP="00240669">
            <w:pPr>
              <w:spacing w:after="0" w:line="360" w:lineRule="auto"/>
              <w:ind w:right="-188"/>
              <w:jc w:val="both"/>
              <w:rPr>
                <w:rFonts w:asciiTheme="majorBidi" w:hAnsiTheme="majorBidi" w:cstheme="majorBidi"/>
                <w:b/>
                <w:bCs/>
                <w:color w:val="000000"/>
                <w:sz w:val="24"/>
                <w:szCs w:val="24"/>
                <w:lang w:val="id"/>
              </w:rPr>
            </w:pPr>
            <w:r w:rsidRPr="00240669">
              <w:rPr>
                <w:rFonts w:asciiTheme="majorBidi" w:hAnsiTheme="majorBidi" w:cstheme="majorBidi"/>
                <w:b/>
                <w:color w:val="000000"/>
                <w:sz w:val="24"/>
                <w:szCs w:val="24"/>
              </w:rPr>
              <w:t>P value</w:t>
            </w:r>
          </w:p>
        </w:tc>
      </w:tr>
      <w:tr w:rsidR="00240669" w:rsidRPr="00240669" w14:paraId="5A131855" w14:textId="77777777" w:rsidTr="00240669">
        <w:trPr>
          <w:jc w:val="center"/>
        </w:trPr>
        <w:tc>
          <w:tcPr>
            <w:tcW w:w="1136" w:type="pct"/>
            <w:tcBorders>
              <w:top w:val="single" w:sz="4" w:space="0" w:color="auto"/>
              <w:bottom w:val="nil"/>
            </w:tcBorders>
          </w:tcPr>
          <w:p w14:paraId="0B882DEE" w14:textId="77777777" w:rsidR="00240669" w:rsidRPr="00240669" w:rsidRDefault="00240669" w:rsidP="00240669">
            <w:pPr>
              <w:spacing w:after="0" w:line="360" w:lineRule="auto"/>
              <w:ind w:right="-188"/>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Massa Lemak</w:t>
            </w:r>
          </w:p>
        </w:tc>
        <w:tc>
          <w:tcPr>
            <w:tcW w:w="1364" w:type="pct"/>
            <w:tcBorders>
              <w:top w:val="single" w:sz="4" w:space="0" w:color="auto"/>
              <w:bottom w:val="nil"/>
            </w:tcBorders>
          </w:tcPr>
          <w:p w14:paraId="0256B811" w14:textId="77777777" w:rsidR="00240669" w:rsidRPr="00240669" w:rsidRDefault="00240669" w:rsidP="00240669">
            <w:pPr>
              <w:spacing w:after="0" w:line="360" w:lineRule="auto"/>
              <w:ind w:right="-188"/>
              <w:jc w:val="both"/>
              <w:rPr>
                <w:rFonts w:asciiTheme="majorBidi" w:hAnsiTheme="majorBidi" w:cstheme="majorBidi"/>
                <w:color w:val="000000"/>
                <w:sz w:val="24"/>
                <w:szCs w:val="24"/>
                <w:lang w:val="id"/>
              </w:rPr>
            </w:pPr>
          </w:p>
        </w:tc>
        <w:tc>
          <w:tcPr>
            <w:tcW w:w="1705" w:type="pct"/>
            <w:tcBorders>
              <w:top w:val="single" w:sz="4" w:space="0" w:color="auto"/>
              <w:bottom w:val="nil"/>
            </w:tcBorders>
          </w:tcPr>
          <w:p w14:paraId="53E004EB" w14:textId="77777777" w:rsidR="00240669" w:rsidRPr="00240669" w:rsidRDefault="00240669" w:rsidP="00240669">
            <w:pPr>
              <w:spacing w:after="0" w:line="360" w:lineRule="auto"/>
              <w:ind w:right="-188"/>
              <w:jc w:val="both"/>
              <w:rPr>
                <w:rFonts w:asciiTheme="majorBidi" w:hAnsiTheme="majorBidi" w:cstheme="majorBidi"/>
                <w:color w:val="000000"/>
                <w:sz w:val="24"/>
                <w:szCs w:val="24"/>
                <w:lang w:val="id"/>
              </w:rPr>
            </w:pPr>
          </w:p>
        </w:tc>
        <w:tc>
          <w:tcPr>
            <w:tcW w:w="795" w:type="pct"/>
            <w:tcBorders>
              <w:top w:val="single" w:sz="4" w:space="0" w:color="auto"/>
              <w:bottom w:val="nil"/>
            </w:tcBorders>
          </w:tcPr>
          <w:p w14:paraId="542993AC" w14:textId="77777777" w:rsidR="00240669" w:rsidRPr="00240669" w:rsidRDefault="00240669" w:rsidP="00240669">
            <w:pPr>
              <w:spacing w:after="0" w:line="360" w:lineRule="auto"/>
              <w:ind w:right="-188"/>
              <w:jc w:val="both"/>
              <w:rPr>
                <w:rFonts w:asciiTheme="majorBidi" w:hAnsiTheme="majorBidi" w:cstheme="majorBidi"/>
                <w:color w:val="000000"/>
                <w:sz w:val="24"/>
                <w:szCs w:val="24"/>
                <w:lang w:val="id"/>
              </w:rPr>
            </w:pPr>
          </w:p>
        </w:tc>
      </w:tr>
      <w:tr w:rsidR="00240669" w:rsidRPr="00240669" w14:paraId="7A74E479" w14:textId="77777777" w:rsidTr="00240669">
        <w:trPr>
          <w:jc w:val="center"/>
        </w:trPr>
        <w:tc>
          <w:tcPr>
            <w:tcW w:w="1136" w:type="pct"/>
            <w:tcBorders>
              <w:top w:val="nil"/>
              <w:bottom w:val="nil"/>
            </w:tcBorders>
          </w:tcPr>
          <w:p w14:paraId="29994F78" w14:textId="77777777" w:rsidR="00240669" w:rsidRPr="00240669" w:rsidRDefault="00240669" w:rsidP="00240669">
            <w:pPr>
              <w:spacing w:after="0" w:line="360" w:lineRule="auto"/>
              <w:ind w:right="-188"/>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WB</w:t>
            </w:r>
          </w:p>
        </w:tc>
        <w:tc>
          <w:tcPr>
            <w:tcW w:w="1364" w:type="pct"/>
            <w:tcBorders>
              <w:top w:val="nil"/>
              <w:bottom w:val="nil"/>
            </w:tcBorders>
          </w:tcPr>
          <w:p w14:paraId="798A7938" w14:textId="77777777" w:rsidR="00240669" w:rsidRPr="00240669" w:rsidRDefault="00240669" w:rsidP="00240669">
            <w:pPr>
              <w:spacing w:after="0" w:line="360" w:lineRule="auto"/>
              <w:ind w:right="-188"/>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 xml:space="preserve">1,69% (SD 5,23) </w:t>
            </w:r>
          </w:p>
        </w:tc>
        <w:tc>
          <w:tcPr>
            <w:tcW w:w="1705" w:type="pct"/>
            <w:tcBorders>
              <w:top w:val="nil"/>
              <w:bottom w:val="nil"/>
            </w:tcBorders>
          </w:tcPr>
          <w:p w14:paraId="50595640" w14:textId="77777777" w:rsidR="00240669" w:rsidRPr="00240669" w:rsidRDefault="00240669" w:rsidP="00240669">
            <w:pPr>
              <w:spacing w:after="0" w:line="360" w:lineRule="auto"/>
              <w:ind w:right="-188"/>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 xml:space="preserve">0% (3,67) </w:t>
            </w:r>
          </w:p>
        </w:tc>
        <w:tc>
          <w:tcPr>
            <w:tcW w:w="795" w:type="pct"/>
            <w:tcBorders>
              <w:top w:val="nil"/>
              <w:bottom w:val="nil"/>
            </w:tcBorders>
          </w:tcPr>
          <w:p w14:paraId="0E4EA74D" w14:textId="77777777" w:rsidR="00240669" w:rsidRPr="00240669" w:rsidRDefault="00240669" w:rsidP="00240669">
            <w:pPr>
              <w:spacing w:after="0" w:line="360" w:lineRule="auto"/>
              <w:ind w:right="-188"/>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0,347*</w:t>
            </w:r>
          </w:p>
        </w:tc>
      </w:tr>
      <w:tr w:rsidR="00240669" w:rsidRPr="00240669" w14:paraId="3BDC7B86" w14:textId="77777777" w:rsidTr="00240669">
        <w:trPr>
          <w:jc w:val="center"/>
        </w:trPr>
        <w:tc>
          <w:tcPr>
            <w:tcW w:w="1136" w:type="pct"/>
            <w:tcBorders>
              <w:top w:val="nil"/>
            </w:tcBorders>
          </w:tcPr>
          <w:p w14:paraId="716DFC4D" w14:textId="77777777" w:rsidR="00240669" w:rsidRPr="00240669" w:rsidRDefault="00240669" w:rsidP="00240669">
            <w:pPr>
              <w:spacing w:after="0" w:line="360" w:lineRule="auto"/>
              <w:ind w:right="-188"/>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Trunks</w:t>
            </w:r>
          </w:p>
        </w:tc>
        <w:tc>
          <w:tcPr>
            <w:tcW w:w="1364" w:type="pct"/>
            <w:tcBorders>
              <w:top w:val="nil"/>
            </w:tcBorders>
          </w:tcPr>
          <w:p w14:paraId="23750A0A" w14:textId="77777777" w:rsidR="00240669" w:rsidRPr="00240669" w:rsidRDefault="00240669" w:rsidP="00240669">
            <w:pPr>
              <w:spacing w:after="0" w:line="360" w:lineRule="auto"/>
              <w:ind w:right="-188"/>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 xml:space="preserve">1,45% (SD 4,95) </w:t>
            </w:r>
          </w:p>
        </w:tc>
        <w:tc>
          <w:tcPr>
            <w:tcW w:w="1705" w:type="pct"/>
            <w:tcBorders>
              <w:top w:val="nil"/>
            </w:tcBorders>
          </w:tcPr>
          <w:p w14:paraId="5C0EE30B" w14:textId="77777777" w:rsidR="00240669" w:rsidRPr="00240669" w:rsidRDefault="00240669" w:rsidP="00240669">
            <w:pPr>
              <w:spacing w:after="0" w:line="360" w:lineRule="auto"/>
              <w:ind w:right="-188"/>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-0,15% (3,67)</w:t>
            </w:r>
          </w:p>
        </w:tc>
        <w:tc>
          <w:tcPr>
            <w:tcW w:w="795" w:type="pct"/>
            <w:tcBorders>
              <w:top w:val="nil"/>
            </w:tcBorders>
          </w:tcPr>
          <w:p w14:paraId="42290CCA" w14:textId="77777777" w:rsidR="00240669" w:rsidRPr="00240669" w:rsidRDefault="00240669" w:rsidP="00240669">
            <w:pPr>
              <w:spacing w:after="0" w:line="360" w:lineRule="auto"/>
              <w:ind w:right="-188"/>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0,348*</w:t>
            </w:r>
          </w:p>
        </w:tc>
      </w:tr>
      <w:tr w:rsidR="00240669" w:rsidRPr="00240669" w14:paraId="0E4EF067" w14:textId="77777777" w:rsidTr="00240669">
        <w:trPr>
          <w:jc w:val="center"/>
        </w:trPr>
        <w:tc>
          <w:tcPr>
            <w:tcW w:w="1136" w:type="pct"/>
          </w:tcPr>
          <w:p w14:paraId="147B8ADD" w14:textId="77777777" w:rsidR="00240669" w:rsidRPr="00240669" w:rsidRDefault="00240669" w:rsidP="00240669">
            <w:pPr>
              <w:spacing w:after="0" w:line="360" w:lineRule="auto"/>
              <w:ind w:right="-188"/>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Arms</w:t>
            </w:r>
          </w:p>
        </w:tc>
        <w:tc>
          <w:tcPr>
            <w:tcW w:w="1364" w:type="pct"/>
          </w:tcPr>
          <w:p w14:paraId="628B0930" w14:textId="77777777" w:rsidR="00240669" w:rsidRPr="00240669" w:rsidRDefault="00240669" w:rsidP="00240669">
            <w:pPr>
              <w:spacing w:after="0" w:line="360" w:lineRule="auto"/>
              <w:ind w:right="-188"/>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 xml:space="preserve">2,7% (SD 10,74) </w:t>
            </w:r>
          </w:p>
        </w:tc>
        <w:tc>
          <w:tcPr>
            <w:tcW w:w="1705" w:type="pct"/>
          </w:tcPr>
          <w:p w14:paraId="0AEC6C87" w14:textId="77777777" w:rsidR="00240669" w:rsidRPr="00240669" w:rsidRDefault="00240669" w:rsidP="00240669">
            <w:pPr>
              <w:spacing w:after="0" w:line="360" w:lineRule="auto"/>
              <w:ind w:right="-188"/>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 xml:space="preserve">-1,75% (SD 11,97) </w:t>
            </w:r>
          </w:p>
        </w:tc>
        <w:tc>
          <w:tcPr>
            <w:tcW w:w="795" w:type="pct"/>
          </w:tcPr>
          <w:p w14:paraId="2B0C34B6" w14:textId="77777777" w:rsidR="00240669" w:rsidRPr="00240669" w:rsidRDefault="00240669" w:rsidP="00240669">
            <w:pPr>
              <w:spacing w:after="0" w:line="360" w:lineRule="auto"/>
              <w:ind w:right="-188"/>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0,129</w:t>
            </w:r>
          </w:p>
        </w:tc>
      </w:tr>
      <w:tr w:rsidR="00240669" w:rsidRPr="00240669" w14:paraId="38AE543E" w14:textId="77777777" w:rsidTr="00240669">
        <w:trPr>
          <w:jc w:val="center"/>
        </w:trPr>
        <w:tc>
          <w:tcPr>
            <w:tcW w:w="1136" w:type="pct"/>
          </w:tcPr>
          <w:p w14:paraId="0569616F" w14:textId="77777777" w:rsidR="00240669" w:rsidRPr="00240669" w:rsidRDefault="00240669" w:rsidP="00240669">
            <w:pPr>
              <w:spacing w:after="0" w:line="360" w:lineRule="auto"/>
              <w:ind w:right="-188"/>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Legs</w:t>
            </w:r>
          </w:p>
        </w:tc>
        <w:tc>
          <w:tcPr>
            <w:tcW w:w="1364" w:type="pct"/>
          </w:tcPr>
          <w:p w14:paraId="36CB93C6" w14:textId="77777777" w:rsidR="00240669" w:rsidRPr="00240669" w:rsidRDefault="00240669" w:rsidP="00240669">
            <w:pPr>
              <w:spacing w:after="0" w:line="360" w:lineRule="auto"/>
              <w:ind w:right="-188"/>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 xml:space="preserve">1,89 (SD 6,64) </w:t>
            </w:r>
          </w:p>
        </w:tc>
        <w:tc>
          <w:tcPr>
            <w:tcW w:w="1705" w:type="pct"/>
          </w:tcPr>
          <w:p w14:paraId="3AF0F277" w14:textId="77777777" w:rsidR="00240669" w:rsidRPr="00240669" w:rsidRDefault="00240669" w:rsidP="00240669">
            <w:pPr>
              <w:spacing w:after="0" w:line="360" w:lineRule="auto"/>
              <w:ind w:right="-188"/>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-0,35% (4,87)</w:t>
            </w:r>
          </w:p>
        </w:tc>
        <w:tc>
          <w:tcPr>
            <w:tcW w:w="795" w:type="pct"/>
          </w:tcPr>
          <w:p w14:paraId="48928969" w14:textId="77777777" w:rsidR="00240669" w:rsidRPr="00240669" w:rsidRDefault="00240669" w:rsidP="00240669">
            <w:pPr>
              <w:spacing w:after="0" w:line="360" w:lineRule="auto"/>
              <w:ind w:right="-188"/>
              <w:jc w:val="both"/>
              <w:rPr>
                <w:rFonts w:asciiTheme="majorBidi" w:hAnsiTheme="majorBidi" w:cstheme="majorBidi"/>
                <w:color w:val="000000"/>
                <w:sz w:val="24"/>
                <w:szCs w:val="24"/>
                <w:lang w:val="en-US"/>
              </w:rPr>
            </w:pPr>
            <w:r w:rsidRPr="00240669">
              <w:rPr>
                <w:rFonts w:asciiTheme="majorBidi" w:hAnsiTheme="majorBidi" w:cstheme="majorBidi"/>
                <w:color w:val="000000"/>
                <w:sz w:val="24"/>
                <w:szCs w:val="24"/>
              </w:rPr>
              <w:t>0,355*</w:t>
            </w:r>
          </w:p>
        </w:tc>
      </w:tr>
      <w:tr w:rsidR="00240669" w:rsidRPr="00240669" w14:paraId="40EBBAB9" w14:textId="77777777" w:rsidTr="00240669">
        <w:trPr>
          <w:jc w:val="center"/>
        </w:trPr>
        <w:tc>
          <w:tcPr>
            <w:tcW w:w="1136" w:type="pct"/>
          </w:tcPr>
          <w:p w14:paraId="12E292DC" w14:textId="77777777" w:rsidR="00240669" w:rsidRPr="00240669" w:rsidRDefault="00240669" w:rsidP="00240669">
            <w:pPr>
              <w:spacing w:after="0" w:line="360" w:lineRule="auto"/>
              <w:ind w:right="-188"/>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Muscle Mass</w:t>
            </w:r>
          </w:p>
        </w:tc>
        <w:tc>
          <w:tcPr>
            <w:tcW w:w="1364" w:type="pct"/>
          </w:tcPr>
          <w:p w14:paraId="1928CE94" w14:textId="77777777" w:rsidR="00240669" w:rsidRPr="00240669" w:rsidRDefault="00240669" w:rsidP="00240669">
            <w:pPr>
              <w:spacing w:after="0" w:line="360" w:lineRule="auto"/>
              <w:ind w:right="-188"/>
              <w:jc w:val="both"/>
              <w:rPr>
                <w:rFonts w:asciiTheme="majorBidi" w:hAnsiTheme="majorBidi" w:cstheme="majorBidi"/>
                <w:color w:val="000000"/>
                <w:sz w:val="24"/>
                <w:szCs w:val="24"/>
                <w:lang w:val="id"/>
              </w:rPr>
            </w:pPr>
          </w:p>
        </w:tc>
        <w:tc>
          <w:tcPr>
            <w:tcW w:w="1705" w:type="pct"/>
          </w:tcPr>
          <w:p w14:paraId="4D89B046" w14:textId="77777777" w:rsidR="00240669" w:rsidRPr="00240669" w:rsidRDefault="00240669" w:rsidP="00240669">
            <w:pPr>
              <w:spacing w:after="0" w:line="360" w:lineRule="auto"/>
              <w:ind w:right="-188"/>
              <w:jc w:val="both"/>
              <w:rPr>
                <w:rFonts w:asciiTheme="majorBidi" w:hAnsiTheme="majorBidi" w:cstheme="majorBidi"/>
                <w:color w:val="000000"/>
                <w:sz w:val="24"/>
                <w:szCs w:val="24"/>
                <w:lang w:val="id"/>
              </w:rPr>
            </w:pPr>
          </w:p>
        </w:tc>
        <w:tc>
          <w:tcPr>
            <w:tcW w:w="795" w:type="pct"/>
          </w:tcPr>
          <w:p w14:paraId="363C4339" w14:textId="77777777" w:rsidR="00240669" w:rsidRPr="00240669" w:rsidRDefault="00240669" w:rsidP="00240669">
            <w:pPr>
              <w:spacing w:after="0" w:line="360" w:lineRule="auto"/>
              <w:ind w:right="-188"/>
              <w:jc w:val="both"/>
              <w:rPr>
                <w:rFonts w:asciiTheme="majorBidi" w:hAnsiTheme="majorBidi" w:cstheme="majorBidi"/>
                <w:color w:val="000000"/>
                <w:sz w:val="24"/>
                <w:szCs w:val="24"/>
                <w:lang w:val="id"/>
              </w:rPr>
            </w:pPr>
          </w:p>
        </w:tc>
      </w:tr>
      <w:tr w:rsidR="00240669" w:rsidRPr="00240669" w14:paraId="7E1685A4" w14:textId="77777777" w:rsidTr="00240669">
        <w:trPr>
          <w:jc w:val="center"/>
        </w:trPr>
        <w:tc>
          <w:tcPr>
            <w:tcW w:w="1136" w:type="pct"/>
          </w:tcPr>
          <w:p w14:paraId="2E671CF5" w14:textId="77777777" w:rsidR="00240669" w:rsidRPr="00240669" w:rsidRDefault="00240669" w:rsidP="00240669">
            <w:pPr>
              <w:spacing w:after="0" w:line="360" w:lineRule="auto"/>
              <w:ind w:right="-188"/>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WB</w:t>
            </w:r>
          </w:p>
        </w:tc>
        <w:tc>
          <w:tcPr>
            <w:tcW w:w="1364" w:type="pct"/>
          </w:tcPr>
          <w:p w14:paraId="44CE9D00" w14:textId="77777777" w:rsidR="00240669" w:rsidRPr="00240669" w:rsidRDefault="00240669" w:rsidP="00240669">
            <w:pPr>
              <w:spacing w:after="0" w:line="360" w:lineRule="auto"/>
              <w:ind w:right="-188"/>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-0,4% (3,3)</w:t>
            </w:r>
          </w:p>
        </w:tc>
        <w:tc>
          <w:tcPr>
            <w:tcW w:w="1705" w:type="pct"/>
          </w:tcPr>
          <w:p w14:paraId="4569D31B" w14:textId="77777777" w:rsidR="00240669" w:rsidRPr="00240669" w:rsidRDefault="00240669" w:rsidP="00240669">
            <w:pPr>
              <w:spacing w:after="0" w:line="360" w:lineRule="auto"/>
              <w:ind w:right="-188"/>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0,1% (3,63)</w:t>
            </w:r>
          </w:p>
        </w:tc>
        <w:tc>
          <w:tcPr>
            <w:tcW w:w="795" w:type="pct"/>
          </w:tcPr>
          <w:p w14:paraId="07D47EF1" w14:textId="77777777" w:rsidR="00240669" w:rsidRPr="00240669" w:rsidRDefault="00240669" w:rsidP="00240669">
            <w:pPr>
              <w:spacing w:after="0" w:line="360" w:lineRule="auto"/>
              <w:ind w:right="-188"/>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0,712*</w:t>
            </w:r>
          </w:p>
        </w:tc>
      </w:tr>
      <w:tr w:rsidR="00240669" w:rsidRPr="00240669" w14:paraId="06DCE89A" w14:textId="77777777" w:rsidTr="00240669">
        <w:trPr>
          <w:jc w:val="center"/>
        </w:trPr>
        <w:tc>
          <w:tcPr>
            <w:tcW w:w="1136" w:type="pct"/>
          </w:tcPr>
          <w:p w14:paraId="4111D738" w14:textId="77777777" w:rsidR="00240669" w:rsidRPr="00240669" w:rsidRDefault="00240669" w:rsidP="00240669">
            <w:pPr>
              <w:spacing w:after="0" w:line="360" w:lineRule="auto"/>
              <w:ind w:right="-188"/>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Trunks</w:t>
            </w:r>
          </w:p>
        </w:tc>
        <w:tc>
          <w:tcPr>
            <w:tcW w:w="1364" w:type="pct"/>
          </w:tcPr>
          <w:p w14:paraId="647A55E2" w14:textId="77777777" w:rsidR="00240669" w:rsidRPr="00240669" w:rsidRDefault="00240669" w:rsidP="00240669">
            <w:pPr>
              <w:spacing w:after="0" w:line="360" w:lineRule="auto"/>
              <w:ind w:right="-188"/>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-0,78% (SD 2,43)</w:t>
            </w:r>
          </w:p>
        </w:tc>
        <w:tc>
          <w:tcPr>
            <w:tcW w:w="1705" w:type="pct"/>
          </w:tcPr>
          <w:p w14:paraId="443DB770" w14:textId="77777777" w:rsidR="00240669" w:rsidRPr="00240669" w:rsidRDefault="00240669" w:rsidP="00240669">
            <w:pPr>
              <w:spacing w:after="0" w:line="360" w:lineRule="auto"/>
              <w:ind w:right="-188"/>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0,1% (3,77)</w:t>
            </w:r>
          </w:p>
        </w:tc>
        <w:tc>
          <w:tcPr>
            <w:tcW w:w="795" w:type="pct"/>
          </w:tcPr>
          <w:p w14:paraId="0EB31297" w14:textId="77777777" w:rsidR="00240669" w:rsidRPr="00240669" w:rsidRDefault="00240669" w:rsidP="00240669">
            <w:pPr>
              <w:spacing w:after="0" w:line="360" w:lineRule="auto"/>
              <w:ind w:right="-188"/>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0,891*</w:t>
            </w:r>
          </w:p>
        </w:tc>
      </w:tr>
      <w:tr w:rsidR="00240669" w:rsidRPr="00240669" w14:paraId="5C9C03E1" w14:textId="77777777" w:rsidTr="00240669">
        <w:trPr>
          <w:jc w:val="center"/>
        </w:trPr>
        <w:tc>
          <w:tcPr>
            <w:tcW w:w="1136" w:type="pct"/>
          </w:tcPr>
          <w:p w14:paraId="63D402D5" w14:textId="77777777" w:rsidR="00240669" w:rsidRPr="00240669" w:rsidRDefault="00240669" w:rsidP="00240669">
            <w:pPr>
              <w:spacing w:after="0" w:line="360" w:lineRule="auto"/>
              <w:ind w:right="-188"/>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Arms</w:t>
            </w:r>
          </w:p>
        </w:tc>
        <w:tc>
          <w:tcPr>
            <w:tcW w:w="1364" w:type="pct"/>
          </w:tcPr>
          <w:p w14:paraId="577D89A2" w14:textId="77777777" w:rsidR="00240669" w:rsidRPr="00240669" w:rsidRDefault="00240669" w:rsidP="00240669">
            <w:pPr>
              <w:spacing w:after="0" w:line="360" w:lineRule="auto"/>
              <w:ind w:right="-188"/>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 xml:space="preserve">2,7% (SD 10,74) </w:t>
            </w:r>
          </w:p>
        </w:tc>
        <w:tc>
          <w:tcPr>
            <w:tcW w:w="1705" w:type="pct"/>
          </w:tcPr>
          <w:p w14:paraId="0615E70B" w14:textId="77777777" w:rsidR="00240669" w:rsidRPr="00240669" w:rsidRDefault="00240669" w:rsidP="00240669">
            <w:pPr>
              <w:spacing w:after="0" w:line="360" w:lineRule="auto"/>
              <w:ind w:right="-188"/>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-1,75% (SD 11,97)</w:t>
            </w:r>
          </w:p>
        </w:tc>
        <w:tc>
          <w:tcPr>
            <w:tcW w:w="795" w:type="pct"/>
          </w:tcPr>
          <w:p w14:paraId="114D46A6" w14:textId="77777777" w:rsidR="00240669" w:rsidRPr="00240669" w:rsidRDefault="00240669" w:rsidP="00240669">
            <w:pPr>
              <w:spacing w:after="0" w:line="360" w:lineRule="auto"/>
              <w:ind w:right="-188"/>
              <w:jc w:val="both"/>
              <w:rPr>
                <w:rFonts w:asciiTheme="majorBidi" w:hAnsiTheme="majorBidi" w:cstheme="majorBidi"/>
                <w:color w:val="000000"/>
                <w:sz w:val="24"/>
                <w:szCs w:val="24"/>
                <w:lang w:val="en-US"/>
              </w:rPr>
            </w:pPr>
            <w:r w:rsidRPr="00240669">
              <w:rPr>
                <w:rFonts w:asciiTheme="majorBidi" w:hAnsiTheme="majorBidi" w:cstheme="majorBidi"/>
                <w:color w:val="000000"/>
                <w:sz w:val="24"/>
                <w:szCs w:val="24"/>
              </w:rPr>
              <w:t>0,961</w:t>
            </w:r>
          </w:p>
        </w:tc>
      </w:tr>
      <w:tr w:rsidR="00240669" w:rsidRPr="00240669" w14:paraId="1437CC8B" w14:textId="77777777" w:rsidTr="00240669">
        <w:trPr>
          <w:jc w:val="center"/>
        </w:trPr>
        <w:tc>
          <w:tcPr>
            <w:tcW w:w="1136" w:type="pct"/>
          </w:tcPr>
          <w:p w14:paraId="684DA3B4" w14:textId="77777777" w:rsidR="00240669" w:rsidRPr="00240669" w:rsidRDefault="00240669" w:rsidP="00240669">
            <w:pPr>
              <w:spacing w:after="0" w:line="360" w:lineRule="auto"/>
              <w:ind w:right="-188"/>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Legs</w:t>
            </w:r>
          </w:p>
        </w:tc>
        <w:tc>
          <w:tcPr>
            <w:tcW w:w="1364" w:type="pct"/>
          </w:tcPr>
          <w:p w14:paraId="058E2FD9" w14:textId="77777777" w:rsidR="00240669" w:rsidRPr="00240669" w:rsidRDefault="00240669" w:rsidP="00240669">
            <w:pPr>
              <w:spacing w:after="0" w:line="360" w:lineRule="auto"/>
              <w:ind w:right="-188"/>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-2,18% (SD 5,6)</w:t>
            </w:r>
          </w:p>
        </w:tc>
        <w:tc>
          <w:tcPr>
            <w:tcW w:w="1705" w:type="pct"/>
          </w:tcPr>
          <w:p w14:paraId="3ACE4A2F" w14:textId="77777777" w:rsidR="00240669" w:rsidRPr="00240669" w:rsidRDefault="00240669" w:rsidP="00240669">
            <w:pPr>
              <w:spacing w:after="0" w:line="360" w:lineRule="auto"/>
              <w:ind w:right="-188"/>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-0,33% (SD 4,49)</w:t>
            </w:r>
          </w:p>
        </w:tc>
        <w:tc>
          <w:tcPr>
            <w:tcW w:w="795" w:type="pct"/>
          </w:tcPr>
          <w:p w14:paraId="1700C950" w14:textId="77777777" w:rsidR="00240669" w:rsidRPr="00240669" w:rsidRDefault="00240669" w:rsidP="00240669">
            <w:pPr>
              <w:spacing w:after="0" w:line="360" w:lineRule="auto"/>
              <w:ind w:right="-188"/>
              <w:jc w:val="both"/>
              <w:rPr>
                <w:rFonts w:asciiTheme="majorBidi" w:hAnsiTheme="majorBidi" w:cstheme="majorBidi"/>
                <w:b/>
                <w:bCs/>
                <w:color w:val="000000"/>
                <w:sz w:val="24"/>
                <w:szCs w:val="24"/>
                <w:lang w:val="en-US"/>
              </w:rPr>
            </w:pPr>
            <w:r w:rsidRPr="00240669">
              <w:rPr>
                <w:rFonts w:asciiTheme="majorBidi" w:hAnsiTheme="majorBidi" w:cstheme="majorBidi"/>
                <w:b/>
                <w:color w:val="000000"/>
                <w:sz w:val="24"/>
                <w:szCs w:val="24"/>
              </w:rPr>
              <w:t>0,045</w:t>
            </w:r>
          </w:p>
        </w:tc>
      </w:tr>
      <w:tr w:rsidR="00240669" w:rsidRPr="00240669" w14:paraId="3EAE9A0A" w14:textId="77777777" w:rsidTr="00240669">
        <w:trPr>
          <w:jc w:val="center"/>
        </w:trPr>
        <w:tc>
          <w:tcPr>
            <w:tcW w:w="1136" w:type="pct"/>
          </w:tcPr>
          <w:p w14:paraId="3BAEB91A" w14:textId="77777777" w:rsidR="00240669" w:rsidRPr="00240669" w:rsidRDefault="00240669" w:rsidP="00240669">
            <w:pPr>
              <w:spacing w:after="0" w:line="360" w:lineRule="auto"/>
              <w:ind w:right="-188"/>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Muscle Strength</w:t>
            </w:r>
          </w:p>
        </w:tc>
        <w:tc>
          <w:tcPr>
            <w:tcW w:w="1364" w:type="pct"/>
          </w:tcPr>
          <w:p w14:paraId="38FFF4A9" w14:textId="77777777" w:rsidR="00240669" w:rsidRPr="00240669" w:rsidRDefault="00240669" w:rsidP="00240669">
            <w:pPr>
              <w:spacing w:after="0" w:line="360" w:lineRule="auto"/>
              <w:ind w:right="-188"/>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-0,4% (3,3)</w:t>
            </w:r>
          </w:p>
        </w:tc>
        <w:tc>
          <w:tcPr>
            <w:tcW w:w="1705" w:type="pct"/>
          </w:tcPr>
          <w:p w14:paraId="4E59C58B" w14:textId="77777777" w:rsidR="00240669" w:rsidRPr="00240669" w:rsidRDefault="00240669" w:rsidP="00240669">
            <w:pPr>
              <w:spacing w:after="0" w:line="360" w:lineRule="auto"/>
              <w:ind w:right="-188"/>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0,1% (3,63)</w:t>
            </w:r>
          </w:p>
        </w:tc>
        <w:tc>
          <w:tcPr>
            <w:tcW w:w="795" w:type="pct"/>
          </w:tcPr>
          <w:p w14:paraId="64FC50A4" w14:textId="77777777" w:rsidR="00240669" w:rsidRPr="00240669" w:rsidRDefault="00240669" w:rsidP="00240669">
            <w:pPr>
              <w:spacing w:after="0" w:line="360" w:lineRule="auto"/>
              <w:ind w:right="-188"/>
              <w:jc w:val="both"/>
              <w:rPr>
                <w:rFonts w:asciiTheme="majorBidi" w:hAnsiTheme="majorBidi" w:cstheme="majorBidi"/>
                <w:color w:val="000000"/>
                <w:sz w:val="24"/>
                <w:szCs w:val="24"/>
                <w:lang w:val="en-US"/>
              </w:rPr>
            </w:pPr>
            <w:r w:rsidRPr="00240669">
              <w:rPr>
                <w:rFonts w:asciiTheme="majorBidi" w:hAnsiTheme="majorBidi" w:cstheme="majorBidi"/>
                <w:color w:val="000000"/>
                <w:sz w:val="24"/>
                <w:szCs w:val="24"/>
              </w:rPr>
              <w:t>0,647*</w:t>
            </w:r>
          </w:p>
        </w:tc>
      </w:tr>
    </w:tbl>
    <w:p w14:paraId="1654071F" w14:textId="04009472" w:rsidR="00240669" w:rsidRPr="00240669" w:rsidRDefault="00240669" w:rsidP="00C57D52">
      <w:pPr>
        <w:spacing w:after="0" w:line="360" w:lineRule="auto"/>
        <w:ind w:right="-188"/>
        <w:jc w:val="both"/>
        <w:rPr>
          <w:rFonts w:asciiTheme="majorBidi" w:hAnsiTheme="majorBidi" w:cstheme="majorBidi"/>
          <w:color w:val="000000"/>
          <w:sz w:val="24"/>
          <w:szCs w:val="24"/>
          <w:vertAlign w:val="superscript"/>
          <w:lang w:val="de-DE"/>
        </w:rPr>
      </w:pPr>
      <w:r w:rsidRPr="00240669">
        <w:rPr>
          <w:rFonts w:asciiTheme="majorBidi" w:hAnsiTheme="majorBidi" w:cstheme="majorBidi"/>
          <w:color w:val="000000"/>
          <w:sz w:val="24"/>
          <w:szCs w:val="24"/>
        </w:rPr>
        <w:t xml:space="preserve"> </w:t>
      </w:r>
      <w:r w:rsidRPr="00240669">
        <w:rPr>
          <w:rFonts w:asciiTheme="majorBidi" w:hAnsiTheme="majorBidi" w:cstheme="majorBidi"/>
          <w:color w:val="000000"/>
          <w:sz w:val="24"/>
          <w:szCs w:val="24"/>
          <w:vertAlign w:val="superscript"/>
        </w:rPr>
        <w:t>Test t</w:t>
      </w:r>
      <w:r w:rsidR="00E15A3F">
        <w:rPr>
          <w:rFonts w:asciiTheme="majorBidi" w:hAnsiTheme="majorBidi" w:cstheme="majorBidi"/>
          <w:color w:val="000000"/>
          <w:sz w:val="24"/>
          <w:szCs w:val="24"/>
          <w:vertAlign w:val="superscript"/>
        </w:rPr>
        <w:t>-</w:t>
      </w:r>
      <w:r w:rsidRPr="00240669">
        <w:rPr>
          <w:rFonts w:asciiTheme="majorBidi" w:hAnsiTheme="majorBidi" w:cstheme="majorBidi"/>
          <w:color w:val="000000"/>
          <w:sz w:val="24"/>
          <w:szCs w:val="24"/>
          <w:vertAlign w:val="superscript"/>
        </w:rPr>
        <w:t xml:space="preserve">test is not paired; *Test Mann </w:t>
      </w:r>
      <w:r w:rsidR="00E15A3F">
        <w:rPr>
          <w:rFonts w:asciiTheme="majorBidi" w:hAnsiTheme="majorBidi" w:cstheme="majorBidi"/>
          <w:color w:val="000000"/>
          <w:sz w:val="24"/>
          <w:szCs w:val="24"/>
          <w:vertAlign w:val="superscript"/>
        </w:rPr>
        <w:t>W</w:t>
      </w:r>
      <w:r w:rsidRPr="00240669">
        <w:rPr>
          <w:rFonts w:asciiTheme="majorBidi" w:hAnsiTheme="majorBidi" w:cstheme="majorBidi"/>
          <w:color w:val="000000"/>
          <w:sz w:val="24"/>
          <w:szCs w:val="24"/>
          <w:vertAlign w:val="superscript"/>
        </w:rPr>
        <w:t>hitney</w:t>
      </w:r>
    </w:p>
    <w:p w14:paraId="30A1F426" w14:textId="5DBF4021" w:rsidR="00240669" w:rsidRPr="00240669" w:rsidRDefault="00240669" w:rsidP="00240669">
      <w:pPr>
        <w:spacing w:after="0" w:line="360" w:lineRule="auto"/>
        <w:ind w:right="-188" w:firstLine="709"/>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The average difference in muscle mass in the control group before and after the study was -0.82% (SD 2.13) in the whole body, -0.78% (SD 2.43) in the torso, 2.75% (SD 10.74) in the arms, and -2.17% (SD 5.6) in the limbs. In the treatment group, the median</w:t>
      </w:r>
      <w:r w:rsidR="00E15A3F">
        <w:rPr>
          <w:rFonts w:asciiTheme="majorBidi" w:hAnsiTheme="majorBidi" w:cstheme="majorBidi"/>
          <w:color w:val="000000"/>
          <w:sz w:val="24"/>
          <w:szCs w:val="24"/>
        </w:rPr>
        <w:t>/</w:t>
      </w:r>
      <w:r w:rsidRPr="00240669">
        <w:rPr>
          <w:rFonts w:asciiTheme="majorBidi" w:hAnsiTheme="majorBidi" w:cstheme="majorBidi"/>
          <w:color w:val="000000"/>
          <w:sz w:val="24"/>
          <w:szCs w:val="24"/>
        </w:rPr>
        <w:t xml:space="preserve">mean difference in muscle mass before and after the study was 0.1% (interquartile range 3.63) throughout the body, </w:t>
      </w:r>
      <w:r w:rsidRPr="00240669">
        <w:rPr>
          <w:rFonts w:asciiTheme="majorBidi" w:hAnsiTheme="majorBidi" w:cstheme="majorBidi"/>
          <w:color w:val="000000"/>
          <w:sz w:val="24"/>
          <w:szCs w:val="24"/>
        </w:rPr>
        <w:lastRenderedPageBreak/>
        <w:t>0.1% (interquartile range 3.77) in the torso, -1.75% (SD 11.97) in the arms, and -0.34% (SD 4.49) in the limbs. The Mann-Whitney test on the difference in whole body and torso muscle mass between the control and treatment groups showed no significant results, nor did the T-Test on arm muscle mass. In the T-test the difference in leg muscle mass between the control and treatment groups, significant results were found (p = 0.045).</w:t>
      </w:r>
    </w:p>
    <w:p w14:paraId="50201F02" w14:textId="77777777" w:rsidR="00240669" w:rsidRPr="00240669" w:rsidRDefault="00240669" w:rsidP="00240669">
      <w:pPr>
        <w:spacing w:after="0" w:line="360" w:lineRule="auto"/>
        <w:ind w:right="-188" w:firstLine="709"/>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 xml:space="preserve">Researchers conducted a normality test on the results of measuring the difference in upper arm muscle strength before and after the study with a normality test with the Shapiro-Wilk test. In the difference in upper arm muscle strength in the control and treatment groups, an abnormal distribution (p &lt; 0.05) was found so that the data would be reported in the median form with the interquartile range. The median difference in upper arm muscle strength in the control group was 2 (interquartile range 4), and the median difference in upper arm muscle strength in the treatment group was 2 (interquartile range 4). </w:t>
      </w:r>
    </w:p>
    <w:p w14:paraId="7B527B52" w14:textId="240EA018" w:rsidR="00240669" w:rsidRPr="00240669" w:rsidRDefault="00240669" w:rsidP="00240669">
      <w:pPr>
        <w:spacing w:after="0" w:line="360" w:lineRule="auto"/>
        <w:ind w:right="-188" w:firstLine="709"/>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The difference in upper arm muscle strength in the control group was -0.4% (3.3), and in the treatment group was 0.1% (3.63). The Mann</w:t>
      </w:r>
      <w:r w:rsidR="00E15A3F">
        <w:rPr>
          <w:rFonts w:asciiTheme="majorBidi" w:hAnsiTheme="majorBidi" w:cstheme="majorBidi"/>
          <w:color w:val="000000"/>
          <w:sz w:val="24"/>
          <w:szCs w:val="24"/>
        </w:rPr>
        <w:t>-</w:t>
      </w:r>
      <w:r w:rsidRPr="00240669">
        <w:rPr>
          <w:rFonts w:asciiTheme="majorBidi" w:hAnsiTheme="majorBidi" w:cstheme="majorBidi"/>
          <w:color w:val="000000"/>
          <w:sz w:val="24"/>
          <w:szCs w:val="24"/>
        </w:rPr>
        <w:t>Whitney test on the difference in upper arm strength of the control and treatment groups found no significant difference (p = 0.647).</w:t>
      </w:r>
    </w:p>
    <w:p w14:paraId="2651F2B3" w14:textId="4FBAEB7D" w:rsidR="00240669" w:rsidRPr="00240669" w:rsidRDefault="00240669" w:rsidP="00240669">
      <w:pPr>
        <w:numPr>
          <w:ilvl w:val="1"/>
          <w:numId w:val="46"/>
        </w:numPr>
        <w:spacing w:after="0" w:line="360" w:lineRule="auto"/>
        <w:ind w:left="284" w:right="-188" w:hanging="258"/>
        <w:jc w:val="both"/>
        <w:rPr>
          <w:rFonts w:asciiTheme="majorBidi" w:hAnsiTheme="majorBidi" w:cstheme="majorBidi"/>
          <w:b/>
          <w:bCs/>
          <w:color w:val="000000"/>
          <w:sz w:val="24"/>
          <w:szCs w:val="24"/>
          <w:lang w:val="id"/>
        </w:rPr>
      </w:pPr>
      <w:r w:rsidRPr="00240669">
        <w:rPr>
          <w:rFonts w:asciiTheme="majorBidi" w:hAnsiTheme="majorBidi" w:cstheme="majorBidi"/>
          <w:b/>
          <w:color w:val="000000"/>
          <w:sz w:val="24"/>
          <w:szCs w:val="24"/>
        </w:rPr>
        <w:t>Elderly fat in nursing homes</w:t>
      </w:r>
    </w:p>
    <w:p w14:paraId="30D884E3" w14:textId="60206E11" w:rsidR="00240669" w:rsidRPr="00240669" w:rsidRDefault="00240669" w:rsidP="00240669">
      <w:pPr>
        <w:spacing w:after="0" w:line="360" w:lineRule="auto"/>
        <w:ind w:right="-188" w:firstLine="709"/>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Researchers conducted normality tests on fat mass and visceral fat mass data before and after the study with normality tests with the Shapiro-Wilk test. In fat mass in the control group, a normal distribution (p&gt;0.05) was found in measurements before and after the study so that the data would be reported in average form with standard deviations. In the fat mass of the treatment group, the distribution was found to be abnormal before the study so that the data would be reported in the median form with the interqu</w:t>
      </w:r>
      <w:r w:rsidR="00E15A3F">
        <w:rPr>
          <w:rFonts w:asciiTheme="majorBidi" w:hAnsiTheme="majorBidi" w:cstheme="majorBidi"/>
          <w:color w:val="000000"/>
          <w:sz w:val="24"/>
          <w:szCs w:val="24"/>
        </w:rPr>
        <w:t>ar</w:t>
      </w:r>
      <w:r w:rsidRPr="00240669">
        <w:rPr>
          <w:rFonts w:asciiTheme="majorBidi" w:hAnsiTheme="majorBidi" w:cstheme="majorBidi"/>
          <w:color w:val="000000"/>
          <w:sz w:val="24"/>
          <w:szCs w:val="24"/>
        </w:rPr>
        <w:t>tile range, and normal after the study so that the data would be reported in mean with standard deviation. In visceral fat mass, the distribution was found to be abnormal (p&lt;0.05) in the control and treatment groups, both before and after the study, so the data were reported in medians with interquartile ranges.</w:t>
      </w:r>
    </w:p>
    <w:p w14:paraId="7D6EB35B" w14:textId="3758C166" w:rsidR="00240669" w:rsidRPr="00240669" w:rsidRDefault="00240669" w:rsidP="00240669">
      <w:pPr>
        <w:spacing w:after="0" w:line="360" w:lineRule="auto"/>
        <w:ind w:right="-188" w:firstLine="709"/>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In the control group, researchers performed a paired T-</w:t>
      </w:r>
      <w:r w:rsidR="00E15A3F">
        <w:rPr>
          <w:rFonts w:asciiTheme="majorBidi" w:hAnsiTheme="majorBidi" w:cstheme="majorBidi"/>
          <w:color w:val="000000"/>
          <w:sz w:val="24"/>
          <w:szCs w:val="24"/>
        </w:rPr>
        <w:t>t</w:t>
      </w:r>
      <w:r w:rsidRPr="00240669">
        <w:rPr>
          <w:rFonts w:asciiTheme="majorBidi" w:hAnsiTheme="majorBidi" w:cstheme="majorBidi"/>
          <w:color w:val="000000"/>
          <w:sz w:val="24"/>
          <w:szCs w:val="24"/>
        </w:rPr>
        <w:t>est on fat measurement data, and a Wilcoxon test on visceral fat; The two found no significant differences. In the treatment group, statistical tests were carried out with the Wilcoxon test on fat and visceral fat measurement data, a significant difference was obtained in the fat measurement results (p &lt; 0.05).</w:t>
      </w:r>
    </w:p>
    <w:p w14:paraId="3755B4AD" w14:textId="77777777" w:rsidR="00E15A3F" w:rsidRDefault="00E15A3F" w:rsidP="00FB0254">
      <w:pPr>
        <w:spacing w:after="0" w:line="360" w:lineRule="auto"/>
        <w:ind w:right="-188"/>
        <w:jc w:val="center"/>
        <w:rPr>
          <w:rFonts w:asciiTheme="majorBidi" w:hAnsiTheme="majorBidi" w:cstheme="majorBidi"/>
          <w:b/>
          <w:color w:val="000000"/>
          <w:sz w:val="24"/>
          <w:szCs w:val="24"/>
        </w:rPr>
      </w:pPr>
    </w:p>
    <w:p w14:paraId="3C9621B5" w14:textId="77777777" w:rsidR="00E15A3F" w:rsidRDefault="00E15A3F" w:rsidP="00FB0254">
      <w:pPr>
        <w:spacing w:after="0" w:line="360" w:lineRule="auto"/>
        <w:ind w:right="-188"/>
        <w:jc w:val="center"/>
        <w:rPr>
          <w:rFonts w:asciiTheme="majorBidi" w:hAnsiTheme="majorBidi" w:cstheme="majorBidi"/>
          <w:b/>
          <w:color w:val="000000"/>
          <w:sz w:val="24"/>
          <w:szCs w:val="24"/>
        </w:rPr>
      </w:pPr>
    </w:p>
    <w:p w14:paraId="6D214ACE" w14:textId="77777777" w:rsidR="00E15A3F" w:rsidRDefault="00E15A3F" w:rsidP="00FB0254">
      <w:pPr>
        <w:spacing w:after="0" w:line="360" w:lineRule="auto"/>
        <w:ind w:right="-188"/>
        <w:jc w:val="center"/>
        <w:rPr>
          <w:rFonts w:asciiTheme="majorBidi" w:hAnsiTheme="majorBidi" w:cstheme="majorBidi"/>
          <w:b/>
          <w:color w:val="000000"/>
          <w:sz w:val="24"/>
          <w:szCs w:val="24"/>
        </w:rPr>
      </w:pPr>
    </w:p>
    <w:p w14:paraId="732B8D6A" w14:textId="77777777" w:rsidR="00E15A3F" w:rsidRDefault="00E15A3F" w:rsidP="00FB0254">
      <w:pPr>
        <w:spacing w:after="0" w:line="360" w:lineRule="auto"/>
        <w:ind w:right="-188"/>
        <w:jc w:val="center"/>
        <w:rPr>
          <w:rFonts w:asciiTheme="majorBidi" w:hAnsiTheme="majorBidi" w:cstheme="majorBidi"/>
          <w:b/>
          <w:color w:val="000000"/>
          <w:sz w:val="24"/>
          <w:szCs w:val="24"/>
        </w:rPr>
      </w:pPr>
    </w:p>
    <w:p w14:paraId="05350A2D" w14:textId="77777777" w:rsidR="00E15A3F" w:rsidRDefault="00E15A3F" w:rsidP="00FB0254">
      <w:pPr>
        <w:spacing w:after="0" w:line="360" w:lineRule="auto"/>
        <w:ind w:right="-188"/>
        <w:jc w:val="center"/>
        <w:rPr>
          <w:rFonts w:asciiTheme="majorBidi" w:hAnsiTheme="majorBidi" w:cstheme="majorBidi"/>
          <w:b/>
          <w:color w:val="000000"/>
          <w:sz w:val="24"/>
          <w:szCs w:val="24"/>
        </w:rPr>
      </w:pPr>
    </w:p>
    <w:p w14:paraId="1AE3A16C" w14:textId="68DD19D6" w:rsidR="00240669" w:rsidRPr="00CF459A" w:rsidRDefault="00FB0254" w:rsidP="00FB0254">
      <w:pPr>
        <w:spacing w:after="0" w:line="360" w:lineRule="auto"/>
        <w:ind w:right="-188"/>
        <w:jc w:val="center"/>
        <w:rPr>
          <w:rFonts w:asciiTheme="majorBidi" w:hAnsiTheme="majorBidi" w:cstheme="majorBidi"/>
          <w:b/>
          <w:bCs/>
          <w:color w:val="000000"/>
          <w:sz w:val="24"/>
          <w:szCs w:val="24"/>
          <w:lang w:val="id"/>
        </w:rPr>
      </w:pPr>
      <w:r w:rsidRPr="00CF459A">
        <w:rPr>
          <w:rFonts w:asciiTheme="majorBidi" w:hAnsiTheme="majorBidi" w:cstheme="majorBidi"/>
          <w:b/>
          <w:color w:val="000000"/>
          <w:sz w:val="24"/>
          <w:szCs w:val="24"/>
        </w:rPr>
        <w:lastRenderedPageBreak/>
        <w:t>Table 5. paired t-test on fat measurement data, and Wilcoxon test on visceral fat</w:t>
      </w:r>
    </w:p>
    <w:tbl>
      <w:tblPr>
        <w:tblStyle w:val="TableGrid"/>
        <w:tblW w:w="5000" w:type="pct"/>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110"/>
        <w:gridCol w:w="1401"/>
        <w:gridCol w:w="1397"/>
        <w:gridCol w:w="876"/>
        <w:gridCol w:w="1743"/>
        <w:gridCol w:w="1647"/>
        <w:gridCol w:w="876"/>
      </w:tblGrid>
      <w:tr w:rsidR="00240669" w:rsidRPr="00240669" w14:paraId="54BC4F0F" w14:textId="77777777" w:rsidTr="00240669">
        <w:tc>
          <w:tcPr>
            <w:tcW w:w="571" w:type="pct"/>
            <w:vMerge w:val="restart"/>
          </w:tcPr>
          <w:p w14:paraId="29B46D59" w14:textId="77777777" w:rsidR="00240669" w:rsidRPr="00240669" w:rsidRDefault="00240669" w:rsidP="00240669">
            <w:pPr>
              <w:spacing w:after="0" w:line="360" w:lineRule="auto"/>
              <w:ind w:right="-188"/>
              <w:jc w:val="both"/>
              <w:rPr>
                <w:rFonts w:asciiTheme="majorBidi" w:hAnsiTheme="majorBidi" w:cstheme="majorBidi"/>
                <w:b/>
                <w:bCs/>
                <w:color w:val="000000"/>
                <w:sz w:val="24"/>
                <w:szCs w:val="24"/>
                <w:lang w:val="id"/>
              </w:rPr>
            </w:pPr>
            <w:r w:rsidRPr="00240669">
              <w:rPr>
                <w:rFonts w:asciiTheme="majorBidi" w:hAnsiTheme="majorBidi" w:cstheme="majorBidi"/>
                <w:b/>
                <w:color w:val="000000"/>
                <w:sz w:val="24"/>
                <w:szCs w:val="24"/>
              </w:rPr>
              <w:t>Variable</w:t>
            </w:r>
          </w:p>
        </w:tc>
        <w:tc>
          <w:tcPr>
            <w:tcW w:w="2051" w:type="pct"/>
            <w:gridSpan w:val="3"/>
            <w:tcBorders>
              <w:bottom w:val="single" w:sz="4" w:space="0" w:color="auto"/>
            </w:tcBorders>
          </w:tcPr>
          <w:p w14:paraId="09D3C341" w14:textId="77777777" w:rsidR="00240669" w:rsidRPr="00240669" w:rsidRDefault="00240669" w:rsidP="00240669">
            <w:pPr>
              <w:spacing w:after="0" w:line="360" w:lineRule="auto"/>
              <w:ind w:right="-188"/>
              <w:jc w:val="both"/>
              <w:rPr>
                <w:rFonts w:asciiTheme="majorBidi" w:hAnsiTheme="majorBidi" w:cstheme="majorBidi"/>
                <w:b/>
                <w:bCs/>
                <w:color w:val="000000"/>
                <w:sz w:val="24"/>
                <w:szCs w:val="24"/>
                <w:lang w:val="id"/>
              </w:rPr>
            </w:pPr>
            <w:r w:rsidRPr="00240669">
              <w:rPr>
                <w:rFonts w:asciiTheme="majorBidi" w:hAnsiTheme="majorBidi" w:cstheme="majorBidi"/>
                <w:b/>
                <w:color w:val="000000"/>
                <w:sz w:val="24"/>
                <w:szCs w:val="24"/>
              </w:rPr>
              <w:t>Control</w:t>
            </w:r>
          </w:p>
        </w:tc>
        <w:tc>
          <w:tcPr>
            <w:tcW w:w="2377" w:type="pct"/>
            <w:gridSpan w:val="3"/>
            <w:tcBorders>
              <w:bottom w:val="single" w:sz="4" w:space="0" w:color="auto"/>
            </w:tcBorders>
          </w:tcPr>
          <w:p w14:paraId="1BF658E0" w14:textId="77777777" w:rsidR="00240669" w:rsidRPr="00240669" w:rsidRDefault="00240669" w:rsidP="00240669">
            <w:pPr>
              <w:spacing w:after="0" w:line="360" w:lineRule="auto"/>
              <w:ind w:right="-188"/>
              <w:jc w:val="both"/>
              <w:rPr>
                <w:rFonts w:asciiTheme="majorBidi" w:hAnsiTheme="majorBidi" w:cstheme="majorBidi"/>
                <w:b/>
                <w:bCs/>
                <w:color w:val="000000"/>
                <w:sz w:val="24"/>
                <w:szCs w:val="24"/>
                <w:lang w:val="id"/>
              </w:rPr>
            </w:pPr>
            <w:r w:rsidRPr="00240669">
              <w:rPr>
                <w:rFonts w:asciiTheme="majorBidi" w:hAnsiTheme="majorBidi" w:cstheme="majorBidi"/>
                <w:b/>
                <w:color w:val="000000"/>
                <w:sz w:val="24"/>
                <w:szCs w:val="24"/>
              </w:rPr>
              <w:t>Treatment</w:t>
            </w:r>
          </w:p>
        </w:tc>
      </w:tr>
      <w:tr w:rsidR="00240669" w:rsidRPr="00240669" w14:paraId="39BD1A66" w14:textId="77777777" w:rsidTr="00240669">
        <w:tc>
          <w:tcPr>
            <w:tcW w:w="571" w:type="pct"/>
            <w:vMerge/>
            <w:tcBorders>
              <w:bottom w:val="single" w:sz="4" w:space="0" w:color="auto"/>
            </w:tcBorders>
          </w:tcPr>
          <w:p w14:paraId="5731C971" w14:textId="77777777" w:rsidR="00240669" w:rsidRPr="00240669" w:rsidRDefault="00240669" w:rsidP="00240669">
            <w:pPr>
              <w:spacing w:after="0" w:line="360" w:lineRule="auto"/>
              <w:ind w:right="-188"/>
              <w:jc w:val="both"/>
              <w:rPr>
                <w:rFonts w:asciiTheme="majorBidi" w:hAnsiTheme="majorBidi" w:cstheme="majorBidi"/>
                <w:b/>
                <w:bCs/>
                <w:color w:val="000000"/>
                <w:sz w:val="24"/>
                <w:szCs w:val="24"/>
                <w:lang w:val="id"/>
              </w:rPr>
            </w:pPr>
          </w:p>
        </w:tc>
        <w:tc>
          <w:tcPr>
            <w:tcW w:w="801" w:type="pct"/>
            <w:tcBorders>
              <w:top w:val="single" w:sz="4" w:space="0" w:color="auto"/>
              <w:bottom w:val="single" w:sz="4" w:space="0" w:color="auto"/>
            </w:tcBorders>
          </w:tcPr>
          <w:p w14:paraId="2C09C978" w14:textId="77777777" w:rsidR="00240669" w:rsidRPr="00240669" w:rsidRDefault="00240669" w:rsidP="00240669">
            <w:pPr>
              <w:spacing w:after="0" w:line="360" w:lineRule="auto"/>
              <w:ind w:right="-188"/>
              <w:jc w:val="both"/>
              <w:rPr>
                <w:rFonts w:asciiTheme="majorBidi" w:hAnsiTheme="majorBidi" w:cstheme="majorBidi"/>
                <w:b/>
                <w:bCs/>
                <w:color w:val="000000"/>
                <w:sz w:val="24"/>
                <w:szCs w:val="24"/>
                <w:lang w:val="id"/>
              </w:rPr>
            </w:pPr>
            <w:r w:rsidRPr="00240669">
              <w:rPr>
                <w:rFonts w:asciiTheme="majorBidi" w:hAnsiTheme="majorBidi" w:cstheme="majorBidi"/>
                <w:b/>
                <w:color w:val="000000"/>
                <w:sz w:val="24"/>
                <w:szCs w:val="24"/>
              </w:rPr>
              <w:t>Before</w:t>
            </w:r>
          </w:p>
        </w:tc>
        <w:tc>
          <w:tcPr>
            <w:tcW w:w="799" w:type="pct"/>
            <w:tcBorders>
              <w:top w:val="single" w:sz="4" w:space="0" w:color="auto"/>
              <w:bottom w:val="single" w:sz="4" w:space="0" w:color="auto"/>
            </w:tcBorders>
          </w:tcPr>
          <w:p w14:paraId="0E82DD22" w14:textId="77777777" w:rsidR="00240669" w:rsidRPr="00240669" w:rsidRDefault="00240669" w:rsidP="00240669">
            <w:pPr>
              <w:spacing w:after="0" w:line="360" w:lineRule="auto"/>
              <w:ind w:right="-188"/>
              <w:jc w:val="both"/>
              <w:rPr>
                <w:rFonts w:asciiTheme="majorBidi" w:hAnsiTheme="majorBidi" w:cstheme="majorBidi"/>
                <w:b/>
                <w:bCs/>
                <w:color w:val="000000"/>
                <w:sz w:val="24"/>
                <w:szCs w:val="24"/>
                <w:lang w:val="id"/>
              </w:rPr>
            </w:pPr>
            <w:r w:rsidRPr="00240669">
              <w:rPr>
                <w:rFonts w:asciiTheme="majorBidi" w:hAnsiTheme="majorBidi" w:cstheme="majorBidi"/>
                <w:b/>
                <w:color w:val="000000"/>
                <w:sz w:val="24"/>
                <w:szCs w:val="24"/>
              </w:rPr>
              <w:t>After</w:t>
            </w:r>
          </w:p>
        </w:tc>
        <w:tc>
          <w:tcPr>
            <w:tcW w:w="451" w:type="pct"/>
            <w:tcBorders>
              <w:top w:val="single" w:sz="4" w:space="0" w:color="auto"/>
              <w:bottom w:val="single" w:sz="4" w:space="0" w:color="auto"/>
            </w:tcBorders>
          </w:tcPr>
          <w:p w14:paraId="4D6A2157" w14:textId="77777777" w:rsidR="00240669" w:rsidRPr="00240669" w:rsidRDefault="00240669" w:rsidP="00240669">
            <w:pPr>
              <w:spacing w:after="0" w:line="360" w:lineRule="auto"/>
              <w:ind w:right="-188"/>
              <w:jc w:val="both"/>
              <w:rPr>
                <w:rFonts w:asciiTheme="majorBidi" w:hAnsiTheme="majorBidi" w:cstheme="majorBidi"/>
                <w:b/>
                <w:bCs/>
                <w:color w:val="000000"/>
                <w:sz w:val="24"/>
                <w:szCs w:val="24"/>
                <w:lang w:val="id"/>
              </w:rPr>
            </w:pPr>
            <w:r w:rsidRPr="00240669">
              <w:rPr>
                <w:rFonts w:asciiTheme="majorBidi" w:hAnsiTheme="majorBidi" w:cstheme="majorBidi"/>
                <w:b/>
                <w:color w:val="000000"/>
                <w:sz w:val="24"/>
                <w:szCs w:val="24"/>
              </w:rPr>
              <w:t xml:space="preserve">P </w:t>
            </w:r>
          </w:p>
        </w:tc>
        <w:tc>
          <w:tcPr>
            <w:tcW w:w="990" w:type="pct"/>
            <w:tcBorders>
              <w:top w:val="single" w:sz="4" w:space="0" w:color="auto"/>
              <w:bottom w:val="single" w:sz="4" w:space="0" w:color="auto"/>
            </w:tcBorders>
          </w:tcPr>
          <w:p w14:paraId="7B8DE516" w14:textId="77777777" w:rsidR="00240669" w:rsidRPr="00240669" w:rsidRDefault="00240669" w:rsidP="00240669">
            <w:pPr>
              <w:spacing w:after="0" w:line="360" w:lineRule="auto"/>
              <w:ind w:right="-188"/>
              <w:jc w:val="both"/>
              <w:rPr>
                <w:rFonts w:asciiTheme="majorBidi" w:hAnsiTheme="majorBidi" w:cstheme="majorBidi"/>
                <w:b/>
                <w:bCs/>
                <w:color w:val="000000"/>
                <w:sz w:val="24"/>
                <w:szCs w:val="24"/>
                <w:lang w:val="id"/>
              </w:rPr>
            </w:pPr>
            <w:r w:rsidRPr="00240669">
              <w:rPr>
                <w:rFonts w:asciiTheme="majorBidi" w:hAnsiTheme="majorBidi" w:cstheme="majorBidi"/>
                <w:b/>
                <w:color w:val="000000"/>
                <w:sz w:val="24"/>
                <w:szCs w:val="24"/>
              </w:rPr>
              <w:t>Before</w:t>
            </w:r>
          </w:p>
        </w:tc>
        <w:tc>
          <w:tcPr>
            <w:tcW w:w="937" w:type="pct"/>
            <w:tcBorders>
              <w:top w:val="single" w:sz="4" w:space="0" w:color="auto"/>
              <w:bottom w:val="single" w:sz="4" w:space="0" w:color="auto"/>
            </w:tcBorders>
          </w:tcPr>
          <w:p w14:paraId="0D9A7F12" w14:textId="77777777" w:rsidR="00240669" w:rsidRPr="00240669" w:rsidRDefault="00240669" w:rsidP="00240669">
            <w:pPr>
              <w:spacing w:after="0" w:line="360" w:lineRule="auto"/>
              <w:ind w:right="-188"/>
              <w:jc w:val="both"/>
              <w:rPr>
                <w:rFonts w:asciiTheme="majorBidi" w:hAnsiTheme="majorBidi" w:cstheme="majorBidi"/>
                <w:b/>
                <w:bCs/>
                <w:color w:val="000000"/>
                <w:sz w:val="24"/>
                <w:szCs w:val="24"/>
                <w:lang w:val="id"/>
              </w:rPr>
            </w:pPr>
            <w:r w:rsidRPr="00240669">
              <w:rPr>
                <w:rFonts w:asciiTheme="majorBidi" w:hAnsiTheme="majorBidi" w:cstheme="majorBidi"/>
                <w:b/>
                <w:color w:val="000000"/>
                <w:sz w:val="24"/>
                <w:szCs w:val="24"/>
              </w:rPr>
              <w:t>After</w:t>
            </w:r>
          </w:p>
        </w:tc>
        <w:tc>
          <w:tcPr>
            <w:tcW w:w="451" w:type="pct"/>
            <w:tcBorders>
              <w:top w:val="single" w:sz="4" w:space="0" w:color="auto"/>
              <w:bottom w:val="single" w:sz="4" w:space="0" w:color="auto"/>
            </w:tcBorders>
          </w:tcPr>
          <w:p w14:paraId="7B099599" w14:textId="77777777" w:rsidR="00240669" w:rsidRPr="00240669" w:rsidRDefault="00240669" w:rsidP="00240669">
            <w:pPr>
              <w:spacing w:after="0" w:line="360" w:lineRule="auto"/>
              <w:ind w:right="-188"/>
              <w:jc w:val="both"/>
              <w:rPr>
                <w:rFonts w:asciiTheme="majorBidi" w:hAnsiTheme="majorBidi" w:cstheme="majorBidi"/>
                <w:b/>
                <w:bCs/>
                <w:color w:val="000000"/>
                <w:sz w:val="24"/>
                <w:szCs w:val="24"/>
                <w:lang w:val="id"/>
              </w:rPr>
            </w:pPr>
            <w:r w:rsidRPr="00240669">
              <w:rPr>
                <w:rFonts w:asciiTheme="majorBidi" w:hAnsiTheme="majorBidi" w:cstheme="majorBidi"/>
                <w:b/>
                <w:color w:val="000000"/>
                <w:sz w:val="24"/>
                <w:szCs w:val="24"/>
              </w:rPr>
              <w:t xml:space="preserve">P </w:t>
            </w:r>
          </w:p>
        </w:tc>
      </w:tr>
      <w:tr w:rsidR="00240669" w:rsidRPr="00240669" w14:paraId="1A4AFCB7" w14:textId="77777777" w:rsidTr="00240669">
        <w:tc>
          <w:tcPr>
            <w:tcW w:w="571" w:type="pct"/>
            <w:tcBorders>
              <w:top w:val="single" w:sz="4" w:space="0" w:color="auto"/>
              <w:bottom w:val="nil"/>
            </w:tcBorders>
          </w:tcPr>
          <w:p w14:paraId="26AA92CC" w14:textId="77777777" w:rsidR="00240669" w:rsidRPr="00240669" w:rsidRDefault="00240669" w:rsidP="00240669">
            <w:pPr>
              <w:spacing w:after="0" w:line="360" w:lineRule="auto"/>
              <w:ind w:right="-188"/>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Fat</w:t>
            </w:r>
          </w:p>
        </w:tc>
        <w:tc>
          <w:tcPr>
            <w:tcW w:w="801" w:type="pct"/>
            <w:tcBorders>
              <w:top w:val="single" w:sz="4" w:space="0" w:color="auto"/>
              <w:bottom w:val="nil"/>
            </w:tcBorders>
          </w:tcPr>
          <w:p w14:paraId="78CE6A7B" w14:textId="77777777" w:rsidR="00240669" w:rsidRPr="00240669" w:rsidRDefault="00240669" w:rsidP="00240669">
            <w:pPr>
              <w:spacing w:after="0" w:line="360" w:lineRule="auto"/>
              <w:ind w:right="-188"/>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31,97 (SD 7,80)</w:t>
            </w:r>
          </w:p>
        </w:tc>
        <w:tc>
          <w:tcPr>
            <w:tcW w:w="799" w:type="pct"/>
            <w:tcBorders>
              <w:top w:val="single" w:sz="4" w:space="0" w:color="auto"/>
              <w:bottom w:val="nil"/>
            </w:tcBorders>
          </w:tcPr>
          <w:p w14:paraId="21D7F0BD" w14:textId="77777777" w:rsidR="00240669" w:rsidRPr="00240669" w:rsidRDefault="00240669" w:rsidP="00240669">
            <w:pPr>
              <w:spacing w:after="0" w:line="360" w:lineRule="auto"/>
              <w:ind w:right="-188"/>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31,78 (SD 7,36)</w:t>
            </w:r>
          </w:p>
        </w:tc>
        <w:tc>
          <w:tcPr>
            <w:tcW w:w="451" w:type="pct"/>
            <w:tcBorders>
              <w:top w:val="single" w:sz="4" w:space="0" w:color="auto"/>
              <w:bottom w:val="nil"/>
            </w:tcBorders>
          </w:tcPr>
          <w:p w14:paraId="743B4678" w14:textId="77777777" w:rsidR="00240669" w:rsidRPr="00240669" w:rsidRDefault="00240669" w:rsidP="00240669">
            <w:pPr>
              <w:spacing w:after="0" w:line="360" w:lineRule="auto"/>
              <w:ind w:right="-188"/>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0,845</w:t>
            </w:r>
          </w:p>
        </w:tc>
        <w:tc>
          <w:tcPr>
            <w:tcW w:w="990" w:type="pct"/>
            <w:tcBorders>
              <w:top w:val="single" w:sz="4" w:space="0" w:color="auto"/>
              <w:bottom w:val="nil"/>
            </w:tcBorders>
          </w:tcPr>
          <w:p w14:paraId="210B5232" w14:textId="77777777" w:rsidR="00240669" w:rsidRPr="00240669" w:rsidRDefault="00240669" w:rsidP="00240669">
            <w:pPr>
              <w:spacing w:after="0" w:line="360" w:lineRule="auto"/>
              <w:ind w:right="-188"/>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36,7 (32,52 – 39,1)</w:t>
            </w:r>
          </w:p>
        </w:tc>
        <w:tc>
          <w:tcPr>
            <w:tcW w:w="937" w:type="pct"/>
            <w:tcBorders>
              <w:top w:val="single" w:sz="4" w:space="0" w:color="auto"/>
              <w:bottom w:val="nil"/>
            </w:tcBorders>
          </w:tcPr>
          <w:p w14:paraId="4A5D1185" w14:textId="77777777" w:rsidR="00240669" w:rsidRPr="00240669" w:rsidRDefault="00240669" w:rsidP="00240669">
            <w:pPr>
              <w:spacing w:after="0" w:line="360" w:lineRule="auto"/>
              <w:ind w:right="-188"/>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34,15 (29,65 – 39)</w:t>
            </w:r>
          </w:p>
        </w:tc>
        <w:tc>
          <w:tcPr>
            <w:tcW w:w="451" w:type="pct"/>
            <w:tcBorders>
              <w:top w:val="single" w:sz="4" w:space="0" w:color="auto"/>
              <w:bottom w:val="nil"/>
            </w:tcBorders>
          </w:tcPr>
          <w:p w14:paraId="6F75EE7C" w14:textId="77777777" w:rsidR="00240669" w:rsidRPr="00240669" w:rsidRDefault="00240669" w:rsidP="00240669">
            <w:pPr>
              <w:spacing w:after="0" w:line="360" w:lineRule="auto"/>
              <w:ind w:right="-188"/>
              <w:jc w:val="both"/>
              <w:rPr>
                <w:rFonts w:asciiTheme="majorBidi" w:hAnsiTheme="majorBidi" w:cstheme="majorBidi"/>
                <w:color w:val="000000"/>
                <w:sz w:val="24"/>
                <w:szCs w:val="24"/>
                <w:lang w:val="id"/>
              </w:rPr>
            </w:pPr>
            <w:r w:rsidRPr="00240669">
              <w:rPr>
                <w:rFonts w:asciiTheme="majorBidi" w:hAnsiTheme="majorBidi" w:cstheme="majorBidi"/>
                <w:b/>
                <w:color w:val="000000"/>
                <w:sz w:val="24"/>
                <w:szCs w:val="24"/>
              </w:rPr>
              <w:t>0,045</w:t>
            </w:r>
            <w:r w:rsidRPr="00240669">
              <w:rPr>
                <w:rFonts w:asciiTheme="majorBidi" w:hAnsiTheme="majorBidi" w:cstheme="majorBidi"/>
                <w:color w:val="000000"/>
                <w:sz w:val="24"/>
                <w:szCs w:val="24"/>
              </w:rPr>
              <w:t>*</w:t>
            </w:r>
          </w:p>
        </w:tc>
      </w:tr>
      <w:tr w:rsidR="00240669" w:rsidRPr="00240669" w14:paraId="4D453730" w14:textId="77777777" w:rsidTr="00240669">
        <w:tc>
          <w:tcPr>
            <w:tcW w:w="571" w:type="pct"/>
            <w:tcBorders>
              <w:top w:val="nil"/>
              <w:bottom w:val="single" w:sz="4" w:space="0" w:color="auto"/>
            </w:tcBorders>
          </w:tcPr>
          <w:p w14:paraId="49CDC116" w14:textId="77777777" w:rsidR="00240669" w:rsidRPr="00240669" w:rsidRDefault="00240669" w:rsidP="00240669">
            <w:pPr>
              <w:spacing w:after="0" w:line="360" w:lineRule="auto"/>
              <w:ind w:right="-188"/>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VF</w:t>
            </w:r>
          </w:p>
        </w:tc>
        <w:tc>
          <w:tcPr>
            <w:tcW w:w="801" w:type="pct"/>
            <w:tcBorders>
              <w:top w:val="nil"/>
              <w:bottom w:val="single" w:sz="4" w:space="0" w:color="auto"/>
            </w:tcBorders>
          </w:tcPr>
          <w:p w14:paraId="75754334" w14:textId="77777777" w:rsidR="00240669" w:rsidRPr="00240669" w:rsidRDefault="00240669" w:rsidP="00240669">
            <w:pPr>
              <w:spacing w:after="0" w:line="360" w:lineRule="auto"/>
              <w:ind w:right="-188"/>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7,5 (5,75 – 10)</w:t>
            </w:r>
          </w:p>
        </w:tc>
        <w:tc>
          <w:tcPr>
            <w:tcW w:w="799" w:type="pct"/>
            <w:tcBorders>
              <w:top w:val="nil"/>
              <w:bottom w:val="single" w:sz="4" w:space="0" w:color="auto"/>
            </w:tcBorders>
          </w:tcPr>
          <w:p w14:paraId="2EA01668" w14:textId="77777777" w:rsidR="00240669" w:rsidRPr="00240669" w:rsidRDefault="00240669" w:rsidP="00240669">
            <w:pPr>
              <w:spacing w:after="0" w:line="360" w:lineRule="auto"/>
              <w:ind w:right="-188"/>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7 (4,5 – 9,7)</w:t>
            </w:r>
          </w:p>
        </w:tc>
        <w:tc>
          <w:tcPr>
            <w:tcW w:w="451" w:type="pct"/>
            <w:tcBorders>
              <w:top w:val="nil"/>
              <w:bottom w:val="single" w:sz="4" w:space="0" w:color="auto"/>
            </w:tcBorders>
          </w:tcPr>
          <w:p w14:paraId="4E8858A4" w14:textId="77777777" w:rsidR="00240669" w:rsidRPr="00240669" w:rsidRDefault="00240669" w:rsidP="00240669">
            <w:pPr>
              <w:spacing w:after="0" w:line="360" w:lineRule="auto"/>
              <w:ind w:right="-188"/>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0,352*</w:t>
            </w:r>
          </w:p>
        </w:tc>
        <w:tc>
          <w:tcPr>
            <w:tcW w:w="990" w:type="pct"/>
            <w:tcBorders>
              <w:top w:val="nil"/>
              <w:bottom w:val="single" w:sz="4" w:space="0" w:color="auto"/>
            </w:tcBorders>
          </w:tcPr>
          <w:p w14:paraId="5FBD62A5" w14:textId="77777777" w:rsidR="00240669" w:rsidRPr="00240669" w:rsidRDefault="00240669" w:rsidP="00240669">
            <w:pPr>
              <w:spacing w:after="0" w:line="360" w:lineRule="auto"/>
              <w:ind w:right="-188"/>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6,5 (3,62 – 11,37)</w:t>
            </w:r>
          </w:p>
        </w:tc>
        <w:tc>
          <w:tcPr>
            <w:tcW w:w="937" w:type="pct"/>
            <w:tcBorders>
              <w:top w:val="nil"/>
              <w:bottom w:val="single" w:sz="4" w:space="0" w:color="auto"/>
            </w:tcBorders>
          </w:tcPr>
          <w:p w14:paraId="7F7E3053" w14:textId="77777777" w:rsidR="00240669" w:rsidRPr="00240669" w:rsidRDefault="00240669" w:rsidP="00240669">
            <w:pPr>
              <w:spacing w:after="0" w:line="360" w:lineRule="auto"/>
              <w:ind w:right="-188"/>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6 (3,87 – 13,62)</w:t>
            </w:r>
          </w:p>
        </w:tc>
        <w:tc>
          <w:tcPr>
            <w:tcW w:w="451" w:type="pct"/>
            <w:tcBorders>
              <w:top w:val="nil"/>
              <w:bottom w:val="single" w:sz="4" w:space="0" w:color="auto"/>
            </w:tcBorders>
          </w:tcPr>
          <w:p w14:paraId="2710DEEF" w14:textId="77777777" w:rsidR="00240669" w:rsidRPr="00240669" w:rsidRDefault="00240669" w:rsidP="00240669">
            <w:pPr>
              <w:spacing w:after="0" w:line="360" w:lineRule="auto"/>
              <w:ind w:right="-188"/>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0,212*</w:t>
            </w:r>
          </w:p>
        </w:tc>
      </w:tr>
    </w:tbl>
    <w:p w14:paraId="260465E7" w14:textId="1B49C9BF" w:rsidR="00240669" w:rsidRPr="00240669" w:rsidRDefault="00240669" w:rsidP="00FB0254">
      <w:pPr>
        <w:spacing w:after="0" w:line="360" w:lineRule="auto"/>
        <w:ind w:right="-188"/>
        <w:jc w:val="both"/>
        <w:rPr>
          <w:rFonts w:asciiTheme="majorBidi" w:hAnsiTheme="majorBidi" w:cstheme="majorBidi"/>
          <w:color w:val="000000"/>
          <w:sz w:val="24"/>
          <w:szCs w:val="24"/>
          <w:vertAlign w:val="superscript"/>
          <w:lang w:val="de-DE"/>
        </w:rPr>
      </w:pPr>
      <w:r w:rsidRPr="00240669">
        <w:rPr>
          <w:rFonts w:asciiTheme="majorBidi" w:hAnsiTheme="majorBidi" w:cstheme="majorBidi"/>
          <w:color w:val="000000"/>
          <w:sz w:val="24"/>
          <w:szCs w:val="24"/>
          <w:vertAlign w:val="superscript"/>
        </w:rPr>
        <w:t>T</w:t>
      </w:r>
      <w:r w:rsidR="00E15A3F">
        <w:rPr>
          <w:rFonts w:asciiTheme="majorBidi" w:hAnsiTheme="majorBidi" w:cstheme="majorBidi"/>
          <w:color w:val="000000"/>
          <w:sz w:val="24"/>
          <w:szCs w:val="24"/>
          <w:vertAlign w:val="superscript"/>
        </w:rPr>
        <w:t>-</w:t>
      </w:r>
      <w:r w:rsidRPr="00240669">
        <w:rPr>
          <w:rFonts w:asciiTheme="majorBidi" w:hAnsiTheme="majorBidi" w:cstheme="majorBidi"/>
          <w:color w:val="000000"/>
          <w:sz w:val="24"/>
          <w:szCs w:val="24"/>
          <w:vertAlign w:val="superscript"/>
        </w:rPr>
        <w:t>test paired test;* Wilxocon test</w:t>
      </w:r>
    </w:p>
    <w:p w14:paraId="75312488" w14:textId="78CD5FF4" w:rsidR="00240669" w:rsidRPr="00240669" w:rsidRDefault="00240669" w:rsidP="00240669">
      <w:pPr>
        <w:numPr>
          <w:ilvl w:val="1"/>
          <w:numId w:val="46"/>
        </w:numPr>
        <w:spacing w:after="0" w:line="360" w:lineRule="auto"/>
        <w:ind w:left="284" w:right="-188" w:hanging="258"/>
        <w:jc w:val="both"/>
        <w:rPr>
          <w:rFonts w:asciiTheme="majorBidi" w:hAnsiTheme="majorBidi" w:cstheme="majorBidi"/>
          <w:b/>
          <w:bCs/>
          <w:color w:val="000000"/>
          <w:sz w:val="24"/>
          <w:szCs w:val="24"/>
          <w:lang w:val="id"/>
        </w:rPr>
      </w:pPr>
      <w:r w:rsidRPr="00240669">
        <w:rPr>
          <w:rFonts w:asciiTheme="majorBidi" w:hAnsiTheme="majorBidi" w:cstheme="majorBidi"/>
          <w:b/>
          <w:color w:val="000000"/>
          <w:sz w:val="24"/>
          <w:szCs w:val="24"/>
        </w:rPr>
        <w:t>The effect of vitamin D3 on changes in Fat and Vis</w:t>
      </w:r>
      <w:r w:rsidR="00E15A3F">
        <w:rPr>
          <w:rFonts w:asciiTheme="majorBidi" w:hAnsiTheme="majorBidi" w:cstheme="majorBidi"/>
          <w:b/>
          <w:color w:val="000000"/>
          <w:sz w:val="24"/>
          <w:szCs w:val="24"/>
        </w:rPr>
        <w:t>c</w:t>
      </w:r>
      <w:r w:rsidRPr="00240669">
        <w:rPr>
          <w:rFonts w:asciiTheme="majorBidi" w:hAnsiTheme="majorBidi" w:cstheme="majorBidi"/>
          <w:b/>
          <w:color w:val="000000"/>
          <w:sz w:val="24"/>
          <w:szCs w:val="24"/>
        </w:rPr>
        <w:t>eral Fat in the elderly in nursing homes</w:t>
      </w:r>
    </w:p>
    <w:p w14:paraId="79536EDD" w14:textId="5535DCCB" w:rsidR="00240669" w:rsidRPr="00240669" w:rsidRDefault="00240669" w:rsidP="00240669">
      <w:pPr>
        <w:spacing w:after="0" w:line="360" w:lineRule="auto"/>
        <w:ind w:right="-188" w:firstLine="709"/>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Researchers conducted normality tests on data on the difference in overall fat mass and visceral fat mass before and after the study with normality tests with the Shapiro-Wilk test. In the difference in fat mass in the control group, a normal distribution (p&gt;0.05) was found so that the data would be reported in average form with standard deviations. In the difference in fat mass of the treatment group, the distribution was found to be abnormal so that the data would be reported in the median form with the interqu</w:t>
      </w:r>
      <w:r w:rsidR="00E15A3F">
        <w:rPr>
          <w:rFonts w:asciiTheme="majorBidi" w:hAnsiTheme="majorBidi" w:cstheme="majorBidi"/>
          <w:color w:val="000000"/>
          <w:sz w:val="24"/>
          <w:szCs w:val="24"/>
        </w:rPr>
        <w:t>ar</w:t>
      </w:r>
      <w:r w:rsidRPr="00240669">
        <w:rPr>
          <w:rFonts w:asciiTheme="majorBidi" w:hAnsiTheme="majorBidi" w:cstheme="majorBidi"/>
          <w:color w:val="000000"/>
          <w:sz w:val="24"/>
          <w:szCs w:val="24"/>
        </w:rPr>
        <w:t>tile range. In the difference in visceral fat mass in both the control and treatment groups, the distribution of data is abnormal so the data will be reported in the median with the interqu</w:t>
      </w:r>
      <w:r w:rsidR="00E15A3F">
        <w:rPr>
          <w:rFonts w:asciiTheme="majorBidi" w:hAnsiTheme="majorBidi" w:cstheme="majorBidi"/>
          <w:color w:val="000000"/>
          <w:sz w:val="24"/>
          <w:szCs w:val="24"/>
        </w:rPr>
        <w:t>ar</w:t>
      </w:r>
      <w:r w:rsidRPr="00240669">
        <w:rPr>
          <w:rFonts w:asciiTheme="majorBidi" w:hAnsiTheme="majorBidi" w:cstheme="majorBidi"/>
          <w:color w:val="000000"/>
          <w:sz w:val="24"/>
          <w:szCs w:val="24"/>
        </w:rPr>
        <w:t>tile range. The Mann</w:t>
      </w:r>
      <w:r w:rsidR="00E15A3F">
        <w:rPr>
          <w:rFonts w:asciiTheme="majorBidi" w:hAnsiTheme="majorBidi" w:cstheme="majorBidi"/>
          <w:color w:val="000000"/>
          <w:sz w:val="24"/>
          <w:szCs w:val="24"/>
        </w:rPr>
        <w:t>-</w:t>
      </w:r>
      <w:r w:rsidRPr="00240669">
        <w:rPr>
          <w:rFonts w:asciiTheme="majorBidi" w:hAnsiTheme="majorBidi" w:cstheme="majorBidi"/>
          <w:color w:val="000000"/>
          <w:sz w:val="24"/>
          <w:szCs w:val="24"/>
        </w:rPr>
        <w:t>Whitney test on the difference in fat mass and visceral fat mass between the control and treatment groups found no significant difference.</w:t>
      </w:r>
    </w:p>
    <w:p w14:paraId="10D0FF10" w14:textId="2FE34FBA" w:rsidR="00240669" w:rsidRPr="00240669" w:rsidRDefault="00C57D52" w:rsidP="00C57D52">
      <w:pPr>
        <w:spacing w:after="0" w:line="360" w:lineRule="auto"/>
        <w:ind w:right="-188"/>
        <w:jc w:val="center"/>
        <w:rPr>
          <w:rFonts w:asciiTheme="majorBidi" w:hAnsiTheme="majorBidi" w:cstheme="majorBidi"/>
          <w:b/>
          <w:bCs/>
          <w:color w:val="000000"/>
          <w:sz w:val="24"/>
          <w:szCs w:val="24"/>
          <w:lang w:val="en-US"/>
        </w:rPr>
      </w:pPr>
      <w:r>
        <w:rPr>
          <w:rFonts w:asciiTheme="majorBidi" w:hAnsiTheme="majorBidi" w:cstheme="majorBidi"/>
          <w:b/>
          <w:color w:val="000000"/>
          <w:sz w:val="24"/>
          <w:szCs w:val="24"/>
        </w:rPr>
        <w:t>Table 6.  Normality Test With Shapiro-Wilk Test</w:t>
      </w:r>
    </w:p>
    <w:tbl>
      <w:tblPr>
        <w:tblStyle w:val="TableGrid"/>
        <w:tblW w:w="0" w:type="auto"/>
        <w:jc w:val="center"/>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819"/>
        <w:gridCol w:w="2355"/>
        <w:gridCol w:w="2610"/>
        <w:gridCol w:w="1585"/>
      </w:tblGrid>
      <w:tr w:rsidR="00240669" w:rsidRPr="00240669" w14:paraId="005019F2" w14:textId="77777777" w:rsidTr="00CD61A7">
        <w:trPr>
          <w:jc w:val="center"/>
        </w:trPr>
        <w:tc>
          <w:tcPr>
            <w:tcW w:w="1420" w:type="dxa"/>
            <w:vMerge w:val="restart"/>
          </w:tcPr>
          <w:p w14:paraId="3CD5B625" w14:textId="77777777" w:rsidR="00240669" w:rsidRPr="00240669" w:rsidRDefault="00240669" w:rsidP="00240669">
            <w:pPr>
              <w:spacing w:after="0" w:line="360" w:lineRule="auto"/>
              <w:ind w:right="-188" w:firstLine="709"/>
              <w:jc w:val="both"/>
              <w:rPr>
                <w:rFonts w:asciiTheme="majorBidi" w:hAnsiTheme="majorBidi" w:cstheme="majorBidi"/>
                <w:b/>
                <w:bCs/>
                <w:color w:val="000000"/>
                <w:sz w:val="24"/>
                <w:szCs w:val="24"/>
                <w:lang w:val="id"/>
              </w:rPr>
            </w:pPr>
            <w:r w:rsidRPr="00240669">
              <w:rPr>
                <w:rFonts w:asciiTheme="majorBidi" w:hAnsiTheme="majorBidi" w:cstheme="majorBidi"/>
                <w:b/>
                <w:color w:val="000000"/>
                <w:sz w:val="24"/>
                <w:szCs w:val="24"/>
              </w:rPr>
              <w:t>Variable</w:t>
            </w:r>
          </w:p>
        </w:tc>
        <w:tc>
          <w:tcPr>
            <w:tcW w:w="6135" w:type="dxa"/>
            <w:gridSpan w:val="3"/>
          </w:tcPr>
          <w:p w14:paraId="6DB97F28" w14:textId="55FA1EDB" w:rsidR="00240669" w:rsidRPr="00240669" w:rsidRDefault="00C57D52" w:rsidP="00240669">
            <w:pPr>
              <w:spacing w:after="0" w:line="360" w:lineRule="auto"/>
              <w:ind w:right="-188" w:firstLine="709"/>
              <w:jc w:val="both"/>
              <w:rPr>
                <w:rFonts w:asciiTheme="majorBidi" w:hAnsiTheme="majorBidi" w:cstheme="majorBidi"/>
                <w:b/>
                <w:bCs/>
                <w:color w:val="000000"/>
                <w:sz w:val="24"/>
                <w:szCs w:val="24"/>
                <w:lang w:val="id"/>
              </w:rPr>
            </w:pPr>
            <w:r>
              <w:rPr>
                <w:rFonts w:asciiTheme="majorBidi" w:hAnsiTheme="majorBidi" w:cstheme="majorBidi"/>
                <w:b/>
                <w:color w:val="000000"/>
                <w:sz w:val="24"/>
                <w:szCs w:val="24"/>
              </w:rPr>
              <w:t xml:space="preserve">  Group</w:t>
            </w:r>
          </w:p>
        </w:tc>
      </w:tr>
      <w:tr w:rsidR="00240669" w:rsidRPr="00240669" w14:paraId="7BFE5428" w14:textId="77777777" w:rsidTr="00CD61A7">
        <w:trPr>
          <w:jc w:val="center"/>
        </w:trPr>
        <w:tc>
          <w:tcPr>
            <w:tcW w:w="1420" w:type="dxa"/>
            <w:vMerge/>
            <w:tcBorders>
              <w:bottom w:val="single" w:sz="4" w:space="0" w:color="auto"/>
            </w:tcBorders>
          </w:tcPr>
          <w:p w14:paraId="1C00087F" w14:textId="77777777" w:rsidR="00240669" w:rsidRPr="00240669" w:rsidRDefault="00240669" w:rsidP="00240669">
            <w:pPr>
              <w:spacing w:after="0" w:line="360" w:lineRule="auto"/>
              <w:ind w:right="-188" w:firstLine="709"/>
              <w:jc w:val="both"/>
              <w:rPr>
                <w:rFonts w:asciiTheme="majorBidi" w:hAnsiTheme="majorBidi" w:cstheme="majorBidi"/>
                <w:b/>
                <w:bCs/>
                <w:color w:val="000000"/>
                <w:sz w:val="24"/>
                <w:szCs w:val="24"/>
                <w:lang w:val="id"/>
              </w:rPr>
            </w:pPr>
          </w:p>
        </w:tc>
        <w:tc>
          <w:tcPr>
            <w:tcW w:w="2355" w:type="dxa"/>
            <w:tcBorders>
              <w:top w:val="single" w:sz="4" w:space="0" w:color="auto"/>
              <w:bottom w:val="single" w:sz="4" w:space="0" w:color="auto"/>
            </w:tcBorders>
          </w:tcPr>
          <w:p w14:paraId="4852B0BA" w14:textId="77777777" w:rsidR="00240669" w:rsidRPr="00240669" w:rsidRDefault="00240669" w:rsidP="00240669">
            <w:pPr>
              <w:spacing w:after="0" w:line="360" w:lineRule="auto"/>
              <w:ind w:right="-188" w:firstLine="709"/>
              <w:jc w:val="both"/>
              <w:rPr>
                <w:rFonts w:asciiTheme="majorBidi" w:hAnsiTheme="majorBidi" w:cstheme="majorBidi"/>
                <w:b/>
                <w:bCs/>
                <w:color w:val="000000"/>
                <w:sz w:val="24"/>
                <w:szCs w:val="24"/>
                <w:lang w:val="id"/>
              </w:rPr>
            </w:pPr>
            <w:r w:rsidRPr="00240669">
              <w:rPr>
                <w:rFonts w:asciiTheme="majorBidi" w:hAnsiTheme="majorBidi" w:cstheme="majorBidi"/>
                <w:b/>
                <w:color w:val="000000"/>
                <w:sz w:val="24"/>
                <w:szCs w:val="24"/>
              </w:rPr>
              <w:t>Control</w:t>
            </w:r>
          </w:p>
        </w:tc>
        <w:tc>
          <w:tcPr>
            <w:tcW w:w="2610" w:type="dxa"/>
            <w:tcBorders>
              <w:top w:val="single" w:sz="4" w:space="0" w:color="auto"/>
              <w:bottom w:val="single" w:sz="4" w:space="0" w:color="auto"/>
            </w:tcBorders>
          </w:tcPr>
          <w:p w14:paraId="2752A777" w14:textId="77777777" w:rsidR="00240669" w:rsidRPr="00240669" w:rsidRDefault="00240669" w:rsidP="00240669">
            <w:pPr>
              <w:spacing w:after="0" w:line="360" w:lineRule="auto"/>
              <w:ind w:right="-188" w:firstLine="709"/>
              <w:jc w:val="both"/>
              <w:rPr>
                <w:rFonts w:asciiTheme="majorBidi" w:hAnsiTheme="majorBidi" w:cstheme="majorBidi"/>
                <w:b/>
                <w:bCs/>
                <w:color w:val="000000"/>
                <w:sz w:val="24"/>
                <w:szCs w:val="24"/>
                <w:lang w:val="id"/>
              </w:rPr>
            </w:pPr>
            <w:r w:rsidRPr="00240669">
              <w:rPr>
                <w:rFonts w:asciiTheme="majorBidi" w:hAnsiTheme="majorBidi" w:cstheme="majorBidi"/>
                <w:b/>
                <w:color w:val="000000"/>
                <w:sz w:val="24"/>
                <w:szCs w:val="24"/>
              </w:rPr>
              <w:t>Treatment</w:t>
            </w:r>
          </w:p>
        </w:tc>
        <w:tc>
          <w:tcPr>
            <w:tcW w:w="1170" w:type="dxa"/>
            <w:tcBorders>
              <w:bottom w:val="single" w:sz="4" w:space="0" w:color="auto"/>
            </w:tcBorders>
          </w:tcPr>
          <w:p w14:paraId="28EF362E" w14:textId="77777777" w:rsidR="00240669" w:rsidRPr="00240669" w:rsidRDefault="00240669" w:rsidP="00240669">
            <w:pPr>
              <w:spacing w:after="0" w:line="360" w:lineRule="auto"/>
              <w:ind w:right="-188" w:firstLine="709"/>
              <w:jc w:val="both"/>
              <w:rPr>
                <w:rFonts w:asciiTheme="majorBidi" w:hAnsiTheme="majorBidi" w:cstheme="majorBidi"/>
                <w:b/>
                <w:bCs/>
                <w:color w:val="000000"/>
                <w:sz w:val="24"/>
                <w:szCs w:val="24"/>
                <w:lang w:val="id"/>
              </w:rPr>
            </w:pPr>
            <w:r w:rsidRPr="00240669">
              <w:rPr>
                <w:rFonts w:asciiTheme="majorBidi" w:hAnsiTheme="majorBidi" w:cstheme="majorBidi"/>
                <w:b/>
                <w:color w:val="000000"/>
                <w:sz w:val="24"/>
                <w:szCs w:val="24"/>
              </w:rPr>
              <w:t>P value</w:t>
            </w:r>
          </w:p>
        </w:tc>
      </w:tr>
      <w:tr w:rsidR="00240669" w:rsidRPr="00240669" w14:paraId="02808A81" w14:textId="77777777" w:rsidTr="00CD61A7">
        <w:trPr>
          <w:jc w:val="center"/>
        </w:trPr>
        <w:tc>
          <w:tcPr>
            <w:tcW w:w="1420" w:type="dxa"/>
            <w:tcBorders>
              <w:top w:val="single" w:sz="4" w:space="0" w:color="auto"/>
              <w:bottom w:val="nil"/>
            </w:tcBorders>
          </w:tcPr>
          <w:p w14:paraId="66EF6D61" w14:textId="77777777" w:rsidR="00240669" w:rsidRPr="00240669" w:rsidRDefault="00240669" w:rsidP="00240669">
            <w:pPr>
              <w:spacing w:after="0" w:line="360" w:lineRule="auto"/>
              <w:ind w:right="-188" w:firstLine="709"/>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Fat</w:t>
            </w:r>
          </w:p>
        </w:tc>
        <w:tc>
          <w:tcPr>
            <w:tcW w:w="2355" w:type="dxa"/>
            <w:tcBorders>
              <w:top w:val="single" w:sz="4" w:space="0" w:color="auto"/>
              <w:bottom w:val="nil"/>
            </w:tcBorders>
          </w:tcPr>
          <w:p w14:paraId="0A43FCFB" w14:textId="77777777" w:rsidR="00240669" w:rsidRPr="00240669" w:rsidRDefault="00240669" w:rsidP="00240669">
            <w:pPr>
              <w:spacing w:after="0" w:line="360" w:lineRule="auto"/>
              <w:ind w:right="-188" w:firstLine="709"/>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0 (-2,9 – 3,5)</w:t>
            </w:r>
          </w:p>
        </w:tc>
        <w:tc>
          <w:tcPr>
            <w:tcW w:w="2610" w:type="dxa"/>
            <w:tcBorders>
              <w:top w:val="single" w:sz="4" w:space="0" w:color="auto"/>
              <w:bottom w:val="nil"/>
            </w:tcBorders>
          </w:tcPr>
          <w:p w14:paraId="6D4CDB62" w14:textId="77777777" w:rsidR="00240669" w:rsidRPr="00240669" w:rsidRDefault="00240669" w:rsidP="00240669">
            <w:pPr>
              <w:spacing w:after="0" w:line="360" w:lineRule="auto"/>
              <w:ind w:right="-188" w:firstLine="709"/>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-1,25 (-4,37 – 0,72)</w:t>
            </w:r>
          </w:p>
        </w:tc>
        <w:tc>
          <w:tcPr>
            <w:tcW w:w="1170" w:type="dxa"/>
            <w:tcBorders>
              <w:top w:val="single" w:sz="4" w:space="0" w:color="auto"/>
              <w:bottom w:val="nil"/>
            </w:tcBorders>
          </w:tcPr>
          <w:p w14:paraId="38893344" w14:textId="77777777" w:rsidR="00240669" w:rsidRPr="00240669" w:rsidRDefault="00240669" w:rsidP="00240669">
            <w:pPr>
              <w:spacing w:after="0" w:line="360" w:lineRule="auto"/>
              <w:ind w:right="-188" w:firstLine="709"/>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0,257*</w:t>
            </w:r>
          </w:p>
        </w:tc>
      </w:tr>
      <w:tr w:rsidR="00240669" w:rsidRPr="00240669" w14:paraId="79A331EA" w14:textId="77777777" w:rsidTr="00CD61A7">
        <w:trPr>
          <w:jc w:val="center"/>
        </w:trPr>
        <w:tc>
          <w:tcPr>
            <w:tcW w:w="1420" w:type="dxa"/>
            <w:tcBorders>
              <w:top w:val="nil"/>
              <w:bottom w:val="single" w:sz="4" w:space="0" w:color="auto"/>
            </w:tcBorders>
          </w:tcPr>
          <w:p w14:paraId="184E1F54" w14:textId="77777777" w:rsidR="00240669" w:rsidRPr="00240669" w:rsidRDefault="00240669" w:rsidP="00240669">
            <w:pPr>
              <w:spacing w:after="0" w:line="360" w:lineRule="auto"/>
              <w:ind w:right="-188" w:firstLine="709"/>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VF</w:t>
            </w:r>
          </w:p>
        </w:tc>
        <w:tc>
          <w:tcPr>
            <w:tcW w:w="2355" w:type="dxa"/>
            <w:tcBorders>
              <w:top w:val="nil"/>
              <w:bottom w:val="single" w:sz="4" w:space="0" w:color="auto"/>
            </w:tcBorders>
          </w:tcPr>
          <w:p w14:paraId="0814904B" w14:textId="77777777" w:rsidR="00240669" w:rsidRPr="00240669" w:rsidRDefault="00240669" w:rsidP="00240669">
            <w:pPr>
              <w:spacing w:after="0" w:line="360" w:lineRule="auto"/>
              <w:ind w:right="-188" w:firstLine="709"/>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-0,5 (-1,5 – 0,75)</w:t>
            </w:r>
          </w:p>
        </w:tc>
        <w:tc>
          <w:tcPr>
            <w:tcW w:w="2610" w:type="dxa"/>
            <w:tcBorders>
              <w:top w:val="nil"/>
              <w:bottom w:val="single" w:sz="4" w:space="0" w:color="auto"/>
            </w:tcBorders>
          </w:tcPr>
          <w:p w14:paraId="17F04F43" w14:textId="77777777" w:rsidR="00240669" w:rsidRPr="00240669" w:rsidRDefault="00240669" w:rsidP="00240669">
            <w:pPr>
              <w:spacing w:after="0" w:line="360" w:lineRule="auto"/>
              <w:ind w:right="-188" w:firstLine="709"/>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0,25 (-0,87 – 0,75)</w:t>
            </w:r>
          </w:p>
        </w:tc>
        <w:tc>
          <w:tcPr>
            <w:tcW w:w="1170" w:type="dxa"/>
            <w:tcBorders>
              <w:top w:val="nil"/>
              <w:bottom w:val="single" w:sz="4" w:space="0" w:color="auto"/>
            </w:tcBorders>
          </w:tcPr>
          <w:p w14:paraId="791D71C9" w14:textId="77777777" w:rsidR="00240669" w:rsidRPr="00240669" w:rsidRDefault="00240669" w:rsidP="00240669">
            <w:pPr>
              <w:spacing w:after="0" w:line="360" w:lineRule="auto"/>
              <w:ind w:right="-188" w:firstLine="709"/>
              <w:jc w:val="both"/>
              <w:rPr>
                <w:rFonts w:asciiTheme="majorBidi" w:hAnsiTheme="majorBidi" w:cstheme="majorBidi"/>
                <w:color w:val="000000"/>
                <w:sz w:val="24"/>
                <w:szCs w:val="24"/>
                <w:lang w:val="id"/>
              </w:rPr>
            </w:pPr>
            <w:r w:rsidRPr="00240669">
              <w:rPr>
                <w:rFonts w:asciiTheme="majorBidi" w:hAnsiTheme="majorBidi" w:cstheme="majorBidi"/>
                <w:color w:val="000000"/>
                <w:sz w:val="24"/>
                <w:szCs w:val="24"/>
              </w:rPr>
              <w:t>0,111*</w:t>
            </w:r>
          </w:p>
        </w:tc>
      </w:tr>
    </w:tbl>
    <w:p w14:paraId="04BECEA1" w14:textId="366FE66A" w:rsidR="00240669" w:rsidRPr="00240669" w:rsidRDefault="00C57D52" w:rsidP="00240669">
      <w:pPr>
        <w:spacing w:after="0" w:line="360" w:lineRule="auto"/>
        <w:ind w:right="-188" w:firstLine="709"/>
        <w:jc w:val="both"/>
        <w:rPr>
          <w:rFonts w:asciiTheme="majorBidi" w:hAnsiTheme="majorBidi" w:cstheme="majorBidi"/>
          <w:color w:val="000000"/>
          <w:sz w:val="24"/>
          <w:szCs w:val="24"/>
          <w:vertAlign w:val="superscript"/>
          <w:lang w:val="en-ID"/>
        </w:rPr>
      </w:pPr>
      <w:r>
        <w:rPr>
          <w:rFonts w:asciiTheme="majorBidi" w:hAnsiTheme="majorBidi" w:cstheme="majorBidi"/>
          <w:color w:val="000000"/>
          <w:sz w:val="24"/>
          <w:szCs w:val="24"/>
          <w:vertAlign w:val="superscript"/>
        </w:rPr>
        <w:t xml:space="preserve"> *Uji Mann </w:t>
      </w:r>
      <w:r w:rsidR="00E15A3F">
        <w:rPr>
          <w:rFonts w:asciiTheme="majorBidi" w:hAnsiTheme="majorBidi" w:cstheme="majorBidi"/>
          <w:color w:val="000000"/>
          <w:sz w:val="24"/>
          <w:szCs w:val="24"/>
          <w:vertAlign w:val="superscript"/>
        </w:rPr>
        <w:t>W</w:t>
      </w:r>
      <w:r>
        <w:rPr>
          <w:rFonts w:asciiTheme="majorBidi" w:hAnsiTheme="majorBidi" w:cstheme="majorBidi"/>
          <w:color w:val="000000"/>
          <w:sz w:val="24"/>
          <w:szCs w:val="24"/>
          <w:vertAlign w:val="superscript"/>
        </w:rPr>
        <w:t>hitney</w:t>
      </w:r>
    </w:p>
    <w:p w14:paraId="38C91066" w14:textId="2080BA6F" w:rsidR="008550D5" w:rsidRPr="008550D5" w:rsidRDefault="008550D5" w:rsidP="00240669">
      <w:pPr>
        <w:spacing w:after="0" w:line="360" w:lineRule="auto"/>
        <w:ind w:right="-188"/>
        <w:jc w:val="both"/>
        <w:rPr>
          <w:rFonts w:asciiTheme="majorBidi" w:hAnsiTheme="majorBidi" w:cstheme="majorBidi"/>
          <w:sz w:val="24"/>
          <w:szCs w:val="24"/>
        </w:rPr>
      </w:pPr>
    </w:p>
    <w:p w14:paraId="215E83D7" w14:textId="0E96A7F0" w:rsidR="0041703E" w:rsidRPr="008550D5" w:rsidRDefault="0041703E" w:rsidP="004F5945">
      <w:pPr>
        <w:spacing w:after="0" w:line="360" w:lineRule="auto"/>
        <w:ind w:right="-188"/>
        <w:jc w:val="both"/>
        <w:rPr>
          <w:rFonts w:asciiTheme="majorBidi" w:eastAsia="Times New Roman" w:hAnsiTheme="majorBidi" w:cstheme="majorBidi"/>
          <w:b/>
          <w:bCs/>
          <w:sz w:val="24"/>
          <w:szCs w:val="24"/>
          <w:lang w:val="en-US"/>
        </w:rPr>
      </w:pPr>
      <w:r w:rsidRPr="008550D5">
        <w:rPr>
          <w:rFonts w:asciiTheme="majorBidi" w:eastAsia="Times New Roman" w:hAnsiTheme="majorBidi" w:cstheme="majorBidi"/>
          <w:b/>
          <w:sz w:val="24"/>
          <w:szCs w:val="24"/>
        </w:rPr>
        <w:t>DISCUSSION</w:t>
      </w:r>
    </w:p>
    <w:p w14:paraId="0A55908B" w14:textId="77777777" w:rsidR="00240669" w:rsidRPr="00240669" w:rsidRDefault="00240669" w:rsidP="00240669">
      <w:pPr>
        <w:numPr>
          <w:ilvl w:val="1"/>
          <w:numId w:val="48"/>
        </w:numPr>
        <w:spacing w:after="0" w:line="360" w:lineRule="auto"/>
        <w:ind w:left="284" w:right="-188" w:hanging="284"/>
        <w:jc w:val="both"/>
        <w:rPr>
          <w:rFonts w:asciiTheme="majorBidi" w:eastAsia="Times New Roman" w:hAnsiTheme="majorBidi" w:cstheme="majorBidi"/>
          <w:b/>
          <w:bCs/>
          <w:sz w:val="24"/>
          <w:szCs w:val="24"/>
          <w:lang w:val="en-US"/>
        </w:rPr>
      </w:pPr>
      <w:r w:rsidRPr="00240669">
        <w:rPr>
          <w:rFonts w:asciiTheme="majorBidi" w:eastAsia="Times New Roman" w:hAnsiTheme="majorBidi" w:cstheme="majorBidi"/>
          <w:b/>
          <w:sz w:val="24"/>
          <w:szCs w:val="24"/>
        </w:rPr>
        <w:t>Effects of vitamin D supplementation on muscle mass and strength</w:t>
      </w:r>
    </w:p>
    <w:p w14:paraId="0F96E949" w14:textId="77777777" w:rsidR="00240669" w:rsidRPr="00240669" w:rsidRDefault="00240669" w:rsidP="00240669">
      <w:pPr>
        <w:spacing w:after="0" w:line="360" w:lineRule="auto"/>
        <w:ind w:right="-188" w:firstLine="709"/>
        <w:jc w:val="both"/>
        <w:rPr>
          <w:rFonts w:asciiTheme="majorBidi" w:eastAsia="Times New Roman" w:hAnsiTheme="majorBidi" w:cstheme="majorBidi"/>
          <w:sz w:val="24"/>
          <w:szCs w:val="24"/>
          <w:lang w:val="de-DE"/>
        </w:rPr>
      </w:pPr>
      <w:r w:rsidRPr="00240669">
        <w:rPr>
          <w:rFonts w:asciiTheme="majorBidi" w:eastAsia="Times New Roman" w:hAnsiTheme="majorBidi" w:cstheme="majorBidi"/>
          <w:sz w:val="24"/>
          <w:szCs w:val="24"/>
        </w:rPr>
        <w:t xml:space="preserve">Based on the results of measuring vitamin D status before and after the study, subjects from both the control and treatment groups experienced an increase in vitamin D status after the study. Vitamin D insufficiency is defined as serum 25 D levels less than 30ng/ml, and vitamin D deficiency is defined as serum 25 D levels less than 20ng/ml. In this study, all subjects from both the control and treatment groups experienced vitamin D insufficiency and deficiency. Before the </w:t>
      </w:r>
      <w:r w:rsidRPr="00240669">
        <w:rPr>
          <w:rFonts w:asciiTheme="majorBidi" w:eastAsia="Times New Roman" w:hAnsiTheme="majorBidi" w:cstheme="majorBidi"/>
          <w:sz w:val="24"/>
          <w:szCs w:val="24"/>
        </w:rPr>
        <w:lastRenderedPageBreak/>
        <w:t xml:space="preserve">study, a total of 5 people from the control group and 23 people from the treatment group had vitamin D deficiency, as well as 24 people from the control group and 9 people from the treatment group had vitamin D deficiency. The increase in vitamin D levels in the treatment group was greater than in the control group. where vitamin D supplementation by monotherapy was not found to have a significant effect on reducing the risk of falls. </w:t>
      </w:r>
    </w:p>
    <w:p w14:paraId="2B803F42" w14:textId="106ACA2E" w:rsidR="00240669" w:rsidRPr="00CF459A" w:rsidRDefault="00240669" w:rsidP="00240669">
      <w:pPr>
        <w:spacing w:after="0" w:line="360" w:lineRule="auto"/>
        <w:ind w:right="-188" w:firstLine="709"/>
        <w:jc w:val="both"/>
        <w:rPr>
          <w:rFonts w:asciiTheme="majorBidi" w:eastAsia="Times New Roman" w:hAnsiTheme="majorBidi" w:cstheme="majorBidi"/>
          <w:sz w:val="24"/>
          <w:szCs w:val="24"/>
          <w:lang w:val="de-DE"/>
        </w:rPr>
      </w:pPr>
      <w:r w:rsidRPr="00CF459A">
        <w:rPr>
          <w:rFonts w:asciiTheme="majorBidi" w:eastAsia="Times New Roman" w:hAnsiTheme="majorBidi" w:cstheme="majorBidi"/>
          <w:sz w:val="24"/>
          <w:szCs w:val="24"/>
        </w:rPr>
        <w:t>A randomized controlled study by El Hajj et al. examined the effect of vitamin D supplementation on muscle strength in elderly pre-sarcopenia; The study found a significant effect on arm and leg muscle mass but not on muscle strength.</w:t>
      </w:r>
      <w:r w:rsidRPr="00240669">
        <w:rPr>
          <w:rFonts w:asciiTheme="majorBidi" w:eastAsia="Times New Roman" w:hAnsiTheme="majorBidi" w:cstheme="majorBidi"/>
          <w:sz w:val="24"/>
          <w:szCs w:val="24"/>
        </w:rPr>
        <w:fldChar w:fldCharType="begin" w:fldLock="1"/>
      </w:r>
      <w:r w:rsidRPr="00CF459A">
        <w:rPr>
          <w:rFonts w:asciiTheme="majorBidi" w:eastAsia="Times New Roman" w:hAnsiTheme="majorBidi" w:cstheme="majorBidi"/>
          <w:sz w:val="24"/>
          <w:szCs w:val="24"/>
        </w:rPr>
        <w:instrText>ADDIN CSL_CITATION {"citationItems":[{"id":"ITEM-1","itemData":{"DOI":"10.1007/s11657-018-0553-2","ISSN":"18623514","PMID":"30569340","abstract":"Summary: Previous studies have shown that improving vitamin D status among the elderly may lead to an improvement in muscle mass and muscle strength. In our study, vitamin D supplementation showed significant improvements in vitamin D concentrations as well as appendicular muscle mass in pre-sarcopenic older Lebanese people. However, we found no significant effect on muscle strength. Introduction: Improving vitamin D status might improve muscle function and muscle mass that lead to sarcopenia in older subjects. The aim of this randomized, controlled, double-blind study was to examine the effect of vitamin D supplementation on handgrip strength and appendicular skeletal muscle mass in pre-sarcopenic older Lebanese subjects. We also examined whether this effect differs in normal vs. obese subjects. Methods: Participants (n = 128; 62 men and 66 women) deficient in vitamin D (25(OH)D = 12.92 ± 4.3 ng/ml) were recruited from Saint Charles Hospital, Beirut, Lebanon. The participants were given a supplement of 10,000 IU of cholecalciferol (vitamin D group; n = 64) to be taken three times a week or a placebo tablet (placebo group; n = 64) for 6 months. One hundred fifteen subjects completed the study: 59 had normal weight, while 56 were obese. Strength and functional assessment and biochemical analysis were performed at the start and after 6 months. Results: Compared to placebo, the vitamin D supplemented group showed significant improvements in appendicular skeletal muscle mass (ASMM) (P &lt; 0.001) but not in handgrip strength (P = 0.2901). ANCOVA for ASMM adjusting for obesity and including the interaction between obesity and vitamin D showed a significant interaction. The increase in ASMM with vitamin D in normal-weight subjects was higher than that of obese subjects (B = 35.09 vs. B = 2.19). Conclusion: Treatment with vitamin D showed beneficial effects on appendicular muscle mass in pre-sarcopenic older Lebanese men and women. However, it had no effect on muscle strength relative to placebo. This trial was registered at isrctn.org as ISRCTN16665940.","author":[{"dropping-particle":"","family":"Hajj","given":"Cynthia","non-dropping-particle":"El","parse-names":false,"suffix":""},{"dropping-particle":"","family":"Fares","given":"Souha","non-dropping-particle":"","parse-names":false,"suffix":""},{"dropping-particle":"","family":"Chardigny","given":"Jean Michel","non-dropping-particle":"","parse-names":false,"suffix":""},{"dropping-particle":"","family":"Boirie","given":"Yves","non-dropping-particle":"","parse-names":false,"suffix":""},{"dropping-particle":"","family":"Walrand","given":"Stephane","non-dropping-particle":"","parse-names":false,"suffix":""}],"container-title":"Archives of Osteoporosis","id":"ITEM-1","issue":"1","issued":{"date-parts":[["2019"]]},"title":"Vitamin D supplementation and muscle strength in pre-sarcopenic elderly Lebanese people: a randomized controlled trial","type":"article-journal","volume":"14"},"uris":["http://www.mendeley.com/documents/?uuid=c1795047-4061-4440-995f-8f83cae6a637","http://www.mendeley.com/documents/?uuid=7b7133ea-383f-4ac4-81f1-b0ca92f47862"]}],"mendeley":{"formattedCitation":"(El Hajj et al., 2019)","manualFormatting":" (El Hajj, Fares, Chardigny, Boirie, &amp; Walrand, 2019)","plainTextFormattedCitation":"(El Hajj et al., 2019)","previouslyFormattedCitation":"(El Hajj, Fares, Chardigny, Boirie, &amp; Walrand, 2019)"},"properties":{"noteIndex":0},"schema":"https://github.com/citation-style-language/schema/raw/master/csl-citation.json"}</w:instrText>
      </w:r>
      <w:r w:rsidRPr="00240669">
        <w:rPr>
          <w:rFonts w:asciiTheme="majorBidi" w:eastAsia="Times New Roman" w:hAnsiTheme="majorBidi" w:cstheme="majorBidi"/>
          <w:sz w:val="24"/>
          <w:szCs w:val="24"/>
        </w:rPr>
        <w:fldChar w:fldCharType="separate"/>
      </w:r>
      <w:r w:rsidRPr="00CF459A">
        <w:rPr>
          <w:rFonts w:asciiTheme="majorBidi" w:eastAsia="Times New Roman" w:hAnsiTheme="majorBidi" w:cstheme="majorBidi"/>
          <w:noProof/>
          <w:sz w:val="24"/>
          <w:szCs w:val="24"/>
        </w:rPr>
        <w:t xml:space="preserve"> (El Ness, Boiigny, Chardigny, Boirie, &amp; Walrand, 2019)</w:t>
      </w:r>
      <w:r w:rsidRPr="00240669">
        <w:rPr>
          <w:rFonts w:asciiTheme="majorBidi" w:eastAsia="Times New Roman" w:hAnsiTheme="majorBidi" w:cstheme="majorBidi"/>
          <w:sz w:val="24"/>
          <w:szCs w:val="24"/>
        </w:rPr>
        <w:fldChar w:fldCharType="end"/>
      </w:r>
      <w:r w:rsidRPr="00CF459A">
        <w:rPr>
          <w:rFonts w:asciiTheme="majorBidi" w:eastAsia="Times New Roman" w:hAnsiTheme="majorBidi" w:cstheme="majorBidi"/>
          <w:sz w:val="24"/>
          <w:szCs w:val="24"/>
        </w:rPr>
        <w:t xml:space="preserve"> This finding is slightly different from the findings in this study, wh</w:t>
      </w:r>
      <w:r w:rsidR="00E15A3F">
        <w:rPr>
          <w:rFonts w:asciiTheme="majorBidi" w:eastAsia="Times New Roman" w:hAnsiTheme="majorBidi" w:cstheme="majorBidi"/>
          <w:sz w:val="24"/>
          <w:szCs w:val="24"/>
        </w:rPr>
        <w:t>ich</w:t>
      </w:r>
      <w:r w:rsidRPr="00CF459A">
        <w:rPr>
          <w:rFonts w:asciiTheme="majorBidi" w:eastAsia="Times New Roman" w:hAnsiTheme="majorBidi" w:cstheme="majorBidi"/>
          <w:sz w:val="24"/>
          <w:szCs w:val="24"/>
        </w:rPr>
        <w:t xml:space="preserve"> found an increase in muscle strength without an increase in muscle mass in the upper limbs.</w:t>
      </w:r>
    </w:p>
    <w:p w14:paraId="7207811E" w14:textId="3F4983F7" w:rsidR="00240669" w:rsidRPr="00240669" w:rsidRDefault="00240669" w:rsidP="00240669">
      <w:pPr>
        <w:spacing w:after="0" w:line="360" w:lineRule="auto"/>
        <w:ind w:right="-188" w:firstLine="709"/>
        <w:jc w:val="both"/>
        <w:rPr>
          <w:rFonts w:asciiTheme="majorBidi" w:eastAsia="Times New Roman" w:hAnsiTheme="majorBidi" w:cstheme="majorBidi"/>
          <w:sz w:val="24"/>
          <w:szCs w:val="24"/>
          <w:lang w:val="en-US"/>
        </w:rPr>
      </w:pPr>
      <w:r w:rsidRPr="00CF459A">
        <w:rPr>
          <w:rFonts w:asciiTheme="majorBidi" w:eastAsia="Times New Roman" w:hAnsiTheme="majorBidi" w:cstheme="majorBidi"/>
          <w:sz w:val="24"/>
          <w:szCs w:val="24"/>
        </w:rPr>
        <w:t xml:space="preserve">The opposite findings were put forward by Bislev et al. in their meta-analysis of RCT studies of vitamin D supplementation by monotherapy in populations of all ages. Bislev et al. found that vitamin D3 supplementation significantly decreased performance on the timed up and go (TUG) test, maximal knee flexion strength, and SPPB test performance. In </w:t>
      </w:r>
      <w:r w:rsidR="00E15A3F">
        <w:rPr>
          <w:rFonts w:asciiTheme="majorBidi" w:eastAsia="Times New Roman" w:hAnsiTheme="majorBidi" w:cstheme="majorBidi"/>
          <w:sz w:val="24"/>
          <w:szCs w:val="24"/>
        </w:rPr>
        <w:t xml:space="preserve">a </w:t>
      </w:r>
      <w:r w:rsidRPr="00CF459A">
        <w:rPr>
          <w:rFonts w:asciiTheme="majorBidi" w:eastAsia="Times New Roman" w:hAnsiTheme="majorBidi" w:cstheme="majorBidi"/>
          <w:sz w:val="24"/>
          <w:szCs w:val="24"/>
        </w:rPr>
        <w:t>subgroup analysis of groups with low vitamin D status, there was also no significant difference in performance between the supplemented group and the placebo group. Bislev concluded that vitamin D3 supplementation can ha</w:t>
      </w:r>
      <w:r w:rsidR="00E15A3F">
        <w:rPr>
          <w:rFonts w:asciiTheme="majorBidi" w:eastAsia="Times New Roman" w:hAnsiTheme="majorBidi" w:cstheme="majorBidi"/>
          <w:sz w:val="24"/>
          <w:szCs w:val="24"/>
        </w:rPr>
        <w:t>rm</w:t>
      </w:r>
      <w:r w:rsidRPr="00CF459A">
        <w:rPr>
          <w:rFonts w:asciiTheme="majorBidi" w:eastAsia="Times New Roman" w:hAnsiTheme="majorBidi" w:cstheme="majorBidi"/>
          <w:sz w:val="24"/>
          <w:szCs w:val="24"/>
        </w:rPr>
        <w:t xml:space="preserve"> muscles, so vitamin D3 supplementation recommendations need to be considered carefully.</w:t>
      </w:r>
      <w:r w:rsidRPr="00240669">
        <w:rPr>
          <w:rFonts w:asciiTheme="majorBidi" w:eastAsia="Times New Roman" w:hAnsiTheme="majorBidi" w:cstheme="majorBidi"/>
          <w:sz w:val="24"/>
          <w:szCs w:val="24"/>
        </w:rPr>
        <w:fldChar w:fldCharType="begin" w:fldLock="1"/>
      </w:r>
      <w:r>
        <w:rPr>
          <w:rFonts w:asciiTheme="majorBidi" w:eastAsia="Times New Roman" w:hAnsiTheme="majorBidi" w:cstheme="majorBidi"/>
          <w:sz w:val="24"/>
          <w:szCs w:val="24"/>
        </w:rPr>
        <w:instrText>ADDIN CSL_CITATION {"citationItems":[{"id":"ITEM-1","itemData":{"DOI":"10.1002/jbmr.4412","ISSN":"0884-0431","abstract":"The objective of this study was to investigate the effects of vitamin D supplementation versus placebo on muscle health. For this systematic review and trial‐level meta‐analysis of placebo‐controlled trials, a systematic search of randomized controlled trials published until October 2020 was performed in Medline, Embase, and Google Scholar. We included studies in humans (except athletes) on supplementation with vitamin D2 or D3 versus placebo, regardless of administration form (daily, bolus, and duration) with or without calcium co‐supplementation. The predefined endpoints were physical performance reported as timed up and go test (TUG; seconds), chair rising test (seconds), 6‐minute walking distance (m), and Short Physical Performance Battery (SPPB; points). Furthermore, endpoints were maximum muscle strength (Newton) measured at handgrip, elbow flexion, elbow extension, knee flexion, and knee extension, as well as muscle (lean tissue) mass (kg). Falls were not included in the analysis. Cochrane Review Manager (version 5.4.1.) calculating mean difference (MD) using a random effect model was used. In total, 54 randomized controlled trials involving 8747 individuals were included. Vitamin D versus placebo was associated with a significantly longer time spent performing the TUG (MD 0.15 [95% confidence interval (CI) 0.03 to 0.26] seconds, N = 19 studies, I 2 = 0%, n = 5223 participants) and a significant lower maximum knee flexion strength (MD –3.3 [−6.63 to −0.03] Newton, N = 12 studies, I 2 = 0%, n = 765 participants). Total score in the SPPB showed a tendency toward worsening in response to vitamin D compared with placebo (MD −0.18 [−0.37 to 0.01] points, N = 8 studies, I 2 = 0%, n = 856 participants). Other measures of muscle health did not show between‐group differences. In subgroup analyses, including studies with low vitamin D levels, effects of vitamin D supplementation did not differ from placebo. Available evidence does not support a beneficial effect of vitamin D supplementation on muscle health. Vitamin D may have adverse effects on muscle health, which needs to be considered when recommending vitamin D supplementation. © 2021 American Society for Bone and Mineral Research (ASBMR).","author":[{"dropping-particle":"","family":"Bislev","given":"Lise Sofie","non-dropping-particle":"","parse-names":false,"suffix":""},{"dropping-particle":"","family":"Grove‐Laugesen","given":"Diana","non-dropping-particle":"","parse-names":false,"suffix":""},{"dropping-particle":"","family":"Rejnmark","given":"Lars","non-dropping-particle":"","parse-names":false,"suffix":""}],"container-title":"Journal of Bone and Mineral Research","id":"ITEM-1","issue":"9","issued":{"date-parts":[["2021","9"]]},"page":"1651-1660","title":"Vitamin D and Muscle Health: A Systematic Review and Meta‐analysis of Randomized Placebo‐Controlled Trials","type":"article-journal","volume":"36"},"uris":["http://www.mendeley.com/documents/?uuid=638a8536-87a0-4ea9-8b9a-5c5134f971b3","http://www.mendeley.com/documents/?uuid=5a9d4ba3-4aee-44e8-9f39-adba608783fb"]}],"mendeley":{"formattedCitation":"(Bislev et al., 2021)","manualFormatting":" (Bislev, Grove‐Laugesen, &amp; Rejnmark, 2021)","plainTextFormattedCitation":"(Bislev et al., 2021)","previouslyFormattedCitation":"(Bislev, Grove‐Laugesen, &amp; Rejnmark, 2021)"},"properties":{"noteIndex":0},"schema":"https://github.com/citation-style-language/schema/raw/master/csl-citation.json"}</w:instrText>
      </w:r>
      <w:r w:rsidRPr="00240669">
        <w:rPr>
          <w:rFonts w:asciiTheme="majorBidi" w:eastAsia="Times New Roman" w:hAnsiTheme="majorBidi" w:cstheme="majorBidi"/>
          <w:sz w:val="24"/>
          <w:szCs w:val="24"/>
        </w:rPr>
        <w:fldChar w:fldCharType="separate"/>
      </w:r>
      <w:r w:rsidRPr="00240669">
        <w:rPr>
          <w:rFonts w:asciiTheme="majorBidi" w:eastAsia="Times New Roman" w:hAnsiTheme="majorBidi" w:cstheme="majorBidi"/>
          <w:noProof/>
          <w:sz w:val="24"/>
          <w:szCs w:val="24"/>
        </w:rPr>
        <w:t xml:space="preserve"> (Bislev, Grove‐Laugesen, &amp; Rejnmark, 2021)</w:t>
      </w:r>
      <w:r w:rsidRPr="00240669">
        <w:rPr>
          <w:rFonts w:asciiTheme="majorBidi" w:eastAsia="Times New Roman" w:hAnsiTheme="majorBidi" w:cstheme="majorBidi"/>
          <w:sz w:val="24"/>
          <w:szCs w:val="24"/>
        </w:rPr>
        <w:fldChar w:fldCharType="end"/>
      </w:r>
    </w:p>
    <w:p w14:paraId="24F15A4E" w14:textId="02586E81" w:rsidR="00240669" w:rsidRPr="00240669" w:rsidRDefault="00240669" w:rsidP="00240669">
      <w:pPr>
        <w:spacing w:after="0" w:line="360" w:lineRule="auto"/>
        <w:ind w:right="-188" w:firstLine="709"/>
        <w:jc w:val="both"/>
        <w:rPr>
          <w:rFonts w:asciiTheme="majorBidi" w:eastAsia="Times New Roman" w:hAnsiTheme="majorBidi" w:cstheme="majorBidi"/>
          <w:sz w:val="24"/>
          <w:szCs w:val="24"/>
          <w:lang w:val="en-US"/>
        </w:rPr>
      </w:pPr>
      <w:r w:rsidRPr="00240669">
        <w:rPr>
          <w:rFonts w:asciiTheme="majorBidi" w:eastAsia="Times New Roman" w:hAnsiTheme="majorBidi" w:cstheme="majorBidi"/>
          <w:sz w:val="24"/>
          <w:szCs w:val="24"/>
        </w:rPr>
        <w:t>For a study of vitamin D supplementation accompanied by protein supplementation, a study by Bo et al. in 2018 found that supplements high in whey protein, leucine, vitamin D, and vitamin E can maintain muscle mass, muscle strength, and quality of life in the elderly with sarcopenia.</w:t>
      </w:r>
      <w:r w:rsidRPr="00240669">
        <w:rPr>
          <w:rFonts w:asciiTheme="majorBidi" w:eastAsia="Times New Roman" w:hAnsiTheme="majorBidi" w:cstheme="majorBidi"/>
          <w:sz w:val="24"/>
          <w:szCs w:val="24"/>
        </w:rPr>
        <w:fldChar w:fldCharType="begin" w:fldLock="1"/>
      </w:r>
      <w:r>
        <w:rPr>
          <w:rFonts w:asciiTheme="majorBidi" w:eastAsia="Times New Roman" w:hAnsiTheme="majorBidi" w:cstheme="majorBidi"/>
          <w:sz w:val="24"/>
          <w:szCs w:val="24"/>
        </w:rPr>
        <w:instrText>ADDIN CSL_CITATION {"citationItems":[{"id":"ITEM-1","itemData":{"DOI":"10.1016/j.clnu.2017.12.020","ISSN":"02615614","author":[{"dropping-particle":"","family":"Bo","given":"Yacong","non-dropping-particle":"","parse-names":false,"suffix":""},{"dropping-particle":"","family":"Liu","given":"Changfeng","non-dropping-particle":"","parse-names":false,"suffix":""},{"dropping-particle":"","family":"Ji","given":"Zhe","non-dropping-particle":"","parse-names":false,"suffix":""},{"dropping-particle":"","family":"Yang","given":"Ruihong","non-dropping-particle":"","parse-names":false,"suffix":""},{"dropping-particle":"","family":"An","given":"Qianqian","non-dropping-particle":"","parse-names":false,"suffix":""},{"dropping-particle":"","family":"Zhang","given":"Xueyuan","non-dropping-particle":"","parse-names":false,"suffix":""},{"dropping-particle":"","family":"You","given":"Jie","non-dropping-particle":"","parse-names":false,"suffix":""},{"dropping-particle":"","family":"Duan","given":"Dandan","non-dropping-particle":"","parse-names":false,"suffix":""},{"dropping-particle":"","family":"Sun","given":"Yafei","non-dropping-particle":"","parse-names":false,"suffix":""},{"dropping-particle":"","family":"Zhu","given":"Yiwei","non-dropping-particle":"","parse-names":false,"suffix":""},{"dropping-particle":"","family":"Cui","given":"Han","non-dropping-particle":"","parse-names":false,"suffix":""},{"dropping-particle":"","family":"Lu","given":"Quanjun","non-dropping-particle":"","parse-names":false,"suffix":""}],"container-title":"Clinical Nutrition","id":"ITEM-1","issue":"1","issued":{"date-parts":[["2019","2"]]},"page":"159-164","title":"A high whey protein, vitamin D and E supplement preserves muscle mass, strength, and quality of life in sarcopenic older adults: A double-blind randomized controlled trial","type":"article-journal","volume":"38"},"uris":["http://www.mendeley.com/documents/?uuid=36d56399-c205-4f7a-969e-36a490cbb93c","http://www.mendeley.com/documents/?uuid=d9a4f3ce-22fe-4f6c-bd74-0d00fd07ef63"]}],"mendeley":{"formattedCitation":"(Bo et al., 2019)","manualFormatting":" (Bo et al., 2019)","plainTextFormattedCitation":"(Bo et al., 2019)","previouslyFormattedCitation":"(Bo et al., 2019)"},"properties":{"noteIndex":0},"schema":"https://github.com/citation-style-language/schema/raw/master/csl-citation.json"}</w:instrText>
      </w:r>
      <w:r w:rsidRPr="00240669">
        <w:rPr>
          <w:rFonts w:asciiTheme="majorBidi" w:eastAsia="Times New Roman" w:hAnsiTheme="majorBidi" w:cstheme="majorBidi"/>
          <w:sz w:val="24"/>
          <w:szCs w:val="24"/>
        </w:rPr>
        <w:fldChar w:fldCharType="separate"/>
      </w:r>
      <w:r w:rsidRPr="00240669">
        <w:rPr>
          <w:rFonts w:asciiTheme="majorBidi" w:eastAsia="Times New Roman" w:hAnsiTheme="majorBidi" w:cstheme="majorBidi"/>
          <w:noProof/>
          <w:sz w:val="24"/>
          <w:szCs w:val="24"/>
        </w:rPr>
        <w:t xml:space="preserve"> (Bo et al., 2019)</w:t>
      </w:r>
      <w:r w:rsidRPr="00240669">
        <w:rPr>
          <w:rFonts w:asciiTheme="majorBidi" w:eastAsia="Times New Roman" w:hAnsiTheme="majorBidi" w:cstheme="majorBidi"/>
          <w:sz w:val="24"/>
          <w:szCs w:val="24"/>
        </w:rPr>
        <w:fldChar w:fldCharType="end"/>
      </w:r>
      <w:r w:rsidRPr="00240669">
        <w:rPr>
          <w:rFonts w:asciiTheme="majorBidi" w:eastAsia="Times New Roman" w:hAnsiTheme="majorBidi" w:cstheme="majorBidi"/>
          <w:sz w:val="24"/>
          <w:szCs w:val="24"/>
        </w:rPr>
        <w:t xml:space="preserve"> The findings of Bo et al.'s study are consistent with the findings of this study, in which vitamin D supplementation slowed the decline in muscle mass. In addition to Bo et al., there are other similar studies examining vitamin D supplementation accompanied by protein supplementation or </w:t>
      </w:r>
      <w:r w:rsidR="00E15A3F">
        <w:rPr>
          <w:rFonts w:asciiTheme="majorBidi" w:eastAsia="Times New Roman" w:hAnsiTheme="majorBidi" w:cstheme="majorBidi"/>
          <w:sz w:val="24"/>
          <w:szCs w:val="24"/>
        </w:rPr>
        <w:t>a</w:t>
      </w:r>
      <w:r w:rsidRPr="00240669">
        <w:rPr>
          <w:rFonts w:asciiTheme="majorBidi" w:eastAsia="Times New Roman" w:hAnsiTheme="majorBidi" w:cstheme="majorBidi"/>
          <w:sz w:val="24"/>
          <w:szCs w:val="24"/>
        </w:rPr>
        <w:t xml:space="preserve">mino acid in patients with sarcopenia, namely studies by Bauer et al., Rondanelli et al., Lin et al., and Chang et al; with similar findings. </w:t>
      </w:r>
      <w:r w:rsidRPr="00240669">
        <w:rPr>
          <w:rFonts w:asciiTheme="majorBidi" w:eastAsia="Times New Roman" w:hAnsiTheme="majorBidi" w:cstheme="majorBidi"/>
          <w:sz w:val="24"/>
          <w:szCs w:val="24"/>
        </w:rPr>
        <w:fldChar w:fldCharType="begin" w:fldLock="1"/>
      </w:r>
      <w:r>
        <w:rPr>
          <w:rFonts w:asciiTheme="majorBidi" w:eastAsia="Times New Roman" w:hAnsiTheme="majorBidi" w:cstheme="majorBidi"/>
          <w:sz w:val="24"/>
          <w:szCs w:val="24"/>
        </w:rPr>
        <w:instrText>ADDIN CSL_CITATION {"citationItems":[{"id":"ITEM-1","itemData":{"DOI":"10.1016/j.jamda.2015.05.021","ISSN":"15258610","author":[{"dropping-particle":"","family":"Bauer","given":"Jürgen M.","non-dropping-particle":"","parse-names":false,"suffix":""},{"dropping-particle":"","family":"Verlaan","given":"Sjors","non-dropping-particle":"","parse-names":false,"suffix":""},{"dropping-particle":"","family":"Bautmans","given":"Ivan","non-dropping-particle":"","parse-names":false,"suffix":""},{"dropping-particle":"","family":"Brandt","given":"Kirsten","non-dropping-particle":"","parse-names":false,"suffix":""},{"dropping-particle":"","family":"Donini","given":"Lorenzo M.","non-dropping-particle":"","parse-names":false,"suffix":""},{"dropping-particle":"","family":"Maggio","given":"Marcello","non-dropping-particle":"","parse-names":false,"suffix":""},{"dropping-particle":"","family":"McMurdo","given":"Marion E.T.","non-dropping-particle":"","parse-names":false,"suffix":""},{"dropping-particle":"","family":"Mets","given":"Tony","non-dropping-particle":"","parse-names":false,"suffix":""},{"dropping-particle":"","family":"Seal","given":"Chris","non-dropping-particle":"","parse-names":false,"suffix":""},{"dropping-particle":"","family":"Wijers","given":"Sander L.","non-dropping-particle":"","parse-names":false,"suffix":""},{"dropping-particle":"","family":"Ceda","given":"Gian Paolo","non-dropping-particle":"","parse-names":false,"suffix":""},{"dropping-particle":"","family":"Vito","given":"Giuseppe","non-dropping-particle":"De","parse-names":false,"suffix":""},{"dropping-particle":"","family":"Donders","given":"Gilbert","non-dropping-particle":"","parse-names":false,"suffix":""},{"dropping-particle":"","family":"Drey","given":"Michael","non-dropping-particle":"","parse-names":false,"suffix":""},{"dropping-particle":"","family":"Greig","given":"Carolyn","non-dropping-particle":"","parse-names":false,"suffix":""},{"dropping-particle":"","family":"Holmbäck","given":"Ulf","non-dropping-particle":"","parse-names":false,"suffix":""},{"dropping-particle":"","family":"Narici","given":"Marco","non-dropping-particle":"","parse-names":false,"suffix":""},{"dropping-particle":"","family":"McPhee","given":"Jamie","non-dropping-particle":"","parse-names":false,"suffix":""},{"dropping-particle":"","family":"Poggiogalle","given":"Eleonora","non-dropping-particle":"","parse-names":false,"suffix":""},{"dropping-particle":"","family":"Power","given":"Dermot","non-dropping-particle":"","parse-names":false,"suffix":""},{"dropping-particle":"","family":"Scafoglieri","given":"Aldo","non-dropping-particle":"","parse-names":false,"suffix":""},{"dropping-particle":"","family":"Schultz","given":"Ralf","non-dropping-particle":"","parse-names":false,"suffix":""},{"dropping-particle":"","family":"Sieber","given":"Cornel C.","non-dropping-particle":"","parse-names":false,"suffix":""},{"dropping-particle":"","family":"Cederholm","given":"Tommy","non-dropping-particle":"","parse-names":false,"suffix":""}],"container-title":"Journal of the American Medical Directors Association","id":"ITEM-1","issue":"9","issued":{"date-parts":[["2015","9"]]},"page":"740-747","title":"Effects of a Vitamin D and Leucine-Enriched Whey Protein Nutritional Supplement on Measures of Sarcopenia in Older Adults, the PROVIDE Study: A Randomized, Double-Blind, Placebo-Controlled Trial","type":"article-journal","volume":"16"},"uris":["http://www.mendeley.com/documents/?uuid=881f92bb-c38c-4aa4-946e-b50081a3ae50","http://www.mendeley.com/documents/?uuid=7278602b-6f1c-465c-94c1-98f0ad759e33"]},{"id":"ITEM-2","itemData":{"DOI":"10.3945/ajcn.115.113357","ISSN":"00029165","author":[{"dropping-particle":"","family":"Rondanelli","given":"Mariangela","non-dropping-particle":"","parse-names":false,"suffix":""},{"dropping-particle":"","family":"Klersy","given":"Catherine","non-dropping-particle":"","parse-names":false,"suffix":""},{"dropping-particle":"","family":"Terracol","given":"Gilles","non-dropping-particle":"","parse-names":false,"suffix":""},{"dropping-particle":"","family":"Talluri","given":"Jacopo","non-dropping-particle":"","parse-names":false,"suffix":""},{"dropping-particle":"","family":"Maugeri","given":"Roberto","non-dropping-particle":"","parse-names":false,"suffix":""},{"dropping-particle":"","family":"Guido","given":"Davide","non-dropping-particle":"","parse-names":false,"suffix":""},{"dropping-particle":"","family":"Faliva","given":"Milena A","non-dropping-particle":"","parse-names":false,"suffix":""},{"dropping-particle":"","family":"Solerte","given":"Bruno S","non-dropping-particle":"","parse-names":false,"suffix":""},{"dropping-particle":"","family":"Fioravanti","given":"Marisa","non-dropping-particle":"","parse-names":false,"suffix":""},{"dropping-particle":"","family":"Lukaski","given":"Henry","non-dropping-particle":"","parse-names":false,"suffix":""},{"dropping-particle":"","family":"Perna","given":"Simone","non-dropping-particle":"","parse-names":false,"suffix":""}],"container-title":"The American Journal of Clinical Nutrition","id":"ITEM-2","issue":"3","issued":{"date-parts":[["2016","3"]]},"page":"830-840","title":"Whey protein, amino acids, and vitamin D supplementation with physical activity increases fat-free mass and strength, functionality, and quality of life and decreases inflammation in sarcopenic elderly","type":"article-journal","volume":"103"},"uris":["http://www.mendeley.com/documents/?uuid=574232fe-131f-4500-b652-83868e0d0a22","http://www.mendeley.com/documents/?uuid=a87b9467-8e65-45b6-a4c1-0258e498a42f"]},{"id":"ITEM-3","itemData":{"DOI":"10.1016/j.clnu.2020.08.017","ISSN":"02615614","author":[{"dropping-particle":"","family":"Lin","given":"Chih-Chien","non-dropping-particle":"","parse-names":false,"suffix":""},{"dropping-particle":"","family":"Shih","given":"Ming-Hsiung","non-dropping-particle":"","parse-names":false,"suffix":""},{"dropping-particle":"","family":"Chen","given":"Chih-Dao","non-dropping-particle":"","parse-names":false,"suffix":""},{"dropping-particle":"","family":"Yeh","given":"Sung-Ling","non-dropping-particle":"","parse-names":false,"suffix":""}],"container-title":"Clinical Nutrition","id":"ITEM-3","issue":"3","issued":{"date-parts":[["2021","3"]]},"page":"1323-1329","title":"Effects of adequate dietary protein with whey protein, leucine, and vitamin D supplementation on sarcopenia in older adults: An open-label, parallel-group study","type":"article-journal","volume":"40"},"uris":["http://www.mendeley.com/documents/?uuid=74977f12-6eb9-48b5-86fc-9dd2ddac3a7c","http://www.mendeley.com/documents/?uuid=5dab9636-6e71-4a3e-9fb8-e45128a49fff"]},{"id":"ITEM-4","itemData":{"DOI":"10.3390/nu15030521","ISSN":"2072-6643","abstract":"(1) Background: In this study, a meta-analysis was performed to investigate the effects of whey protein, leucine, and vitamin D in sarcopenia; (2) Methods: We searched PubMed, Cochrane Library, Embase, and Scopus databases and retrieved studies published until 5 December 2022. Randomized controlled trials were included to evaluate muscle mass, strength, and function, after using whey protein, leucine, and vitamin D supplementation in patients with sarcopenia; (3) Results: A total of three studies including 637 patients reported the effectiveness of using whey protein, leucine, and vitamin D supplementation in patients with sarcopenia. Without considering whether or not a physical exercise program was combined with nutritional supplementation, no significant differences in grip strength or short physical performance battery (SPPB) scores between the experimental and control groups were noted. However, appendicular muscle mass significantly improved in the experimental group compared to the control group. The results were analyzed according to the presence or absence of a concomitant physical exercise program. With the use of a concomitant physical exercise program, handgrip strength and SPPB scores in the experimental group significantly improved when compared to the control group. In contrast, when physical exercise was not combined, there was no significant improvement in the handgrip strength and SPPB scores of patients with sarcopenia. In addition, the appendicular muscle mass significantly increased regardless of the presence of a concomitant physical exercise program; (4) Conclusions: Whey protein, leucine, and vitamin D supplementation can increase appendicular muscle mass in patients with sarcopenia. In addition, combining a physical exercise program with whey protein, leucine, and vitamin D supplementation can improve muscle strength and function.","author":[{"dropping-particle":"","family":"Chang","given":"Min Cheol","non-dropping-particle":"","parse-names":false,"suffix":""},{"dropping-particle":"","family":"Choo","given":"Yoo Jin","non-dropping-particle":"","parse-names":false,"suffix":""}],"container-title":"Nutrients","id":"ITEM-4","issue":"3","issued":{"date-parts":[["2023","1"]]},"page":"521","title":"Effects of Whey Protein, Leucine, and Vitamin D Supplementation in Patients with Sarcopenia: A Systematic Review and Meta-Analysis","type":"article-journal","volume":"15"},"uris":["http://www.mendeley.com/documents/?uuid=e4349096-cf87-4f73-bde5-9fb0263886b8","http://www.mendeley.com/documents/?uuid=cd3893b9-9d22-4885-918a-fca9ce36d28d"]}],"mendeley":{"formattedCitation":"(Bauer et al., 2015; Chang &amp; Choo, 2023; Lin et al., 2021; Rondanelli et al., 2016)","manualFormatting":" (Bauer et al., 2015; Chang &amp; Choo, 2023; Lin, Shih, Chen, &amp; Yeh, 2021; Rondanelli et al., 2016)","plainTextFormattedCitation":"(Bauer et al., 2015; Chang &amp; Choo, 2023; Lin et al., 2021; Rondanelli et al., 2016)","previouslyFormattedCitation":"(Bauer et al., 2015; Chang &amp; Choo, 2023; Lin, Shih, Chen, &amp; Yeh, 2021; Rondanelli et al., 2016)"},"properties":{"noteIndex":0},"schema":"https://github.com/citation-style-language/schema/raw/master/csl-citation.json"}</w:instrText>
      </w:r>
      <w:r w:rsidRPr="00240669">
        <w:rPr>
          <w:rFonts w:asciiTheme="majorBidi" w:eastAsia="Times New Roman" w:hAnsiTheme="majorBidi" w:cstheme="majorBidi"/>
          <w:sz w:val="24"/>
          <w:szCs w:val="24"/>
        </w:rPr>
        <w:fldChar w:fldCharType="separate"/>
      </w:r>
      <w:r w:rsidRPr="00240669">
        <w:rPr>
          <w:rFonts w:asciiTheme="majorBidi" w:eastAsia="Times New Roman" w:hAnsiTheme="majorBidi" w:cstheme="majorBidi"/>
          <w:noProof/>
          <w:sz w:val="24"/>
          <w:szCs w:val="24"/>
        </w:rPr>
        <w:t xml:space="preserve"> (Bauer et al., 2015; Chang &amp; Choo, 2023; Lin, Shih, Chen, &amp; Yeh, 2021; Rondanelli et al., 2016)</w:t>
      </w:r>
      <w:r w:rsidRPr="00240669">
        <w:rPr>
          <w:rFonts w:asciiTheme="majorBidi" w:eastAsia="Times New Roman" w:hAnsiTheme="majorBidi" w:cstheme="majorBidi"/>
          <w:sz w:val="24"/>
          <w:szCs w:val="24"/>
        </w:rPr>
        <w:fldChar w:fldCharType="end"/>
      </w:r>
    </w:p>
    <w:p w14:paraId="5A22264B" w14:textId="15940130" w:rsidR="00240669" w:rsidRPr="00240669" w:rsidRDefault="00240669" w:rsidP="00240669">
      <w:pPr>
        <w:spacing w:after="0" w:line="360" w:lineRule="auto"/>
        <w:ind w:right="-188" w:firstLine="709"/>
        <w:jc w:val="both"/>
        <w:rPr>
          <w:rFonts w:asciiTheme="majorBidi" w:eastAsia="Times New Roman" w:hAnsiTheme="majorBidi" w:cstheme="majorBidi"/>
          <w:sz w:val="24"/>
          <w:szCs w:val="24"/>
          <w:lang w:val="en-US"/>
        </w:rPr>
      </w:pPr>
      <w:r w:rsidRPr="00240669">
        <w:rPr>
          <w:rFonts w:asciiTheme="majorBidi" w:eastAsia="Times New Roman" w:hAnsiTheme="majorBidi" w:cstheme="majorBidi"/>
          <w:sz w:val="24"/>
          <w:szCs w:val="24"/>
        </w:rPr>
        <w:t xml:space="preserve">Meanwhile, in studies that conducted vitamin D supplementation accompanied by physical exercise programs and protein supplementation, more consistent findings resulted in a significant effect on muscle mass and muscle strength. A systematic review by Cochet et al. in the elderly with sarcopenia or malnutrition found that vitamin D supplementation therapy accompanied by BCAAs significantly maintained upper and lower leg muscle mass, strength </w:t>
      </w:r>
      <w:r w:rsidRPr="00240669">
        <w:rPr>
          <w:rFonts w:asciiTheme="majorBidi" w:eastAsia="Times New Roman" w:hAnsiTheme="majorBidi" w:cstheme="majorBidi"/>
          <w:i/>
          <w:sz w:val="24"/>
          <w:szCs w:val="24"/>
        </w:rPr>
        <w:t>handgrip</w:t>
      </w:r>
      <w:r w:rsidRPr="00240669">
        <w:rPr>
          <w:rFonts w:asciiTheme="majorBidi" w:eastAsia="Times New Roman" w:hAnsiTheme="majorBidi" w:cstheme="majorBidi"/>
          <w:sz w:val="24"/>
          <w:szCs w:val="24"/>
        </w:rPr>
        <w:t xml:space="preserve">, </w:t>
      </w:r>
      <w:r w:rsidRPr="00240669">
        <w:rPr>
          <w:rFonts w:asciiTheme="majorBidi" w:eastAsia="Times New Roman" w:hAnsiTheme="majorBidi" w:cstheme="majorBidi"/>
          <w:i/>
          <w:sz w:val="24"/>
          <w:szCs w:val="24"/>
        </w:rPr>
        <w:t>gait speed</w:t>
      </w:r>
      <w:r w:rsidRPr="00240669">
        <w:rPr>
          <w:rFonts w:asciiTheme="majorBidi" w:eastAsia="Times New Roman" w:hAnsiTheme="majorBidi" w:cstheme="majorBidi"/>
          <w:sz w:val="24"/>
          <w:szCs w:val="24"/>
        </w:rPr>
        <w:t xml:space="preserve">, </w:t>
      </w:r>
      <w:r w:rsidRPr="00240669">
        <w:rPr>
          <w:rFonts w:asciiTheme="majorBidi" w:eastAsia="Times New Roman" w:hAnsiTheme="majorBidi" w:cstheme="majorBidi"/>
          <w:i/>
          <w:sz w:val="24"/>
          <w:szCs w:val="24"/>
        </w:rPr>
        <w:t>short physical performance battery</w:t>
      </w:r>
      <w:r w:rsidR="00E15A3F">
        <w:rPr>
          <w:rFonts w:asciiTheme="majorBidi" w:eastAsia="Times New Roman" w:hAnsiTheme="majorBidi" w:cstheme="majorBidi"/>
          <w:i/>
          <w:sz w:val="24"/>
          <w:szCs w:val="24"/>
        </w:rPr>
        <w:t xml:space="preserve"> </w:t>
      </w:r>
      <w:r w:rsidRPr="00240669">
        <w:rPr>
          <w:rFonts w:asciiTheme="majorBidi" w:eastAsia="Times New Roman" w:hAnsiTheme="majorBidi" w:cstheme="majorBidi"/>
          <w:sz w:val="24"/>
          <w:szCs w:val="24"/>
        </w:rPr>
        <w:t xml:space="preserve">and </w:t>
      </w:r>
      <w:r w:rsidRPr="00240669">
        <w:rPr>
          <w:rFonts w:asciiTheme="majorBidi" w:eastAsia="Times New Roman" w:hAnsiTheme="majorBidi" w:cstheme="majorBidi"/>
          <w:i/>
          <w:sz w:val="24"/>
          <w:szCs w:val="24"/>
        </w:rPr>
        <w:t>chair stand test</w:t>
      </w:r>
      <w:r w:rsidRPr="00240669">
        <w:rPr>
          <w:rFonts w:asciiTheme="majorBidi" w:eastAsia="Times New Roman" w:hAnsiTheme="majorBidi" w:cstheme="majorBidi"/>
          <w:sz w:val="24"/>
          <w:szCs w:val="24"/>
        </w:rPr>
        <w:t xml:space="preserve">; where monotherapy with BCAAs or PUFAs without vitamin D3 does not increase muscle mass or </w:t>
      </w:r>
      <w:r w:rsidRPr="00240669">
        <w:rPr>
          <w:rFonts w:asciiTheme="majorBidi" w:eastAsia="Times New Roman" w:hAnsiTheme="majorBidi" w:cstheme="majorBidi"/>
          <w:sz w:val="24"/>
          <w:szCs w:val="24"/>
        </w:rPr>
        <w:lastRenderedPageBreak/>
        <w:t>strength significantly.</w:t>
      </w:r>
      <w:r w:rsidRPr="00240669">
        <w:rPr>
          <w:rFonts w:asciiTheme="majorBidi" w:eastAsia="Times New Roman" w:hAnsiTheme="majorBidi" w:cstheme="majorBidi"/>
          <w:sz w:val="24"/>
          <w:szCs w:val="24"/>
        </w:rPr>
        <w:fldChar w:fldCharType="begin" w:fldLock="1"/>
      </w:r>
      <w:r>
        <w:rPr>
          <w:rFonts w:asciiTheme="majorBidi" w:eastAsia="Times New Roman" w:hAnsiTheme="majorBidi" w:cstheme="majorBidi"/>
          <w:sz w:val="24"/>
          <w:szCs w:val="24"/>
        </w:rPr>
        <w:instrText>ADDIN CSL_CITATION {"citationItems":[{"id":"ITEM-1","itemData":{"DOI":"10.3390/nu15173703","ISSN":"2072-6643","abstract":"Sarcopenia is an age-related disease characterized by loss of muscle strength, mass and performance. Malnutrition contributes to sarcopenia pathogenesis. The aim of this systematic review is to analyze existing evidence on the efficacy of nutritional supplementation on muscle and mitochondrial health among sarcopenic or malnourished older adults. We included randomized controlled trials (RCTs) assessing the effect of branched-chain amino acid (BCAA), vitamin D and/or omega-3 polyunsaturated fatty acid (PUFA) on muscle mass, strength and performance and/or on mitochondrial activity and redox state in older sarcopenic and/or malnourished adults. The literature search was on MEDLINE, Embase and Cochrane Central, restricted to articles published in the last 10 years (2012–2022). Twelve RCTs with a total of 1337 subjects were included. BCAA with vitamin D significantly ameliorates appendicular muscle mass (4 RCTs), hand grip strength (4 RCTs), gait speed (3 RCTs), short physical performance battery (3 RCTs) or chair stand test (3 RCTs) among six out of nine RCTs. BCAA alone (2 RCTs) or PUFA (1 RCT) were not effective in improving muscle health. Mitochondrial function was significantly improved by the administration of BCAA alone (1 RCT) or in association with vitamin D (1 RCT). In conclusion, BCAA in association with vitamin D may be useful in the treatment of sarcopenia and boost mitochondrial bioenergetic and redox activity. PROSPERO CRD42022332288.","author":[{"dropping-particle":"","family":"Cochet","given":"Camille","non-dropping-particle":"","parse-names":false,"suffix":""},{"dropping-particle":"","family":"Belloni","given":"Giulia","non-dropping-particle":"","parse-names":false,"suffix":""},{"dropping-particle":"","family":"Buondonno","given":"Ilaria","non-dropping-particle":"","parse-names":false,"suffix":""},{"dropping-particle":"","family":"Chiara","given":"Francesco","non-dropping-particle":"","parse-names":false,"suffix":""},{"dropping-particle":"","family":"D’Amelio","given":"Patrizia","non-dropping-particle":"","parse-names":false,"suffix":""}],"container-title":"Nutrients","id":"ITEM-1","issue":"17","issued":{"date-parts":[["2023","8"]]},"page":"3703","title":"The Role of Nutrition in the Treatment of Sarcopenia in Old Patients: From Restoration of Mitochondrial Activity to Improvement of Muscle Performance, a Systematic Review","type":"article-journal","volume":"15"},"uris":["http://www.mendeley.com/documents/?uuid=e838aafa-a058-4ef8-9ac1-fe0b960c01d0","http://www.mendeley.com/documents/?uuid=c4de6587-c301-41eb-81bc-a59dc54d0871"]}],"mendeley":{"formattedCitation":"(Cochet et al., 2023)","manualFormatting":" (Cochet, Belloni, Buondonno, Chiara, &amp; D’Amelio, 2023)","plainTextFormattedCitation":"(Cochet et al., 2023)","previouslyFormattedCitation":"(Cochet, Belloni, Buondonno, Chiara, &amp; D’Amelio, 2023)"},"properties":{"noteIndex":0},"schema":"https://github.com/citation-style-language/schema/raw/master/csl-citation.json"}</w:instrText>
      </w:r>
      <w:r w:rsidRPr="00240669">
        <w:rPr>
          <w:rFonts w:asciiTheme="majorBidi" w:eastAsia="Times New Roman" w:hAnsiTheme="majorBidi" w:cstheme="majorBidi"/>
          <w:sz w:val="24"/>
          <w:szCs w:val="24"/>
        </w:rPr>
        <w:fldChar w:fldCharType="separate"/>
      </w:r>
      <w:r w:rsidRPr="00240669">
        <w:rPr>
          <w:rFonts w:asciiTheme="majorBidi" w:eastAsia="Times New Roman" w:hAnsiTheme="majorBidi" w:cstheme="majorBidi"/>
          <w:noProof/>
          <w:sz w:val="24"/>
          <w:szCs w:val="24"/>
        </w:rPr>
        <w:t xml:space="preserve"> (Cochet, Belloni, Buondonno, Chiara, &amp; D'Amelio, 2023)</w:t>
      </w:r>
      <w:r w:rsidRPr="00240669">
        <w:rPr>
          <w:rFonts w:asciiTheme="majorBidi" w:eastAsia="Times New Roman" w:hAnsiTheme="majorBidi" w:cstheme="majorBidi"/>
          <w:sz w:val="24"/>
          <w:szCs w:val="24"/>
        </w:rPr>
        <w:fldChar w:fldCharType="end"/>
      </w:r>
      <w:r w:rsidRPr="00240669">
        <w:rPr>
          <w:rFonts w:asciiTheme="majorBidi" w:eastAsia="Times New Roman" w:hAnsiTheme="majorBidi" w:cstheme="majorBidi"/>
          <w:sz w:val="24"/>
          <w:szCs w:val="24"/>
        </w:rPr>
        <w:t xml:space="preserve"> Cochet attributed these findings to mitochondrial activity as well as redox reactions in muscle cells; where BCAAs such as isoleucine and valine play a role in activating the mammalian target of rapamycin (mTOR) network in mitochondria, which ultimately increases resistance to oxidative stress; while vitamin D plays a role in improving biogenesis as well as mitochondrial function and regulating the expression of genes associated with this process in muscle cells.</w:t>
      </w:r>
      <w:r w:rsidRPr="00240669">
        <w:rPr>
          <w:rFonts w:asciiTheme="majorBidi" w:eastAsia="Times New Roman" w:hAnsiTheme="majorBidi" w:cstheme="majorBidi"/>
          <w:sz w:val="24"/>
          <w:szCs w:val="24"/>
        </w:rPr>
        <w:fldChar w:fldCharType="begin" w:fldLock="1"/>
      </w:r>
      <w:r>
        <w:rPr>
          <w:rFonts w:asciiTheme="majorBidi" w:eastAsia="Times New Roman" w:hAnsiTheme="majorBidi" w:cstheme="majorBidi"/>
          <w:sz w:val="24"/>
          <w:szCs w:val="24"/>
        </w:rPr>
        <w:instrText>ADDIN CSL_CITATION {"citationItems":[{"id":"ITEM-1","itemData":{"DOI":"10.1038/s42003-022-04246-3","ISSN":"2399-3642","abstract":"Skeletal muscle mitochondrial function is the biggest component of whole-body energy output. Mitochondrial energy production during exercise is impaired in vitamin D-deficient subjects. In cultured myotubes, loss of vitamin D receptor (VDR) function decreases mitochondrial respiration rate and ATP production from oxidative phosphorylation. We aimed to examine the effects of vitamin D deficiency and supplementation on whole-body energy expenditure and muscle mitochondrial function in old rats, old mice, and human subjects. To gain further insight into the mechanisms involved, we used C2C12 and human muscle cells and transgenic mice with muscle-specific VDR tamoxifen-inducible deficiency. We observed that in vivo and in vitro vitamin D fluctuations changed mitochondrial biogenesis and oxidative activity in skeletal muscle. Vitamin D supplementation initiated in older people improved muscle mass and strength. We hypothesize that vitamin D supplementation is likely to help prevent not only sarcopenia but also sarcopenic obesity in vitamin D-deficient subjects.","author":[{"dropping-particle":"","family":"Salles","given":"Jérôme","non-dropping-particle":"","parse-names":false,"suffix":""},{"dropping-particle":"","family":"Chanet","given":"Audrey","non-dropping-particle":"","parse-names":false,"suffix":""},{"dropping-particle":"","family":"Guillet","given":"Christelle","non-dropping-particle":"","parse-names":false,"suffix":""},{"dropping-particle":"","family":"Vaes","given":"Anouk MM.","non-dropping-particle":"","parse-names":false,"suffix":""},{"dropping-particle":"","family":"Brouwer-Brolsma","given":"Elske M.","non-dropping-particle":"","parse-names":false,"suffix":""},{"dropping-particle":"","family":"Rocher","given":"Christophe","non-dropping-particle":"","parse-names":false,"suffix":""},{"dropping-particle":"","family":"Giraudet","given":"Christophe","non-dropping-particle":"","parse-names":false,"suffix":""},{"dropping-particle":"","family":"Patrac","given":"Véronique","non-dropping-particle":"","parse-names":false,"suffix":""},{"dropping-particle":"","family":"Meugnier","given":"Emmanuelle","non-dropping-particle":"","parse-names":false,"suffix":""},{"dropping-particle":"","family":"Montaurier","given":"Christophe","non-dropping-particle":"","parse-names":false,"suffix":""},{"dropping-particle":"","family":"Denis","given":"Philippe","non-dropping-particle":"","parse-names":false,"suffix":""},{"dropping-particle":"","family":"Bacquer","given":"Olivier","non-dropping-particle":"Le","parse-names":false,"suffix":""},{"dropping-particle":"","family":"Blot","given":"Adeline","non-dropping-particle":"","parse-names":false,"suffix":""},{"dropping-particle":"","family":"Jourdan","given":"Marion","non-dropping-particle":"","parse-names":false,"suffix":""},{"dropping-particle":"","family":"Luiking","given":"Yvette","non-dropping-particle":"","parse-names":false,"suffix":""},{"dropping-particle":"","family":"Furber","given":"Matthew","non-dropping-particle":"","parse-names":false,"suffix":""},{"dropping-particle":"","family":"Dijk","given":"Miriam","non-dropping-particle":"Van","parse-names":false,"suffix":""},{"dropping-particle":"","family":"Tardif","given":"Nicolas","non-dropping-particle":"","parse-names":false,"suffix":""},{"dropping-particle":"","family":"Yves Boirie","given":"Y.","non-dropping-particle":"","parse-names":false,"suffix":""},{"dropping-particle":"","family":"Walrand","given":"Stéphane","non-dropping-particle":"","parse-names":false,"suffix":""}],"container-title":"Communications Biology","id":"ITEM-1","issue":"1","issued":{"date-parts":[["2022","11"]]},"page":"1288","title":"Vitamin D status modulates mitochondrial oxidative capacities in skeletal muscle: role in sarcopenia","type":"article-journal","volume":"5"},"uris":["http://www.mendeley.com/documents/?uuid=26105ef7-044d-4329-b46a-4f0be38d6447","http://www.mendeley.com/documents/?uuid=ddcc20dc-a4eb-499a-a4c6-2e786af98693"]}],"mendeley":{"formattedCitation":"(Salles et al., 2022)","manualFormatting":" (Salles et al., 2022)","plainTextFormattedCitation":"(Salles et al., 2022)","previouslyFormattedCitation":"(Salles et al., 2022)"},"properties":{"noteIndex":0},"schema":"https://github.com/citation-style-language/schema/raw/master/csl-citation.json"}</w:instrText>
      </w:r>
      <w:r w:rsidRPr="00240669">
        <w:rPr>
          <w:rFonts w:asciiTheme="majorBidi" w:eastAsia="Times New Roman" w:hAnsiTheme="majorBidi" w:cstheme="majorBidi"/>
          <w:sz w:val="24"/>
          <w:szCs w:val="24"/>
        </w:rPr>
        <w:fldChar w:fldCharType="separate"/>
      </w:r>
      <w:r w:rsidRPr="00240669">
        <w:rPr>
          <w:rFonts w:asciiTheme="majorBidi" w:eastAsia="Times New Roman" w:hAnsiTheme="majorBidi" w:cstheme="majorBidi"/>
          <w:noProof/>
          <w:sz w:val="24"/>
          <w:szCs w:val="24"/>
        </w:rPr>
        <w:t xml:space="preserve"> (Salles et al., 2022)</w:t>
      </w:r>
      <w:r w:rsidRPr="00240669">
        <w:rPr>
          <w:rFonts w:asciiTheme="majorBidi" w:eastAsia="Times New Roman" w:hAnsiTheme="majorBidi" w:cstheme="majorBidi"/>
          <w:sz w:val="24"/>
          <w:szCs w:val="24"/>
        </w:rPr>
        <w:fldChar w:fldCharType="end"/>
      </w:r>
    </w:p>
    <w:p w14:paraId="5F653D21" w14:textId="0E3B23A2" w:rsidR="00240669" w:rsidRPr="00240669" w:rsidRDefault="00240669" w:rsidP="00240669">
      <w:pPr>
        <w:spacing w:after="0" w:line="360" w:lineRule="auto"/>
        <w:ind w:right="-188" w:firstLine="709"/>
        <w:jc w:val="both"/>
        <w:rPr>
          <w:rFonts w:asciiTheme="majorBidi" w:eastAsia="Times New Roman" w:hAnsiTheme="majorBidi" w:cstheme="majorBidi"/>
          <w:sz w:val="24"/>
          <w:szCs w:val="24"/>
          <w:lang w:val="en-US"/>
        </w:rPr>
      </w:pPr>
      <w:r w:rsidRPr="00240669">
        <w:rPr>
          <w:rFonts w:asciiTheme="majorBidi" w:eastAsia="Times New Roman" w:hAnsiTheme="majorBidi" w:cstheme="majorBidi"/>
          <w:sz w:val="24"/>
          <w:szCs w:val="24"/>
        </w:rPr>
        <w:t>Thus, to increase muscle mass and muscle performance in the elderly, vitamin D3 supplementation is recommended to be given along with other therapies such as resistance training and supplementation with BCAAs.</w:t>
      </w:r>
    </w:p>
    <w:p w14:paraId="49E71559" w14:textId="77777777" w:rsidR="00240669" w:rsidRPr="00240669" w:rsidRDefault="00240669" w:rsidP="00240669">
      <w:pPr>
        <w:numPr>
          <w:ilvl w:val="1"/>
          <w:numId w:val="48"/>
        </w:numPr>
        <w:spacing w:after="0" w:line="360" w:lineRule="auto"/>
        <w:ind w:left="284" w:right="-188" w:hanging="284"/>
        <w:jc w:val="both"/>
        <w:rPr>
          <w:rFonts w:asciiTheme="majorBidi" w:eastAsia="Times New Roman" w:hAnsiTheme="majorBidi" w:cstheme="majorBidi"/>
          <w:b/>
          <w:bCs/>
          <w:sz w:val="24"/>
          <w:szCs w:val="24"/>
          <w:lang w:val="en-US"/>
        </w:rPr>
      </w:pPr>
      <w:r w:rsidRPr="00240669">
        <w:rPr>
          <w:rFonts w:asciiTheme="majorBidi" w:eastAsia="Times New Roman" w:hAnsiTheme="majorBidi" w:cstheme="majorBidi"/>
          <w:b/>
          <w:sz w:val="24"/>
          <w:szCs w:val="24"/>
        </w:rPr>
        <w:t>Effects of vitamin D supplementation on fat mass</w:t>
      </w:r>
    </w:p>
    <w:p w14:paraId="412AC28F" w14:textId="5E2A4907" w:rsidR="00240669" w:rsidRPr="00240669" w:rsidRDefault="00240669" w:rsidP="00240669">
      <w:pPr>
        <w:spacing w:after="0" w:line="360" w:lineRule="auto"/>
        <w:ind w:right="-188" w:firstLine="709"/>
        <w:jc w:val="both"/>
        <w:rPr>
          <w:rFonts w:asciiTheme="majorBidi" w:eastAsia="Times New Roman" w:hAnsiTheme="majorBidi" w:cstheme="majorBidi"/>
          <w:sz w:val="24"/>
          <w:szCs w:val="24"/>
          <w:lang w:val="en-US"/>
        </w:rPr>
      </w:pPr>
      <w:r w:rsidRPr="00240669">
        <w:rPr>
          <w:rFonts w:asciiTheme="majorBidi" w:eastAsia="Times New Roman" w:hAnsiTheme="majorBidi" w:cstheme="majorBidi"/>
          <w:sz w:val="24"/>
          <w:szCs w:val="24"/>
        </w:rPr>
        <w:t xml:space="preserve">In addition to significant results on muscle strength and muscle mass, significant findings in this study were also obtained on measurements of the difference in overall fat mass. In measuring the difference in fat mass </w:t>
      </w:r>
      <w:r w:rsidR="00E15A3F">
        <w:rPr>
          <w:rFonts w:asciiTheme="majorBidi" w:eastAsia="Times New Roman" w:hAnsiTheme="majorBidi" w:cstheme="majorBidi"/>
          <w:sz w:val="24"/>
          <w:szCs w:val="24"/>
        </w:rPr>
        <w:t>between</w:t>
      </w:r>
      <w:r w:rsidRPr="00240669">
        <w:rPr>
          <w:rFonts w:asciiTheme="majorBidi" w:eastAsia="Times New Roman" w:hAnsiTheme="majorBidi" w:cstheme="majorBidi"/>
          <w:sz w:val="24"/>
          <w:szCs w:val="24"/>
        </w:rPr>
        <w:t xml:space="preserve"> the control and treatment groups, a significant difference was obtained between the two. Both groups experienced a decrease in overall fat mass, but the treatment group experienced a significantly greater decrease (0.19% vs. 1.25%). This result was obtained even though the difference in visceral and subcutaneous fat mass at all measurement points was not found to be significantly different. These findings indicate a role for vitamin D3 supplementation in lowering overall fat mass.</w:t>
      </w:r>
    </w:p>
    <w:p w14:paraId="2076CFE1" w14:textId="2FFA6C3E" w:rsidR="00240669" w:rsidRPr="00240669" w:rsidRDefault="00240669" w:rsidP="00240669">
      <w:pPr>
        <w:spacing w:after="0" w:line="360" w:lineRule="auto"/>
        <w:ind w:right="-188" w:firstLine="709"/>
        <w:jc w:val="both"/>
        <w:rPr>
          <w:rFonts w:asciiTheme="majorBidi" w:eastAsia="Times New Roman" w:hAnsiTheme="majorBidi" w:cstheme="majorBidi"/>
          <w:sz w:val="24"/>
          <w:szCs w:val="24"/>
          <w:lang w:val="en-US"/>
        </w:rPr>
      </w:pPr>
      <w:r w:rsidRPr="00240669">
        <w:rPr>
          <w:rFonts w:asciiTheme="majorBidi" w:eastAsia="Times New Roman" w:hAnsiTheme="majorBidi" w:cstheme="majorBidi"/>
          <w:sz w:val="24"/>
          <w:szCs w:val="24"/>
        </w:rPr>
        <w:t xml:space="preserve">Existing studies have shown a significant influence between vitamin D status and fat mass, especially in the elderly population and post-menopausal women. A study by Vázquez-Lorente et al. in post-menopausal women found an influence of vitamin D status </w:t>
      </w:r>
      <w:r w:rsidR="00E15A3F">
        <w:rPr>
          <w:rFonts w:asciiTheme="majorBidi" w:eastAsia="Times New Roman" w:hAnsiTheme="majorBidi" w:cstheme="majorBidi"/>
          <w:sz w:val="24"/>
          <w:szCs w:val="24"/>
        </w:rPr>
        <w:t>on</w:t>
      </w:r>
      <w:r w:rsidRPr="00240669">
        <w:rPr>
          <w:rFonts w:asciiTheme="majorBidi" w:eastAsia="Times New Roman" w:hAnsiTheme="majorBidi" w:cstheme="majorBidi"/>
          <w:sz w:val="24"/>
          <w:szCs w:val="24"/>
        </w:rPr>
        <w:t xml:space="preserve"> BMI, waist circumference, arm circumference, and fat mass.</w:t>
      </w:r>
      <w:r w:rsidRPr="00240669">
        <w:rPr>
          <w:rFonts w:asciiTheme="majorBidi" w:eastAsia="Times New Roman" w:hAnsiTheme="majorBidi" w:cstheme="majorBidi"/>
          <w:sz w:val="24"/>
          <w:szCs w:val="24"/>
        </w:rPr>
        <w:fldChar w:fldCharType="begin" w:fldLock="1"/>
      </w:r>
      <w:r>
        <w:rPr>
          <w:rFonts w:asciiTheme="majorBidi" w:eastAsia="Times New Roman" w:hAnsiTheme="majorBidi" w:cstheme="majorBidi"/>
          <w:sz w:val="24"/>
          <w:szCs w:val="24"/>
        </w:rPr>
        <w:instrText>ADDIN CSL_CITATION {"citationItems":[{"id":"ITEM-1","itemData":{"DOI":"10.3390/nu12030667","ISSN":"2072-6643","abstract":"Vitamin D is a micronutrient that plays a key role in phosphocalcic metabolism. The postmenopausal population presents a risk of deficiency in this vitamin due to hormonal alterations which, in the case of obesity, would be exacerbated. The objective was to assess the status of vitamin D in a postmenopausal population and determine the relationship of 25-hydroxivitamin D [25(OH)D] and its metabolites with anthropometric parameters. The study included 78 healthy postmenopausal women aged from 44 to 76. The nutrient intake assessment was carried out using the 24 h reminder (R24h). 25(OH)D was analyzed using ultra-high-performance liquid chromatography (UHPLC). A total of 80% and 68% of the women studied did not reach sufficient values of 25(OH)D and 25-hydroxivitamin D3 [25(OH)D3], respectively, which was inversely correlated with Body Mass Index (BMI) (r = −0.25, p = 0.04), hip perimeter (r = −0.26 and r = −0.24, all p &lt; 0.05), arm circumference (r = −0.29, p = 0.01) and fat mass (r = −0.28 and r = −0.26, all p &lt; 0.05). 25(OH)D3 is the metabolite that contributed most to this association. In conclusion, 25(OH)D3 levels are related to anthropometric parameters in the postmenopausal women in this study, confirming insufficient status in the majority of the population. Approach strategies are necessary to correct and avoid this risk in order to ensure future quality of life.","author":[{"dropping-particle":"","family":"Vázquez-Lorente","given":"Héctor","non-dropping-particle":"","parse-names":false,"suffix":""},{"dropping-particle":"","family":"Molina-López","given":"Jorge","non-dropping-particle":"","parse-names":false,"suffix":""},{"dropping-particle":"","family":"Herrera-Quintana","given":"Lourdes","non-dropping-particle":"","parse-names":false,"suffix":""},{"dropping-particle":"","family":"Gamarra-Morales","given":"Yenifer","non-dropping-particle":"","parse-names":false,"suffix":""},{"dropping-particle":"","family":"López-González","given":"Beatriz","non-dropping-particle":"","parse-names":false,"suffix":""},{"dropping-particle":"","family":"Planells","given":"Elena","non-dropping-particle":"","parse-names":false,"suffix":""}],"container-title":"Nutrients","id":"ITEM-1","issue":"3","issued":{"date-parts":[["2020","2"]]},"page":"667","title":"Association between Body Fatness and Vitamin D3 Status in a Postmenopausal Population","type":"article-journal","volume":"12"},"uris":["http://www.mendeley.com/documents/?uuid=2360bbdd-53b9-4e6d-bee7-8587405f2a00","http://www.mendeley.com/documents/?uuid=5a5d6612-7c98-47f9-8d4d-77d61e2a00d0"]}],"mendeley":{"formattedCitation":"(Vázquez-Lorente et al., 2020)","manualFormatting":" (Vázquez-Lorente et al., 2020)","plainTextFormattedCitation":"(Vázquez-Lorente et al., 2020)","previouslyFormattedCitation":"(Vázquez-Lorente et al., 2020)"},"properties":{"noteIndex":0},"schema":"https://github.com/citation-style-language/schema/raw/master/csl-citation.json"}</w:instrText>
      </w:r>
      <w:r w:rsidRPr="00240669">
        <w:rPr>
          <w:rFonts w:asciiTheme="majorBidi" w:eastAsia="Times New Roman" w:hAnsiTheme="majorBidi" w:cstheme="majorBidi"/>
          <w:sz w:val="24"/>
          <w:szCs w:val="24"/>
        </w:rPr>
        <w:fldChar w:fldCharType="separate"/>
      </w:r>
      <w:r w:rsidRPr="00240669">
        <w:rPr>
          <w:rFonts w:asciiTheme="majorBidi" w:eastAsia="Times New Roman" w:hAnsiTheme="majorBidi" w:cstheme="majorBidi"/>
          <w:noProof/>
          <w:sz w:val="24"/>
          <w:szCs w:val="24"/>
        </w:rPr>
        <w:t xml:space="preserve"> (Vázquez-Lorente et al., 2020)</w:t>
      </w:r>
      <w:r w:rsidRPr="00240669">
        <w:rPr>
          <w:rFonts w:asciiTheme="majorBidi" w:eastAsia="Times New Roman" w:hAnsiTheme="majorBidi" w:cstheme="majorBidi"/>
          <w:sz w:val="24"/>
          <w:szCs w:val="24"/>
        </w:rPr>
        <w:fldChar w:fldCharType="end"/>
      </w:r>
      <w:r w:rsidRPr="00240669">
        <w:rPr>
          <w:rFonts w:asciiTheme="majorBidi" w:eastAsia="Times New Roman" w:hAnsiTheme="majorBidi" w:cstheme="majorBidi"/>
          <w:sz w:val="24"/>
          <w:szCs w:val="24"/>
        </w:rPr>
        <w:t xml:space="preserve"> Pinkas et al., also in postmenopausal women, found a significant association between vitamin D status and BMI and dyslipidemia.</w:t>
      </w:r>
      <w:r w:rsidRPr="00240669">
        <w:rPr>
          <w:rFonts w:asciiTheme="majorBidi" w:eastAsia="Times New Roman" w:hAnsiTheme="majorBidi" w:cstheme="majorBidi"/>
          <w:sz w:val="24"/>
          <w:szCs w:val="24"/>
        </w:rPr>
        <w:fldChar w:fldCharType="begin" w:fldLock="1"/>
      </w:r>
      <w:r>
        <w:rPr>
          <w:rFonts w:asciiTheme="majorBidi" w:eastAsia="Times New Roman" w:hAnsiTheme="majorBidi" w:cstheme="majorBidi"/>
          <w:sz w:val="24"/>
          <w:szCs w:val="24"/>
        </w:rPr>
        <w:instrText>ADDIN CSL_CITATION {"citationItems":[{"id":"ITEM-1","itemData":{"DOI":"10.12659/MSM.906895","ISSN":"1643-3750","author":[{"dropping-particle":"","family":"Pinkas","given":"Jarosław","non-dropping-particle":"","parse-names":false,"suffix":""},{"dropping-particle":"","family":"Bojar","given":"Iwona","non-dropping-particle":"","parse-names":false,"suffix":""},{"dropping-particle":"","family":"Gujski","given":"Mariusz","non-dropping-particle":"","parse-names":false,"suffix":""},{"dropping-particle":"","family":"Bartosińska","given":"Joanna","non-dropping-particle":"","parse-names":false,"suffix":""},{"dropping-particle":"","family":"Owoc","given":"Alfred","non-dropping-particle":"","parse-names":false,"suffix":""},{"dropping-particle":"","family":"Raczkiewicz","given":"Dorota","non-dropping-particle":"","parse-names":false,"suffix":""}],"container-title":"Medical Science Monitor","id":"ITEM-1","issued":{"date-parts":[["2017","10"]]},"page":"5018-5026","title":"Serum Lipid, Vitamin D Levels, and Obesity in Perimenopausal and Postmenopausal Women in Non-Manual Employment","type":"article-journal","volume":"23"},"uris":["http://www.mendeley.com/documents/?uuid=80f64229-8735-46eb-bdb9-e5259cfba947","http://www.mendeley.com/documents/?uuid=791e55a0-1d47-4a79-aae4-bc4a6549de16"]}],"mendeley":{"formattedCitation":"(Pinkas et al., 2017)","manualFormatting":" (Pinkas et al., 2017)","plainTextFormattedCitation":"(Pinkas et al., 2017)","previouslyFormattedCitation":"(Pinkas et al., 2017)"},"properties":{"noteIndex":0},"schema":"https://github.com/citation-style-language/schema/raw/master/csl-citation.json"}</w:instrText>
      </w:r>
      <w:r w:rsidRPr="00240669">
        <w:rPr>
          <w:rFonts w:asciiTheme="majorBidi" w:eastAsia="Times New Roman" w:hAnsiTheme="majorBidi" w:cstheme="majorBidi"/>
          <w:sz w:val="24"/>
          <w:szCs w:val="24"/>
        </w:rPr>
        <w:fldChar w:fldCharType="separate"/>
      </w:r>
      <w:r w:rsidRPr="00240669">
        <w:rPr>
          <w:rFonts w:asciiTheme="majorBidi" w:eastAsia="Times New Roman" w:hAnsiTheme="majorBidi" w:cstheme="majorBidi"/>
          <w:noProof/>
          <w:sz w:val="24"/>
          <w:szCs w:val="24"/>
        </w:rPr>
        <w:t xml:space="preserve"> (Pinkas et al., 2017)</w:t>
      </w:r>
      <w:r w:rsidRPr="00240669">
        <w:rPr>
          <w:rFonts w:asciiTheme="majorBidi" w:eastAsia="Times New Roman" w:hAnsiTheme="majorBidi" w:cstheme="majorBidi"/>
          <w:sz w:val="24"/>
          <w:szCs w:val="24"/>
        </w:rPr>
        <w:fldChar w:fldCharType="end"/>
      </w:r>
      <w:r w:rsidRPr="00240669">
        <w:rPr>
          <w:rFonts w:asciiTheme="majorBidi" w:eastAsia="Times New Roman" w:hAnsiTheme="majorBidi" w:cstheme="majorBidi"/>
          <w:sz w:val="24"/>
          <w:szCs w:val="24"/>
        </w:rPr>
        <w:t xml:space="preserve"> In the elderly population in general, similar findings were also put forward by Araghi et al., Zhao et al., and Vitezova et al. in studies in the elderly population, where vitamin D status was inversely related to fat mass.</w:t>
      </w:r>
      <w:r w:rsidRPr="00240669">
        <w:rPr>
          <w:rFonts w:asciiTheme="majorBidi" w:eastAsia="Times New Roman" w:hAnsiTheme="majorBidi" w:cstheme="majorBidi"/>
          <w:sz w:val="24"/>
          <w:szCs w:val="24"/>
        </w:rPr>
        <w:fldChar w:fldCharType="begin" w:fldLock="1"/>
      </w:r>
      <w:r>
        <w:rPr>
          <w:rFonts w:asciiTheme="majorBidi" w:eastAsia="Times New Roman" w:hAnsiTheme="majorBidi" w:cstheme="majorBidi"/>
          <w:sz w:val="24"/>
          <w:szCs w:val="24"/>
        </w:rPr>
        <w:instrText>ADDIN CSL_CITATION {"citationItems":[{"id":"ITEM-1","itemData":{"DOI":"10.1007/s12603-015-0657-y","ISSN":"1279-7707","author":[{"dropping-particle":"","family":"Oliai Araghi","given":"S.","non-dropping-particle":"","parse-names":false,"suffix":""},{"dropping-particle":"","family":"Dijk","given":"S. C.","non-dropping-particle":"van","parse-names":false,"suffix":""},{"dropping-particle":"","family":"Ham","given":"A. C.","non-dropping-particle":"","parse-names":false,"suffix":""},{"dropping-particle":"","family":"Brouwer-Brolsma","given":"E. M.","non-dropping-particle":"","parse-names":false,"suffix":""},{"dropping-particle":"","family":"Enneman","given":"A. W.","non-dropping-particle":"","parse-names":false,"suffix":""},{"dropping-particle":"","family":"Sohl","given":"E.","non-dropping-particle":"","parse-names":false,"suffix":""},{"dropping-particle":"","family":"Swart","given":"K. M. A.","non-dropping-particle":"","parse-names":false,"suffix":""},{"dropping-particle":"","family":"Zwaluw","given":"N. L.","non-dropping-particle":"van der","parse-names":false,"suffix":""},{"dropping-particle":"","family":"Wijngaarden","given":"J. P.","non-dropping-particle":"van","parse-names":false,"suffix":""},{"dropping-particle":"","family":"Dhonukshe-Rutten","given":"R. A. M.","non-dropping-particle":"","parse-names":false,"suffix":""},{"dropping-particle":"","family":"Schoor","given":"N. M.","non-dropping-particle":"van","parse-names":false,"suffix":""},{"dropping-particle":"","family":"Zillikens","given":"M. C.","non-dropping-particle":"","parse-names":false,"suffix":""},{"dropping-particle":"","family":"Lips","given":"P.","non-dropping-particle":"","parse-names":false,"suffix":""},{"dropping-particle":"","family":"Groot","given":"L.","non-dropping-particle":"de","parse-names":false,"suffix":""},{"dropping-particle":"","family":"Uitterlinden","given":"A. G.","non-dropping-particle":"","parse-names":false,"suffix":""},{"dropping-particle":"","family":"Velde","given":"Nathalie","non-dropping-particle":"van der","parse-names":false,"suffix":""}],"container-title":"The journal of nutrition, health &amp; aging","id":"ITEM-1","issue":"10","issued":{"date-parts":[["2015","12"]]},"page":"980-985","title":"BMI and body fat mass is inversely associated with vitamin D levels in older individuals","type":"article-journal","volume":"19"},"uris":["http://www.mendeley.com/documents/?uuid=07c7e6c2-23ef-4e17-a9b0-071718a72189","http://www.mendeley.com/documents/?uuid=88a66baf-3ec2-4d8c-b20b-864889a00571"]},{"id":"ITEM-2","itemData":{"DOI":"10.1186/s12877-021-02449-7","ISSN":"1471-2318","author":[{"dropping-particle":"","family":"Zhao","given":"Yunli","non-dropping-particle":"","parse-names":false,"suffix":""},{"dropping-particle":"","family":"Zhao","given":"Wanyu","non-dropping-particle":"","parse-names":false,"suffix":""},{"dropping-particle":"","family":"Hao","given":"Qiukui","non-dropping-particle":"","parse-names":false,"suffix":""},{"dropping-particle":"","family":"Ge","given":"Meiling","non-dropping-particle":"","parse-names":false,"suffix":""},{"dropping-particle":"","family":"Zhang","given":"Yan","non-dropping-particle":"","parse-names":false,"suffix":""},{"dropping-particle":"","family":"Hu","given":"Fengjuan","non-dropping-particle":"","parse-names":false,"suffix":""},{"dropping-particle":"","family":"Lu","given":"Ying","non-dropping-particle":"","parse-names":false,"suffix":""},{"dropping-particle":"","family":"Zhou","given":"Lixing","non-dropping-particle":"","parse-names":false,"suffix":""},{"dropping-particle":"","family":"Liu","given":"Xiaolei","non-dropping-particle":"","parse-names":false,"suffix":""},{"dropping-particle":"","family":"Dong","given":"Birong","non-dropping-particle":"","parse-names":false,"suffix":""}],"container-title":"BMC Geriatrics","id":"ITEM-2","issue":"1","issued":{"date-parts":[["2021","12"]]},"page":"528","title":"Vitamin D status and obesity markers in older adults: results from West China Health and Aging Trends study","type":"article-journal","volume":"21"},"uris":["http://www.mendeley.com/documents/?uuid=7ed9e5de-cbd9-47f1-8972-e725ac674b23","http://www.mendeley.com/documents/?uuid=b9631001-ceef-4a96-873b-6409077b0a99"]},{"id":"ITEM-3","itemData":{"DOI":"10.1016/j.clnu.2016.04.017","ISSN":"02615614","author":[{"dropping-particle":"","family":"Vitezova","given":"Anna","non-dropping-particle":"","parse-names":false,"suffix":""},{"dropping-particle":"","family":"Muka","given":"Taulant","non-dropping-particle":"","parse-names":false,"suffix":""},{"dropping-particle":"","family":"Zillikens","given":"M. Carola","non-dropping-particle":"","parse-names":false,"suffix":""},{"dropping-particle":"","family":"Voortman","given":"Trudy","non-dropping-particle":"","parse-names":false,"suffix":""},{"dropping-particle":"","family":"Uitterlinden","given":"Andre G.","non-dropping-particle":"","parse-names":false,"suffix":""},{"dropping-particle":"","family":"Hofman","given":"Albert","non-dropping-particle":"","parse-names":false,"suffix":""},{"dropping-particle":"","family":"Rivadeneira","given":"Fernando","non-dropping-particle":"","parse-names":false,"suffix":""},{"dropping-particle":"","family":"Kiefte-de Jong","given":"Jessica C.","non-dropping-particle":"","parse-names":false,"suffix":""},{"dropping-particle":"","family":"Franco","given":"Oscar H.","non-dropping-particle":"","parse-names":false,"suffix":""}],"container-title":"Clinical Nutrition","id":"ITEM-3","issue":"2","issued":{"date-parts":[["2017","4"]]},"page":"585-592","title":"Vitamin D and body composition in the elderly","type":"article-journal","volume":"36"},"uris":["http://www.mendeley.com/documents/?uuid=1566aaf2-e6e8-4335-8208-6a7ad59c9b1d","http://www.mendeley.com/documents/?uuid=d0fdcbb6-05b5-4481-a1ed-e2f77a98801c"]}],"mendeley":{"formattedCitation":"(Oliai Araghi et al., 2015; Vitezova et al., 2017; Zhao et al., 2021)","manualFormatting":" (Oliai Araghi et al., 2015; Vitezova et al., 2017; Zhao et al., 2021)","plainTextFormattedCitation":"(Oliai Araghi et al., 2015; Vitezova et al., 2017; Zhao et al., 2021)","previouslyFormattedCitation":"(Oliai Araghi et al., 2015; Vitezova et al., 2017; Zhao et al., 2021)"},"properties":{"noteIndex":0},"schema":"https://github.com/citation-style-language/schema/raw/master/csl-citation.json"}</w:instrText>
      </w:r>
      <w:r w:rsidRPr="00240669">
        <w:rPr>
          <w:rFonts w:asciiTheme="majorBidi" w:eastAsia="Times New Roman" w:hAnsiTheme="majorBidi" w:cstheme="majorBidi"/>
          <w:sz w:val="24"/>
          <w:szCs w:val="24"/>
        </w:rPr>
        <w:fldChar w:fldCharType="separate"/>
      </w:r>
      <w:r w:rsidRPr="00240669">
        <w:rPr>
          <w:rFonts w:asciiTheme="majorBidi" w:eastAsia="Times New Roman" w:hAnsiTheme="majorBidi" w:cstheme="majorBidi"/>
          <w:noProof/>
          <w:sz w:val="24"/>
          <w:szCs w:val="24"/>
        </w:rPr>
        <w:t xml:space="preserve"> (Oliai Araghi et al., 2015; Vitezova et al., 2017; Zhao et al., 2021)</w:t>
      </w:r>
      <w:r w:rsidRPr="00240669">
        <w:rPr>
          <w:rFonts w:asciiTheme="majorBidi" w:eastAsia="Times New Roman" w:hAnsiTheme="majorBidi" w:cstheme="majorBidi"/>
          <w:sz w:val="24"/>
          <w:szCs w:val="24"/>
        </w:rPr>
        <w:fldChar w:fldCharType="end"/>
      </w:r>
    </w:p>
    <w:p w14:paraId="64836E4B" w14:textId="193D5834" w:rsidR="0041703E" w:rsidRPr="00CF459A" w:rsidRDefault="00240669" w:rsidP="00240669">
      <w:pPr>
        <w:spacing w:after="0" w:line="360" w:lineRule="auto"/>
        <w:ind w:right="-188" w:firstLine="709"/>
        <w:jc w:val="both"/>
        <w:rPr>
          <w:rFonts w:asciiTheme="majorBidi" w:eastAsia="Times New Roman" w:hAnsiTheme="majorBidi" w:cstheme="majorBidi"/>
          <w:sz w:val="24"/>
          <w:szCs w:val="24"/>
          <w:lang w:val="de-DE"/>
        </w:rPr>
      </w:pPr>
      <w:r w:rsidRPr="00240669">
        <w:rPr>
          <w:rFonts w:asciiTheme="majorBidi" w:eastAsia="Times New Roman" w:hAnsiTheme="majorBidi" w:cstheme="majorBidi"/>
          <w:sz w:val="24"/>
          <w:szCs w:val="24"/>
        </w:rPr>
        <w:t>Although vitamin D status was found to be associated with fat mass, findings related to the effect of vitamin D3 supplementation on fat mass varied. The study by Chou et al. found no significant effect between vitamin D3 supplementation on body composition in the elderly population.</w:t>
      </w:r>
      <w:r w:rsidRPr="00240669">
        <w:rPr>
          <w:rFonts w:asciiTheme="majorBidi" w:eastAsia="Times New Roman" w:hAnsiTheme="majorBidi" w:cstheme="majorBidi"/>
          <w:sz w:val="24"/>
          <w:szCs w:val="24"/>
        </w:rPr>
        <w:fldChar w:fldCharType="begin" w:fldLock="1"/>
      </w:r>
      <w:r>
        <w:rPr>
          <w:rFonts w:asciiTheme="majorBidi" w:eastAsia="Times New Roman" w:hAnsiTheme="majorBidi" w:cstheme="majorBidi"/>
          <w:sz w:val="24"/>
          <w:szCs w:val="24"/>
        </w:rPr>
        <w:instrText>ADDIN CSL_CITATION {"citationItems":[{"id":"ITEM-1","itemData":{"DOI":"10.1210/clinem/dgaa981","ISSN":"0021-972X","author":[{"dropping-particle":"","family":"Chou","given":"Sharon H","non-dropping-particle":"","parse-names":false,"suffix":""},{"dropping-particle":"","family":"Murata","given":"Elle M","non-dropping-particle":"","parse-names":false,"suffix":""},{"dropping-particle":"","family":"Yu","given":"Cindy","non-dropping-particle":"","parse-names":false,"suffix":""},{"dropping-particle":"","family":"Danik","given":"Jacqueline","non-dropping-particle":"","parse-names":false,"suffix":""},{"dropping-particle":"","family":"Kotler","given":"Gregory","non-dropping-particle":"","parse-names":false,"suffix":""},{"dropping-particle":"","family":"Cook","given":"Nancy R","non-dropping-particle":"","parse-names":false,"suffix":""},{"dropping-particle":"","family":"Bubes","given":"Vadim","non-dropping-particle":"","parse-names":false,"suffix":""},{"dropping-particle":"","family":"Mora","given":"Samia","non-dropping-particle":"","parse-names":false,"suffix":""},{"dropping-particle":"","f</w:instrText>
      </w:r>
      <w:r w:rsidRPr="00CF459A">
        <w:rPr>
          <w:rFonts w:asciiTheme="majorBidi" w:eastAsia="Times New Roman" w:hAnsiTheme="majorBidi" w:cstheme="majorBidi"/>
          <w:sz w:val="24"/>
          <w:szCs w:val="24"/>
        </w:rPr>
        <w:instrText>amily":"Chandler","given":"Paulette D","non-dropping-particle":"","parse-names":false,"suffix":""},{"dropping-particle":"","family":"Tobias","given":"Deirdre K","non-dropping-particle":"","parse-names":false,"suffix":""},{"dropping-particle":"","family":"Copeland","given":"Trisha","non-dropping-particle":"","parse-names":false,"suffix":""},{"dropping-particle":"","family":"Buring","given":"Julie E","non-dropping-particle":"","parse-names":false,"suffix":""},{"dropping-particle":"","family":"Manson","given":"JoAnn E","non-dropping-particle":"","parse-names":false,"suffix":""},{"dropping-particle":"","family":"LeBoff","given":"Meryl S","non-dropping-particle":"","parse-names":false,"suffix":""}],"container-title":"The Journal of Clinical Endocrinology &amp; Metabolism","id":"ITEM-1","issue":"5","issued":{"date-parts":[["2021","4"]]},"page":"1377-1388","title":"Effects of Vitamin D3 Supplementation on Body Composition in the VITamin D and OmegA-3 TriaL (VITAL)","type":"article-journal","volume":"106"},"uris":["http://www.mendeley.com/documents/?uuid=ab788da6-6cda-4c08-8998-cb761da35e44","http://www.mendeley.com/documents/?uuid=d6611b6b-951f-4c6a-8cf0-afdae656dffe"]}],"mendeley":{"formattedCitation":"(Chou et al., 2021)","manualFormatting":" (Chou et al., 2021)","plainTextFormattedCitation":"(Chou et al., 2021)","previouslyFormattedCitation":"(Chou et al., 2021)"},"properties":{"noteIndex":0},"schema":"https://github.com/citation-style-language/schema/raw/master/csl-citation.json"}</w:instrText>
      </w:r>
      <w:r w:rsidRPr="00240669">
        <w:rPr>
          <w:rFonts w:asciiTheme="majorBidi" w:eastAsia="Times New Roman" w:hAnsiTheme="majorBidi" w:cstheme="majorBidi"/>
          <w:sz w:val="24"/>
          <w:szCs w:val="24"/>
        </w:rPr>
        <w:fldChar w:fldCharType="separate"/>
      </w:r>
      <w:r w:rsidRPr="00CF459A">
        <w:rPr>
          <w:rFonts w:asciiTheme="majorBidi" w:eastAsia="Times New Roman" w:hAnsiTheme="majorBidi" w:cstheme="majorBidi"/>
          <w:noProof/>
          <w:sz w:val="24"/>
          <w:szCs w:val="24"/>
        </w:rPr>
        <w:t xml:space="preserve"> (Chou et al., 2021)</w:t>
      </w:r>
      <w:r w:rsidRPr="00240669">
        <w:rPr>
          <w:rFonts w:asciiTheme="majorBidi" w:eastAsia="Times New Roman" w:hAnsiTheme="majorBidi" w:cstheme="majorBidi"/>
          <w:sz w:val="24"/>
          <w:szCs w:val="24"/>
        </w:rPr>
        <w:fldChar w:fldCharType="end"/>
      </w:r>
      <w:r w:rsidRPr="00240669">
        <w:rPr>
          <w:rFonts w:asciiTheme="majorBidi" w:eastAsia="Times New Roman" w:hAnsiTheme="majorBidi" w:cstheme="majorBidi"/>
          <w:sz w:val="24"/>
          <w:szCs w:val="24"/>
        </w:rPr>
        <w:t xml:space="preserve"> A meta-analysis by Golzarand et al. found that 25(OH)D levels were inversely related to fat mass. However, vitamin D3 supplementation did not significantly reduce the percentage of fat mass (- 0.31%, IK95%: - 1.07 - 0.44).</w:t>
      </w:r>
      <w:r w:rsidRPr="00240669">
        <w:rPr>
          <w:rFonts w:asciiTheme="majorBidi" w:eastAsia="Times New Roman" w:hAnsiTheme="majorBidi" w:cstheme="majorBidi"/>
          <w:sz w:val="24"/>
          <w:szCs w:val="24"/>
        </w:rPr>
        <w:fldChar w:fldCharType="begin" w:fldLock="1"/>
      </w:r>
      <w:r>
        <w:rPr>
          <w:rFonts w:asciiTheme="majorBidi" w:eastAsia="Times New Roman" w:hAnsiTheme="majorBidi" w:cstheme="majorBidi"/>
          <w:sz w:val="24"/>
          <w:szCs w:val="24"/>
        </w:rPr>
        <w:instrText>ADDIN CSL_CITATION {"citationItems":[{"id":"ITEM-1","itemData":{"DOI":"10.1038/s41430-018-0132-z","ISSN":"0954-3007","author":[{"dropping-particle":"","family":"Golzarand","given":"Mahdieh","non-dropping-particle":"","parse-names":false,"suffix":""},{"dropping-particle":"","family":"Hollis","given":"Bruce W.","non-dropping-particle":"","parse-names":false,"suffix":""},{"dropping-particle":"","family":"Mirmiran","given":"Parvin","non-dropping-particle":"","parse-names":false,"suffix":""},{"dropping-particle":"","family":"Wagner","given":"Carol L.","non-dropping-particle":"","parse-names":false,"suffix":""},{"dropping-particle":"","family":"Shab-Bidar","given":"Sakineh","non-dropping-particle":"","parse-names":false,"suffix":""}],"container-title":"European Journal of Clinical Nutrition","id":"ITEM-1","issue":"10","issued":{"date-parts":[["2018","10"]]},"page":"1345-1357","title":"Vitamin D supplementation and body fat mass: a systematic review and meta-analysis","type":"article-journal","volume":"72"},"uris":["http://www.mendeley.com/documents/?uuid=455d6adb-c458-4aec-8903-22ce8e2e9898","http://www.mendeley.com/documents/?uuid=1ed75dcb-f6b6-41c7-a0fd-80a09def1e68"]}],"mendeley":{"formattedCitation":"(Golzarand et al., 2018)","manualFormatting":" (Golzarand, Hollis, Mirmiran, Wagner, &amp; Shab-Bidar, 2018)","plainTextFormattedCitation":"(Golzarand et al., 2018)","previouslyFormattedCitation":"(Golzarand, Hollis, Mirmiran, Wagner, &amp; Shab-Bidar, 2018)"},"properties":{"noteIndex":0},"schema":"https://github.com/citation-style-language/schema/raw/master/csl-citation.json"}</w:instrText>
      </w:r>
      <w:r w:rsidRPr="00240669">
        <w:rPr>
          <w:rFonts w:asciiTheme="majorBidi" w:eastAsia="Times New Roman" w:hAnsiTheme="majorBidi" w:cstheme="majorBidi"/>
          <w:sz w:val="24"/>
          <w:szCs w:val="24"/>
        </w:rPr>
        <w:fldChar w:fldCharType="separate"/>
      </w:r>
      <w:r w:rsidRPr="00240669">
        <w:rPr>
          <w:rFonts w:asciiTheme="majorBidi" w:eastAsia="Times New Roman" w:hAnsiTheme="majorBidi" w:cstheme="majorBidi"/>
          <w:noProof/>
          <w:sz w:val="24"/>
          <w:szCs w:val="24"/>
        </w:rPr>
        <w:t xml:space="preserve"> (Golzarand, Hollis, Mirmiran, </w:t>
      </w:r>
      <w:r w:rsidRPr="00240669">
        <w:rPr>
          <w:rFonts w:asciiTheme="majorBidi" w:eastAsia="Times New Roman" w:hAnsiTheme="majorBidi" w:cstheme="majorBidi"/>
          <w:noProof/>
          <w:sz w:val="24"/>
          <w:szCs w:val="24"/>
        </w:rPr>
        <w:lastRenderedPageBreak/>
        <w:t>Wagner, &amp; Shab-Bidar, 2018)</w:t>
      </w:r>
      <w:r w:rsidRPr="00240669">
        <w:rPr>
          <w:rFonts w:asciiTheme="majorBidi" w:eastAsia="Times New Roman" w:hAnsiTheme="majorBidi" w:cstheme="majorBidi"/>
          <w:sz w:val="24"/>
          <w:szCs w:val="24"/>
        </w:rPr>
        <w:fldChar w:fldCharType="end"/>
      </w:r>
      <w:r w:rsidRPr="00240669">
        <w:rPr>
          <w:rFonts w:asciiTheme="majorBidi" w:eastAsia="Times New Roman" w:hAnsiTheme="majorBidi" w:cstheme="majorBidi"/>
          <w:sz w:val="24"/>
          <w:szCs w:val="24"/>
        </w:rPr>
        <w:t xml:space="preserve"> Similar findings were also made in a meta-analysis by Pathak et al. and Chandler et al. in which vitamin D supplementation alone without caloric restriction was not found to reduce fat mass in the adult population.</w:t>
      </w:r>
      <w:r w:rsidRPr="00240669">
        <w:rPr>
          <w:rFonts w:asciiTheme="majorBidi" w:eastAsia="Times New Roman" w:hAnsiTheme="majorBidi" w:cstheme="majorBidi"/>
          <w:sz w:val="24"/>
          <w:szCs w:val="24"/>
        </w:rPr>
        <w:fldChar w:fldCharType="begin" w:fldLock="1"/>
      </w:r>
      <w:r>
        <w:rPr>
          <w:rFonts w:asciiTheme="majorBidi" w:eastAsia="Times New Roman" w:hAnsiTheme="majorBidi" w:cstheme="majorBidi"/>
          <w:sz w:val="24"/>
          <w:szCs w:val="24"/>
        </w:rPr>
        <w:instrText>ADDIN CSL_CITATION {"citationItems":[{"id":"ITEM-1","itemData":{"DOI":"10.1111/obr.12162","ISSN":"1467-7881","abstract":"Vitamin D is anticipated to have many extra‐skeletal health benefits. We questioned whether supplementation with the vitamin influenced body weight and composition. A systematic review and meta‐analysis was conducted on high‐quality, randomized controlled trials ( RCT s) that had supplemented vitamin D without imposing any caloric restriction. Eighteen trials reporting either body weight, body mass index ( BMI ), fat mass ( FM ), percentage fat mass (% FM ) or lean body mass ( LBM ) met our criteria. Twelve studies provided the required data for the meta‐analysis. Vitamin D supplementation did not influence the standardized mean difference ( SMD ) for body weight, FM , % FM or LBM . A small but non‐significant decrease in BMI ( SMD = −0.097, 95% confidence interval: [−0.210, 0.016], P = 0.092) was observed. Meta‐regression confirmed that neither the absolute vitamin D status achieved nor its change from baseline influenced the SMD of any obesity measure. However, increasing age of the subjects predicted a shift in the SMD for FM towards the placebo treatment, whereas a greater percentage of women in these studies favoured a decrease in FM following vitamin D . Vitamin D supplementation did not decrease measures of adiposity in the absence of caloric restriction. A potential confounding by age and gender was encountered.","author":[{"dropping-particle":"","family":"Pathak","given":"K.","non-dropping-particle":"","parse-names":false,"suffix":""},{"dropping-particle":"","family":"Soares","given":"M. J.","non-dropping-particle":"","parse-names":false,"suffix":""},{"dropping-particle":"","family":"Calton","given":"E. K.","non-dropping-particle":"","parse-names":false,"suffix":""},{"dropping-particle":"","family":"Zhao","given":"Y.","non-dropping-particle":"","parse-names":false,"suffix":""},{"dropping-particle":"","family":"Hallett","given":"J.","non-dropping-particle":"","parse-names":false,"suffix":""}],"container-title":"Obesity Reviews","id":"ITEM-1","issue":"6","issued":{"date-parts":[["2014","6"]]},"page":"528-537","title":"Vitamin D supplementation and body weight status: a systematic review and meta‐analysis of randomized controlled trials","type":"article-journal","volume":"15"},"uris":["http://www.mendeley.com/documents/?uuid=927c0352-51d7-4a97-8edd-aa8eb993eaa8","http://www.mendeley.com/documents/?uuid=4b1a4ad2-6b47-4924-a453-5a81470a8830"]},{"id":"ITEM-2","itemData":{"DOI":"10.1093/nutrit/nuv012","ISSN":"0029-6643","author":[{"dropping-particle":"","family":"Chandler","given":"Paulette D.","non-dropping-particle":"","parse-names":false,"suffix":""},{"dropping-particle":"","family":"Wang","given":"Lu","non-dropping-particle":"","parse-names":false,"suffix":""},{"dropping-particle":"","family":"Zhang","given":"Xi","non-dropping-particle":"","parse-names":false,"suffix":""},{"dropping-particle":"","family":"Sesso","given":"Howard D.","non-dropping-particle":"","parse-names":false,"suffix":""},{"dropping-particle":"V.","family":"Moorthy","given":"Manickavasagar","non-dropping-particle":"","parse-names":false,"suffix":""},{"dropping-particle":"","family":"Obi","given":"Obiageli","non-dropping-particle":"","parse-names":false,"suffix":""},{"dropping-particle":"","family":"Lewis","given":"Joshua","non-dropping-particle":"","parse-names":false,"suffix":""},{"dropping-particle":"","family":"Prince","given":"Richard L.","non-dropping-particle":"","parse-names":false,"suffix":""},{"dropping-particle":"","family":"Danik","given":"Jacqueline S.","non-dropping-particle":"","parse-names":false,"suffix":""},{"dropping-particle":"","family":"Manson","given":"JoAnn E.","non-dropping-particle":"","parse-names":false,"suffix":""},{"dropping-particle":"","family":"LeBoff","given":"Meryl S.","non-dropping-particle":"","parse-names":false,"suffix":""},{"dropping-particle":"","family":"Song","given":"Yiqing","non-dropping-particle":"","parse-names":false,"suffix":""}],"container-title":"Nutrition Reviews","id":"ITEM-2","issue":"9","issued":{"date-parts":[["2015","9"]]},"page":"577-593","title":"Effect of vitamin D supplementation alone or with calcium on adiposity measures: a systematic review and meta-analysis of randomized controlled trials","type":"article-journal","volume":"73"},"uris":["http://www.mendeley.com/documents/?uuid=20d14de9-25e0-4392-8419-ebae9080a137","http://www.mendeley.com/documents/?uuid=aaca827d-46e6-485f-97e9-7e719b5d0225"]}],"mendeley":{"formattedCitation":"(Chandler et al., 2015; Pathak et al., 2014)","manualFormatting":" (Chandler et al., 2015; Pathak, Soares, Calton, Zhao, &amp; Hallett, 2014)","plainTextFormattedCitation":"(Chandler et al., 2015; Pathak et al., 2014)","previouslyFormattedCitation":"(Chandler et al., 2015; Pathak, Soares, Calton, Zhao, &amp; Hallett, 2014)"},"properties":{"noteIndex":0},"schema":"https://github.com/citation-style-language/schema/raw/master/csl-citation.json"}</w:instrText>
      </w:r>
      <w:r w:rsidRPr="00240669">
        <w:rPr>
          <w:rFonts w:asciiTheme="majorBidi" w:eastAsia="Times New Roman" w:hAnsiTheme="majorBidi" w:cstheme="majorBidi"/>
          <w:sz w:val="24"/>
          <w:szCs w:val="24"/>
        </w:rPr>
        <w:fldChar w:fldCharType="separate"/>
      </w:r>
      <w:r w:rsidRPr="00240669">
        <w:rPr>
          <w:rFonts w:asciiTheme="majorBidi" w:eastAsia="Times New Roman" w:hAnsiTheme="majorBidi" w:cstheme="majorBidi"/>
          <w:noProof/>
          <w:sz w:val="24"/>
          <w:szCs w:val="24"/>
        </w:rPr>
        <w:t xml:space="preserve"> (Chandler et al., 2015; Pathak, Soares, Calton, Zhao, &amp; Hallett, 2014)</w:t>
      </w:r>
      <w:r w:rsidRPr="00240669">
        <w:rPr>
          <w:rFonts w:asciiTheme="majorBidi" w:eastAsia="Times New Roman" w:hAnsiTheme="majorBidi" w:cstheme="majorBidi"/>
          <w:sz w:val="24"/>
          <w:szCs w:val="24"/>
        </w:rPr>
        <w:fldChar w:fldCharType="end"/>
      </w:r>
      <w:r w:rsidRPr="00CF459A">
        <w:rPr>
          <w:rFonts w:asciiTheme="majorBidi" w:eastAsia="Times New Roman" w:hAnsiTheme="majorBidi" w:cstheme="majorBidi"/>
          <w:sz w:val="24"/>
          <w:szCs w:val="24"/>
        </w:rPr>
        <w:t>.</w:t>
      </w:r>
    </w:p>
    <w:p w14:paraId="093FF4DF" w14:textId="77777777" w:rsidR="00E15A3F" w:rsidRDefault="00E15A3F" w:rsidP="004F5945">
      <w:pPr>
        <w:spacing w:after="0" w:line="360" w:lineRule="auto"/>
        <w:ind w:right="-188"/>
        <w:jc w:val="both"/>
        <w:rPr>
          <w:rFonts w:asciiTheme="majorBidi" w:hAnsiTheme="majorBidi" w:cstheme="majorBidi"/>
          <w:b/>
          <w:sz w:val="24"/>
          <w:szCs w:val="24"/>
        </w:rPr>
      </w:pPr>
    </w:p>
    <w:p w14:paraId="4292DC00" w14:textId="5ED4153F" w:rsidR="00660541" w:rsidRPr="00CF459A" w:rsidRDefault="00660541" w:rsidP="004F5945">
      <w:pPr>
        <w:spacing w:after="0" w:line="360" w:lineRule="auto"/>
        <w:ind w:right="-188"/>
        <w:jc w:val="both"/>
        <w:rPr>
          <w:rFonts w:asciiTheme="majorBidi" w:hAnsiTheme="majorBidi" w:cstheme="majorBidi"/>
          <w:b/>
          <w:sz w:val="24"/>
          <w:szCs w:val="24"/>
          <w:lang w:val="de-DE"/>
        </w:rPr>
      </w:pPr>
      <w:r w:rsidRPr="008550D5">
        <w:rPr>
          <w:rFonts w:asciiTheme="majorBidi" w:hAnsiTheme="majorBidi" w:cstheme="majorBidi"/>
          <w:b/>
          <w:sz w:val="24"/>
          <w:szCs w:val="24"/>
        </w:rPr>
        <w:t xml:space="preserve">CONCLUSIONS </w:t>
      </w:r>
    </w:p>
    <w:p w14:paraId="23F43918" w14:textId="77777777" w:rsidR="00240669" w:rsidRPr="00240669" w:rsidRDefault="00240669" w:rsidP="00240669">
      <w:pPr>
        <w:spacing w:after="0" w:line="360" w:lineRule="auto"/>
        <w:ind w:right="-188" w:firstLine="709"/>
        <w:jc w:val="both"/>
        <w:rPr>
          <w:rFonts w:asciiTheme="majorBidi" w:hAnsiTheme="majorBidi" w:cstheme="majorBidi"/>
          <w:bCs/>
          <w:sz w:val="24"/>
          <w:szCs w:val="24"/>
          <w:lang w:val="id"/>
        </w:rPr>
      </w:pPr>
      <w:r w:rsidRPr="00240669">
        <w:rPr>
          <w:rFonts w:asciiTheme="majorBidi" w:hAnsiTheme="majorBidi" w:cstheme="majorBidi"/>
          <w:sz w:val="24"/>
          <w:szCs w:val="24"/>
        </w:rPr>
        <w:t>From the results of the study, the majority of elderly aged 60-69 years experienced vitamin D deficiency and insufficiency, although D3 supplementation did not have a significant effect on changes in muscle mass and fat. However, supplementation affects muscle mass, weakening and slowing its decline, but does not affect arm muscle mass. In light of this, further suggestions include the need for further research that considers other muscle strength measurements and physical activity monitoring. In addition, vitamin D3 administration should be done with caution, given that meta-analyses show potential risks in the elderly, and should be combined with resistance training or other supplements for optimal results.</w:t>
      </w:r>
    </w:p>
    <w:p w14:paraId="726EE0F6" w14:textId="6B3F1EA4" w:rsidR="00D63DEF" w:rsidRPr="008550D5" w:rsidRDefault="00240669" w:rsidP="00240669">
      <w:pPr>
        <w:spacing w:after="0" w:line="360" w:lineRule="auto"/>
        <w:ind w:right="-188" w:firstLine="709"/>
        <w:jc w:val="both"/>
        <w:rPr>
          <w:rFonts w:asciiTheme="majorBidi" w:hAnsiTheme="majorBidi" w:cstheme="majorBidi"/>
          <w:bCs/>
          <w:sz w:val="24"/>
          <w:szCs w:val="24"/>
          <w:lang w:val="ms"/>
        </w:rPr>
      </w:pPr>
      <w:r w:rsidRPr="00CF459A">
        <w:rPr>
          <w:rFonts w:asciiTheme="majorBidi" w:hAnsiTheme="majorBidi" w:cstheme="majorBidi"/>
          <w:sz w:val="24"/>
          <w:szCs w:val="24"/>
        </w:rPr>
        <w:t>This study has some uniqueness compared to existing studies related to vitamin D supplementation in the elderly and its effect on muscle mass and strength. First, the results of this study can specifically describe changes in muscle mass and function in the elderly with vitamin D deficiency or insufficiency, before and after administration of vitamin D monotherapy.  without any other intervention. The study did not measure leg muscle strength or function. Therefore, neither the association between increased muscle mass and muscle strength in the study population, nor the effect of vitamin D supplementation on leg muscle strength and its implications for fall risk, could not be examined in this study.</w:t>
      </w:r>
    </w:p>
    <w:p w14:paraId="0B2420EE" w14:textId="77777777" w:rsidR="00A05A29" w:rsidRPr="00CF459A" w:rsidRDefault="00A05A29" w:rsidP="004F5945">
      <w:pPr>
        <w:spacing w:after="0" w:line="360" w:lineRule="auto"/>
        <w:ind w:right="-188" w:firstLine="425"/>
        <w:jc w:val="both"/>
        <w:rPr>
          <w:rFonts w:asciiTheme="majorBidi" w:hAnsiTheme="majorBidi" w:cstheme="majorBidi"/>
          <w:color w:val="000000"/>
          <w:sz w:val="24"/>
          <w:szCs w:val="24"/>
          <w:lang w:val="id"/>
        </w:rPr>
      </w:pPr>
    </w:p>
    <w:p w14:paraId="22B93F4C" w14:textId="77777777" w:rsidR="00660541" w:rsidRPr="00CF459A" w:rsidRDefault="00660541" w:rsidP="004F5945">
      <w:pPr>
        <w:spacing w:after="0" w:line="360" w:lineRule="auto"/>
        <w:ind w:right="-188"/>
        <w:jc w:val="both"/>
        <w:rPr>
          <w:rFonts w:asciiTheme="majorBidi" w:hAnsiTheme="majorBidi" w:cstheme="majorBidi"/>
          <w:b/>
          <w:sz w:val="24"/>
          <w:szCs w:val="24"/>
          <w:lang w:val="id"/>
        </w:rPr>
      </w:pPr>
      <w:r w:rsidRPr="00CF459A">
        <w:rPr>
          <w:rFonts w:asciiTheme="majorBidi" w:hAnsiTheme="majorBidi" w:cstheme="majorBidi"/>
          <w:b/>
          <w:sz w:val="24"/>
          <w:szCs w:val="24"/>
        </w:rPr>
        <w:t>REFERENCE</w:t>
      </w:r>
    </w:p>
    <w:p w14:paraId="71A1A784" w14:textId="3E04EAAF" w:rsidR="00240669" w:rsidRPr="00240669" w:rsidRDefault="00240669" w:rsidP="00240669">
      <w:pPr>
        <w:widowControl w:val="0"/>
        <w:autoSpaceDE w:val="0"/>
        <w:autoSpaceDN w:val="0"/>
        <w:adjustRightInd w:val="0"/>
        <w:spacing w:after="0" w:line="360" w:lineRule="auto"/>
        <w:ind w:left="567" w:hanging="567"/>
        <w:jc w:val="both"/>
        <w:rPr>
          <w:rFonts w:ascii="Times New Roman" w:hAnsi="Times New Roman"/>
          <w:noProof/>
          <w:sz w:val="24"/>
          <w:szCs w:val="24"/>
        </w:rPr>
      </w:pPr>
      <w:r>
        <w:rPr>
          <w:rFonts w:asciiTheme="majorBidi" w:hAnsiTheme="majorBidi" w:cstheme="majorBidi"/>
          <w:sz w:val="24"/>
          <w:szCs w:val="24"/>
        </w:rPr>
        <w:fldChar w:fldCharType="begin" w:fldLock="1"/>
      </w:r>
      <w:r>
        <w:rPr>
          <w:rFonts w:asciiTheme="majorBidi" w:hAnsiTheme="majorBidi" w:cstheme="majorBidi"/>
          <w:sz w:val="24"/>
          <w:szCs w:val="24"/>
        </w:rPr>
        <w:instrText xml:space="preserve">ADDIN Mendeley Bibliography CSL_BIBLIOGRAPHY </w:instrText>
      </w:r>
      <w:r>
        <w:rPr>
          <w:rFonts w:asciiTheme="majorBidi" w:hAnsiTheme="majorBidi" w:cstheme="majorBidi"/>
          <w:sz w:val="24"/>
          <w:szCs w:val="24"/>
        </w:rPr>
        <w:fldChar w:fldCharType="separate"/>
      </w:r>
      <w:r w:rsidRPr="00240669">
        <w:rPr>
          <w:rFonts w:ascii="Times New Roman" w:hAnsi="Times New Roman"/>
          <w:noProof/>
          <w:sz w:val="24"/>
          <w:szCs w:val="24"/>
        </w:rPr>
        <w:t xml:space="preserve">The body of the Statistical Center. (2020). </w:t>
      </w:r>
      <w:r w:rsidRPr="00240669">
        <w:rPr>
          <w:rFonts w:ascii="Times New Roman" w:hAnsi="Times New Roman"/>
          <w:i/>
          <w:iCs/>
          <w:noProof/>
          <w:sz w:val="24"/>
          <w:szCs w:val="24"/>
        </w:rPr>
        <w:t>Elderly Population Statistics</w:t>
      </w:r>
      <w:r w:rsidRPr="00240669">
        <w:rPr>
          <w:rFonts w:ascii="Times New Roman" w:hAnsi="Times New Roman"/>
          <w:noProof/>
          <w:sz w:val="24"/>
          <w:szCs w:val="24"/>
        </w:rPr>
        <w:t>.</w:t>
      </w:r>
    </w:p>
    <w:p w14:paraId="61A45495" w14:textId="77777777" w:rsidR="00240669" w:rsidRPr="00240669" w:rsidRDefault="00240669" w:rsidP="00240669">
      <w:pPr>
        <w:widowControl w:val="0"/>
        <w:autoSpaceDE w:val="0"/>
        <w:autoSpaceDN w:val="0"/>
        <w:adjustRightInd w:val="0"/>
        <w:spacing w:after="0" w:line="360" w:lineRule="auto"/>
        <w:ind w:left="567" w:hanging="567"/>
        <w:jc w:val="both"/>
        <w:rPr>
          <w:rFonts w:ascii="Times New Roman" w:hAnsi="Times New Roman"/>
          <w:noProof/>
          <w:sz w:val="24"/>
          <w:szCs w:val="24"/>
        </w:rPr>
      </w:pPr>
      <w:r w:rsidRPr="00240669">
        <w:rPr>
          <w:rFonts w:ascii="Times New Roman" w:hAnsi="Times New Roman"/>
          <w:noProof/>
          <w:sz w:val="24"/>
          <w:szCs w:val="24"/>
        </w:rPr>
        <w:t xml:space="preserve">Bauer, J. M., Verlaan, S., Bautmans, I., Brandt, K., Donini, L. M., Maggio, M., McMurdo, M. E. T., Mets, T., Seal, C., Wijers, S. L., Ceda, G. P., De Vito, G., Donders, G., Drey, M., Greig, C., Holmbäck, U., Narici, M., McPhee, J., Poggiogalle, E., … Cederholm, T. (2015). Effects of a Vitamin D and Leucine-Enriched Whey Protein Nutritional Supplement on Measures of Sarcopenia in Older Adults, the PROVIDE Study: A Randomized, Double-Blind, Placebo-Controlled Trial. </w:t>
      </w:r>
      <w:r w:rsidRPr="00240669">
        <w:rPr>
          <w:rFonts w:ascii="Times New Roman" w:hAnsi="Times New Roman"/>
          <w:i/>
          <w:iCs/>
          <w:noProof/>
          <w:sz w:val="24"/>
          <w:szCs w:val="24"/>
        </w:rPr>
        <w:t>Journal of the American Medical Directors Association</w:t>
      </w:r>
      <w:r w:rsidRPr="00240669">
        <w:rPr>
          <w:rFonts w:ascii="Times New Roman" w:hAnsi="Times New Roman"/>
          <w:noProof/>
          <w:sz w:val="24"/>
          <w:szCs w:val="24"/>
        </w:rPr>
        <w:t xml:space="preserve">, </w:t>
      </w:r>
      <w:r w:rsidRPr="00240669">
        <w:rPr>
          <w:rFonts w:ascii="Times New Roman" w:hAnsi="Times New Roman"/>
          <w:i/>
          <w:iCs/>
          <w:noProof/>
          <w:sz w:val="24"/>
          <w:szCs w:val="24"/>
        </w:rPr>
        <w:t>16</w:t>
      </w:r>
      <w:r w:rsidRPr="00240669">
        <w:rPr>
          <w:rFonts w:ascii="Times New Roman" w:hAnsi="Times New Roman"/>
          <w:noProof/>
          <w:sz w:val="24"/>
          <w:szCs w:val="24"/>
        </w:rPr>
        <w:t>(9), 740–747. https://doi.org/10.1016/j.jamda.2015.05.021</w:t>
      </w:r>
    </w:p>
    <w:p w14:paraId="784DCC0A" w14:textId="77777777" w:rsidR="00240669" w:rsidRPr="00240669" w:rsidRDefault="00240669" w:rsidP="00240669">
      <w:pPr>
        <w:widowControl w:val="0"/>
        <w:autoSpaceDE w:val="0"/>
        <w:autoSpaceDN w:val="0"/>
        <w:adjustRightInd w:val="0"/>
        <w:spacing w:after="0" w:line="360" w:lineRule="auto"/>
        <w:ind w:left="567" w:hanging="567"/>
        <w:jc w:val="both"/>
        <w:rPr>
          <w:rFonts w:ascii="Times New Roman" w:hAnsi="Times New Roman"/>
          <w:noProof/>
          <w:sz w:val="24"/>
          <w:szCs w:val="24"/>
        </w:rPr>
      </w:pPr>
      <w:r w:rsidRPr="00240669">
        <w:rPr>
          <w:rFonts w:ascii="Times New Roman" w:hAnsi="Times New Roman"/>
          <w:noProof/>
          <w:sz w:val="24"/>
          <w:szCs w:val="24"/>
        </w:rPr>
        <w:t xml:space="preserve">Biben, V., Defi, I. R., Nugraha, G. I., &amp; Setiabudia, B. (2017). Vitamin D Status and its Impact on Body Composition in Elderly Community-dwelling Individuals in Bandung and </w:t>
      </w:r>
      <w:r w:rsidRPr="00240669">
        <w:rPr>
          <w:rFonts w:ascii="Times New Roman" w:hAnsi="Times New Roman"/>
          <w:noProof/>
          <w:sz w:val="24"/>
          <w:szCs w:val="24"/>
        </w:rPr>
        <w:lastRenderedPageBreak/>
        <w:t xml:space="preserve">Sumedang, West Java Province, Indonesia. </w:t>
      </w:r>
      <w:r w:rsidRPr="00240669">
        <w:rPr>
          <w:rFonts w:ascii="Times New Roman" w:hAnsi="Times New Roman"/>
          <w:i/>
          <w:iCs/>
          <w:noProof/>
          <w:sz w:val="24"/>
          <w:szCs w:val="24"/>
        </w:rPr>
        <w:t>Asian Journal of Epidemiology</w:t>
      </w:r>
      <w:r w:rsidRPr="00240669">
        <w:rPr>
          <w:rFonts w:ascii="Times New Roman" w:hAnsi="Times New Roman"/>
          <w:noProof/>
          <w:sz w:val="24"/>
          <w:szCs w:val="24"/>
        </w:rPr>
        <w:t xml:space="preserve">, </w:t>
      </w:r>
      <w:r w:rsidRPr="00240669">
        <w:rPr>
          <w:rFonts w:ascii="Times New Roman" w:hAnsi="Times New Roman"/>
          <w:i/>
          <w:iCs/>
          <w:noProof/>
          <w:sz w:val="24"/>
          <w:szCs w:val="24"/>
        </w:rPr>
        <w:t>10</w:t>
      </w:r>
      <w:r w:rsidRPr="00240669">
        <w:rPr>
          <w:rFonts w:ascii="Times New Roman" w:hAnsi="Times New Roman"/>
          <w:noProof/>
          <w:sz w:val="24"/>
          <w:szCs w:val="24"/>
        </w:rPr>
        <w:t>(2), 63–69. https://doi.org/10.3923/aje.2017.63.69</w:t>
      </w:r>
    </w:p>
    <w:p w14:paraId="5B999BC2" w14:textId="77777777" w:rsidR="00240669" w:rsidRPr="00240669" w:rsidRDefault="00240669" w:rsidP="00240669">
      <w:pPr>
        <w:widowControl w:val="0"/>
        <w:autoSpaceDE w:val="0"/>
        <w:autoSpaceDN w:val="0"/>
        <w:adjustRightInd w:val="0"/>
        <w:spacing w:after="0" w:line="360" w:lineRule="auto"/>
        <w:ind w:left="567" w:hanging="567"/>
        <w:jc w:val="both"/>
        <w:rPr>
          <w:rFonts w:ascii="Times New Roman" w:hAnsi="Times New Roman"/>
          <w:noProof/>
          <w:sz w:val="24"/>
          <w:szCs w:val="24"/>
        </w:rPr>
      </w:pPr>
      <w:r w:rsidRPr="00240669">
        <w:rPr>
          <w:rFonts w:ascii="Times New Roman" w:hAnsi="Times New Roman"/>
          <w:noProof/>
          <w:sz w:val="24"/>
          <w:szCs w:val="24"/>
        </w:rPr>
        <w:t xml:space="preserve">Bislev, L. S., Grove‐Laugesen, D., &amp; Rejnmark, L. (2021). Vitamin D and Muscle Health: A Systematic Review and Meta‐analysis of Randomized Placebo‐Controlled Trials. </w:t>
      </w:r>
      <w:r w:rsidRPr="00240669">
        <w:rPr>
          <w:rFonts w:ascii="Times New Roman" w:hAnsi="Times New Roman"/>
          <w:i/>
          <w:iCs/>
          <w:noProof/>
          <w:sz w:val="24"/>
          <w:szCs w:val="24"/>
        </w:rPr>
        <w:t>Journal of Bone and Mineral Research</w:t>
      </w:r>
      <w:r w:rsidRPr="00240669">
        <w:rPr>
          <w:rFonts w:ascii="Times New Roman" w:hAnsi="Times New Roman"/>
          <w:noProof/>
          <w:sz w:val="24"/>
          <w:szCs w:val="24"/>
        </w:rPr>
        <w:t xml:space="preserve">, </w:t>
      </w:r>
      <w:r w:rsidRPr="00240669">
        <w:rPr>
          <w:rFonts w:ascii="Times New Roman" w:hAnsi="Times New Roman"/>
          <w:i/>
          <w:iCs/>
          <w:noProof/>
          <w:sz w:val="24"/>
          <w:szCs w:val="24"/>
        </w:rPr>
        <w:t>36</w:t>
      </w:r>
      <w:r w:rsidRPr="00240669">
        <w:rPr>
          <w:rFonts w:ascii="Times New Roman" w:hAnsi="Times New Roman"/>
          <w:noProof/>
          <w:sz w:val="24"/>
          <w:szCs w:val="24"/>
        </w:rPr>
        <w:t>(9), 1651–1660. https://doi.org/10.1002/jbmr.4412</w:t>
      </w:r>
    </w:p>
    <w:p w14:paraId="2EF952B2" w14:textId="77777777" w:rsidR="00240669" w:rsidRPr="00240669" w:rsidRDefault="00240669" w:rsidP="00240669">
      <w:pPr>
        <w:widowControl w:val="0"/>
        <w:autoSpaceDE w:val="0"/>
        <w:autoSpaceDN w:val="0"/>
        <w:adjustRightInd w:val="0"/>
        <w:spacing w:after="0" w:line="360" w:lineRule="auto"/>
        <w:ind w:left="567" w:hanging="567"/>
        <w:jc w:val="both"/>
        <w:rPr>
          <w:rFonts w:ascii="Times New Roman" w:hAnsi="Times New Roman"/>
          <w:noProof/>
          <w:sz w:val="24"/>
          <w:szCs w:val="24"/>
        </w:rPr>
      </w:pPr>
      <w:r w:rsidRPr="00240669">
        <w:rPr>
          <w:rFonts w:ascii="Times New Roman" w:hAnsi="Times New Roman"/>
          <w:noProof/>
          <w:sz w:val="24"/>
          <w:szCs w:val="24"/>
        </w:rPr>
        <w:t xml:space="preserve">Bo, Y., Liu, C., Ji, Z., Yang, R., An, Q., Zhang, X., You, J., Duan, D., Sun, Y., Zhu, Y., Cui, H., &amp; Lu, Q. (2019). A high whey protein, vitamin D and E supplement preserves muscle mass, strength, and quality of life in sarcopenic older adults: A double-blind randomized controlled trial. </w:t>
      </w:r>
      <w:r w:rsidRPr="00240669">
        <w:rPr>
          <w:rFonts w:ascii="Times New Roman" w:hAnsi="Times New Roman"/>
          <w:i/>
          <w:iCs/>
          <w:noProof/>
          <w:sz w:val="24"/>
          <w:szCs w:val="24"/>
        </w:rPr>
        <w:t>Clinical Nutrition</w:t>
      </w:r>
      <w:r w:rsidRPr="00240669">
        <w:rPr>
          <w:rFonts w:ascii="Times New Roman" w:hAnsi="Times New Roman"/>
          <w:noProof/>
          <w:sz w:val="24"/>
          <w:szCs w:val="24"/>
        </w:rPr>
        <w:t xml:space="preserve">, </w:t>
      </w:r>
      <w:r w:rsidRPr="00240669">
        <w:rPr>
          <w:rFonts w:ascii="Times New Roman" w:hAnsi="Times New Roman"/>
          <w:i/>
          <w:iCs/>
          <w:noProof/>
          <w:sz w:val="24"/>
          <w:szCs w:val="24"/>
        </w:rPr>
        <w:t>38</w:t>
      </w:r>
      <w:r w:rsidRPr="00240669">
        <w:rPr>
          <w:rFonts w:ascii="Times New Roman" w:hAnsi="Times New Roman"/>
          <w:noProof/>
          <w:sz w:val="24"/>
          <w:szCs w:val="24"/>
        </w:rPr>
        <w:t>(1), 159–164. https://doi.org/10.1016/j.clnu.2017.12.020</w:t>
      </w:r>
    </w:p>
    <w:p w14:paraId="2DE63BC0" w14:textId="77777777" w:rsidR="00240669" w:rsidRPr="00240669" w:rsidRDefault="00240669" w:rsidP="00240669">
      <w:pPr>
        <w:widowControl w:val="0"/>
        <w:autoSpaceDE w:val="0"/>
        <w:autoSpaceDN w:val="0"/>
        <w:adjustRightInd w:val="0"/>
        <w:spacing w:after="0" w:line="360" w:lineRule="auto"/>
        <w:ind w:left="567" w:hanging="567"/>
        <w:jc w:val="both"/>
        <w:rPr>
          <w:rFonts w:ascii="Times New Roman" w:hAnsi="Times New Roman"/>
          <w:noProof/>
          <w:sz w:val="24"/>
          <w:szCs w:val="24"/>
        </w:rPr>
      </w:pPr>
      <w:r w:rsidRPr="00240669">
        <w:rPr>
          <w:rFonts w:ascii="Times New Roman" w:hAnsi="Times New Roman"/>
          <w:noProof/>
          <w:sz w:val="24"/>
          <w:szCs w:val="24"/>
        </w:rPr>
        <w:t xml:space="preserve">Ceglia, L., Niramitmahapanya, S., da Silva Morais, M., Rivas, D. A., Harris, S. S., Bischoff-Ferrari, H., Fielding, R. A., &amp; Dawson-Hughes, B. (2013). A Randomized Study on the Effect of Vitamin D 3 Supplementation on Skeletal Muscle Morphology and Vitamin D Receptor Concentration in Older Women. </w:t>
      </w:r>
      <w:r w:rsidRPr="00240669">
        <w:rPr>
          <w:rFonts w:ascii="Times New Roman" w:hAnsi="Times New Roman"/>
          <w:i/>
          <w:iCs/>
          <w:noProof/>
          <w:sz w:val="24"/>
          <w:szCs w:val="24"/>
        </w:rPr>
        <w:t>The Journal of Clinical Endocrinology &amp; Metabolism</w:t>
      </w:r>
      <w:r w:rsidRPr="00240669">
        <w:rPr>
          <w:rFonts w:ascii="Times New Roman" w:hAnsi="Times New Roman"/>
          <w:noProof/>
          <w:sz w:val="24"/>
          <w:szCs w:val="24"/>
        </w:rPr>
        <w:t xml:space="preserve">, </w:t>
      </w:r>
      <w:r w:rsidRPr="00240669">
        <w:rPr>
          <w:rFonts w:ascii="Times New Roman" w:hAnsi="Times New Roman"/>
          <w:i/>
          <w:iCs/>
          <w:noProof/>
          <w:sz w:val="24"/>
          <w:szCs w:val="24"/>
        </w:rPr>
        <w:t>98</w:t>
      </w:r>
      <w:r w:rsidRPr="00240669">
        <w:rPr>
          <w:rFonts w:ascii="Times New Roman" w:hAnsi="Times New Roman"/>
          <w:noProof/>
          <w:sz w:val="24"/>
          <w:szCs w:val="24"/>
        </w:rPr>
        <w:t>(12), E1927–E1935. https://doi.org/10.1210/jc.2013-2820</w:t>
      </w:r>
    </w:p>
    <w:p w14:paraId="748EFA5B" w14:textId="77777777" w:rsidR="00240669" w:rsidRPr="00240669" w:rsidRDefault="00240669" w:rsidP="00240669">
      <w:pPr>
        <w:widowControl w:val="0"/>
        <w:autoSpaceDE w:val="0"/>
        <w:autoSpaceDN w:val="0"/>
        <w:adjustRightInd w:val="0"/>
        <w:spacing w:after="0" w:line="360" w:lineRule="auto"/>
        <w:ind w:left="567" w:hanging="567"/>
        <w:jc w:val="both"/>
        <w:rPr>
          <w:rFonts w:ascii="Times New Roman" w:hAnsi="Times New Roman"/>
          <w:noProof/>
          <w:sz w:val="24"/>
          <w:szCs w:val="24"/>
        </w:rPr>
      </w:pPr>
      <w:r w:rsidRPr="00240669">
        <w:rPr>
          <w:rFonts w:ascii="Times New Roman" w:hAnsi="Times New Roman"/>
          <w:noProof/>
          <w:sz w:val="24"/>
          <w:szCs w:val="24"/>
        </w:rPr>
        <w:t xml:space="preserve">Chandler, P. D., Wang, L., Zhang, X., Sesso, H. D., Moorthy, M. V., Obi, O., Lewis, J., Prince, R. L., Danik, J. S., Manson, J. E., LeBoff, M. S., &amp; Song, Y. (2015). Effect of vitamin D supplementation alone or with calcium on adiposity measures: a systematic review and meta-analysis of randomized controlled trials. </w:t>
      </w:r>
      <w:r w:rsidRPr="00240669">
        <w:rPr>
          <w:rFonts w:ascii="Times New Roman" w:hAnsi="Times New Roman"/>
          <w:i/>
          <w:iCs/>
          <w:noProof/>
          <w:sz w:val="24"/>
          <w:szCs w:val="24"/>
        </w:rPr>
        <w:t>Nutrition Reviews</w:t>
      </w:r>
      <w:r w:rsidRPr="00240669">
        <w:rPr>
          <w:rFonts w:ascii="Times New Roman" w:hAnsi="Times New Roman"/>
          <w:noProof/>
          <w:sz w:val="24"/>
          <w:szCs w:val="24"/>
        </w:rPr>
        <w:t xml:space="preserve">, </w:t>
      </w:r>
      <w:r w:rsidRPr="00240669">
        <w:rPr>
          <w:rFonts w:ascii="Times New Roman" w:hAnsi="Times New Roman"/>
          <w:i/>
          <w:iCs/>
          <w:noProof/>
          <w:sz w:val="24"/>
          <w:szCs w:val="24"/>
        </w:rPr>
        <w:t>73</w:t>
      </w:r>
      <w:r w:rsidRPr="00240669">
        <w:rPr>
          <w:rFonts w:ascii="Times New Roman" w:hAnsi="Times New Roman"/>
          <w:noProof/>
          <w:sz w:val="24"/>
          <w:szCs w:val="24"/>
        </w:rPr>
        <w:t>(9), 577–593. https://doi.org/10.1093/nutrit/nuv012</w:t>
      </w:r>
    </w:p>
    <w:p w14:paraId="2C276B72" w14:textId="77777777" w:rsidR="00240669" w:rsidRPr="00240669" w:rsidRDefault="00240669" w:rsidP="00240669">
      <w:pPr>
        <w:widowControl w:val="0"/>
        <w:autoSpaceDE w:val="0"/>
        <w:autoSpaceDN w:val="0"/>
        <w:adjustRightInd w:val="0"/>
        <w:spacing w:after="0" w:line="360" w:lineRule="auto"/>
        <w:ind w:left="567" w:hanging="567"/>
        <w:jc w:val="both"/>
        <w:rPr>
          <w:rFonts w:ascii="Times New Roman" w:hAnsi="Times New Roman"/>
          <w:noProof/>
          <w:sz w:val="24"/>
          <w:szCs w:val="24"/>
        </w:rPr>
      </w:pPr>
      <w:r w:rsidRPr="00240669">
        <w:rPr>
          <w:rFonts w:ascii="Times New Roman" w:hAnsi="Times New Roman"/>
          <w:noProof/>
          <w:sz w:val="24"/>
          <w:szCs w:val="24"/>
        </w:rPr>
        <w:t xml:space="preserve">Chang, M. C., &amp; Choo, Y. J. (2023). Effects of Whey Protein, Leucine, and Vitamin D Supplementation in Patients with Sarcopenia: A Systematic Review and Meta-Analysis. </w:t>
      </w:r>
      <w:r w:rsidRPr="00240669">
        <w:rPr>
          <w:rFonts w:ascii="Times New Roman" w:hAnsi="Times New Roman"/>
          <w:i/>
          <w:iCs/>
          <w:noProof/>
          <w:sz w:val="24"/>
          <w:szCs w:val="24"/>
        </w:rPr>
        <w:t>Nutrients</w:t>
      </w:r>
      <w:r w:rsidRPr="00240669">
        <w:rPr>
          <w:rFonts w:ascii="Times New Roman" w:hAnsi="Times New Roman"/>
          <w:noProof/>
          <w:sz w:val="24"/>
          <w:szCs w:val="24"/>
        </w:rPr>
        <w:t xml:space="preserve">, </w:t>
      </w:r>
      <w:r w:rsidRPr="00240669">
        <w:rPr>
          <w:rFonts w:ascii="Times New Roman" w:hAnsi="Times New Roman"/>
          <w:i/>
          <w:iCs/>
          <w:noProof/>
          <w:sz w:val="24"/>
          <w:szCs w:val="24"/>
        </w:rPr>
        <w:t>15</w:t>
      </w:r>
      <w:r w:rsidRPr="00240669">
        <w:rPr>
          <w:rFonts w:ascii="Times New Roman" w:hAnsi="Times New Roman"/>
          <w:noProof/>
          <w:sz w:val="24"/>
          <w:szCs w:val="24"/>
        </w:rPr>
        <w:t>(3), 521. https://doi.org/10.3390/nu15030521</w:t>
      </w:r>
    </w:p>
    <w:p w14:paraId="7F51CDF3" w14:textId="77777777" w:rsidR="00240669" w:rsidRPr="00240669" w:rsidRDefault="00240669" w:rsidP="00240669">
      <w:pPr>
        <w:widowControl w:val="0"/>
        <w:autoSpaceDE w:val="0"/>
        <w:autoSpaceDN w:val="0"/>
        <w:adjustRightInd w:val="0"/>
        <w:spacing w:after="0" w:line="360" w:lineRule="auto"/>
        <w:ind w:left="567" w:hanging="567"/>
        <w:jc w:val="both"/>
        <w:rPr>
          <w:rFonts w:ascii="Times New Roman" w:hAnsi="Times New Roman"/>
          <w:noProof/>
          <w:sz w:val="24"/>
          <w:szCs w:val="24"/>
        </w:rPr>
      </w:pPr>
      <w:r w:rsidRPr="00240669">
        <w:rPr>
          <w:rFonts w:ascii="Times New Roman" w:hAnsi="Times New Roman"/>
          <w:noProof/>
          <w:sz w:val="24"/>
          <w:szCs w:val="24"/>
        </w:rPr>
        <w:t xml:space="preserve">Chou, S. H., Murata, E. M., Yu, C., Danik, J., Kotler, G., Cook, N. R., Bubes, V., Mora, S., Chandler, P. D., Tobias, D. K., Copeland, T., Buring, J. E., Manson, J. E., &amp; LeBoff, M. S. (2021). Effects of Vitamin D3 Supplementation on Body Composition in the VITamin D and OmegA-3 TriaL (VITAL). </w:t>
      </w:r>
      <w:r w:rsidRPr="00240669">
        <w:rPr>
          <w:rFonts w:ascii="Times New Roman" w:hAnsi="Times New Roman"/>
          <w:i/>
          <w:iCs/>
          <w:noProof/>
          <w:sz w:val="24"/>
          <w:szCs w:val="24"/>
        </w:rPr>
        <w:t>The Journal of Clinical Endocrinology &amp; Metabolism</w:t>
      </w:r>
      <w:r w:rsidRPr="00240669">
        <w:rPr>
          <w:rFonts w:ascii="Times New Roman" w:hAnsi="Times New Roman"/>
          <w:noProof/>
          <w:sz w:val="24"/>
          <w:szCs w:val="24"/>
        </w:rPr>
        <w:t xml:space="preserve">, </w:t>
      </w:r>
      <w:r w:rsidRPr="00240669">
        <w:rPr>
          <w:rFonts w:ascii="Times New Roman" w:hAnsi="Times New Roman"/>
          <w:i/>
          <w:iCs/>
          <w:noProof/>
          <w:sz w:val="24"/>
          <w:szCs w:val="24"/>
        </w:rPr>
        <w:t>106</w:t>
      </w:r>
      <w:r w:rsidRPr="00240669">
        <w:rPr>
          <w:rFonts w:ascii="Times New Roman" w:hAnsi="Times New Roman"/>
          <w:noProof/>
          <w:sz w:val="24"/>
          <w:szCs w:val="24"/>
        </w:rPr>
        <w:t>(5), 1377–1388. https://doi.org/10.1210/clinem/dgaa981</w:t>
      </w:r>
    </w:p>
    <w:p w14:paraId="0056E5CF" w14:textId="77777777" w:rsidR="00240669" w:rsidRPr="00240669" w:rsidRDefault="00240669" w:rsidP="00240669">
      <w:pPr>
        <w:widowControl w:val="0"/>
        <w:autoSpaceDE w:val="0"/>
        <w:autoSpaceDN w:val="0"/>
        <w:adjustRightInd w:val="0"/>
        <w:spacing w:after="0" w:line="360" w:lineRule="auto"/>
        <w:ind w:left="567" w:hanging="567"/>
        <w:jc w:val="both"/>
        <w:rPr>
          <w:rFonts w:ascii="Times New Roman" w:hAnsi="Times New Roman"/>
          <w:noProof/>
          <w:sz w:val="24"/>
          <w:szCs w:val="24"/>
        </w:rPr>
      </w:pPr>
      <w:r w:rsidRPr="00240669">
        <w:rPr>
          <w:rFonts w:ascii="Times New Roman" w:hAnsi="Times New Roman"/>
          <w:noProof/>
          <w:sz w:val="24"/>
          <w:szCs w:val="24"/>
        </w:rPr>
        <w:t xml:space="preserve">Cochet, C., Belloni, G., Buondonno, I., Chiara, F., &amp; D’Amelio, P. (2023). The Role of Nutrition in the Treatment of Sarcopenia in Old Patients: From Restoration of Mitochondrial Activity to Improvement of Muscle Performance, a Systematic Review. </w:t>
      </w:r>
      <w:r w:rsidRPr="00240669">
        <w:rPr>
          <w:rFonts w:ascii="Times New Roman" w:hAnsi="Times New Roman"/>
          <w:i/>
          <w:iCs/>
          <w:noProof/>
          <w:sz w:val="24"/>
          <w:szCs w:val="24"/>
        </w:rPr>
        <w:t>Nutrients</w:t>
      </w:r>
      <w:r w:rsidRPr="00240669">
        <w:rPr>
          <w:rFonts w:ascii="Times New Roman" w:hAnsi="Times New Roman"/>
          <w:noProof/>
          <w:sz w:val="24"/>
          <w:szCs w:val="24"/>
        </w:rPr>
        <w:t xml:space="preserve">, </w:t>
      </w:r>
      <w:r w:rsidRPr="00240669">
        <w:rPr>
          <w:rFonts w:ascii="Times New Roman" w:hAnsi="Times New Roman"/>
          <w:i/>
          <w:iCs/>
          <w:noProof/>
          <w:sz w:val="24"/>
          <w:szCs w:val="24"/>
        </w:rPr>
        <w:t>15</w:t>
      </w:r>
      <w:r w:rsidRPr="00240669">
        <w:rPr>
          <w:rFonts w:ascii="Times New Roman" w:hAnsi="Times New Roman"/>
          <w:noProof/>
          <w:sz w:val="24"/>
          <w:szCs w:val="24"/>
        </w:rPr>
        <w:t>(17), 3703. https://doi.org/10.3390/nu15173703</w:t>
      </w:r>
    </w:p>
    <w:p w14:paraId="20BAD380" w14:textId="77777777" w:rsidR="00240669" w:rsidRPr="00240669" w:rsidRDefault="00240669" w:rsidP="00240669">
      <w:pPr>
        <w:widowControl w:val="0"/>
        <w:autoSpaceDE w:val="0"/>
        <w:autoSpaceDN w:val="0"/>
        <w:adjustRightInd w:val="0"/>
        <w:spacing w:after="0" w:line="360" w:lineRule="auto"/>
        <w:ind w:left="567" w:hanging="567"/>
        <w:jc w:val="both"/>
        <w:rPr>
          <w:rFonts w:ascii="Times New Roman" w:hAnsi="Times New Roman"/>
          <w:noProof/>
          <w:sz w:val="24"/>
          <w:szCs w:val="24"/>
        </w:rPr>
      </w:pPr>
      <w:r w:rsidRPr="00240669">
        <w:rPr>
          <w:rFonts w:ascii="Times New Roman" w:hAnsi="Times New Roman"/>
          <w:noProof/>
          <w:sz w:val="24"/>
          <w:szCs w:val="24"/>
        </w:rPr>
        <w:t xml:space="preserve">Dzik, K. P., &amp; Kaczor, J. J. (2019). Mechanisms of vitamin D on skeletal muscle function: </w:t>
      </w:r>
      <w:r w:rsidRPr="00240669">
        <w:rPr>
          <w:rFonts w:ascii="Times New Roman" w:hAnsi="Times New Roman"/>
          <w:noProof/>
          <w:sz w:val="24"/>
          <w:szCs w:val="24"/>
        </w:rPr>
        <w:lastRenderedPageBreak/>
        <w:t xml:space="preserve">oxidative stress, energy metabolism and anabolic state. </w:t>
      </w:r>
      <w:r w:rsidRPr="00240669">
        <w:rPr>
          <w:rFonts w:ascii="Times New Roman" w:hAnsi="Times New Roman"/>
          <w:i/>
          <w:iCs/>
          <w:noProof/>
          <w:sz w:val="24"/>
          <w:szCs w:val="24"/>
        </w:rPr>
        <w:t>European Journal of Applied Physiology</w:t>
      </w:r>
      <w:r w:rsidRPr="00240669">
        <w:rPr>
          <w:rFonts w:ascii="Times New Roman" w:hAnsi="Times New Roman"/>
          <w:noProof/>
          <w:sz w:val="24"/>
          <w:szCs w:val="24"/>
        </w:rPr>
        <w:t xml:space="preserve">, </w:t>
      </w:r>
      <w:r w:rsidRPr="00240669">
        <w:rPr>
          <w:rFonts w:ascii="Times New Roman" w:hAnsi="Times New Roman"/>
          <w:i/>
          <w:iCs/>
          <w:noProof/>
          <w:sz w:val="24"/>
          <w:szCs w:val="24"/>
        </w:rPr>
        <w:t>119</w:t>
      </w:r>
      <w:r w:rsidRPr="00240669">
        <w:rPr>
          <w:rFonts w:ascii="Times New Roman" w:hAnsi="Times New Roman"/>
          <w:noProof/>
          <w:sz w:val="24"/>
          <w:szCs w:val="24"/>
        </w:rPr>
        <w:t>(4), 825–839. https://doi.org/10.1007/s00421-019-04104-x</w:t>
      </w:r>
    </w:p>
    <w:p w14:paraId="3A5089CD" w14:textId="77777777" w:rsidR="00240669" w:rsidRPr="00240669" w:rsidRDefault="00240669" w:rsidP="00240669">
      <w:pPr>
        <w:widowControl w:val="0"/>
        <w:autoSpaceDE w:val="0"/>
        <w:autoSpaceDN w:val="0"/>
        <w:adjustRightInd w:val="0"/>
        <w:spacing w:after="0" w:line="360" w:lineRule="auto"/>
        <w:ind w:left="567" w:hanging="567"/>
        <w:jc w:val="both"/>
        <w:rPr>
          <w:rFonts w:ascii="Times New Roman" w:hAnsi="Times New Roman"/>
          <w:noProof/>
          <w:sz w:val="24"/>
          <w:szCs w:val="24"/>
        </w:rPr>
      </w:pPr>
      <w:r w:rsidRPr="00240669">
        <w:rPr>
          <w:rFonts w:ascii="Times New Roman" w:hAnsi="Times New Roman"/>
          <w:noProof/>
          <w:sz w:val="24"/>
          <w:szCs w:val="24"/>
        </w:rPr>
        <w:t xml:space="preserve">El Hajj, C., Fares, S., Chardigny, J. M., Boirie, Y., &amp; Walrand, S. (2019). Vitamin D supplementation and muscle strength in pre-sarcopenic elderly Lebanese people: a randomized controlled trial. </w:t>
      </w:r>
      <w:r w:rsidRPr="00240669">
        <w:rPr>
          <w:rFonts w:ascii="Times New Roman" w:hAnsi="Times New Roman"/>
          <w:i/>
          <w:iCs/>
          <w:noProof/>
          <w:sz w:val="24"/>
          <w:szCs w:val="24"/>
        </w:rPr>
        <w:t>Archives of Osteoporosis</w:t>
      </w:r>
      <w:r w:rsidRPr="00240669">
        <w:rPr>
          <w:rFonts w:ascii="Times New Roman" w:hAnsi="Times New Roman"/>
          <w:noProof/>
          <w:sz w:val="24"/>
          <w:szCs w:val="24"/>
        </w:rPr>
        <w:t xml:space="preserve">, </w:t>
      </w:r>
      <w:r w:rsidRPr="00240669">
        <w:rPr>
          <w:rFonts w:ascii="Times New Roman" w:hAnsi="Times New Roman"/>
          <w:i/>
          <w:iCs/>
          <w:noProof/>
          <w:sz w:val="24"/>
          <w:szCs w:val="24"/>
        </w:rPr>
        <w:t>14</w:t>
      </w:r>
      <w:r w:rsidRPr="00240669">
        <w:rPr>
          <w:rFonts w:ascii="Times New Roman" w:hAnsi="Times New Roman"/>
          <w:noProof/>
          <w:sz w:val="24"/>
          <w:szCs w:val="24"/>
        </w:rPr>
        <w:t>(1). https://doi.org/10.1007/s11657-018-0553-2</w:t>
      </w:r>
    </w:p>
    <w:p w14:paraId="3EC35D75" w14:textId="77777777" w:rsidR="00240669" w:rsidRPr="00240669" w:rsidRDefault="00240669" w:rsidP="00240669">
      <w:pPr>
        <w:widowControl w:val="0"/>
        <w:autoSpaceDE w:val="0"/>
        <w:autoSpaceDN w:val="0"/>
        <w:adjustRightInd w:val="0"/>
        <w:spacing w:after="0" w:line="360" w:lineRule="auto"/>
        <w:ind w:left="567" w:hanging="567"/>
        <w:jc w:val="both"/>
        <w:rPr>
          <w:rFonts w:ascii="Times New Roman" w:hAnsi="Times New Roman"/>
          <w:noProof/>
          <w:sz w:val="24"/>
          <w:szCs w:val="24"/>
        </w:rPr>
      </w:pPr>
      <w:r w:rsidRPr="00240669">
        <w:rPr>
          <w:rFonts w:ascii="Times New Roman" w:hAnsi="Times New Roman"/>
          <w:noProof/>
          <w:sz w:val="24"/>
          <w:szCs w:val="24"/>
        </w:rPr>
        <w:t xml:space="preserve">Fernando, R., Drescher, C., Nowotny, K., Grune, T., &amp; Castro, J. P. (2019). Impaired proteostasis during skeletal muscle aging. </w:t>
      </w:r>
      <w:r w:rsidRPr="00240669">
        <w:rPr>
          <w:rFonts w:ascii="Times New Roman" w:hAnsi="Times New Roman"/>
          <w:i/>
          <w:iCs/>
          <w:noProof/>
          <w:sz w:val="24"/>
          <w:szCs w:val="24"/>
        </w:rPr>
        <w:t>Free Radical Biology and Medicine</w:t>
      </w:r>
      <w:r w:rsidRPr="00240669">
        <w:rPr>
          <w:rFonts w:ascii="Times New Roman" w:hAnsi="Times New Roman"/>
          <w:noProof/>
          <w:sz w:val="24"/>
          <w:szCs w:val="24"/>
        </w:rPr>
        <w:t xml:space="preserve">, </w:t>
      </w:r>
      <w:r w:rsidRPr="00240669">
        <w:rPr>
          <w:rFonts w:ascii="Times New Roman" w:hAnsi="Times New Roman"/>
          <w:i/>
          <w:iCs/>
          <w:noProof/>
          <w:sz w:val="24"/>
          <w:szCs w:val="24"/>
        </w:rPr>
        <w:t>132</w:t>
      </w:r>
      <w:r w:rsidRPr="00240669">
        <w:rPr>
          <w:rFonts w:ascii="Times New Roman" w:hAnsi="Times New Roman"/>
          <w:noProof/>
          <w:sz w:val="24"/>
          <w:szCs w:val="24"/>
        </w:rPr>
        <w:t>, 58–66. https://doi.org/10.1016/j.freeradbiomed.2018.08.037</w:t>
      </w:r>
    </w:p>
    <w:p w14:paraId="67E51F21" w14:textId="77777777" w:rsidR="00240669" w:rsidRPr="00240669" w:rsidRDefault="00240669" w:rsidP="00240669">
      <w:pPr>
        <w:widowControl w:val="0"/>
        <w:autoSpaceDE w:val="0"/>
        <w:autoSpaceDN w:val="0"/>
        <w:adjustRightInd w:val="0"/>
        <w:spacing w:after="0" w:line="360" w:lineRule="auto"/>
        <w:ind w:left="567" w:hanging="567"/>
        <w:jc w:val="both"/>
        <w:rPr>
          <w:rFonts w:ascii="Times New Roman" w:hAnsi="Times New Roman"/>
          <w:noProof/>
          <w:sz w:val="24"/>
          <w:szCs w:val="24"/>
        </w:rPr>
      </w:pPr>
      <w:r w:rsidRPr="00240669">
        <w:rPr>
          <w:rFonts w:ascii="Times New Roman" w:hAnsi="Times New Roman"/>
          <w:noProof/>
          <w:sz w:val="24"/>
          <w:szCs w:val="24"/>
        </w:rPr>
        <w:t xml:space="preserve">Golzarand, M., Hollis, B. W., Mirmiran, P., Wagner, C. L., &amp; Shab-Bidar, S. (2018). Vitamin D supplementation and body fat mass: a systematic review and meta-analysis. </w:t>
      </w:r>
      <w:r w:rsidRPr="00240669">
        <w:rPr>
          <w:rFonts w:ascii="Times New Roman" w:hAnsi="Times New Roman"/>
          <w:i/>
          <w:iCs/>
          <w:noProof/>
          <w:sz w:val="24"/>
          <w:szCs w:val="24"/>
        </w:rPr>
        <w:t>European Journal of Clinical Nutrition</w:t>
      </w:r>
      <w:r w:rsidRPr="00240669">
        <w:rPr>
          <w:rFonts w:ascii="Times New Roman" w:hAnsi="Times New Roman"/>
          <w:noProof/>
          <w:sz w:val="24"/>
          <w:szCs w:val="24"/>
        </w:rPr>
        <w:t xml:space="preserve">, </w:t>
      </w:r>
      <w:r w:rsidRPr="00240669">
        <w:rPr>
          <w:rFonts w:ascii="Times New Roman" w:hAnsi="Times New Roman"/>
          <w:i/>
          <w:iCs/>
          <w:noProof/>
          <w:sz w:val="24"/>
          <w:szCs w:val="24"/>
        </w:rPr>
        <w:t>72</w:t>
      </w:r>
      <w:r w:rsidRPr="00240669">
        <w:rPr>
          <w:rFonts w:ascii="Times New Roman" w:hAnsi="Times New Roman"/>
          <w:noProof/>
          <w:sz w:val="24"/>
          <w:szCs w:val="24"/>
        </w:rPr>
        <w:t>(10), 1345–1357. https://doi.org/10.1038/s41430-018-0132-z</w:t>
      </w:r>
    </w:p>
    <w:p w14:paraId="5BE815B8" w14:textId="77777777" w:rsidR="00240669" w:rsidRPr="00240669" w:rsidRDefault="00240669" w:rsidP="00240669">
      <w:pPr>
        <w:widowControl w:val="0"/>
        <w:autoSpaceDE w:val="0"/>
        <w:autoSpaceDN w:val="0"/>
        <w:adjustRightInd w:val="0"/>
        <w:spacing w:after="0" w:line="360" w:lineRule="auto"/>
        <w:ind w:left="567" w:hanging="567"/>
        <w:jc w:val="both"/>
        <w:rPr>
          <w:rFonts w:ascii="Times New Roman" w:hAnsi="Times New Roman"/>
          <w:noProof/>
          <w:sz w:val="24"/>
          <w:szCs w:val="24"/>
        </w:rPr>
      </w:pPr>
      <w:r w:rsidRPr="00240669">
        <w:rPr>
          <w:rFonts w:ascii="Times New Roman" w:hAnsi="Times New Roman"/>
          <w:noProof/>
          <w:sz w:val="24"/>
          <w:szCs w:val="24"/>
        </w:rPr>
        <w:t xml:space="preserve">Hermawan, D., &amp;; Andoko. (2018). Analysis of Vitamin D Levels in Blood in the Elderly in Lampung and Factors Influencing It. </w:t>
      </w:r>
      <w:r w:rsidRPr="00240669">
        <w:rPr>
          <w:rFonts w:ascii="Times New Roman" w:hAnsi="Times New Roman"/>
          <w:i/>
          <w:iCs/>
          <w:noProof/>
          <w:sz w:val="24"/>
          <w:szCs w:val="24"/>
        </w:rPr>
        <w:t>Journal of Nursing Imagery</w:t>
      </w:r>
      <w:r w:rsidRPr="00240669">
        <w:rPr>
          <w:rFonts w:ascii="Times New Roman" w:hAnsi="Times New Roman"/>
          <w:noProof/>
          <w:sz w:val="24"/>
          <w:szCs w:val="24"/>
        </w:rPr>
        <w:t xml:space="preserve">, </w:t>
      </w:r>
      <w:r w:rsidRPr="00240669">
        <w:rPr>
          <w:rFonts w:ascii="Times New Roman" w:hAnsi="Times New Roman"/>
          <w:i/>
          <w:iCs/>
          <w:noProof/>
          <w:sz w:val="24"/>
          <w:szCs w:val="24"/>
        </w:rPr>
        <w:t>6</w:t>
      </w:r>
      <w:r w:rsidRPr="00240669">
        <w:rPr>
          <w:rFonts w:ascii="Times New Roman" w:hAnsi="Times New Roman"/>
          <w:noProof/>
          <w:sz w:val="24"/>
          <w:szCs w:val="24"/>
        </w:rPr>
        <w:t>(2).</w:t>
      </w:r>
    </w:p>
    <w:p w14:paraId="719620C9" w14:textId="77777777" w:rsidR="00240669" w:rsidRPr="00240669" w:rsidRDefault="00240669" w:rsidP="00240669">
      <w:pPr>
        <w:widowControl w:val="0"/>
        <w:autoSpaceDE w:val="0"/>
        <w:autoSpaceDN w:val="0"/>
        <w:adjustRightInd w:val="0"/>
        <w:spacing w:after="0" w:line="360" w:lineRule="auto"/>
        <w:ind w:left="567" w:hanging="567"/>
        <w:jc w:val="both"/>
        <w:rPr>
          <w:rFonts w:ascii="Times New Roman" w:hAnsi="Times New Roman"/>
          <w:noProof/>
          <w:sz w:val="24"/>
          <w:szCs w:val="24"/>
        </w:rPr>
      </w:pPr>
      <w:r w:rsidRPr="00240669">
        <w:rPr>
          <w:rFonts w:ascii="Times New Roman" w:hAnsi="Times New Roman"/>
          <w:noProof/>
          <w:sz w:val="24"/>
          <w:szCs w:val="24"/>
        </w:rPr>
        <w:t xml:space="preserve">Irawati, D., Ekawanti, A., &amp; Josafat, A. (2020). Nutritional profile in Indonesian elderly subpopulation. </w:t>
      </w:r>
      <w:r w:rsidRPr="00240669">
        <w:rPr>
          <w:rFonts w:ascii="Times New Roman" w:hAnsi="Times New Roman"/>
          <w:i/>
          <w:iCs/>
          <w:noProof/>
          <w:sz w:val="24"/>
          <w:szCs w:val="24"/>
        </w:rPr>
        <w:t>Jurnal Kedokteran Dan Kesehatan Indonesia</w:t>
      </w:r>
      <w:r w:rsidRPr="00240669">
        <w:rPr>
          <w:rFonts w:ascii="Times New Roman" w:hAnsi="Times New Roman"/>
          <w:noProof/>
          <w:sz w:val="24"/>
          <w:szCs w:val="24"/>
        </w:rPr>
        <w:t xml:space="preserve">, </w:t>
      </w:r>
      <w:r w:rsidRPr="00240669">
        <w:rPr>
          <w:rFonts w:ascii="Times New Roman" w:hAnsi="Times New Roman"/>
          <w:i/>
          <w:iCs/>
          <w:noProof/>
          <w:sz w:val="24"/>
          <w:szCs w:val="24"/>
        </w:rPr>
        <w:t>11</w:t>
      </w:r>
      <w:r w:rsidRPr="00240669">
        <w:rPr>
          <w:rFonts w:ascii="Times New Roman" w:hAnsi="Times New Roman"/>
          <w:noProof/>
          <w:sz w:val="24"/>
          <w:szCs w:val="24"/>
        </w:rPr>
        <w:t>(2), 121–129. https://doi.org/10.20885/JKKI.Vol11.Iss2.art4</w:t>
      </w:r>
    </w:p>
    <w:p w14:paraId="2774C345" w14:textId="77777777" w:rsidR="00240669" w:rsidRPr="00240669" w:rsidRDefault="00240669" w:rsidP="00240669">
      <w:pPr>
        <w:widowControl w:val="0"/>
        <w:autoSpaceDE w:val="0"/>
        <w:autoSpaceDN w:val="0"/>
        <w:adjustRightInd w:val="0"/>
        <w:spacing w:after="0" w:line="360" w:lineRule="auto"/>
        <w:ind w:left="567" w:hanging="567"/>
        <w:jc w:val="both"/>
        <w:rPr>
          <w:rFonts w:ascii="Times New Roman" w:hAnsi="Times New Roman"/>
          <w:noProof/>
          <w:sz w:val="24"/>
          <w:szCs w:val="24"/>
        </w:rPr>
      </w:pPr>
      <w:r w:rsidRPr="00240669">
        <w:rPr>
          <w:rFonts w:ascii="Times New Roman" w:hAnsi="Times New Roman"/>
          <w:noProof/>
          <w:sz w:val="24"/>
          <w:szCs w:val="24"/>
        </w:rPr>
        <w:t xml:space="preserve">Lin, C.-C., Shih, M.-H., Chen, C.-D., &amp; Yeh, S.-L. (2021). Effects of adequate dietary protein with whey protein, leucine, and vitamin D supplementation on sarcopenia in older adults: An open-label, parallel-group study. </w:t>
      </w:r>
      <w:r w:rsidRPr="00240669">
        <w:rPr>
          <w:rFonts w:ascii="Times New Roman" w:hAnsi="Times New Roman"/>
          <w:i/>
          <w:iCs/>
          <w:noProof/>
          <w:sz w:val="24"/>
          <w:szCs w:val="24"/>
        </w:rPr>
        <w:t>Clinical Nutrition</w:t>
      </w:r>
      <w:r w:rsidRPr="00240669">
        <w:rPr>
          <w:rFonts w:ascii="Times New Roman" w:hAnsi="Times New Roman"/>
          <w:noProof/>
          <w:sz w:val="24"/>
          <w:szCs w:val="24"/>
        </w:rPr>
        <w:t xml:space="preserve">, </w:t>
      </w:r>
      <w:r w:rsidRPr="00240669">
        <w:rPr>
          <w:rFonts w:ascii="Times New Roman" w:hAnsi="Times New Roman"/>
          <w:i/>
          <w:iCs/>
          <w:noProof/>
          <w:sz w:val="24"/>
          <w:szCs w:val="24"/>
        </w:rPr>
        <w:t>40</w:t>
      </w:r>
      <w:r w:rsidRPr="00240669">
        <w:rPr>
          <w:rFonts w:ascii="Times New Roman" w:hAnsi="Times New Roman"/>
          <w:noProof/>
          <w:sz w:val="24"/>
          <w:szCs w:val="24"/>
        </w:rPr>
        <w:t>(3), 1323–1329. https://doi.org/10.1016/j.clnu.2020.08.017</w:t>
      </w:r>
    </w:p>
    <w:p w14:paraId="4573F878" w14:textId="77777777" w:rsidR="00240669" w:rsidRPr="00240669" w:rsidRDefault="00240669" w:rsidP="00240669">
      <w:pPr>
        <w:widowControl w:val="0"/>
        <w:autoSpaceDE w:val="0"/>
        <w:autoSpaceDN w:val="0"/>
        <w:adjustRightInd w:val="0"/>
        <w:spacing w:after="0" w:line="360" w:lineRule="auto"/>
        <w:ind w:left="567" w:hanging="567"/>
        <w:jc w:val="both"/>
        <w:rPr>
          <w:rFonts w:ascii="Times New Roman" w:hAnsi="Times New Roman"/>
          <w:noProof/>
          <w:sz w:val="24"/>
          <w:szCs w:val="24"/>
        </w:rPr>
      </w:pPr>
      <w:r w:rsidRPr="00240669">
        <w:rPr>
          <w:rFonts w:ascii="Times New Roman" w:hAnsi="Times New Roman"/>
          <w:noProof/>
          <w:sz w:val="24"/>
          <w:szCs w:val="24"/>
        </w:rPr>
        <w:t xml:space="preserve">Oliai Araghi, S., van Dijk, S. C., Ham, A. C., Brouwer-Brolsma, E. M., Enneman, A. W., Sohl, E., Swart, K. M. A., van der Zwaluw, N. L., van Wijngaarden, J. P., Dhonukshe-Rutten, R. A. M., van Schoor, N. M., Zillikens, M. C., Lips, P., de Groot, L., Uitterlinden, A. G., &amp; van der Velde, N. (2015). BMI and body fat mass is inversely associated with vitamin D levels in older individuals. </w:t>
      </w:r>
      <w:r w:rsidRPr="00240669">
        <w:rPr>
          <w:rFonts w:ascii="Times New Roman" w:hAnsi="Times New Roman"/>
          <w:i/>
          <w:iCs/>
          <w:noProof/>
          <w:sz w:val="24"/>
          <w:szCs w:val="24"/>
        </w:rPr>
        <w:t>The Journal of Nutrition, Health &amp; Aging</w:t>
      </w:r>
      <w:r w:rsidRPr="00240669">
        <w:rPr>
          <w:rFonts w:ascii="Times New Roman" w:hAnsi="Times New Roman"/>
          <w:noProof/>
          <w:sz w:val="24"/>
          <w:szCs w:val="24"/>
        </w:rPr>
        <w:t xml:space="preserve">, </w:t>
      </w:r>
      <w:r w:rsidRPr="00240669">
        <w:rPr>
          <w:rFonts w:ascii="Times New Roman" w:hAnsi="Times New Roman"/>
          <w:i/>
          <w:iCs/>
          <w:noProof/>
          <w:sz w:val="24"/>
          <w:szCs w:val="24"/>
        </w:rPr>
        <w:t>19</w:t>
      </w:r>
      <w:r w:rsidRPr="00240669">
        <w:rPr>
          <w:rFonts w:ascii="Times New Roman" w:hAnsi="Times New Roman"/>
          <w:noProof/>
          <w:sz w:val="24"/>
          <w:szCs w:val="24"/>
        </w:rPr>
        <w:t>(10), 980–985. https://doi.org/10.1007/s12603-015-0657-y</w:t>
      </w:r>
    </w:p>
    <w:p w14:paraId="0D0FFB99" w14:textId="77777777" w:rsidR="00240669" w:rsidRPr="00240669" w:rsidRDefault="00240669" w:rsidP="00240669">
      <w:pPr>
        <w:widowControl w:val="0"/>
        <w:autoSpaceDE w:val="0"/>
        <w:autoSpaceDN w:val="0"/>
        <w:adjustRightInd w:val="0"/>
        <w:spacing w:after="0" w:line="360" w:lineRule="auto"/>
        <w:ind w:left="567" w:hanging="567"/>
        <w:jc w:val="both"/>
        <w:rPr>
          <w:rFonts w:ascii="Times New Roman" w:hAnsi="Times New Roman"/>
          <w:noProof/>
          <w:sz w:val="24"/>
          <w:szCs w:val="24"/>
        </w:rPr>
      </w:pPr>
      <w:r w:rsidRPr="00240669">
        <w:rPr>
          <w:rFonts w:ascii="Times New Roman" w:hAnsi="Times New Roman"/>
          <w:noProof/>
          <w:sz w:val="24"/>
          <w:szCs w:val="24"/>
        </w:rPr>
        <w:t xml:space="preserve">Pathak, K., Soares, M. J., Calton, E. K., Zhao, Y., &amp; Hallett, J. (2014). Vitamin D supplementation and body weight status: a systematic review and meta‐analysis of randomized controlled trials. </w:t>
      </w:r>
      <w:r w:rsidRPr="00240669">
        <w:rPr>
          <w:rFonts w:ascii="Times New Roman" w:hAnsi="Times New Roman"/>
          <w:i/>
          <w:iCs/>
          <w:noProof/>
          <w:sz w:val="24"/>
          <w:szCs w:val="24"/>
        </w:rPr>
        <w:t>Obesity Reviews</w:t>
      </w:r>
      <w:r w:rsidRPr="00240669">
        <w:rPr>
          <w:rFonts w:ascii="Times New Roman" w:hAnsi="Times New Roman"/>
          <w:noProof/>
          <w:sz w:val="24"/>
          <w:szCs w:val="24"/>
        </w:rPr>
        <w:t xml:space="preserve">, </w:t>
      </w:r>
      <w:r w:rsidRPr="00240669">
        <w:rPr>
          <w:rFonts w:ascii="Times New Roman" w:hAnsi="Times New Roman"/>
          <w:i/>
          <w:iCs/>
          <w:noProof/>
          <w:sz w:val="24"/>
          <w:szCs w:val="24"/>
        </w:rPr>
        <w:t>15</w:t>
      </w:r>
      <w:r w:rsidRPr="00240669">
        <w:rPr>
          <w:rFonts w:ascii="Times New Roman" w:hAnsi="Times New Roman"/>
          <w:noProof/>
          <w:sz w:val="24"/>
          <w:szCs w:val="24"/>
        </w:rPr>
        <w:t>(6), 528–537. https://doi.org/10.1111/obr.12162</w:t>
      </w:r>
    </w:p>
    <w:p w14:paraId="3933D48E" w14:textId="77777777" w:rsidR="00240669" w:rsidRPr="00240669" w:rsidRDefault="00240669" w:rsidP="00240669">
      <w:pPr>
        <w:widowControl w:val="0"/>
        <w:autoSpaceDE w:val="0"/>
        <w:autoSpaceDN w:val="0"/>
        <w:adjustRightInd w:val="0"/>
        <w:spacing w:after="0" w:line="360" w:lineRule="auto"/>
        <w:ind w:left="567" w:hanging="567"/>
        <w:jc w:val="both"/>
        <w:rPr>
          <w:rFonts w:ascii="Times New Roman" w:hAnsi="Times New Roman"/>
          <w:noProof/>
          <w:sz w:val="24"/>
          <w:szCs w:val="24"/>
        </w:rPr>
      </w:pPr>
      <w:r w:rsidRPr="00240669">
        <w:rPr>
          <w:rFonts w:ascii="Times New Roman" w:hAnsi="Times New Roman"/>
          <w:noProof/>
          <w:sz w:val="24"/>
          <w:szCs w:val="24"/>
        </w:rPr>
        <w:t xml:space="preserve">Pinkas, J., Bojar, I., Gujski, M., Bartosińska, J., Owoc, A., &amp; Raczkiewicz, D. (2017). Serum Lipid, Vitamin D Levels, and Obesity in Perimenopausal and Postmenopausal Women in </w:t>
      </w:r>
      <w:r w:rsidRPr="00240669">
        <w:rPr>
          <w:rFonts w:ascii="Times New Roman" w:hAnsi="Times New Roman"/>
          <w:noProof/>
          <w:sz w:val="24"/>
          <w:szCs w:val="24"/>
        </w:rPr>
        <w:lastRenderedPageBreak/>
        <w:t xml:space="preserve">Non-Manual Employment. </w:t>
      </w:r>
      <w:r w:rsidRPr="00240669">
        <w:rPr>
          <w:rFonts w:ascii="Times New Roman" w:hAnsi="Times New Roman"/>
          <w:i/>
          <w:iCs/>
          <w:noProof/>
          <w:sz w:val="24"/>
          <w:szCs w:val="24"/>
        </w:rPr>
        <w:t>Medical Science Monitor</w:t>
      </w:r>
      <w:r w:rsidRPr="00240669">
        <w:rPr>
          <w:rFonts w:ascii="Times New Roman" w:hAnsi="Times New Roman"/>
          <w:noProof/>
          <w:sz w:val="24"/>
          <w:szCs w:val="24"/>
        </w:rPr>
        <w:t xml:space="preserve">, </w:t>
      </w:r>
      <w:r w:rsidRPr="00240669">
        <w:rPr>
          <w:rFonts w:ascii="Times New Roman" w:hAnsi="Times New Roman"/>
          <w:i/>
          <w:iCs/>
          <w:noProof/>
          <w:sz w:val="24"/>
          <w:szCs w:val="24"/>
        </w:rPr>
        <w:t>23</w:t>
      </w:r>
      <w:r w:rsidRPr="00240669">
        <w:rPr>
          <w:rFonts w:ascii="Times New Roman" w:hAnsi="Times New Roman"/>
          <w:noProof/>
          <w:sz w:val="24"/>
          <w:szCs w:val="24"/>
        </w:rPr>
        <w:t>, 5018–5026. https://doi.org/10.12659/MSM.906895</w:t>
      </w:r>
    </w:p>
    <w:p w14:paraId="146E195D" w14:textId="77777777" w:rsidR="00240669" w:rsidRPr="00240669" w:rsidRDefault="00240669" w:rsidP="00240669">
      <w:pPr>
        <w:widowControl w:val="0"/>
        <w:autoSpaceDE w:val="0"/>
        <w:autoSpaceDN w:val="0"/>
        <w:adjustRightInd w:val="0"/>
        <w:spacing w:after="0" w:line="360" w:lineRule="auto"/>
        <w:ind w:left="567" w:hanging="567"/>
        <w:jc w:val="both"/>
        <w:rPr>
          <w:rFonts w:ascii="Times New Roman" w:hAnsi="Times New Roman"/>
          <w:noProof/>
          <w:sz w:val="24"/>
          <w:szCs w:val="24"/>
        </w:rPr>
      </w:pPr>
      <w:r w:rsidRPr="00240669">
        <w:rPr>
          <w:rFonts w:ascii="Times New Roman" w:hAnsi="Times New Roman"/>
          <w:noProof/>
          <w:sz w:val="24"/>
          <w:szCs w:val="24"/>
        </w:rPr>
        <w:t xml:space="preserve">Ponti, F., Santoro, A., Mercatelli, D., Gasperini, C., Conte, M., Martucci, M., Sangiorgi, L., Franceschi, C., &amp; Bazzocchi, A. (2020). Aging and Imaging Assessment of Body Composition: From Fat to Facts. </w:t>
      </w:r>
      <w:r w:rsidRPr="00240669">
        <w:rPr>
          <w:rFonts w:ascii="Times New Roman" w:hAnsi="Times New Roman"/>
          <w:i/>
          <w:iCs/>
          <w:noProof/>
          <w:sz w:val="24"/>
          <w:szCs w:val="24"/>
        </w:rPr>
        <w:t>Frontiers in Endocrinology</w:t>
      </w:r>
      <w:r w:rsidRPr="00240669">
        <w:rPr>
          <w:rFonts w:ascii="Times New Roman" w:hAnsi="Times New Roman"/>
          <w:noProof/>
          <w:sz w:val="24"/>
          <w:szCs w:val="24"/>
        </w:rPr>
        <w:t xml:space="preserve">, </w:t>
      </w:r>
      <w:r w:rsidRPr="00240669">
        <w:rPr>
          <w:rFonts w:ascii="Times New Roman" w:hAnsi="Times New Roman"/>
          <w:i/>
          <w:iCs/>
          <w:noProof/>
          <w:sz w:val="24"/>
          <w:szCs w:val="24"/>
        </w:rPr>
        <w:t>10</w:t>
      </w:r>
      <w:r w:rsidRPr="00240669">
        <w:rPr>
          <w:rFonts w:ascii="Times New Roman" w:hAnsi="Times New Roman"/>
          <w:noProof/>
          <w:sz w:val="24"/>
          <w:szCs w:val="24"/>
        </w:rPr>
        <w:t>. https://doi.org/10.3389/fendo.2019.00861</w:t>
      </w:r>
    </w:p>
    <w:p w14:paraId="5ECFCD17" w14:textId="77777777" w:rsidR="00240669" w:rsidRPr="00240669" w:rsidRDefault="00240669" w:rsidP="00240669">
      <w:pPr>
        <w:widowControl w:val="0"/>
        <w:autoSpaceDE w:val="0"/>
        <w:autoSpaceDN w:val="0"/>
        <w:adjustRightInd w:val="0"/>
        <w:spacing w:after="0" w:line="360" w:lineRule="auto"/>
        <w:ind w:left="567" w:hanging="567"/>
        <w:jc w:val="both"/>
        <w:rPr>
          <w:rFonts w:ascii="Times New Roman" w:hAnsi="Times New Roman"/>
          <w:noProof/>
          <w:sz w:val="24"/>
          <w:szCs w:val="24"/>
        </w:rPr>
      </w:pPr>
      <w:r w:rsidRPr="00240669">
        <w:rPr>
          <w:rFonts w:ascii="Times New Roman" w:hAnsi="Times New Roman"/>
          <w:noProof/>
          <w:sz w:val="24"/>
          <w:szCs w:val="24"/>
        </w:rPr>
        <w:t xml:space="preserve">Rezuş, E., Burlui, A., Cardoneanu, A., Rezuş, C., Codreanu, C., Pârvu, M., Rusu Zota, G., &amp; Tamba, B. I. (2020). Inactivity and Skeletal Muscle Metabolism: A Vicious Cycle in Old Age. </w:t>
      </w:r>
      <w:r w:rsidRPr="00240669">
        <w:rPr>
          <w:rFonts w:ascii="Times New Roman" w:hAnsi="Times New Roman"/>
          <w:i/>
          <w:iCs/>
          <w:noProof/>
          <w:sz w:val="24"/>
          <w:szCs w:val="24"/>
        </w:rPr>
        <w:t>International Journal of Molecular Sciences</w:t>
      </w:r>
      <w:r w:rsidRPr="00240669">
        <w:rPr>
          <w:rFonts w:ascii="Times New Roman" w:hAnsi="Times New Roman"/>
          <w:noProof/>
          <w:sz w:val="24"/>
          <w:szCs w:val="24"/>
        </w:rPr>
        <w:t xml:space="preserve">, </w:t>
      </w:r>
      <w:r w:rsidRPr="00240669">
        <w:rPr>
          <w:rFonts w:ascii="Times New Roman" w:hAnsi="Times New Roman"/>
          <w:i/>
          <w:iCs/>
          <w:noProof/>
          <w:sz w:val="24"/>
          <w:szCs w:val="24"/>
        </w:rPr>
        <w:t>21</w:t>
      </w:r>
      <w:r w:rsidRPr="00240669">
        <w:rPr>
          <w:rFonts w:ascii="Times New Roman" w:hAnsi="Times New Roman"/>
          <w:noProof/>
          <w:sz w:val="24"/>
          <w:szCs w:val="24"/>
        </w:rPr>
        <w:t>(2), 592. https://doi.org/10.3390/ijms21020592</w:t>
      </w:r>
    </w:p>
    <w:p w14:paraId="64FBD00F" w14:textId="77777777" w:rsidR="00240669" w:rsidRPr="00240669" w:rsidRDefault="00240669" w:rsidP="00240669">
      <w:pPr>
        <w:widowControl w:val="0"/>
        <w:autoSpaceDE w:val="0"/>
        <w:autoSpaceDN w:val="0"/>
        <w:adjustRightInd w:val="0"/>
        <w:spacing w:after="0" w:line="360" w:lineRule="auto"/>
        <w:ind w:left="567" w:hanging="567"/>
        <w:jc w:val="both"/>
        <w:rPr>
          <w:rFonts w:ascii="Times New Roman" w:hAnsi="Times New Roman"/>
          <w:noProof/>
          <w:sz w:val="24"/>
          <w:szCs w:val="24"/>
        </w:rPr>
      </w:pPr>
      <w:r w:rsidRPr="00240669">
        <w:rPr>
          <w:rFonts w:ascii="Times New Roman" w:hAnsi="Times New Roman"/>
          <w:noProof/>
          <w:sz w:val="24"/>
          <w:szCs w:val="24"/>
        </w:rPr>
        <w:t xml:space="preserve">Rondanelli, M., Klersy, C., Terracol, G., Talluri, J., Maugeri, R., Guido, D., Faliva, M. A., Solerte, B. S., Fioravanti, M., Lukaski, H., &amp; Perna, S. (2016). Whey protein, amino acids, and vitamin D supplementation with physical activity increases fat-free mass and strength, functionality, and quality of life and decreases inflammation in sarcopenic elderly. </w:t>
      </w:r>
      <w:r w:rsidRPr="00240669">
        <w:rPr>
          <w:rFonts w:ascii="Times New Roman" w:hAnsi="Times New Roman"/>
          <w:i/>
          <w:iCs/>
          <w:noProof/>
          <w:sz w:val="24"/>
          <w:szCs w:val="24"/>
        </w:rPr>
        <w:t>The American Journal of Clinical Nutrition</w:t>
      </w:r>
      <w:r w:rsidRPr="00240669">
        <w:rPr>
          <w:rFonts w:ascii="Times New Roman" w:hAnsi="Times New Roman"/>
          <w:noProof/>
          <w:sz w:val="24"/>
          <w:szCs w:val="24"/>
        </w:rPr>
        <w:t xml:space="preserve">, </w:t>
      </w:r>
      <w:r w:rsidRPr="00240669">
        <w:rPr>
          <w:rFonts w:ascii="Times New Roman" w:hAnsi="Times New Roman"/>
          <w:i/>
          <w:iCs/>
          <w:noProof/>
          <w:sz w:val="24"/>
          <w:szCs w:val="24"/>
        </w:rPr>
        <w:t>103</w:t>
      </w:r>
      <w:r w:rsidRPr="00240669">
        <w:rPr>
          <w:rFonts w:ascii="Times New Roman" w:hAnsi="Times New Roman"/>
          <w:noProof/>
          <w:sz w:val="24"/>
          <w:szCs w:val="24"/>
        </w:rPr>
        <w:t>(3), 830–840. https://doi.org/10.3945/ajcn.115.113357</w:t>
      </w:r>
    </w:p>
    <w:p w14:paraId="2B69AE16" w14:textId="77777777" w:rsidR="00240669" w:rsidRPr="00240669" w:rsidRDefault="00240669" w:rsidP="00240669">
      <w:pPr>
        <w:widowControl w:val="0"/>
        <w:autoSpaceDE w:val="0"/>
        <w:autoSpaceDN w:val="0"/>
        <w:adjustRightInd w:val="0"/>
        <w:spacing w:after="0" w:line="360" w:lineRule="auto"/>
        <w:ind w:left="567" w:hanging="567"/>
        <w:jc w:val="both"/>
        <w:rPr>
          <w:rFonts w:ascii="Times New Roman" w:hAnsi="Times New Roman"/>
          <w:noProof/>
          <w:sz w:val="24"/>
          <w:szCs w:val="24"/>
        </w:rPr>
      </w:pPr>
      <w:r w:rsidRPr="00240669">
        <w:rPr>
          <w:rFonts w:ascii="Times New Roman" w:hAnsi="Times New Roman"/>
          <w:noProof/>
          <w:sz w:val="24"/>
          <w:szCs w:val="24"/>
        </w:rPr>
        <w:t xml:space="preserve">Salles, J., Chanet, A., Guillet, C., Vaes, A. M., Brouwer-Brolsma, E. M., Rocher, C., Giraudet, C., Patrac, V., Meugnier, E., Montaurier, C., Denis, P., Le Bacquer, O., Blot, A., Jourdan, M., Luiking, Y., Furber, M., Van Dijk, M., Tardif, N., Yves Boirie, Y., &amp; Walrand, S. (2022). Vitamin D status modulates mitochondrial oxidative capacities in skeletal muscle: role in sarcopenia. </w:t>
      </w:r>
      <w:r w:rsidRPr="00240669">
        <w:rPr>
          <w:rFonts w:ascii="Times New Roman" w:hAnsi="Times New Roman"/>
          <w:i/>
          <w:iCs/>
          <w:noProof/>
          <w:sz w:val="24"/>
          <w:szCs w:val="24"/>
        </w:rPr>
        <w:t>Communications Biology</w:t>
      </w:r>
      <w:r w:rsidRPr="00240669">
        <w:rPr>
          <w:rFonts w:ascii="Times New Roman" w:hAnsi="Times New Roman"/>
          <w:noProof/>
          <w:sz w:val="24"/>
          <w:szCs w:val="24"/>
        </w:rPr>
        <w:t xml:space="preserve">, </w:t>
      </w:r>
      <w:r w:rsidRPr="00240669">
        <w:rPr>
          <w:rFonts w:ascii="Times New Roman" w:hAnsi="Times New Roman"/>
          <w:i/>
          <w:iCs/>
          <w:noProof/>
          <w:sz w:val="24"/>
          <w:szCs w:val="24"/>
        </w:rPr>
        <w:t>5</w:t>
      </w:r>
      <w:r w:rsidRPr="00240669">
        <w:rPr>
          <w:rFonts w:ascii="Times New Roman" w:hAnsi="Times New Roman"/>
          <w:noProof/>
          <w:sz w:val="24"/>
          <w:szCs w:val="24"/>
        </w:rPr>
        <w:t>(1), 1288. https://doi.org/10.1038/s42003-022-04246-3</w:t>
      </w:r>
    </w:p>
    <w:p w14:paraId="10484548" w14:textId="77777777" w:rsidR="00240669" w:rsidRPr="00240669" w:rsidRDefault="00240669" w:rsidP="00240669">
      <w:pPr>
        <w:widowControl w:val="0"/>
        <w:autoSpaceDE w:val="0"/>
        <w:autoSpaceDN w:val="0"/>
        <w:adjustRightInd w:val="0"/>
        <w:spacing w:after="0" w:line="360" w:lineRule="auto"/>
        <w:ind w:left="567" w:hanging="567"/>
        <w:jc w:val="both"/>
        <w:rPr>
          <w:rFonts w:ascii="Times New Roman" w:hAnsi="Times New Roman"/>
          <w:noProof/>
          <w:sz w:val="24"/>
          <w:szCs w:val="24"/>
        </w:rPr>
      </w:pPr>
      <w:r w:rsidRPr="00240669">
        <w:rPr>
          <w:rFonts w:ascii="Times New Roman" w:hAnsi="Times New Roman"/>
          <w:noProof/>
          <w:sz w:val="24"/>
          <w:szCs w:val="24"/>
        </w:rPr>
        <w:t xml:space="preserve">Setiati, S., Laksmi, P. W., Aryana, I. G. P. S., Sunarti, S., Widajanti, N., Dwipa, L., Seto, E., Istanti, R., Ardian, L. J., &amp; Chotimah, S. C. (2019). Frailty state among Indonesian elderly: prevalence, associated factors, and frailty state transition. </w:t>
      </w:r>
      <w:r w:rsidRPr="00240669">
        <w:rPr>
          <w:rFonts w:ascii="Times New Roman" w:hAnsi="Times New Roman"/>
          <w:i/>
          <w:iCs/>
          <w:noProof/>
          <w:sz w:val="24"/>
          <w:szCs w:val="24"/>
        </w:rPr>
        <w:t>BMC Geriatrics</w:t>
      </w:r>
      <w:r w:rsidRPr="00240669">
        <w:rPr>
          <w:rFonts w:ascii="Times New Roman" w:hAnsi="Times New Roman"/>
          <w:noProof/>
          <w:sz w:val="24"/>
          <w:szCs w:val="24"/>
        </w:rPr>
        <w:t xml:space="preserve">, </w:t>
      </w:r>
      <w:r w:rsidRPr="00240669">
        <w:rPr>
          <w:rFonts w:ascii="Times New Roman" w:hAnsi="Times New Roman"/>
          <w:i/>
          <w:iCs/>
          <w:noProof/>
          <w:sz w:val="24"/>
          <w:szCs w:val="24"/>
        </w:rPr>
        <w:t>19</w:t>
      </w:r>
      <w:r w:rsidRPr="00240669">
        <w:rPr>
          <w:rFonts w:ascii="Times New Roman" w:hAnsi="Times New Roman"/>
          <w:noProof/>
          <w:sz w:val="24"/>
          <w:szCs w:val="24"/>
        </w:rPr>
        <w:t>(1), 1–10. https://doi.org/10.1186/s12877-019-1198-8</w:t>
      </w:r>
    </w:p>
    <w:p w14:paraId="3F9692FA" w14:textId="77777777" w:rsidR="00240669" w:rsidRPr="00240669" w:rsidRDefault="00240669" w:rsidP="00240669">
      <w:pPr>
        <w:widowControl w:val="0"/>
        <w:autoSpaceDE w:val="0"/>
        <w:autoSpaceDN w:val="0"/>
        <w:adjustRightInd w:val="0"/>
        <w:spacing w:after="0" w:line="360" w:lineRule="auto"/>
        <w:ind w:left="567" w:hanging="567"/>
        <w:jc w:val="both"/>
        <w:rPr>
          <w:rFonts w:ascii="Times New Roman" w:hAnsi="Times New Roman"/>
          <w:noProof/>
          <w:sz w:val="24"/>
          <w:szCs w:val="24"/>
        </w:rPr>
      </w:pPr>
      <w:r w:rsidRPr="00240669">
        <w:rPr>
          <w:rFonts w:ascii="Times New Roman" w:hAnsi="Times New Roman"/>
          <w:noProof/>
          <w:sz w:val="24"/>
          <w:szCs w:val="24"/>
        </w:rPr>
        <w:t xml:space="preserve">Sun, D. S., Lee, H., Yim, H. W., Won, H. S., &amp; Ko, Y. H. (2019). The impact of sarcopenia on health-related quality of life in elderly people: Korean National Health and Nutrition Examination Survey. </w:t>
      </w:r>
      <w:r w:rsidRPr="00240669">
        <w:rPr>
          <w:rFonts w:ascii="Times New Roman" w:hAnsi="Times New Roman"/>
          <w:i/>
          <w:iCs/>
          <w:noProof/>
          <w:sz w:val="24"/>
          <w:szCs w:val="24"/>
        </w:rPr>
        <w:t>The Korean Journal of Internal Medicine</w:t>
      </w:r>
      <w:r w:rsidRPr="00240669">
        <w:rPr>
          <w:rFonts w:ascii="Times New Roman" w:hAnsi="Times New Roman"/>
          <w:noProof/>
          <w:sz w:val="24"/>
          <w:szCs w:val="24"/>
        </w:rPr>
        <w:t xml:space="preserve">, </w:t>
      </w:r>
      <w:r w:rsidRPr="00240669">
        <w:rPr>
          <w:rFonts w:ascii="Times New Roman" w:hAnsi="Times New Roman"/>
          <w:i/>
          <w:iCs/>
          <w:noProof/>
          <w:sz w:val="24"/>
          <w:szCs w:val="24"/>
        </w:rPr>
        <w:t>34</w:t>
      </w:r>
      <w:r w:rsidRPr="00240669">
        <w:rPr>
          <w:rFonts w:ascii="Times New Roman" w:hAnsi="Times New Roman"/>
          <w:noProof/>
          <w:sz w:val="24"/>
          <w:szCs w:val="24"/>
        </w:rPr>
        <w:t>(4), 877–884. https://doi.org/10.3904/kjim.2017.182</w:t>
      </w:r>
    </w:p>
    <w:p w14:paraId="0E916707" w14:textId="77777777" w:rsidR="00240669" w:rsidRPr="00240669" w:rsidRDefault="00240669" w:rsidP="00240669">
      <w:pPr>
        <w:widowControl w:val="0"/>
        <w:autoSpaceDE w:val="0"/>
        <w:autoSpaceDN w:val="0"/>
        <w:adjustRightInd w:val="0"/>
        <w:spacing w:after="0" w:line="360" w:lineRule="auto"/>
        <w:ind w:left="567" w:hanging="567"/>
        <w:jc w:val="both"/>
        <w:rPr>
          <w:rFonts w:ascii="Times New Roman" w:hAnsi="Times New Roman"/>
          <w:noProof/>
          <w:sz w:val="24"/>
          <w:szCs w:val="24"/>
        </w:rPr>
      </w:pPr>
      <w:r w:rsidRPr="00240669">
        <w:rPr>
          <w:rFonts w:ascii="Times New Roman" w:hAnsi="Times New Roman"/>
          <w:noProof/>
          <w:sz w:val="24"/>
          <w:szCs w:val="24"/>
        </w:rPr>
        <w:t xml:space="preserve">Suryadinata, R. V., &amp;; Lorensia, A. (2020). Frequency of Food Intake, Vitamin D Knowledge and Obesity in the Elderly Group. </w:t>
      </w:r>
      <w:r w:rsidRPr="00240669">
        <w:rPr>
          <w:rFonts w:ascii="Times New Roman" w:hAnsi="Times New Roman"/>
          <w:i/>
          <w:iCs/>
          <w:noProof/>
          <w:sz w:val="24"/>
          <w:szCs w:val="24"/>
        </w:rPr>
        <w:t>Amerta Nutrition</w:t>
      </w:r>
      <w:r w:rsidRPr="00240669">
        <w:rPr>
          <w:rFonts w:ascii="Times New Roman" w:hAnsi="Times New Roman"/>
          <w:noProof/>
          <w:sz w:val="24"/>
          <w:szCs w:val="24"/>
        </w:rPr>
        <w:t xml:space="preserve">, </w:t>
      </w:r>
      <w:r w:rsidRPr="00240669">
        <w:rPr>
          <w:rFonts w:ascii="Times New Roman" w:hAnsi="Times New Roman"/>
          <w:i/>
          <w:iCs/>
          <w:noProof/>
          <w:sz w:val="24"/>
          <w:szCs w:val="24"/>
        </w:rPr>
        <w:t>4</w:t>
      </w:r>
      <w:r w:rsidRPr="00240669">
        <w:rPr>
          <w:rFonts w:ascii="Times New Roman" w:hAnsi="Times New Roman"/>
          <w:noProof/>
          <w:sz w:val="24"/>
          <w:szCs w:val="24"/>
        </w:rPr>
        <w:t>(1), 43. https://doi.org/10.20473/amnt.v4i1.2020.43-48</w:t>
      </w:r>
    </w:p>
    <w:p w14:paraId="7B2A21B9" w14:textId="77777777" w:rsidR="00240669" w:rsidRPr="00240669" w:rsidRDefault="00240669" w:rsidP="00240669">
      <w:pPr>
        <w:widowControl w:val="0"/>
        <w:autoSpaceDE w:val="0"/>
        <w:autoSpaceDN w:val="0"/>
        <w:adjustRightInd w:val="0"/>
        <w:spacing w:after="0" w:line="360" w:lineRule="auto"/>
        <w:ind w:left="567" w:hanging="567"/>
        <w:jc w:val="both"/>
        <w:rPr>
          <w:rFonts w:ascii="Times New Roman" w:hAnsi="Times New Roman"/>
          <w:noProof/>
          <w:sz w:val="24"/>
          <w:szCs w:val="24"/>
        </w:rPr>
      </w:pPr>
      <w:r w:rsidRPr="00240669">
        <w:rPr>
          <w:rFonts w:ascii="Times New Roman" w:hAnsi="Times New Roman"/>
          <w:noProof/>
          <w:sz w:val="24"/>
          <w:szCs w:val="24"/>
        </w:rPr>
        <w:t xml:space="preserve">Tomlinson, P. B., Joseph, C., &amp; Angioi, M. (2015). Effects of vitamin D supplementation on </w:t>
      </w:r>
      <w:r w:rsidRPr="00240669">
        <w:rPr>
          <w:rFonts w:ascii="Times New Roman" w:hAnsi="Times New Roman"/>
          <w:noProof/>
          <w:sz w:val="24"/>
          <w:szCs w:val="24"/>
        </w:rPr>
        <w:lastRenderedPageBreak/>
        <w:t xml:space="preserve">upper and lower body muscle strength levels in healthy individuals. A systematic review with meta-analysis. </w:t>
      </w:r>
      <w:r w:rsidRPr="00240669">
        <w:rPr>
          <w:rFonts w:ascii="Times New Roman" w:hAnsi="Times New Roman"/>
          <w:i/>
          <w:iCs/>
          <w:noProof/>
          <w:sz w:val="24"/>
          <w:szCs w:val="24"/>
        </w:rPr>
        <w:t>Journal of Science and Medicine in Sport</w:t>
      </w:r>
      <w:r w:rsidRPr="00240669">
        <w:rPr>
          <w:rFonts w:ascii="Times New Roman" w:hAnsi="Times New Roman"/>
          <w:noProof/>
          <w:sz w:val="24"/>
          <w:szCs w:val="24"/>
        </w:rPr>
        <w:t xml:space="preserve">, </w:t>
      </w:r>
      <w:r w:rsidRPr="00240669">
        <w:rPr>
          <w:rFonts w:ascii="Times New Roman" w:hAnsi="Times New Roman"/>
          <w:i/>
          <w:iCs/>
          <w:noProof/>
          <w:sz w:val="24"/>
          <w:szCs w:val="24"/>
        </w:rPr>
        <w:t>18</w:t>
      </w:r>
      <w:r w:rsidRPr="00240669">
        <w:rPr>
          <w:rFonts w:ascii="Times New Roman" w:hAnsi="Times New Roman"/>
          <w:noProof/>
          <w:sz w:val="24"/>
          <w:szCs w:val="24"/>
        </w:rPr>
        <w:t>(5), 575–580. https://doi.org/10.1016/j.jsams.2014.07.022</w:t>
      </w:r>
    </w:p>
    <w:p w14:paraId="1A5CC087" w14:textId="77777777" w:rsidR="00240669" w:rsidRPr="00240669" w:rsidRDefault="00240669" w:rsidP="00240669">
      <w:pPr>
        <w:widowControl w:val="0"/>
        <w:autoSpaceDE w:val="0"/>
        <w:autoSpaceDN w:val="0"/>
        <w:adjustRightInd w:val="0"/>
        <w:spacing w:after="0" w:line="360" w:lineRule="auto"/>
        <w:ind w:left="567" w:hanging="567"/>
        <w:jc w:val="both"/>
        <w:rPr>
          <w:rFonts w:ascii="Times New Roman" w:hAnsi="Times New Roman"/>
          <w:noProof/>
          <w:sz w:val="24"/>
          <w:szCs w:val="24"/>
        </w:rPr>
      </w:pPr>
      <w:r w:rsidRPr="00240669">
        <w:rPr>
          <w:rFonts w:ascii="Times New Roman" w:hAnsi="Times New Roman"/>
          <w:noProof/>
          <w:sz w:val="24"/>
          <w:szCs w:val="24"/>
        </w:rPr>
        <w:t xml:space="preserve">Vázquez-Lorente, H., Molina-López, J., Herrera-Quintana, L., Gamarra-Morales, Y., López-González, B., &amp; Planells, E. (2020). Association between Body Fatness and Vitamin D3 Status in a Postmenopausal Population. </w:t>
      </w:r>
      <w:r w:rsidRPr="00240669">
        <w:rPr>
          <w:rFonts w:ascii="Times New Roman" w:hAnsi="Times New Roman"/>
          <w:i/>
          <w:iCs/>
          <w:noProof/>
          <w:sz w:val="24"/>
          <w:szCs w:val="24"/>
        </w:rPr>
        <w:t>Nutrients</w:t>
      </w:r>
      <w:r w:rsidRPr="00240669">
        <w:rPr>
          <w:rFonts w:ascii="Times New Roman" w:hAnsi="Times New Roman"/>
          <w:noProof/>
          <w:sz w:val="24"/>
          <w:szCs w:val="24"/>
        </w:rPr>
        <w:t xml:space="preserve">, </w:t>
      </w:r>
      <w:r w:rsidRPr="00240669">
        <w:rPr>
          <w:rFonts w:ascii="Times New Roman" w:hAnsi="Times New Roman"/>
          <w:i/>
          <w:iCs/>
          <w:noProof/>
          <w:sz w:val="24"/>
          <w:szCs w:val="24"/>
        </w:rPr>
        <w:t>12</w:t>
      </w:r>
      <w:r w:rsidRPr="00240669">
        <w:rPr>
          <w:rFonts w:ascii="Times New Roman" w:hAnsi="Times New Roman"/>
          <w:noProof/>
          <w:sz w:val="24"/>
          <w:szCs w:val="24"/>
        </w:rPr>
        <w:t>(3), 667. https://doi.org/10.3390/nu12030667</w:t>
      </w:r>
    </w:p>
    <w:p w14:paraId="7352BA81" w14:textId="77777777" w:rsidR="00240669" w:rsidRPr="00240669" w:rsidRDefault="00240669" w:rsidP="00240669">
      <w:pPr>
        <w:widowControl w:val="0"/>
        <w:autoSpaceDE w:val="0"/>
        <w:autoSpaceDN w:val="0"/>
        <w:adjustRightInd w:val="0"/>
        <w:spacing w:after="0" w:line="360" w:lineRule="auto"/>
        <w:ind w:left="567" w:hanging="567"/>
        <w:jc w:val="both"/>
        <w:rPr>
          <w:rFonts w:ascii="Times New Roman" w:hAnsi="Times New Roman"/>
          <w:noProof/>
          <w:sz w:val="24"/>
          <w:szCs w:val="24"/>
        </w:rPr>
      </w:pPr>
      <w:r w:rsidRPr="00240669">
        <w:rPr>
          <w:rFonts w:ascii="Times New Roman" w:hAnsi="Times New Roman"/>
          <w:noProof/>
          <w:sz w:val="24"/>
          <w:szCs w:val="24"/>
        </w:rPr>
        <w:t xml:space="preserve">Vitezova, A., Muka, T., Zillikens, M. C., Voortman, T., Uitterlinden, A. G., Hofman, A., Rivadeneira, F., Kiefte-de Jong, J. C., &amp; Franco, O. H. (2017). Vitamin D and body composition in the elderly. </w:t>
      </w:r>
      <w:r w:rsidRPr="00240669">
        <w:rPr>
          <w:rFonts w:ascii="Times New Roman" w:hAnsi="Times New Roman"/>
          <w:i/>
          <w:iCs/>
          <w:noProof/>
          <w:sz w:val="24"/>
          <w:szCs w:val="24"/>
        </w:rPr>
        <w:t>Clinical Nutrition</w:t>
      </w:r>
      <w:r w:rsidRPr="00240669">
        <w:rPr>
          <w:rFonts w:ascii="Times New Roman" w:hAnsi="Times New Roman"/>
          <w:noProof/>
          <w:sz w:val="24"/>
          <w:szCs w:val="24"/>
        </w:rPr>
        <w:t xml:space="preserve">, </w:t>
      </w:r>
      <w:r w:rsidRPr="00240669">
        <w:rPr>
          <w:rFonts w:ascii="Times New Roman" w:hAnsi="Times New Roman"/>
          <w:i/>
          <w:iCs/>
          <w:noProof/>
          <w:sz w:val="24"/>
          <w:szCs w:val="24"/>
        </w:rPr>
        <w:t>36</w:t>
      </w:r>
      <w:r w:rsidRPr="00240669">
        <w:rPr>
          <w:rFonts w:ascii="Times New Roman" w:hAnsi="Times New Roman"/>
          <w:noProof/>
          <w:sz w:val="24"/>
          <w:szCs w:val="24"/>
        </w:rPr>
        <w:t>(2), 585–592. https://doi.org/10.1016/j.clnu.2016.04.017</w:t>
      </w:r>
    </w:p>
    <w:p w14:paraId="47C9E14C" w14:textId="77777777" w:rsidR="00240669" w:rsidRPr="00240669" w:rsidRDefault="00240669" w:rsidP="00240669">
      <w:pPr>
        <w:widowControl w:val="0"/>
        <w:autoSpaceDE w:val="0"/>
        <w:autoSpaceDN w:val="0"/>
        <w:adjustRightInd w:val="0"/>
        <w:spacing w:after="0" w:line="360" w:lineRule="auto"/>
        <w:ind w:left="567" w:hanging="567"/>
        <w:jc w:val="both"/>
        <w:rPr>
          <w:rFonts w:ascii="Times New Roman" w:hAnsi="Times New Roman"/>
          <w:noProof/>
          <w:sz w:val="24"/>
          <w:szCs w:val="24"/>
        </w:rPr>
      </w:pPr>
      <w:r w:rsidRPr="00240669">
        <w:rPr>
          <w:rFonts w:ascii="Times New Roman" w:hAnsi="Times New Roman"/>
          <w:noProof/>
          <w:sz w:val="24"/>
          <w:szCs w:val="24"/>
        </w:rPr>
        <w:t xml:space="preserve">Widajanti, N., Ichwani, J., Dharmanta, R. S., Firdausi, H., Haryono, Y., Yulianti, E., Kandinata, S. G., Wulandari, M., Widyasari, R., Adyanita, V. A., Hapsanti, N. I., Wardana, D. M., Kristiana, T., Driyarkara, D., Wahyuda, H., Yunara, S., &amp; Husna, K. (2020). Sarcopenia and Frailty Profile in the Elderly Community of Surabaya: A Descriptive Study. </w:t>
      </w:r>
      <w:r w:rsidRPr="00240669">
        <w:rPr>
          <w:rFonts w:ascii="Times New Roman" w:hAnsi="Times New Roman"/>
          <w:i/>
          <w:iCs/>
          <w:noProof/>
          <w:sz w:val="24"/>
          <w:szCs w:val="24"/>
        </w:rPr>
        <w:t>Acta Medica Indonesiana</w:t>
      </w:r>
      <w:r w:rsidRPr="00240669">
        <w:rPr>
          <w:rFonts w:ascii="Times New Roman" w:hAnsi="Times New Roman"/>
          <w:noProof/>
          <w:sz w:val="24"/>
          <w:szCs w:val="24"/>
        </w:rPr>
        <w:t xml:space="preserve">, </w:t>
      </w:r>
      <w:r w:rsidRPr="00240669">
        <w:rPr>
          <w:rFonts w:ascii="Times New Roman" w:hAnsi="Times New Roman"/>
          <w:i/>
          <w:iCs/>
          <w:noProof/>
          <w:sz w:val="24"/>
          <w:szCs w:val="24"/>
        </w:rPr>
        <w:t>52</w:t>
      </w:r>
      <w:r w:rsidRPr="00240669">
        <w:rPr>
          <w:rFonts w:ascii="Times New Roman" w:hAnsi="Times New Roman"/>
          <w:noProof/>
          <w:sz w:val="24"/>
          <w:szCs w:val="24"/>
        </w:rPr>
        <w:t>(1), 5–13.</w:t>
      </w:r>
    </w:p>
    <w:p w14:paraId="26D4F2F5" w14:textId="77777777" w:rsidR="00240669" w:rsidRPr="00240669" w:rsidRDefault="00240669" w:rsidP="00240669">
      <w:pPr>
        <w:widowControl w:val="0"/>
        <w:autoSpaceDE w:val="0"/>
        <w:autoSpaceDN w:val="0"/>
        <w:adjustRightInd w:val="0"/>
        <w:spacing w:after="0" w:line="360" w:lineRule="auto"/>
        <w:ind w:left="567" w:hanging="567"/>
        <w:jc w:val="both"/>
        <w:rPr>
          <w:rFonts w:ascii="Times New Roman" w:hAnsi="Times New Roman"/>
          <w:noProof/>
          <w:sz w:val="24"/>
        </w:rPr>
      </w:pPr>
      <w:r w:rsidRPr="00240669">
        <w:rPr>
          <w:rFonts w:ascii="Times New Roman" w:hAnsi="Times New Roman"/>
          <w:noProof/>
          <w:sz w:val="24"/>
          <w:szCs w:val="24"/>
        </w:rPr>
        <w:t xml:space="preserve">Zhao, Y., Zhao, W., Hao, Q., Ge, M., Zhang, Y., Hu, F., Lu, Y., Zhou, L., Liu, X., &amp; Dong, B. (2021). Vitamin D status and obesity markers in older adults: results from West China Health and Aging Trends study. </w:t>
      </w:r>
      <w:r w:rsidRPr="00240669">
        <w:rPr>
          <w:rFonts w:ascii="Times New Roman" w:hAnsi="Times New Roman"/>
          <w:i/>
          <w:iCs/>
          <w:noProof/>
          <w:sz w:val="24"/>
          <w:szCs w:val="24"/>
        </w:rPr>
        <w:t>BMC Geriatrics</w:t>
      </w:r>
      <w:r w:rsidRPr="00240669">
        <w:rPr>
          <w:rFonts w:ascii="Times New Roman" w:hAnsi="Times New Roman"/>
          <w:noProof/>
          <w:sz w:val="24"/>
          <w:szCs w:val="24"/>
        </w:rPr>
        <w:t xml:space="preserve">, </w:t>
      </w:r>
      <w:r w:rsidRPr="00240669">
        <w:rPr>
          <w:rFonts w:ascii="Times New Roman" w:hAnsi="Times New Roman"/>
          <w:i/>
          <w:iCs/>
          <w:noProof/>
          <w:sz w:val="24"/>
          <w:szCs w:val="24"/>
        </w:rPr>
        <w:t>21</w:t>
      </w:r>
      <w:r w:rsidRPr="00240669">
        <w:rPr>
          <w:rFonts w:ascii="Times New Roman" w:hAnsi="Times New Roman"/>
          <w:noProof/>
          <w:sz w:val="24"/>
          <w:szCs w:val="24"/>
        </w:rPr>
        <w:t>(1), 528. https://doi.org/10.1186/s12877-021-02449-7</w:t>
      </w:r>
    </w:p>
    <w:p w14:paraId="33FD5288" w14:textId="7DBA08DA" w:rsidR="006A1721" w:rsidRPr="008550D5" w:rsidRDefault="00240669" w:rsidP="00240669">
      <w:pPr>
        <w:widowControl w:val="0"/>
        <w:autoSpaceDE w:val="0"/>
        <w:autoSpaceDN w:val="0"/>
        <w:adjustRightInd w:val="0"/>
        <w:spacing w:after="0" w:line="360" w:lineRule="auto"/>
        <w:ind w:left="567" w:hanging="567"/>
        <w:jc w:val="both"/>
        <w:rPr>
          <w:rFonts w:asciiTheme="majorBidi" w:hAnsiTheme="majorBidi" w:cstheme="majorBidi"/>
          <w:sz w:val="24"/>
          <w:szCs w:val="24"/>
          <w:lang w:val="fi-FI"/>
        </w:rPr>
      </w:pPr>
      <w:r>
        <w:rPr>
          <w:rFonts w:asciiTheme="majorBidi" w:hAnsiTheme="majorBidi" w:cstheme="majorBidi"/>
          <w:sz w:val="24"/>
          <w:szCs w:val="24"/>
          <w:lang w:val="fi-FI"/>
        </w:rPr>
        <w:fldChar w:fldCharType="end"/>
      </w:r>
    </w:p>
    <w:sectPr w:rsidR="006A1721" w:rsidRPr="008550D5" w:rsidSect="00EA4448">
      <w:headerReference w:type="even" r:id="rId8"/>
      <w:headerReference w:type="default" r:id="rId9"/>
      <w:headerReference w:type="first" r:id="rId10"/>
      <w:type w:val="continuous"/>
      <w:pgSz w:w="11906" w:h="16838"/>
      <w:pgMar w:top="1440" w:right="1416"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140FBF" w14:textId="77777777" w:rsidR="008A3386" w:rsidRDefault="008A3386" w:rsidP="006C77D3">
      <w:pPr>
        <w:spacing w:after="0" w:line="240" w:lineRule="auto"/>
      </w:pPr>
      <w:r>
        <w:separator/>
      </w:r>
    </w:p>
  </w:endnote>
  <w:endnote w:type="continuationSeparator" w:id="0">
    <w:p w14:paraId="60FB97C6" w14:textId="77777777" w:rsidR="008A3386" w:rsidRDefault="008A3386" w:rsidP="006C77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tangChe">
    <w:charset w:val="81"/>
    <w:family w:val="modern"/>
    <w:pitch w:val="fixed"/>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 w:name="Calisto MT">
    <w:panose1 w:val="020406030505050303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7CF5D1" w14:textId="77777777" w:rsidR="008A3386" w:rsidRDefault="008A3386" w:rsidP="006C77D3">
      <w:pPr>
        <w:spacing w:after="0" w:line="240" w:lineRule="auto"/>
      </w:pPr>
      <w:r>
        <w:separator/>
      </w:r>
    </w:p>
  </w:footnote>
  <w:footnote w:type="continuationSeparator" w:id="0">
    <w:p w14:paraId="6AEE7460" w14:textId="77777777" w:rsidR="008A3386" w:rsidRDefault="008A3386" w:rsidP="006C77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BC5903" w14:textId="77777777" w:rsidR="00DE3B4E" w:rsidRDefault="00000000">
    <w:pPr>
      <w:pStyle w:val="Header"/>
    </w:pPr>
    <w:r>
      <w:rPr>
        <w:noProof/>
      </w:rPr>
      <w:pict w14:anchorId="0C27AF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48909441" o:spid="_x0000_s1043" type="#_x0000_t75" style="position:absolute;margin-left:0;margin-top:0;width:351pt;height:329.6pt;z-index:-251660288;mso-position-horizontal:center;mso-position-horizontal-relative:margin;mso-position-vertical:center;mso-position-vertical-relative:margin" o:allowincell="f">
          <v:imagedata r:id="rId1" o:title="images" gain="19661f" blacklevel="22938f"/>
          <w10:wrap anchorx="margin" anchory="margin"/>
        </v:shape>
      </w:pict>
    </w:r>
  </w:p>
  <w:p w14:paraId="01AB2AE3" w14:textId="77777777" w:rsidR="000F69B6" w:rsidRDefault="000F69B6"/>
  <w:p w14:paraId="29CD277F" w14:textId="77777777" w:rsidR="000F69B6" w:rsidRDefault="000F69B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0CB497" w14:textId="50C35A1E" w:rsidR="00A16BDF" w:rsidRPr="00F253E4" w:rsidRDefault="00F253E4" w:rsidP="00E15A3F">
    <w:pPr>
      <w:pStyle w:val="Header"/>
      <w:jc w:val="right"/>
      <w:rPr>
        <w:rFonts w:ascii="Times New Roman" w:hAnsi="Times New Roman"/>
        <w:noProof/>
        <w:sz w:val="24"/>
        <w:szCs w:val="24"/>
      </w:rPr>
    </w:pPr>
    <w:r w:rsidRPr="00F253E4">
      <w:rPr>
        <w:rFonts w:ascii="Times New Roman" w:hAnsi="Times New Roman"/>
        <w:sz w:val="24"/>
        <w:szCs w:val="24"/>
      </w:rPr>
      <w:fldChar w:fldCharType="begin"/>
    </w:r>
    <w:r w:rsidRPr="00F253E4">
      <w:rPr>
        <w:rFonts w:ascii="Times New Roman" w:hAnsi="Times New Roman"/>
        <w:sz w:val="24"/>
        <w:szCs w:val="24"/>
      </w:rPr>
      <w:instrText xml:space="preserve"> PAGE   \* MERGEFORMAT </w:instrText>
    </w:r>
    <w:r w:rsidRPr="00F253E4">
      <w:rPr>
        <w:rFonts w:ascii="Times New Roman" w:hAnsi="Times New Roman"/>
        <w:sz w:val="24"/>
        <w:szCs w:val="24"/>
      </w:rPr>
      <w:fldChar w:fldCharType="separate"/>
    </w:r>
    <w:r w:rsidR="007B16D9">
      <w:rPr>
        <w:rFonts w:ascii="Times New Roman" w:hAnsi="Times New Roman"/>
        <w:noProof/>
        <w:sz w:val="24"/>
        <w:szCs w:val="24"/>
      </w:rPr>
      <w:t>9</w:t>
    </w:r>
    <w:r w:rsidR="007B16D9">
      <w:rPr>
        <w:rFonts w:ascii="Times New Roman" w:hAnsi="Times New Roman"/>
        <w:noProof/>
        <w:sz w:val="24"/>
        <w:szCs w:val="24"/>
      </w:rPr>
      <w:t>5</w:t>
    </w:r>
    <w:r w:rsidRPr="00F253E4">
      <w:rPr>
        <w:rFonts w:ascii="Times New Roman" w:hAnsi="Times New Roman"/>
        <w:noProof/>
        <w:sz w:val="24"/>
        <w:szCs w:val="24"/>
      </w:rPr>
      <w:fldChar w:fldCharType="end"/>
    </w:r>
  </w:p>
  <w:p w14:paraId="02940827" w14:textId="742F2C4C" w:rsidR="000F69B6" w:rsidRPr="00E15A3F" w:rsidRDefault="00D87CA6" w:rsidP="00E15A3F">
    <w:pPr>
      <w:spacing w:line="240" w:lineRule="auto"/>
      <w:ind w:firstLine="284"/>
      <w:jc w:val="center"/>
      <w:rPr>
        <w:rFonts w:ascii="Cambria" w:hAnsi="Cambria" w:cs="Calibri"/>
        <w:sz w:val="14"/>
        <w:szCs w:val="20"/>
        <w:lang w:val="en-US"/>
      </w:rPr>
    </w:pPr>
    <w:r w:rsidRPr="005529A8">
      <w:rPr>
        <w:rFonts w:ascii="Cambria" w:hAnsi="Cambria"/>
        <w:noProof/>
        <w:sz w:val="14"/>
        <w:szCs w:val="20"/>
      </w:rPr>
      <mc:AlternateContent>
        <mc:Choice Requires="wps">
          <w:drawing>
            <wp:anchor distT="0" distB="0" distL="114300" distR="114300" simplePos="0" relativeHeight="251661312" behindDoc="0" locked="0" layoutInCell="0" allowOverlap="1" wp14:anchorId="69788C71" wp14:editId="17FE56EA">
              <wp:simplePos x="0" y="0"/>
              <wp:positionH relativeFrom="page">
                <wp:posOffset>6934200</wp:posOffset>
              </wp:positionH>
              <wp:positionV relativeFrom="page">
                <wp:posOffset>7788910</wp:posOffset>
              </wp:positionV>
              <wp:extent cx="532765" cy="2183130"/>
              <wp:effectExtent l="0" t="0" r="0" b="0"/>
              <wp:wrapNone/>
              <wp:docPr id="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2765" cy="218313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6BF000" w14:textId="77777777" w:rsidR="00F253E4" w:rsidRPr="005529A8" w:rsidRDefault="00F253E4" w:rsidP="00F253E4">
                          <w:pPr>
                            <w:pStyle w:val="Footer"/>
                            <w:rPr>
                              <w:rFonts w:ascii="Calibri Light" w:eastAsia="Times New Roman" w:hAnsi="Calibri Light"/>
                              <w:sz w:val="44"/>
                              <w:szCs w:val="44"/>
                            </w:rPr>
                          </w:pPr>
                          <w:r w:rsidRPr="005529A8">
                            <w:rPr>
                              <w:rFonts w:ascii="Calibri Light" w:eastAsia="Times New Roman" w:hAnsi="Calibri Light"/>
                            </w:rPr>
                            <w:t>Page</w:t>
                          </w:r>
                          <w:r w:rsidRPr="005529A8">
                            <w:rPr>
                              <w:rFonts w:eastAsia="Times New Roman"/>
                            </w:rPr>
                            <w:fldChar w:fldCharType="begin"/>
                          </w:r>
                          <w:r>
                            <w:instrText xml:space="preserve"> PAGE    \* MERGEFORMAT </w:instrText>
                          </w:r>
                          <w:r w:rsidRPr="005529A8">
                            <w:rPr>
                              <w:rFonts w:eastAsia="Times New Roman"/>
                            </w:rPr>
                            <w:fldChar w:fldCharType="separate"/>
                          </w:r>
                          <w:r w:rsidR="007B16D9" w:rsidRPr="007B16D9">
                            <w:rPr>
                              <w:rFonts w:ascii="Calibri Light" w:eastAsia="Times New Roman" w:hAnsi="Calibri Light"/>
                              <w:noProof/>
                              <w:sz w:val="44"/>
                              <w:szCs w:val="44"/>
                            </w:rPr>
                            <w:t>95</w:t>
                          </w:r>
                          <w:r w:rsidRPr="005529A8">
                            <w:rPr>
                              <w:rFonts w:ascii="Calibri Light" w:eastAsia="Times New Roman" w:hAnsi="Calibri Light"/>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rect id="Rectangle 3" style="position:absolute;left:0;text-align:left;margin-left:546pt;margin-top:613.3pt;width:41.95pt;height:171.9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spid="_x0000_s1026" o:allowincell="f" filled="f"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iBg0wEAAIQDAAAOAAAAZHJzL2Uyb0RvYy54bWysU9tu2zAMfR+wfxD0vjh2kqYz4hRFiwwD&#10;unVAtw+QZTk2ZosaqcTO349SLg3Wt2IvhChah+eQx6u7se/E3iC1YAuZTqZSGKuhau22kL9+bj7d&#10;SkFe2Up1YE0hD4bk3frjh9XgcpNBA11lUDCIpXxwhWy8d3mSkG5Mr2gCzlgu1oC98pziNqlQDYze&#10;d0k2nd4kA2DlELQh4tvHY1GuI35dG+2f65qMF10hmZuPEWMsQ0zWK5VvUbmm1Sca6h0setVabnqB&#10;elReiR22b6D6ViMQ1H6ioU+grlttogZWk07/UfPSKGeiFh4OucuY6P/B6u/7F/cDA3VyT6B/k7Dw&#10;0Ci7NfeIMDRGVdwuDYNKBkf55UFIiJ+KcvgGFa9W7TzEGYw19gGQ1YkxjvpwGbUZvdB8uZhly5uF&#10;FJpLWXo7S2dxF4nKz68dkv9ioBfhUEjkVUZ0tX8iH9io/PxJaGZh03bdmWUgFjxAuR/LkW/DsYTq&#10;wHwRji5g1/IhxGzJ1hjYBIWkPzuFRoruq2XZn9P5PLgmJvPFMuMEryvldUVZ3QB7S3uU4pg8+KPX&#10;dg7bbcPt0qiB3D0Pa9NGHa/UTiPmVUd5J1sGL13n8avXn2f9FwAA//8DAFBLAwQUAAYACAAAACEA&#10;p7QZUOEAAAAPAQAADwAAAGRycy9kb3ducmV2LnhtbEyPwU7DMBBE70j8g7VI3KidiKZtiFMhJC4I&#10;qaLl0KNrL3FEbEex05q/Z3uC24x2NPum2WY3sDNOsQ9eQrEQwNDrYHrfSfg8vD6sgcWkvFFD8Cjh&#10;ByNs29ubRtUmXPwHnvepY1TiY60k2JTGmvOoLToVF2FET7evMDmVyE4dN5O6ULkbeClExZ3qPX2w&#10;asQXi/p7PzsJhyofdZ6PBb7rdacV7qx720l5f5efn4AlzOkvDFd8QoeWmE5h9iaygbzYlDQmkSrL&#10;qgJ2zRSr5QbYidRyJR6Btw3/v6P9BQAA//8DAFBLAQItABQABgAIAAAAIQC2gziS/gAAAOEBAAAT&#10;AAAAAAAAAAAAAAAAAAAAAABbQ29udGVudF9UeXBlc10ueG1sUEsBAi0AFAAGAAgAAAAhADj9If/W&#10;AAAAlAEAAAsAAAAAAAAAAAAAAAAALwEAAF9yZWxzLy5yZWxzUEsBAi0AFAAGAAgAAAAhAIc6IGDT&#10;AQAAhAMAAA4AAAAAAAAAAAAAAAAALgIAAGRycy9lMm9Eb2MueG1sUEsBAi0AFAAGAAgAAAAhAKe0&#10;GVDhAAAADwEAAA8AAAAAAAAAAAAAAAAALQQAAGRycy9kb3ducmV2LnhtbFBLBQYAAAAABAAEAPMA&#10;AAA7BQAAAAA=&#10;" w14:anchorId="69788C71">
              <v:textbox style="layout-flow:vertical;mso-layout-flow-alt:bottom-to-top;mso-fit-shape-to-text:t">
                <w:txbxContent>
                  <w:p w:rsidRPr="005529A8" w:rsidR="00F253E4" w:rsidP="00F253E4" w:rsidRDefault="00F253E4" w14:paraId="176BF000" w14:textId="77777777">
                    <w:pPr>
                      <w:pStyle w:val="Footer"/>
                      <w:bidi w:val="false"/>
                      <w:rPr>
                        <w:rFonts w:ascii="Calibri Light" w:hAnsi="Calibri Light" w:eastAsia="Times New Roman"/>
                        <w:sz w:val="44"/>
                        <w:szCs w:val="44"/>
                      </w:rPr>
                    </w:pPr>
                    <w:r w:rsidRPr="005529A8">
                      <w:rPr>
                        <w:rFonts w:ascii="Calibri Light" w:hAnsi="Calibri Light" w:eastAsia="Times New Roman"/>
                        <w:lang w:val="English"/>
                      </w:rPr>
                      <w:t>Page</w:t>
                    </w:r>
                    <w:r w:rsidRPr="005529A8">
                      <w:rPr>
                        <w:rFonts w:eastAsia="Times New Roman"/>
                        <w:lang w:val="English"/>
                      </w:rPr>
                      <w:fldChar w:fldCharType="begin"/>
                    </w:r>
                    <w:r>
                      <w:rPr>
                        <w:lang w:val="English"/>
                      </w:rPr>
                      <w:instrText xml:space="preserve"> PAGE    \* MERGEFORMAT </w:instrText>
                    </w:r>
                    <w:r w:rsidRPr="005529A8">
                      <w:rPr>
                        <w:rFonts w:eastAsia="Times New Roman"/>
                        <w:lang w:val="English"/>
                      </w:rPr>
                      <w:fldChar w:fldCharType="separate"/>
                    </w:r>
                    <w:r w:rsidRPr="007B16D9" w:rsidR="007B16D9">
                      <w:rPr>
                        <w:rFonts w:ascii="Calibri Light" w:hAnsi="Calibri Light" w:eastAsia="Times New Roman"/>
                        <w:noProof/>
                        <w:sz w:val="44"/>
                        <w:szCs w:val="44"/>
                        <w:lang w:val="English"/>
                      </w:rPr>
                      <w:t>95</w:t>
                    </w:r>
                    <w:r w:rsidRPr="005529A8">
                      <w:rPr>
                        <w:rFonts w:ascii="Calibri Light" w:hAnsi="Calibri Light" w:eastAsia="Times New Roman"/>
                        <w:noProof/>
                        <w:sz w:val="44"/>
                        <w:szCs w:val="44"/>
                        <w:lang w:val="English"/>
                      </w:rPr>
                      <w:fldChar w:fldCharType="end"/>
                    </w:r>
                  </w:p>
                </w:txbxContent>
              </v:textbox>
              <w10:wrap anchorx="page" anchory="page"/>
            </v:rect>
          </w:pict>
        </mc:Fallback>
      </mc:AlternateContent>
    </w:r>
    <w:r w:rsidR="00617BA0" w:rsidRPr="00617BA0">
      <w:rPr>
        <w:rFonts w:ascii="Times New Roman" w:eastAsia="Times New Roman" w:hAnsi="Times New Roman"/>
        <w:color w:val="000000"/>
        <w:sz w:val="20"/>
        <w:szCs w:val="20"/>
      </w:rPr>
      <w:t xml:space="preserve"> </w:t>
    </w:r>
    <w:r w:rsidR="00A73AD4">
      <w:rPr>
        <w:rFonts w:ascii="Cambria" w:hAnsi="Cambria"/>
        <w:noProof/>
        <w:sz w:val="14"/>
        <w:szCs w:val="20"/>
      </w:rPr>
      <w:t xml:space="preserve">Author names dkk </w:t>
    </w:r>
    <w:r w:rsidR="00F253E4" w:rsidRPr="005529A8">
      <w:rPr>
        <w:rFonts w:ascii="Cambria" w:eastAsia="Calisto MT" w:hAnsi="Cambria" w:cs="Calisto MT"/>
        <w:color w:val="000000"/>
        <w:sz w:val="14"/>
        <w:szCs w:val="20"/>
      </w:rPr>
      <w:t xml:space="preserve">/ </w:t>
    </w:r>
    <w:r w:rsidR="00F253E4" w:rsidRPr="005529A8">
      <w:rPr>
        <w:rFonts w:ascii="Cambria" w:hAnsi="Cambria" w:cs="Calibri"/>
        <w:sz w:val="14"/>
        <w:szCs w:val="20"/>
      </w:rPr>
      <w:t>Scientific Periodical of Public Health and Coastal 4(2),2022, halaman 87-</w:t>
    </w:r>
    <w:r w:rsidR="00000000">
      <w:rPr>
        <w:noProof/>
      </w:rPr>
      <w:pict w14:anchorId="50B0BA3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48909442" o:spid="_x0000_s1044" type="#_x0000_t75" style="position:absolute;left:0;text-align:left;margin-left:0;margin-top:0;width:351pt;height:329.6pt;z-index:-251659264;mso-position-horizontal:center;mso-position-horizontal-relative:margin;mso-position-vertical:center;mso-position-vertical-relative:margin" o:allowincell="f">
          <v:imagedata r:id="rId1" o:title="images" gain="19661f" blacklevel="22938f"/>
          <w10:wrap anchorx="margin" anchory="margin"/>
        </v:shape>
      </w:pict>
    </w:r>
    <w:r w:rsidR="00DA5057">
      <w:rPr>
        <w:rFonts w:ascii="Cambria" w:hAnsi="Cambria" w:cs="Calibri"/>
        <w:sz w:val="14"/>
        <w:szCs w:val="20"/>
      </w:rPr>
      <w:t>99 (10pt, all caps, Cambria, Normal)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702F7" w14:textId="4DDE922C" w:rsidR="00EA4448" w:rsidRPr="0030258A" w:rsidRDefault="00EA4448" w:rsidP="00EA4448">
    <w:pPr>
      <w:spacing w:after="403" w:line="259" w:lineRule="auto"/>
      <w:rPr>
        <w:b/>
        <w:sz w:val="24"/>
        <w:lang w:val="en-US"/>
      </w:rPr>
    </w:pPr>
    <w:r>
      <w:rPr>
        <w:noProof/>
      </w:rPr>
      <mc:AlternateContent>
        <mc:Choice Requires="wps">
          <w:drawing>
            <wp:anchor distT="0" distB="0" distL="114300" distR="114300" simplePos="0" relativeHeight="251664384" behindDoc="0" locked="0" layoutInCell="0" allowOverlap="1" wp14:anchorId="2633D6E8" wp14:editId="5429423A">
              <wp:simplePos x="0" y="0"/>
              <wp:positionH relativeFrom="page">
                <wp:posOffset>6934200</wp:posOffset>
              </wp:positionH>
              <wp:positionV relativeFrom="page">
                <wp:posOffset>7788910</wp:posOffset>
              </wp:positionV>
              <wp:extent cx="532765" cy="2183130"/>
              <wp:effectExtent l="0" t="0" r="0" b="0"/>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2765" cy="2183130"/>
                      </a:xfrm>
                      <a:prstGeom prst="rect">
                        <a:avLst/>
                      </a:prstGeom>
                      <a:noFill/>
                    </wps:spPr>
                    <wps:txbx>
                      <w:txbxContent>
                        <w:p w14:paraId="7A1B6796" w14:textId="77777777" w:rsidR="00EA4448" w:rsidRPr="009C7B82" w:rsidRDefault="00EA4448" w:rsidP="00EA4448">
                          <w:pPr>
                            <w:pStyle w:val="Footer"/>
                            <w:rPr>
                              <w:rFonts w:ascii="Calibri Light" w:eastAsia="Times New Roman" w:hAnsi="Calibri Light"/>
                              <w:sz w:val="44"/>
                              <w:szCs w:val="44"/>
                            </w:rPr>
                          </w:pPr>
                          <w:r w:rsidRPr="009C7B82">
                            <w:rPr>
                              <w:rFonts w:ascii="Calibri Light" w:eastAsia="Times New Roman" w:hAnsi="Calibri Light"/>
                            </w:rPr>
                            <w:t>Page</w:t>
                          </w:r>
                          <w:r w:rsidRPr="009C7B82">
                            <w:rPr>
                              <w:rFonts w:eastAsia="Times New Roman"/>
                            </w:rPr>
                            <w:fldChar w:fldCharType="begin"/>
                          </w:r>
                          <w:r>
                            <w:instrText xml:space="preserve"> PAGE    \* MERGEFORMAT </w:instrText>
                          </w:r>
                          <w:r w:rsidRPr="009C7B82">
                            <w:rPr>
                              <w:rFonts w:eastAsia="Times New Roman"/>
                            </w:rPr>
                            <w:fldChar w:fldCharType="separate"/>
                          </w:r>
                          <w:r w:rsidRPr="007B16D9">
                            <w:rPr>
                              <w:rFonts w:ascii="Calibri Light" w:eastAsia="Times New Roman" w:hAnsi="Calibri Light"/>
                              <w:noProof/>
                              <w:sz w:val="44"/>
                              <w:szCs w:val="44"/>
                            </w:rPr>
                            <w:t>91</w:t>
                          </w:r>
                          <w:r w:rsidRPr="009C7B82">
                            <w:rPr>
                              <w:rFonts w:ascii="Calibri Light" w:eastAsia="Times New Roman" w:hAnsi="Calibri Light"/>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http://schemas.openxmlformats.org/drawingml/2006/main">
          <w:pict>
            <v:rect id="Rectangle 30" style="position:absolute;margin-left:546pt;margin-top:613.3pt;width:41.95pt;height:171.9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spid="_x0000_s1027" o:allowincell="f" filled="f"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T01gEAAIsDAAAOAAAAZHJzL2Uyb0RvYy54bWysU9tu2zAMfR+wfxD0vjh2krYz4hRFiwwD&#10;unVAtw9QZDkWZosaqcTO349SLg22t2EvhChah+eQx8v7se/E3iBZcJXMJ1MpjNNQW7et5I/v6w93&#10;UlBQrlYdOFPJgyF5v3r/bjn40hTQQlcbFAziqBx8JdsQfJllpFvTK5qAN46LDWCvAqe4zWpUA6P3&#10;XVZMpzfZAFh7BG2I+PbpWJSrhN80RoeXpiETRFdJ5hZSxBQ3MWarpSq3qHxr9YmG+gcWvbKOm16g&#10;nlRQYof2L6jeagSCJkw09Bk0jdUmaWA1+fQPNa+t8iZp4eGQv4yJ/h+s/rp/9d8wUif/DPonCQeP&#10;rXJb84AIQ2tUze3yOKhs8FReHsSE+KnYDF+g5tWqXYA0g7HBPgKyOjGmUR8uozZjEJovF7Pi9mYh&#10;heZSkd/N8lnaRabK82uPFD4Z6EU8VBJ5lQld7Z8pRDaqPH8SmzlY2647s4zEogeoDONmFLY+SYg3&#10;G6gPTBvhaAY2Lx9iLG7ZIQN7oZL0a6fQSNF9dqz+Yz6fR/OkZL64LTjB68rmuqKcboEtpgNKcUwe&#10;w9FyO49223K7PEkh/8AzW9sk543aadK88aTy5M5oqes8ffX2D61+AwAA//8DAFBLAwQUAAYACAAA&#10;ACEAp7QZUOEAAAAPAQAADwAAAGRycy9kb3ducmV2LnhtbEyPwU7DMBBE70j8g7VI3KidiKZtiFMh&#10;JC4IqaLl0KNrL3FEbEex05q/Z3uC24x2NPum2WY3sDNOsQ9eQrEQwNDrYHrfSfg8vD6sgcWkvFFD&#10;8CjhByNs29ubRtUmXPwHnvepY1TiY60k2JTGmvOoLToVF2FET7evMDmVyE4dN5O6ULkbeClExZ3q&#10;PX2wasQXi/p7PzsJhyofdZ6PBb7rdacV7qx720l5f5efn4AlzOkvDFd8QoeWmE5h9iaygbzYlDQm&#10;kSrLqgJ2zRSr5QbYidRyJR6Btw3/v6P9BQAA//8DAFBLAQItABQABgAIAAAAIQC2gziS/gAAAOEB&#10;AAATAAAAAAAAAAAAAAAAAAAAAABbQ29udGVudF9UeXBlc10ueG1sUEsBAi0AFAAGAAgAAAAhADj9&#10;If/WAAAAlAEAAAsAAAAAAAAAAAAAAAAALwEAAF9yZWxzLy5yZWxzUEsBAi0AFAAGAAgAAAAhANz+&#10;tPTWAQAAiwMAAA4AAAAAAAAAAAAAAAAALgIAAGRycy9lMm9Eb2MueG1sUEsBAi0AFAAGAAgAAAAh&#10;AKe0GVDhAAAADwEAAA8AAAAAAAAAAAAAAAAAMAQAAGRycy9kb3ducmV2LnhtbFBLBQYAAAAABAAE&#10;APMAAAA+BQAAAAA=&#10;" w14:anchorId="2633D6E8">
              <v:textbox style="layout-flow:vertical;mso-layout-flow-alt:bottom-to-top;mso-fit-shape-to-text:t">
                <w:txbxContent>
                  <w:p w:rsidRPr="009C7B82" w:rsidR="00EA4448" w:rsidP="00EA4448" w:rsidRDefault="00EA4448" w14:paraId="7A1B6796" w14:textId="77777777">
                    <w:pPr>
                      <w:pStyle w:val="Footer"/>
                      <w:bidi w:val="false"/>
                      <w:rPr>
                        <w:rFonts w:ascii="Calibri Light" w:hAnsi="Calibri Light" w:eastAsia="Times New Roman"/>
                        <w:sz w:val="44"/>
                        <w:szCs w:val="44"/>
                      </w:rPr>
                    </w:pPr>
                    <w:r w:rsidRPr="009C7B82">
                      <w:rPr>
                        <w:rFonts w:ascii="Calibri Light" w:hAnsi="Calibri Light" w:eastAsia="Times New Roman"/>
                        <w:lang w:val="English"/>
                      </w:rPr>
                      <w:t>Page</w:t>
                    </w:r>
                    <w:r w:rsidRPr="009C7B82">
                      <w:rPr>
                        <w:rFonts w:eastAsia="Times New Roman"/>
                        <w:lang w:val="English"/>
                      </w:rPr>
                      <w:fldChar w:fldCharType="begin"/>
                    </w:r>
                    <w:r>
                      <w:rPr>
                        <w:lang w:val="English"/>
                      </w:rPr>
                      <w:instrText xml:space="preserve"> PAGE    \* MERGEFORMAT </w:instrText>
                    </w:r>
                    <w:r w:rsidRPr="009C7B82">
                      <w:rPr>
                        <w:rFonts w:eastAsia="Times New Roman"/>
                        <w:lang w:val="English"/>
                      </w:rPr>
                      <w:fldChar w:fldCharType="separate"/>
                    </w:r>
                    <w:r w:rsidRPr="007B16D9">
                      <w:rPr>
                        <w:rFonts w:ascii="Calibri Light" w:hAnsi="Calibri Light" w:eastAsia="Times New Roman"/>
                        <w:noProof/>
                        <w:sz w:val="44"/>
                        <w:szCs w:val="44"/>
                        <w:lang w:val="English"/>
                      </w:rPr>
                      <w:t>91</w:t>
                    </w:r>
                    <w:r w:rsidRPr="009C7B82">
                      <w:rPr>
                        <w:rFonts w:ascii="Calibri Light" w:hAnsi="Calibri Light" w:eastAsia="Times New Roman"/>
                        <w:noProof/>
                        <w:sz w:val="44"/>
                        <w:szCs w:val="44"/>
                        <w:lang w:val="English"/>
                      </w:rPr>
                      <w:fldChar w:fldCharType="end"/>
                    </w:r>
                  </w:p>
                </w:txbxContent>
              </v:textbox>
              <w10:wrap anchorx="page" anchory="page"/>
            </v:rect>
          </w:pict>
        </mc:Fallback>
      </mc:AlternateContent>
    </w:r>
    <w:r>
      <w:rPr>
        <w:noProof/>
      </w:rPr>
      <mc:AlternateContent>
        <mc:Choice Requires="wpg">
          <w:drawing>
            <wp:anchor distT="0" distB="0" distL="114300" distR="114300" simplePos="0" relativeHeight="251663360" behindDoc="0" locked="0" layoutInCell="1" allowOverlap="1" wp14:anchorId="2DC8596D" wp14:editId="39FB4E2C">
              <wp:simplePos x="0" y="0"/>
              <wp:positionH relativeFrom="column">
                <wp:posOffset>2118360</wp:posOffset>
              </wp:positionH>
              <wp:positionV relativeFrom="paragraph">
                <wp:posOffset>-183515</wp:posOffset>
              </wp:positionV>
              <wp:extent cx="4076700" cy="638175"/>
              <wp:effectExtent l="0" t="133350" r="190500" b="66675"/>
              <wp:wrapNone/>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76700" cy="638175"/>
                        <a:chOff x="0" y="0"/>
                        <a:chExt cx="4076700" cy="638175"/>
                      </a:xfrm>
                    </wpg:grpSpPr>
                    <wps:wsp>
                      <wps:cNvPr id="24" name="Text Box 12"/>
                      <wps:cNvSpPr txBox="1">
                        <a:spLocks noChangeArrowheads="1"/>
                      </wps:cNvSpPr>
                      <wps:spPr bwMode="auto">
                        <a:xfrm>
                          <a:off x="0" y="219075"/>
                          <a:ext cx="3834765" cy="419100"/>
                        </a:xfrm>
                        <a:prstGeom prst="rect">
                          <a:avLst/>
                        </a:prstGeom>
                        <a:solidFill>
                          <a:srgbClr val="FFFFFF"/>
                        </a:solidFill>
                        <a:ln w="9525">
                          <a:solidFill>
                            <a:srgbClr val="FFFFFF"/>
                          </a:solidFill>
                          <a:miter lim="800000"/>
                          <a:headEnd/>
                          <a:tailEnd/>
                        </a:ln>
                      </wps:spPr>
                      <wps:txbx>
                        <w:txbxContent>
                          <w:p w14:paraId="0861E027" w14:textId="77777777" w:rsidR="00EA4448" w:rsidRDefault="00EA4448" w:rsidP="00EA4448">
                            <w:pPr>
                              <w:spacing w:after="0" w:line="240" w:lineRule="auto"/>
                              <w:rPr>
                                <w:i/>
                                <w:w w:val="99"/>
                                <w:sz w:val="16"/>
                                <w:lang w:val="en-ID"/>
                              </w:rPr>
                            </w:pPr>
                            <w:r>
                              <w:rPr>
                                <w:rFonts w:cs="Arial"/>
                                <w:i/>
                                <w:sz w:val="16"/>
                                <w:szCs w:val="16"/>
                              </w:rPr>
                              <w:t xml:space="preserve">Contagion : Scientific Periodical of Public Health and Coastal Health </w:t>
                            </w:r>
                            <w:r>
                              <w:rPr>
                                <w:i/>
                                <w:w w:val="99"/>
                                <w:sz w:val="16"/>
                              </w:rPr>
                              <w:t>4(2)(2022)</w:t>
                            </w:r>
                          </w:p>
                          <w:p w14:paraId="2DE0F8FB" w14:textId="77777777" w:rsidR="00EA4448" w:rsidRPr="005F5B4A" w:rsidRDefault="00EA4448" w:rsidP="00EA4448">
                            <w:pPr>
                              <w:spacing w:after="0" w:line="240" w:lineRule="auto"/>
                              <w:rPr>
                                <w:i/>
                                <w:w w:val="99"/>
                                <w:sz w:val="16"/>
                                <w:lang w:val="en-ID"/>
                              </w:rPr>
                            </w:pPr>
                            <w:r>
                              <w:rPr>
                                <w:i/>
                                <w:w w:val="99"/>
                                <w:sz w:val="16"/>
                              </w:rPr>
                              <w:t xml:space="preserve">ISSN : </w:t>
                            </w:r>
                            <w:hyperlink r:id="rId1" w:history="1">
                              <w:r w:rsidRPr="00481FB2">
                                <w:rPr>
                                  <w:rStyle w:val="Hyperlink"/>
                                  <w:i/>
                                  <w:w w:val="99"/>
                                  <w:sz w:val="16"/>
                                </w:rPr>
                                <w:t>http://jurnal.uinsu.ac.id/index.php/contagion</w:t>
                              </w:r>
                            </w:hyperlink>
                            <w:r>
                              <w:rPr>
                                <w:i/>
                                <w:w w:val="99"/>
                                <w:sz w:val="16"/>
                              </w:rPr>
                              <w:t xml:space="preserve"> </w:t>
                            </w:r>
                          </w:p>
                          <w:p w14:paraId="2ABC9398" w14:textId="77777777" w:rsidR="00EA4448" w:rsidRPr="005F5B4A" w:rsidRDefault="00EA4448" w:rsidP="00EA4448">
                            <w:pPr>
                              <w:spacing w:after="0" w:line="240" w:lineRule="auto"/>
                              <w:jc w:val="center"/>
                              <w:rPr>
                                <w:rFonts w:cs="Arial"/>
                                <w:i/>
                                <w:sz w:val="16"/>
                                <w:szCs w:val="16"/>
                                <w:lang w:val="en-ID"/>
                              </w:rPr>
                            </w:pPr>
                          </w:p>
                        </w:txbxContent>
                      </wps:txbx>
                      <wps:bodyPr rot="0" vert="horz" wrap="square" lIns="91440" tIns="45720" rIns="91440" bIns="45720" anchor="t" anchorCtr="0" upright="1">
                        <a:noAutofit/>
                      </wps:bodyPr>
                    </wps:wsp>
                    <pic:pic xmlns:pic="http://schemas.openxmlformats.org/drawingml/2006/picture">
                      <pic:nvPicPr>
                        <pic:cNvPr id="26" name="Picture 4"/>
                        <pic:cNvPicPr>
                          <a:picLocks noChangeAspect="1" noChangeArrowheads="1"/>
                        </pic:cNvPicPr>
                      </pic:nvPicPr>
                      <pic:blipFill>
                        <a:blip r:embed="rId2"/>
                        <a:srcRect/>
                        <a:stretch>
                          <a:fillRect/>
                        </a:stretch>
                      </pic:blipFill>
                      <pic:spPr bwMode="auto">
                        <a:xfrm>
                          <a:off x="3667125" y="0"/>
                          <a:ext cx="409575" cy="542925"/>
                        </a:xfrm>
                        <a:prstGeom prst="rect">
                          <a:avLst/>
                        </a:prstGeom>
                        <a:noFill/>
                        <a:ln>
                          <a:noFill/>
                        </a:ln>
                        <a:effectLst>
                          <a:outerShdw blurRad="152400" dist="12000" dir="900056" sy="98000" kx="110015" ky="200017" algn="tl" rotWithShape="0">
                            <a:srgbClr val="000000">
                              <a:alpha val="29999"/>
                            </a:srgbClr>
                          </a:outerShdw>
                        </a:effectLst>
                      </pic:spPr>
                    </pic:pic>
                    <wps:wsp>
                      <wps:cNvPr id="28" name="Straight Connector 5"/>
                      <wps:cNvCnPr>
                        <a:cxnSpLocks noChangeShapeType="1"/>
                      </wps:cNvCnPr>
                      <wps:spPr bwMode="auto">
                        <a:xfrm flipV="1">
                          <a:off x="0" y="542925"/>
                          <a:ext cx="3667125" cy="0"/>
                        </a:xfrm>
                        <a:prstGeom prst="line">
                          <a:avLst/>
                        </a:prstGeom>
                        <a:noFill/>
                        <a:ln w="28575" algn="ctr">
                          <a:solidFill>
                            <a:srgbClr val="7030A0"/>
                          </a:solidFill>
                          <a:miter lim="800000"/>
                          <a:headEnd/>
                          <a:tailEnd/>
                        </a:ln>
                      </wps:spPr>
                      <wps:bodyPr/>
                    </wps:wsp>
                  </wpg:wgp>
                </a:graphicData>
              </a:graphic>
              <wp14:sizeRelH relativeFrom="page">
                <wp14:pctWidth>0</wp14:pctWidth>
              </wp14:sizeRelH>
              <wp14:sizeRelV relativeFrom="page">
                <wp14:pctHeight>0</wp14:pctHeight>
              </wp14:sizeRelV>
            </wp:anchor>
          </w:drawing>
        </mc:Choice>
        <mc:Fallback xmlns:pic="http://schemas.openxmlformats.org/drawingml/2006/picture" xmlns:a="http://schemas.openxmlformats.org/drawingml/2006/main">
          <w:pict>
            <v:group id="Group 22" style="position:absolute;margin-left:166.8pt;margin-top:-14.45pt;width:321pt;height:50.25pt;z-index:251663360" coordsize="40767,6381" o:spid="_x0000_s102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UrGJdTBAAAJgsAAA4AAABkcnMvZTJvRG9jLnhtbLRW227jNhB9L9B/&#10;IPS+sSXfhciL1NkEC2zbYJO2zzRFSUQokiXpyO7Xd4aUb8mmG6StABu8zXDmzMwZXn7ctpI8ceuE&#10;VkWSXgwTwhXTpVB1kfz2cPNhnhDnqSqp1IoXyY675OPyxx8uO5PzTDdaltwSUKJc3pkiabw3+WDg&#10;WMNb6i604Qo2K21b6mFq60FpaQfaWznIhsPpoNO2NFYz7hysXsfNZBn0VxVn/teqctwTWSRgmw//&#10;Nvyv8X+wvKR5balpBOvNoO+woqVCwaUHVdfUU7Kx4oWqVjCrna78BdPtQFeVYDz4AN6kw2fe3Fq9&#10;McGXOu9qc4AJoH2G07vVsl+ebq25N3c2Wg/DL5o9OsBl0Jk6P93HeR0Pk3X3sy4hnnTjdXB8W9kW&#10;VYBLZBvw3R3w5VtPGCyOh7PpbAhhYLA3Hc3T2SQGgDUQpRdirPn0z4IDmsdrg6m9aRh6yCV3hMv9&#10;O7juG2p4iIJDOO4sEWWRZOOEKNoCBA/o3k96S9IMvcHb4RhCSvwW1qEsAkIuIkuUXjVU1fzKWt01&#10;nJZgX4qS4MVBNOpxqORtUGfpYriHc4/3aD4az6aTiPc4XaSAPd6zh43mxjp/y3VLcFAkFuol2Eqf&#10;vjgfj+6PYHCdlqK8EVKGia3XK2nJE4Xauglfr/3smFSkK5LFJJtEFN6hohUeSEKKtkjmQ/zwHpoj&#10;dp9UGcaeChnH4J1UPZiIX0TSb9fbGDeURaDXutwBulZHTgAOg0Gj7V8J6YAPisT9uaGWJ0R+VhCh&#10;RToeI4GEyXgyy2BiT3fWpztUMVBVJD4hcbjykXQ2xoq6gZtiTih9BQVUiYD10arefEji5aURLIdf&#10;X/wwepHN3ydJkPIb9CUSbfsmHS21jxvzAXjKUC/WQgq/C5wLcUSj1NOdYIgvTk4KY7ovDNjGW8kY&#10;Id8fiiKQeYIFojmWgzOQfQjMcelFhZxrGeD0zIy1FGafnzjuHQbsnxHmNzCLZHyt2ablysfuYrkE&#10;37VyjTAOAp7zds1LKJTPZShZKAnLvoLdIQmdt9yzBnOzgiLp1yEhDxvB4qORaP+banw0nc5SqCDy&#10;LVJdTKDwA6dOxtkCToEx769xpRHA4A/WEc0PC31l0ZyHxgoMgdt6A8V535QdWcuN/UoBnXSSjZHm&#10;S4GkkkKfDhOIwgKGE0gQB34ssJYT8ogECcyUgg+PsIyn0xnUjazhReEloK79H8I3gYexp+Ct7pR8&#10;QAK+sE6laWikpGwBX49FfzzgcjA4zE58CcGJlBGGEJ1IFf9/M4FXUmwm995SJAiy0kpBXmlLQjz7&#10;1rBSsVGzreob9aFYAjwPOwMd6aybRBGUfz3TSAW18jsKhoie9uJjSkHc+3Z8yEbs499pKVIobJ40&#10;f6WlHLILaRs7RTYP6RzDz7yN4X61a8yGo+HV3oazxvMfdI3YI7CcEL9Ax+GpAY+xkDz9wxFfe6fz&#10;cP74vF3+DQAA//8DAFBLAwQKAAAAAAAAACEAbDadNxU1AAAVNQAAFQAAAGRycy9tZWRpYS9pbWFn&#10;ZTEuanBlZ//Y/+AAEEpGSUYAAQEBANwA3AAA/9sAQwACAQECAQECAgICAgICAgMFAwMDAwMGBAQD&#10;BQcGBwcHBgcHCAkLCQgICggHBwoNCgoLDAwMDAcJDg8NDA4LDAwM/9sAQwECAgIDAwMGAwMGDAgH&#10;CAwMDAwMDAwMDAwMDAwMDAwMDAwMDAwMDAwMDAwMDAwMDAwMDAwMDAwMDAwMDAwMDAwM/8AAEQgA&#10;rgCD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Vr4xX/h/Wfgr4usj4VsWt77Rby3kHmfNseB1ODtyDg9c8V+Mf7B3x70mH9m/wCG99rk+rf2&#10;X4F8UeJNB1NtIt5GmEN9pllNCimEear7rWQBwVyPM5YbsfeGrftNftda3DJHd/sg6DPFMpWRJPFc&#10;TI4PBBBnwQfevHvAXw3+Nvwz8P6tpOh/sM+CdPsNa1ZNZuoYfEkYV7hMBW/4+OMDjjjGeK9PGZLO&#10;tF2qQWlv4kP/AJI+uwfDeKoTU5SpO1/+X1Pt5S6b/nofRv8AwTl/bFtdbT4kXFvFeabY2d1bTSLq&#10;EGDGFtgpZMMSylEQ55JOR2xXzl8Ov2x/GHxa/wCCiSfEzVNSvNO8P20194Q0bWTZ2t3pui3U6QGO&#10;3RwWD+YURfN+UlZQCqsJWrs/h14y/aU+GdtfR6H+xf4TslvYlW42+J4v3iou1c5n5wpxj0rN+E2l&#10;/tEfBiTWrXQv2I/B8aa9ewapeQHxNDKklzEwaKchrhhvVlUhuMFFPUCow+R1o06cJTh7u/vw17dS&#10;q3DmJlUnNTpe9/0+p/P7R8T/ALXX/BTj9pzwr+31Y+K5LpfDvxQ8N6F/Yn2Sy0FPIezDSTMfIn84&#10;Mrb2bzBgFSCpArsPhf8A8HRf7QGo3lvpmqeG/h/4inUs7tFDNazXQVCxUBZtu84OAoGTgAZNfUnx&#10;G0b9ob4hfGzRfiFqn7E3hQeNvDkIsrDWI/FccdzbIfMYIGW4HGJZBg5BEhB4OK8l8VfsS+PPEXiO&#10;+1K+/YG+HrXl9M91OT4mjyzuxZmx9p7kk161TB80m17NL/HD/wCSPJo8G4+EEpV6cn1ftaf/AMke&#10;F/HH48+Lv2jPGPiLx/o802g+JPEurXENo0VxLbvZOyCIPG8TllyQxG1zw/U55/QLwF+394c+CHhj&#10;w18OPE174svtW03RLOK41HV54DFqMixorubiSYB3ySSSfxOK+ddE/Z7+IPhKOD7H+wv4KsvsWUiM&#10;ficRtCxIbKn7RkNlQQw5HY16h4q8X/tAfFDTrS1vv2MfCOoLYAiJ28SxtKgIAJDefnkAZPqAeuK8&#10;mWWY2lGUqMqUpdOacbb+Urr8T158KOvKMatWEY635a1K67by1Pnf9tHx3B4l/aB0f4naO2k+H/hx&#10;d2Yh1W5S8sbgSXILxRhhayyq7eYYnBYg4RgAcce8fsA/E/w5fWWqX3iy10nVvD+uXPnaVqKWjym3&#10;aMeW0cqtGGYPhSrJvUbTuKkgGv4k8CfGzxd8KtP8F3v7DXgeTw1ptx59vYf8JBEkIcksSVWcbiW5&#10;JbJJ5JrsvhFrH7Sfwh+Hb+G/DP7FPhaw0BppXjtk8URbYt/3wpacnBOTwepJrGpw7Xni4Y6pVg5w&#10;i4pc8OWzbf8AMur/AOBfU9b6lio5VUyWj7FUpzU2/bU+bRWS1k0lZet+ttDP8ZfETw/4r+JXgrVt&#10;P03WPEHiDR9OkSPSbu0k+zajJIGt4t7srNn53UdQvlqDhTvHI/8ABKqe38O/H74peD9W+1alrfg9&#10;LeePSJbjcuk3Exl+1lUk2xgu3kqNjNsX5TtLMD6tpfxK/ap0rUoLqH9jHwz51qNkLjxLETEMbeD5&#10;/px+frWf4J1v9pz4deMta8RaP+xH4C0nV/EEsk2o39nrFla3t40j+YxluElErgtzhmxkDjgV6lHA&#10;4nm9pUlT5tdVUj1Sv9ry9LdD5upwfXdP2MKlLl03q0ns20vi8/W+zPq6Ka4VlM2k/wBmxmMPG9zJ&#10;DtkPGVA8wZIyeh6jiqPg3xvceJNJmmv9Jm0W4t7qW38m5C/vFRtokQgklGxkEgZHtjPhsXx8/bAA&#10;Zo/2OfDQ38sy+KIMv9T5+T+NNX49ftfbt3/DHPhpuMZ/4SiA5/8AI9dX1Spe/ND/AMDh/wDJHD/q&#10;Ti7aVKX/AIOp/wDyX+Z9FNrm9WEa7sY4ELc/ieD+FNTxArnasMmfoMfrivnkfHv9r1Yf+TN/De0f&#10;9TTBj/0dTY/j5+17n5f2N/D/AK/L4nh2/wDo6n9Vn/ND/wADh/8AJC/1Jxn/AD9pf+Dqf/yR9FNq&#10;yk8sq+xK8UV5x4J8fftD654YtbrWP2ZNH0zUpd/nWy+JEYRYdgvImxyoB/GisHCSdrx/8Cj/AJnL&#10;LhPEJ2dSn/4Mh/meH6hqS+F/Dkmpa54qs9Pt432y3N1ciGBG7LvMmCxwcDOTjgU/wJrGneL9cka3&#10;8YafrUtjthu7ewlRjA75ZFYBiyll5AbhsHHt5x8fPhl4s8afFX4T+LdN0uHWLHwDq899faNbXSRS&#10;TI/l+XcxCYxo0sewttYqQcBSeTV39p3UvHXxa+HuqQ+E9L1Lw3qkGp2LyXDavbW954gsUEhuYEaK&#10;U+QV/dgNK67gXUEAsD+fwwdKUIPnV5b3aSj71tVu9Nfn2TZ9hTw8JRi76vfbTXtuevXGgXK3cci3&#10;GoJbtnMSgrwPQnkH8DV3TPD6pdNLjWmQtlTJPJtJ6YAztx+H5ivn/S4vEq/tB+J9Q0mG5tfAt54a&#10;FpFo7zoI59RDbmnhhV2SLEI8tidu9iDhvvjyzwj8PvitonwI+E9uja4PGHhvxSt3q5/tsSTLY+fc&#10;NKrM05jkjZGgHlLnOGyOWyU8DSlr7VLbt1Tffo1Z2vZtehawMXpzpbflfXU+stS8etb+JptDgu7G&#10;e6tES7ksLi6X7Rawg7VcQgFtm4ABjgZ6HPFUfEkmh+JtUSbxBaaTczzKIXmlhLSsuMY3YVgceh4y&#10;frXg+g/BnxJZftp6z4ybRptU0nUNKtYrO+DxN9nuYpY929ZJkdOFYgqCMHjk4rN8RaH8UPF5+Hd9&#10;J4bk0S+0PxasutpHrC3lxNpZlJlWa7ku3N3GUx8hjXAO1RgYqfqNObSVVWaT1a3abate+jVnp+l3&#10;HA03Zxn0Xb/M9o0z9nPwHLrSXGk+FlmuI53uJTczyXUMhKbCWV5GViVAHzA8DpwK6aHWPC+na0PD&#10;tsE0nUbmw89bKyn+zs1sCY92wL90FSPwr5H8d6jd+Krb41zXF14xXw3F4gMUHiDT4Y75vD9vaMjz&#10;JbMLqLYjfOgQLwpyxkY4X1jw5oeuah+054W8UaGuqQ/Dm48Bx24nncRxtdu8ksTy2u5XaTyWiBby&#10;+o25AHHR/Z7pQvKp0b7K6iml66tW309AqZbBR5pvo/8APc9K1L4Y6JqmtWtw0l2l5ZoRA63RWRVP&#10;XIAAOSOtdBokGsaXYW+mw6peR6bHHsiRZJNykHIJfeB6/wAPoc8Yr538P/Bj4v6l8D/C9sjapB8R&#10;rPxOb3U/EsmpI0M9n5spZiRJvkt2iaJBbeXwUPyKOa6HVvhB401v9pL4napcaTrS+E9Y8KpaaMEv&#10;vJhe+EUedsSyKVfcG+d1HzAnOcGiOHUJO1daX1VtbNLTXre662TukYyy6k/dlNW/y+fmfQ+mfEfW&#10;vDrrIqtryK48wXd9N+6HPOA6g9upzn6V1tr8eJGVvO8NeH7rciqzPFO7YGMfN5xPbr16+tfOn7Le&#10;jeLPDn7PHhTTvGn23/hKdPtpYL/7VcrcyZFxL5e6RWYNiHywDk4Ax2r0SN5baVfvqSMhiMZ/z61x&#10;1sTVp1ZU+fmSbV9GnZ7ryZwVcHShJwSWnVHuVh+2jqkaIq+H9NcRpsXYJ8KD9WbmiL9t7U3k+z3G&#10;l6c7WzlXjjndGCleEYMGOcEHPGfTk14ncTTJw8wO7HKyA5/ImqcemM/75ZI2XJ4eY7R7DNEcyrrR&#10;P8EYfUaT6H0Zaft1x2+3zvDiyknLH7cCWPb/AJZjp/n1q5Z/tzaOjYfw1eIvJ+S8B/8AQh7E18u6&#10;lBNIY/LuJIQjbm2kMGx6+1VU1I+UFWXzGUY3kDDH17fpWqzWts7fcR/Z9I+opf2ytH3/ALvT9ZjQ&#10;AAK0sbkcepfJor5f+23H94fhRVf2pV7IX1GmEctxc2U0Ih1C6uFbDC3sjjd3257H15PNY+raR4q1&#10;qGS1/sLXha8bGjtyjN+Jbn3yB1r9OIP2VvB8P3rW8l/3rlv6Yrw34g/tNfs7/A/xrq2g+MY7rw5f&#10;aNq50mb7aJ5A3+hJdpOBG7kRyq+yIEB5XDBEbaxH5p9U8Q6vw4fCU/8AFWqy/wDSaKPa+v5JH7VS&#10;XpGK/OR8caH8OfFlxAm3Rb23bkYnVVP0J3H9P/19jpngfxVZWS7dFtTcIp+aSZG3E8eo9uwr3bxj&#10;/wAFI/2X/B2nXVxpMF94u+x3+maYy6RotzcbrnUDdC2jBkChmYWkjYBJ2FWGQc10F1/wUX/Zx8N+&#10;N9O026htbPRtW8PQeIrPxHLooOmzxzXtxZpCDtM3mF7Wdw3l+WY42cOVUmqjkfiFLergoeka8/zl&#10;AmWbZOtoVX84r9GfNsvwz8WakgaS3sbdiANhdGUeo4H9alf4Ia5eRKsk2mq2QxCs8Yz77Rz+PWvo&#10;fxZ/wVw/Zr8CfDBfFEOpQ3sclwsUOn2misl9JGbtrZp9kiIEjTaZG8wqyo0YKh5Y0ftNS/4KXfCH&#10;S/GepaBo+oTa3qGi6FL4i1BbC08tbS0W7tLWNyZfLDCVrxXjZNyNHE7bsFN+n+p/HFX+JmlCn/hw&#10;0pf+lVjP+3Mrj8OHm/WaX5QPlPRv2aNUa6Wfybaa4DBllS3eWRcdMMy549uldBafsseJ9QvWk8nU&#10;plYg4j0yRmJ75PevoSP/AIK8/s5zpqzxfEqzmj0G3W61B4tKv5Es4mlhhDOywEAebcQofRpADg5F&#10;R+Kv+Cs3wX8K/Dvxp4ok166vNK8GapLobG1tHkk1W/igEr21unB3Bj5WZNimQqA2GUtr/qDxXLSr&#10;nr/7dw1Jf+lOZMuIsE9sJ99ST/JI8ntP2YfGVzAsX2TWvLUYVf7OMYH51o237H3i66jKNZ6zIrH/&#10;AJaPEpHtk49P8c12uuf8Fg/g/wCDbDxFJ4hl8Q+H5vDfi2XwlNBeaaS1y8N8tlNeRNGWQ20bmR2L&#10;MsgWGQeWW2q0V3/wWL+ENn8FdB8cM2vf2frVxb20tuLRPO0tri0vLqL7Q2/ylytjMuFdiCVJAQ76&#10;teGWaz/3jPMQ/wDDGhD8qTM/9ZqS/h4SHzc3/wC3HHyf8E+dc1aHZNpt5H/tLqUUTfmjA1r6V/wT&#10;51q2ZeFVVG0ibUC+fckAn9a1fF3/AAWm+Auhhf7H8Qaj4vzpd1qrroumyyNCkI+VHEgQq0mJApPy&#10;DyX3snGe21//AIKd/AnwlBbyat8QNP037RY2upAXFndKYoLnzPJd/wB18m4xOuGwVYBSASAaXhHT&#10;etXNsbL/ALjRj/6RTiT/AK1Vfs4ekv8At1v85M423/4J+Xsq4mbR9p6hrmZ//Za1dO/YHktYPLOo&#10;adGuc8LLJj6FsH8Kn0z/AIKp/CFfC8Oua9ql94R0i4sYb2O41e1MbFpLZLpoTFGXkV44ZYGYsoXd&#10;cRorM5Kgg/4Kv/BHVtf07StJ8S3Wr6hrHiCz8NadFDps8S6hdz3cdswheVER1haTfIQ3Co23ccA6&#10;f8QdyeX8fE4qp/ixVb9JIj/WzGL4IU4+lOP6plm2/YEsQcyalY/hpob9S9aVp+wnocH3tQ/792Ma&#10;f1Neb6L/AMFwf2f9T0jxQ1z4ivNL1jws6xSaNdWp+23kj29vLGkW0tHl2uEiG91+fk4Qq7etfsv/&#10;ALc3gP8Aa31vXtN8KyatHfeH/KeaHUbB7V5opI0cSoGHKgvtOcMCM42sjNa8FeEH/Ew85/4q9eX5&#10;1WiHxbmnSol6Qgv/AG0an7FXh1UA+3ah+EcYH/oNFezYoq/+IKcE/wDQBH/wKf8A8kT/AK2Zt/z+&#10;f3L/ACPMf2v/ANp3Tf2PfgXqHj3VtPuNU03Sru0iube2cLOYZbiOKR4wQd7Rxu8gTjdsxuUHcPjf&#10;4of8FQ/2TdW0i48Xar8MY9Y1a806bxBYz6j4asWm1M/apNNZhLud93mWzhmCsyxQs+CFAP6JXNnD&#10;eBfOijl8s7l3qG2nBGRn2JH0Jqq/hjTZE2tp1iy7duDAuMbt2OnTdz9ea/Uj50/O2L9uv9nXQ/2h&#10;vEHgTxF+z9pNtr9vf6ZqOnzaP4ft9UGozPCnlXU7+TGts8UtwsKO7Mf3u4FQWAb8Gv8Agq1+zF8Q&#10;oPB+j2/wv0vSbfxBpWm3d7ax6VaOul3E10ptLdEVQZdkt/fytxHJCPOYxAyuB+izeHtPeTcbGzLe&#10;Z5u4wrnft27unXbxnrjimx+F9MhPy6dYr06W6Docjt68/WgD82bf/goH+y9qGv694J8U/APwrp+p&#10;aHCl7FAdEsbvTXt2to7kSPKYlaNvNvJ12iNwMlyw3kLYg/4KP/s5weE/iJ8QPCvwO8NtJoeuaTol&#10;/f3OmW1i1/a3bQ3BubiSKCV1jtruJmkTbIAtskqsx+VP0ePhnTTMZP7PsfMYYLeQu4j649hQPDOm&#10;rDJGNPsRHN/rF8hdr/UY5oA/NXxn/wAFHf2QPDnhPWL2z+ALXD3FvYwaxa3HgK1st+mSX1ll5TtI&#10;aJTiWLePKlltFVZFLRuehu/+CjX7IHhvSbrRT8KdPHh++1wQ20Ft4X02SDVL5vtFs1ykIf7m2EIL&#10;ggKyzxANhuP0HPhTS2j2HTdP2ZLbfs6YycAnp/sr+Q9KdJ4a02X72n2Lc7uYFPOSc9PVmP4n1oGf&#10;nt8cv+Ckn7N2mftBan8P/H3wc0/WLLTSt/pF/wD2Bb6k+rNfrp+ob4bd4gQ8l3qE3mAOWEsQcg+a&#10;Sk7/APBR39kDREt9Ji+F8AjNtPLa28HhbTTBNFaQXgk8thL5bBI3u41wcP57rHuEhz+glzoNheIq&#10;zWdnMq9A8KsB09R/sj8h6VT0fwDofh+1aCz0rT4IWmuLgqsK/wCsuJZJp2/4HJLIzepc+tAH5/8A&#10;wL/bS/ZP+OvxW0nwjpvwT8Or4k8T6jqOhtt8Oae0aWOnzTxLNKzBJAjLbxlYTHuPmqEEigO0PwN/&#10;4KCfsoftOeIm0e3+DmhjxPcC+aG2uPD1hPA9vYTTJatLOoIVnWFCECv5TPtyyqJG/RKDw/p9rL5k&#10;VjZxvnO5YVU5yD1x6gH6gelJH4d0+KfzEsbJZAMbxCobHpnFAj82vAn/AAU6/ZV+LXgLw9J4o+BX&#10;k380MGmQadb+C4tVt7Rlx5WnwytFH5lxCkp328abomWVVDgI8h8Pf+Ckn7I91ofhLxU3wU0bSNct&#10;7OPXrhrXw/pkknh+7jjupwkU2UaS4E1sRHsVZG86Bgq7sL+kSeFdLj3bdN09dwIbFunzAncc8dyA&#10;frTh4Z01U2jT7ELjbjyFxjnjp/tN/wB9H1oA/PDx7+2d+zPLY+C/E1n+zzp3izwd40F1c6rqMPhO&#10;3m1DS5LH+zraxZrVYn8/zG1G0hjbzVaMSKACN4TpfhD/AMFSv2ffCXxSt9N8HfDa48P6t4o8RQeG&#10;1kstGtbG6vJZ4EkCuoKnzEnaOKSJj+63IXZHIir7sHh/T1tjCLGz8llKFPJXaVOMjGMYO0cew9KR&#10;PDWnRyK66fZKysrhhAuQV6Hp1Hb0oAu0UUUAN3UbqM0ZoAN1G6jNGcUAG6gvimPJioJLnFBSiWDN&#10;imtc471RmvsDrVWbVNveq5WaKBqNdYNMN5z1rjPHHxX0L4c6WL7xBrWl6LZu4jWa+ukt0dz0VSxG&#10;WPYDk1xcX7afwzbUbe1m8aaLYTXbtHb/AG+U2a3DKwVljaUKrkMQCFJ5OK6qeBr1I88INruk2jop&#10;4OtNc0Ytr0Z7OLzJp63Oa5231pZ0V1ZWVhkMpyCParltqO7vXM4mLptG0ktSB81nwXO6rcUmagzc&#10;SXdRuozRmgzDdRRmigAzRmjFGKAAnio5JMU5ziqtzNtFBcUMuLnaKy77Vljbb95vQUzVdRKnarYP&#10;Un+6K+c/2uP2ro/g74D1S+s5mt7WxnWxlvUUPJNdN/y7wAggsoy0kjBljCkAO+Qnm18XOUpQoNJR&#10;+KT1s7Xaitm0tW37sf7zul6+W5bUxVTkh/wF01td6vRJJt9D2Lxf8VdL8JSxxX19BDczgmG2XdNc&#10;zgddkKAu+P8AZBrzP4nftgWfgbw9qF5b6HruqTWcf7uBI4reSWVsLGhjlkWVdzlVyY/4u9fFfhT9&#10;rLw7qev30jad4j8Vahqlz5ejxXd99j0vxFItyqBmKM0o/clpMzu5woUvt+auT+N9j8T/AIbeK9Q1&#10;6Pxh4O8N/DeGaTWbfSor1IpDNBItzFZsTFGr7XQDzsSSHCny2JOPjMv4wyjE4ylCdWcoOdm05Ruo&#10;tJ2ScI2fkk7a2fT9HzLw+zHKq1KjUwcqkptaXje3W0FJSutY6OS5k1a6aX3VffDvw5qHh7XdN8V6&#10;jHrHizWrKN9Q8X2N6babSGZiWtrGX5japDJHwqAEgKZQ7Mznx2P9jPwb4r8cS3Xi74jXXxDt5h5E&#10;ljd6iqXF9biCABZHC/PKZUnfzBswJdwHmfvK+P8AxN+1p4t8V6Bofg6G7kurHxZGt3Lq2jX32tJH&#10;Ut5gffGsj7WBLBtjEjP11PilHc+BfB1rrmmx6pfXPh2FT5EVyI1vArbmeQ7SzckkhSCRwMcVpnGf&#10;UsXi5Sr05VJQUW2k7RXxJRSWkUneK2tofy9xVjsz/tPEYbG4Nynhny1E1JcrWvKopPRRd1pazskf&#10;oL4c8T6D8GfHek2PguG8s/BOoXSaPqOlNC6WOgXsiO9q9oXPEUgQxSImUMjRuoQtJu9203W95HNf&#10;kN+w9+1l46/an+PlrbtosVv4RsRbX2pyFWW4uJ7Sbz41i3HDN5qkon3vKE55J+X9Q/C/imHVbSG4&#10;t5llhmUMjr0INfpWExn1zB0sRUbc5JvVWbje0W/O2l+qUZfaR+mZVjJ5hl1HGVotSmm1dNOUU2lL&#10;X0av5J9T1XT7/fiti1n3CuJ0TU94HNdNp1zuAqJxCpCxuRtkU7NQ275FTDkVicsgzRRiigkdRRRQ&#10;BBO2BWZqM+xTWhdHisXVJMA1UTemjgfi/wCK7rQ/CjLp8gTVNWnjsbJiu7y5JWCiTb/EI03SkdxG&#10;1fLn7ZuiLL4TsdJtILNvDuikaXOl1Gsv2meYRyMjPICEeWNTEJ2GRJd7sgjNfQfxcmI8W+BVP3V1&#10;aYj/AHhp94APyLflXC39np2u+Bdbh1iGG40+8vL8XizDKsizyLz9ERcHqNo9K+Zo5X/amUfUXJwd&#10;WnZyW6copuXq5STfe1nufY4SssJLDNR5k25yX81pOCi+6STt/iZ5H+zR8PPhR4atLq10jS76TT9U&#10;iubi/m1m6mfU7GRldprcxsu2Ij51jAAUgAhyfmPhfi/w58Gv2lPhlcfD+Ndc0nUrrxEbW11rUL62&#10;DRahA7WphW1WV5JbdhM7GVRtwoIbcoWvUvEnwg+LnxJ+G9r4d8C+KNS+FEHgq5uJrXxH4q0iW1uT&#10;bvvxZx6pI7s0O2TdtEKxgKE3PswfDf2Rf2WNR8BfE3VY/EUmmt4612+8w/ECy1LT7jUPsrAqYYXa&#10;4VlRnG4yxAuFAUJjFfA4fw/4gouFGeNT9nJ2l7OD5ouycXrfveUYpvc+pxXEWHwc/r+V5h7GopJc&#10;jlNy91u0pe7yS0+zzSVtNS//AME4/gp4P+AX7SEdjr3iSPxRo0iiyt7e20uWS4vZnk8iPyGzuj2s&#10;wkLrtYqilQRyPf8A/gr38d/Efg/4S6Tp/gnxRb6f9h+J2keHdU+z6iTNpjywzyQJKAG3qI/KeRHI&#10;ztXOcMK2j8DPA+ifDfS/Beh3um6L44+J3hvXfDV1qmsY87S5TpwR9iKwKqJn378FyrsQdjgHy3xx&#10;N4B8b+CPiRrHibxxoo8Uarf+H/FVlpXhjxLHZfablNPFrcwjzojKo8++uZNrRCQ7Ez9xgP1TDyp4&#10;GH1WrJt4dPm31aSlJpK7suZNb3+4+DzzEcT5zmUswzdqc67vHljyrli3TUpWtFOThbRJJW1e513w&#10;0+H2sWPwo0PVNLt7GTSNYS5v9VvLSRWk0bUI7mGCCcoSHZXYsS20IUjYNjjf658K/GH2iexuBH9m&#10;t9ejaV4M5Fpep/rovqcOSBgbonPVjWT4Ln0rwd+yNodpp+jy3XiDxpeXWjNe6ldrdXUFjY3csTS7&#10;1ROwcgBQA8/JPAOX4GuTDoiyI237N4ouPKP+/dyI/wD6MkFdOWyqTyzDYmrLmnbd3u4pQs9dXvNX&#10;fkvsq31eeVY4nD1a3LbkqPl78r5k9nrsoryje173+kPDuo528122kXW5VrzHw3dcrXfaDPlBXpVY&#10;nw+IgdhZy7lq9GcisvTpMgVpQniuOW55cySiiikZhRXPfDz4o+H/AIraOb/w/qltqVurbX8vKvEf&#10;RkYBl/EDNV/G3gTVPEOpw32k+KtY8P3EMfl+TFFDcWc/JOZIpEJzzjKMhxjnisadaFSCqUmpJ7NN&#10;NP0exjKt7nPTXN6Nfhdpfib90MisPVVyPxrcdHWBVkZXkUAMwXaGPcgc4+maydThyDXRE7qbPIfj&#10;rp0w0C31S1jkmuvD14mpRxxqWeRFDJOqr/EzQSTKo/vMteXeNbFde8KeKdJtJPtEOqWsl9YmCTi4&#10;inTLbGHcybzkdBIh7ivoXXrTIPFeF+NvBV54GvVk06OSbS45WltfLQu+ls5+eFlUFntXPPygmJsH&#10;BRR5flU67yuqpT/hJ3UukV/LLsltF6RsoxbTV39Tgant6UIw/iU3eK/mT3ivNP3orq3JLVpP5m+B&#10;vgufxBoHiL4b+HPiR461m5/t03ujzahYs0Ft5MqzxSytI5EqNIuXbCkyK4Kbwd13wN+yP44vfiFq&#10;nhe58efD/So7iaQ6t/Zss13dy3EkSxyKwlbfHM0Ui4JfID5UDbX0d4F8YXnhK6um0YWsYkYy3ek3&#10;0e5Y3bkvGykMm85O5dyMcnbuJNea6R8CdA8JeO7rxJpugX8Gs3c3nPPd+K7q+QkAeXvVolaYR87P&#10;McsoYgNjAH0sYKtavTUKi3i3a8b27+mtr6+Z8ZiuDadepCVCT5Vp8VnbXRq61vZO3ReiPjH9uf4l&#10;6h8Xvj1p+reIof7F8Lx6dHL4Xa9E9xFrVpkqt+8mwtMJuWVSNixhAVD7q97/AGe/299c8e/soa34&#10;LuLfwiBo88WnQ6u2m8z2siSfL5QiK7wEwJCoO08jd81bPij4paf8W/2avAfwt1fw/wCHvtvwn062&#10;0PUZNTtI5pVurWBIN8W9T5cUsapKuPvq6EnjFfLvxQ+G7/DfUo/FnhuS10eVtTWxZo7GI2AJgcfc&#10;MZTG1d2CpOSWrwcx8YOHs7q1PD/AUJ08fFuKrNJU1KGsnzX9pdxTV+Xl6xbSjf77C+BPGGfctTAY&#10;ynThU92ClOa5YvZvli0l1vG89b8t7nofwu8Qaz8CfEV1qXhuVte8K6fbTX+v6JZwTGPTbGMPLNdw&#10;BkVIPLyzsikJJuYbd7Kw+r/AGizW0eg6fNsa6haTVtQKHcgmkLsQPYyyuy+0Rr5R/Z0/bf8AE3hD&#10;wD42+Ftzpfh/xRefFrSLzRdMuNPsYrW5tr2a2kij83y4lEluu4u+RlFDvnGQftf4a+DG8N6XHFJI&#10;bi6ZVE0xH3iqhQB6KAAAPxOSST2ZXk2MwWFhh8bVVWSb95Xa5fdaV37z1Vtel1skbZhwLxBwZRXD&#10;3EFaNapdTU4ylJOFmopOVp6PmXvxT7e6o39B8NDG2vQPD/Ra4vw5ZYK8V3ehQbUFehWZ8vipI6XT&#10;DwK1YOgrN09MLV+SX7PbNJseTYpbagyzewHrXnzklqzy56liiuPlvfG19K01tZaDZ27n93DdSSPM&#10;g/2iny5PXAzjOMmivl3xRG/u4Wu139k1fzs7P70n3R0fUX1nH/wI+MvDfgCH4d/EO3m8C/Gj4afa&#10;pmRIF/4SOFZpWP8AyxaNdyyDPHo3XA6D7H+F/jPXrq0az8XWui2eqW4w01hfpJDP2+4cOhPpgjg8&#10;jpX5Px/sky+PLT7RrFnofwxv5ELrNPrto2m3DYzzA05uYM55KCUZOBGgFevfs8+CPjZ4L0C2jj8R&#10;eAfG3hOEBEt7vWmvFtFzjbFPErSQnrhCdv8AsGvWjkOQZFSniaGOjTprWSnUioLzu20vvXmz8c4T&#10;4jxixywuMwNWMJ7ezTk15unNRnbzVvK5+mTkSLlTuHqK4H4k/F+w+Fsjy+IrLUrDSR01WK3a6s0H&#10;/TQx5eL6uoT/AGjXk/gq41Dw/bw3mm65aaPeSDNxYSzvNGpHOBJ5YWQehKK3tXU6b+2X4WsL3+zP&#10;FepaVpV4yncZWe3Vh0yUmVSAfbOa24fzrLM4lL+ya0MUo/F7KcZterg5W+dz9hz7CU8DQjWWJjBS&#10;29ouR37OE3Fv0TudXoni/Q/iLpX2zQtW03WLVv8AlrZ3KTKD6EqTg+xrL1nRt275a8l+IX7MPwl+&#10;K2oSeKvAfjbTvBeuQuHfUfD+pxLBuPTzIlcBST/dKZPXNdR4Msfir4Kto4dabw/8RNLxiPUdPkFj&#10;qLL6tG/7iT8JF/Gvqq2DoxV6NTXrGa5ZL5/C/vT8j53LM+xnPyYujePSpSlzwfqlacX/ANuyS/mM&#10;H4g/BG08U3y3kV3qmk6hGcpc2NxtK56/IwaPnjJ25IGCcVgy+FPGWj6Y0cesaHqk6/ckvNJ8p2H+&#10;2Y32591QfSvZr3Q5vE8EMsbX2mxLuWeCSDZKxI4G7kDB5yuQfXGc5Q8EXlnPzfPcw91mhXf+DLtH&#10;5g18vWyrBe0S+rp33a5VZt6tptX73SZ99SzKdSC5pbWtdJt9lezdltZ6LsfLHxY/Zb8RfFzXbXWL&#10;680XSdatUWH7fpKyw3EsIJYQyGTfHJHktgPGSu5ihQkmu0/4RXx9qvwNl+HeoN8I5PC9whSSD/hD&#10;7x5j/wBNfM/tEZn7+aFBBAIAr3Cbwxz92sfRFk1jW9StG0fVLOOwZVW6uERYbzOc+VhixAxyWVeo&#10;xmu3B5LgaFd4ynSj7TlUebljzcqtZc1uay6RvZdj0J8SYy1Kk6rShLmgkklGS1UlypJNdHv5nh/7&#10;OP7D/hH9nnUZ9T023utS1+6QxSapfuJJo4yQTFEAAsUeQOFGW2ruZiAa930bRdpX5at3YsdBTdeX&#10;MNuvrI2Kkh8eaBpumtevdTSWsYLGWGzmmXA642oc/hXqynOepx5pnVfGV5YjGVXOpLdybcn6t6s6&#10;LQdK27eK1/EnjLRfhj4Zm1jX9StdK021GZJ532qPQDuzHsoyT2Bry7WP2m7ix0qWbwx8OPiF4ukw&#10;PJMWmf2fby5zj97ctGdvH3gp6ivif9r/AP4KXfGL4NeLbPU/G3w98B/DfTJGEemvrN1banqROeTE&#10;IZppNo/icW23OAeSKVDCurWVOppfp9p+iSb+dmkeHjKOMnHkwcOeo9or3nfzjF3+Wl+6P0m+Dvxr&#10;h+MiteaPousQ6CozFqN/F9lF76GGI5kZf9pwg543c41vGnxVt9BsLqHTJNOvtaT5IbOS6VN0nbcR&#10;nA7nGT7V8TfCf9rnxN8YvBFlqVx8ZvDs2mTxbpIvDsFlOZM4O0uyK4cA8p5KsO6irPxL+NHh268G&#10;XWj6hpfiS8sJo8TO+nT6Yl8vIxJNEqttPoEKnjjgV4WfYidCt7HLaE8VJu0o0HCUqfnP2kqaTXbv&#10;0Pm8LmSw9CcM6jUoVdoe0h7NTl/dUVVla+y5ZPzZa8TftL/EY+Ir7/i6fhe1KzuDBZ3dpJBAQSCi&#10;ny2JCn5eWJ45Oc0V80z+O9D0iZ7fRm8C6VpkbHyLRfiJcx+SDyRt+3R4OSSfkXkniivF/wBXKD1l&#10;PGJ9V/wya+7Q+N+r8ay96GX12ns1RrtNd0/ZrTtovQ4Pwnf/ABg0aCH/AIW94F0nTbCQsv8Aa3iC&#10;/h8Jas4U4JQtj7Sc9WNtM5/vV1/hz4i/C3w54wV9L+N17pNwkQZZ7bRbw7JSeYVmPlKwH/PQhFPo&#10;K+GdL/bOuLlJpLjxNrR85zNNBfl7qO4c9WdG3o5PqwNeifCu00T9pG2hl1Dxp8KfAKM4Jnu7mOHU&#10;JB6C0SSOEA+pKsPTtX0tTA0s3xrlmuTPDrrKGi+adr/9uXfl2/saX0b+Acrwf1vPsxrVZdJYeThJ&#10;Pu4KDbt/ek/Q+7bX9pXU9Oktf7K1i+8ZQI5e4lgvLCdpk4wD5An8s9c7iTz7V2Gh/tY6D41sW07W&#10;PDF9dBjg2s9oLy3U+rEck/SKvlvQPBvw5/ZO0Bda1D4h/C/xEoYtbzajaxtOSOf3YieZ2I4+6hxX&#10;L+JP+C4Wi6DqFxb2Phe81qNAVW4g1BoYJvTCyQhgp91/Cvicy4Ay2nj1iMi4WpVJQfu16dX6vNNv&#10;VtNvnfm2mttj80l4W4zGVpwyHPq9TCPRwxOHU7paW524287b7tH2BrPw3+HOsym/tbGbw9LsI3W9&#10;1cWqK5H3ik4D49kCj0xXk/i39kDxpe3E158PvFnw9uLlzvXOoXfh+6Ruxe4tJ5ZZD7sn4V8a/Ej/&#10;AILMeM/E/mJoPg3wRoEbE4lm09L64H/Aiqr+aGvBPGv7YfxM8fXck194v1SHzDkpYlbGMduFhCAf&#10;lX6flFHxDxDtmHsIU9Ek51JVErdZJyjJ+enzO/Lfo35Ph/3tOrKnUer5VBRb/wAKV0vLmZ+iOm/F&#10;T9tL9mLxbHZteabrljdYZEu/iZYakmOei6jZxTFTg4Cup4PJr2Tw3/wVu+JXhq18rxp4X+HNvcRf&#10;K8n/AAkunW6n/vm+lJP/AABfpX41yfE/xd44jh026vr/AMSBRiGC9j+3yIoycIXDOo6n5SOpr1b4&#10;Rfs+eD/HnwybVvE1j4z0m+jurzc3hzTG1KHybeKJ5N4MhMTp5m5t+AFK9M8fVVuHXOlbMJXb0fIk&#10;n/4ElGR9FR8LqGX2nUruXlyt/hzr9T9RdR/4LSaNbTp9ovPB1v5w/wCXTWILjYfQ7pdv5Ulp/wAF&#10;efD2vbvL8c+HbPB+YPc2g2e5I34HvX5qy/sjeBn8QppsNv8AGazu76a2XT47rwg1xJdLM7pjZuhw&#10;28BFwzb23LtBFZkH7MfhjVNF0++uH+L8NglnBNdiLwWXt2mkZdpikDqojkUna21znH3gc18ZifCf&#10;JcRLmli8WvJYirFfdFr8z3Fw/hrcqdOPmqDb/wDJpzX4bn3D8Wf+C7mh+C9bmtdNvNY8SlV4vdMn&#10;WOBm4+UblRzjJ5wB6E15T4m/4L9apNCyWXhfV9SO7cH1PWmABHQ7VUgfhz7mvms/sh6DcTSxafJ8&#10;VtRurKyW9uLU+CHt5CiygTNzKxSNUZV34b94QCOVzfuP2PfBN/e/8S7Vvi99nmuIoYFuPh9J5jBl&#10;kznbNtyGQAjP8WBu2M1dtHwn4PhT5KtGpUet5Sq13J3tfXnvr/n3Z6tDJ8sp29pOUl25VFf+SQi1&#10;99tPI9L13/gup8RtRjk+y+GPC8MjghHuWuLjy/cDeufxrtP2Kf8Agn9b/wDBQPw/4i+JPxR+JWsa&#10;ffS3jWltdQzQfaLhkznyxMu2OIfOoVcYAU4AJUfJHxd+EPgf4d+FY5bTWvGz61cWqPbWuq+Gjp8U&#10;8nnEOwdpCfLEO3GASXyDgAE9/wDsmf8ABRbWv2XPC502OSSawbPCyeW1ueBkZVlZSADjIIYk5PAH&#10;g5n4X5NknJjeGMG6ftJ2runFyqzgoycUpTlzcnPyucVJKS3vax894l4LOK2Sxhw1C75rSi3OPNHz&#10;koymlo1omnJrmtFNmj8dbTxd/wAE4fjDrWn/AA98cX1jZXERzPA8ckF+iuEy8e3yi43Ah1XBUnG0&#10;5zb/AGff+CnvxMtvEsdr4m+Itjb6bKTul1jw8uoWr5OSJTbhZwvpsDdegFfPX7c37V8nx7v7vUUb&#10;y7zVCtrBaLcGZo+qoc4XLBXOSAAdq98k8VpVgNL0y3tVbctvEsYPrgAZr7bI+Hctx8JVsfg4ubd0&#10;6sIOrGO0IylaTbSTavKTimld7nR4Z5fm/wDq/DL+IavPiYx96aS5krtRV5Ru3Zc15RTs1dI/Vw/t&#10;a/DK7/eXVn+zZqly3Ml2tlcQCdu7bDpkhH4uxPUmivyror6pcP4NKyT/APApf5nt/wCpOLW2Z1//&#10;AAP/AC0PXfiP498P/G3xB/ZfhXwh4X8MxzHP269uorFsZ5JYukSdenzEjpXpfwo/Yw+HOj6jZ33i&#10;74tfDXWYlXdPpdt4hW1jL54UzgFmXHXaqn0NfK9FXnOBzDFtPCYr2Pe0Iyb/APArpL0SfmdtDhH6&#10;ngIZZleInSpRVtZSqTd/+nlSUpLys1bofp1fftGeC/gR4ctNA+HHg/8AZ/1OWePzPO/4SqwS3hGG&#10;w001xIsskmQPlJJweWHAPg3xp0Xxl8fIWuPGXxq+B/h/SWYKujaHrUDRqODjyrVWDgc8yyHlevTP&#10;x9RW+DwNalCMatVza3bSTf3JJfJHk5f4b4TL3KvgppV3/wAvZxdSd+/vyaT9EvO57hqPw9+A3gAj&#10;7b8QvGnjy4U/NB4f0BNNtye4+03UjN7ZEB9ea53V/jP4M0ZFj8J/DHSLNojlL7X9Qn1m8z2JT91a&#10;N9GtyK8xorpjhus5OXq7fgrL8D7ingLfxakpvzdvwjyx+9G94o+JmueMIzFe3zC0zlbO2jS1s4/9&#10;2CILEv4KK9c/Zr8Xaho3wo1qO18L67rNvEt39ouLDxlPo6rGy2+5HgU7ZE2qSwAy4YZIEfPgtOhu&#10;JLZy0btGzKVJU4JBGCPoQSD7GnWoKUOSOn3/AKNGmIwcalP2cbJXv1/Rr8z6w034w3HieJ7hfAvj&#10;3UreF4VuCPiddBo50kYliWTAcvjbkHaQT8xYYm0XxxqkcT2s3w7+IlxJp99MLh4/iTcwO0Aka5W1&#10;bMZXMcM0KswALeUHAUl6+SWnkeFY2dmjjJKqT8qk4zge+B+VNrleA7P/ANK/+SOF5NHZP/0v/wCT&#10;/r5H1vovxcurqU3N94D+IEWoWtvdHTr1PiJexywxLcOQkhbOEVQsWU2BjEpwSxNWf+Fn6/aWcize&#10;AvH32ZdQZ9PSH4lXcbWpkjtY1UjBDg+fP84CuTfOpYBMV8f06CeS1mWSN2jkQ5VlO1lPsaHl+t01&#10;/wCTf/JEvJY3un/6X/8AJn0z8WLmy8fXssN98LfFVxqPlOLS41H4gyahLGrJIsbKZIsMEdVJAAys&#10;YUhSS9ZHir4d6De+Er2SX4F6jYvqFvN9ini8Ws0EO9WaF/LkjfzDHxkFgHCkYBOR8+y3Ek4Xe7P5&#10;a7V3HO0eg9uac95NLbRwtLI0MRJRCxKoTjJA6DOB+VUsHNJJS0/7e/8AkjaOWyjFRUtPWf8A8met&#10;ap8SvgXd38U1p8BW0sLPDKy23jCfhUXDxoXgYqrsSxJ3MDgAgZz5HMytMxjUpGSSqk7io7DPem0V&#10;1UcPCkrQv97f5s7MLg6WHVqV/m2/zbCiiitjqP/ZUEsDBBQABgAIAAAAIQBJRSQR4QAAAAoBAAAP&#10;AAAAZHJzL2Rvd25yZXYueG1sTI/BboJAEIbvTfoOmzHpTRckoiKLMabtyTSpNml6G2EEIrtL2BXw&#10;7Ts91ePMfPnn+9PtqBvRU+dqaxSEswAEmdwWtSkVfJ3episQzqMpsLGGFNzJwTZ7fkoxKexgPqk/&#10;+lJwiHEJKqi8bxMpXV6RRjezLRm+XWyn0fPYlbLocOBw3ch5EMRSY234Q4Ut7SvKr8ebVvA+4LCL&#10;wtf+cL3s7z+nxcf3ISSlXibjbgPC0+j/YfjTZ3XI2Olsb6ZwolEQRVHMqILpfLUGwcR6ueDNWcEy&#10;jEFmqXyskP0CAAD//wMAUEsDBBQABgAIAAAAIQBYYLMbugAAACIBAAAZAAAAZHJzL19yZWxzL2Uy&#10;b0RvYy54bWwucmVsc4SPywrCMBBF94L/EGZv07oQkaZuRHAr9QOGZJpGmwdJFPv3BtwoCC7nXu45&#10;TLt/2ok9KCbjnYCmqoGRk14ZpwVc+uNqCyxldAon70jATAn23XLRnmnCXEZpNCGxQnFJwJhz2HGe&#10;5EgWU+UDudIMPlrM5YyaB5Q31MTXdb3h8ZMB3ReTnZSAeFINsH4Oxfyf7YfBSDp4ebfk8g8FN7a4&#10;CxCjpizAkjL4DpvqGkgD71r+9Vn3AgAA//8DAFBLAQItABQABgAIAAAAIQCKFT+YDAEAABUCAAAT&#10;AAAAAAAAAAAAAAAAAAAAAABbQ29udGVudF9UeXBlc10ueG1sUEsBAi0AFAAGAAgAAAAhADj9If/W&#10;AAAAlAEAAAsAAAAAAAAAAAAAAAAAPQEAAF9yZWxzLy5yZWxzUEsBAi0AFAAGAAgAAAAhAAUrGJdT&#10;BAAAJgsAAA4AAAAAAAAAAAAAAAAAPAIAAGRycy9lMm9Eb2MueG1sUEsBAi0ACgAAAAAAAAAhAGw2&#10;nTcVNQAAFTUAABUAAAAAAAAAAAAAAAAAuwYAAGRycy9tZWRpYS9pbWFnZTEuanBlZ1BLAQItABQA&#10;BgAIAAAAIQBJRSQR4QAAAAoBAAAPAAAAAAAAAAAAAAAAAAM8AABkcnMvZG93bnJldi54bWxQSwEC&#10;LQAUAAYACAAAACEAWGCzG7oAAAAiAQAAGQAAAAAAAAAAAAAAAAARPQAAZHJzL19yZWxzL2Uyb0Rv&#10;Yy54bWwucmVsc1BLBQYAAAAABgAGAH0BAAACPgAAAAA=&#10;" w14:anchorId="2DC8596D">
              <v:shapetype id="_x0000_t202" coordsize="21600,21600" o:spt="202" path="m,l,21600r21600,l21600,xe">
                <v:stroke joinstyle="miter"/>
                <v:path gradientshapeok="t" o:connecttype="rect"/>
              </v:shapetype>
              <v:shape id="Text Box 12" style="position:absolute;top:2190;width:38347;height:4191;visibility:visible;mso-wrap-style:square;v-text-anchor:top" o:spid="_x0000_s1029" strokecolor="white"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gqIwwAAANsAAAAPAAAAZHJzL2Rvd25yZXYueG1sRI9Ba8JA&#10;FITvhf6H5QleSt00lCKpawhS0WusF2+P7DMJZt8m2a1J/PVuQfA4zMw3zCodTSOu1LvasoKPRQSC&#10;uLC65lLB8Xf7vgThPLLGxjIpmMhBun59WWGi7cA5XQ++FAHCLkEFlfdtIqUrKjLoFrYlDt7Z9gZ9&#10;kH0pdY9DgJtGxlH0JQ3WHBYqbGlTUXE5/BkFdviZjKUuit9ON7PbZF1+jjul5rMx+wbhafTP8KO9&#10;1wriT/j/En6AXN8BAAD//wMAUEsBAi0AFAAGAAgAAAAhANvh9svuAAAAhQEAABMAAAAAAAAAAAAA&#10;AAAAAAAAAFtDb250ZW50X1R5cGVzXS54bWxQSwECLQAUAAYACAAAACEAWvQsW78AAAAVAQAACwAA&#10;AAAAAAAAAAAAAAAfAQAAX3JlbHMvLnJlbHNQSwECLQAUAAYACAAAACEAaqoKiMMAAADbAAAADwAA&#10;AAAAAAAAAAAAAAAHAgAAZHJzL2Rvd25yZXYueG1sUEsFBgAAAAADAAMAtwAAAPcCAAAAAA==&#10;">
                <v:textbox>
                  <w:txbxContent>
                    <w:p w:rsidR="00EA4448" w:rsidP="00EA4448" w:rsidRDefault="00EA4448" w14:paraId="0861E027" w14:textId="77777777">
                      <w:pPr>
                        <w:bidi w:val="false"/>
                        <w:spacing w:after="0" w:line="240" w:lineRule="auto"/>
                        <w:rPr>
                          <w:i/>
                          <w:w w:val="99"/>
                          <w:sz w:val="16"/>
                          <w:lang w:val="en-ID"/>
                        </w:rPr>
                      </w:pPr>
                      <w:proofErr w:type="gramStart"/>
                      <w:r>
                        <w:rPr>
                          <w:rFonts w:cs="Arial"/>
                          <w:i/>
                          <w:sz w:val="16"/>
                          <w:szCs w:val="16"/>
                          <w:lang w:val="English"/>
                        </w:rPr>
                        <w:t xml:space="preserve">Contagion : Scientific Periodical of Public Health and Coastal Health </w:t>
                      </w:r>
                      <w:proofErr w:type="gramEnd"/>
                      <w:r>
                        <w:rPr>
                          <w:i/>
                          <w:w w:val="99"/>
                          <w:sz w:val="16"/>
                          <w:lang w:val="English"/>
                        </w:rPr>
                        <w:t>4(2)(2022)</w:t>
                      </w:r>
                    </w:p>
                    <w:p w:rsidRPr="005F5B4A" w:rsidR="00EA4448" w:rsidP="00EA4448" w:rsidRDefault="00EA4448" w14:paraId="2DE0F8FB" w14:textId="77777777">
                      <w:pPr>
                        <w:bidi w:val="false"/>
                        <w:spacing w:after="0" w:line="240" w:lineRule="auto"/>
                        <w:rPr>
                          <w:i/>
                          <w:w w:val="99"/>
                          <w:sz w:val="16"/>
                          <w:lang w:val="en-ID"/>
                        </w:rPr>
                      </w:pPr>
                      <w:proofErr w:type="gramStart"/>
                      <w:r>
                        <w:rPr>
                          <w:i/>
                          <w:w w:val="99"/>
                          <w:sz w:val="16"/>
                          <w:lang w:val="English"/>
                        </w:rPr>
                        <w:t xml:space="preserve">ISSN : </w:t>
                      </w:r>
                      <w:proofErr w:type="gramEnd"/>
                      <w:hyperlink w:history="1" r:id="rId3">
                        <w:r w:rsidRPr="00481FB2">
                          <w:rPr>
                            <w:rStyle w:val="Hyperlink"/>
                            <w:i/>
                            <w:w w:val="99"/>
                            <w:sz w:val="16"/>
                            <w:lang w:val="English"/>
                          </w:rPr>
                          <w:t>http://jurnal.uinsu.ac.id/index.php/contagion</w:t>
                        </w:r>
                      </w:hyperlink>
                      <w:r>
                        <w:rPr>
                          <w:i/>
                          <w:w w:val="99"/>
                          <w:sz w:val="16"/>
                          <w:lang w:val="English"/>
                        </w:rPr>
                        <w:t xml:space="preserve"> </w:t>
                      </w:r>
                    </w:p>
                    <w:p w:rsidRPr="005F5B4A" w:rsidR="00EA4448" w:rsidP="00EA4448" w:rsidRDefault="00EA4448" w14:paraId="2ABC9398" w14:textId="77777777">
                      <w:pPr>
                        <w:bidi w:val="false"/>
                        <w:spacing w:after="0" w:line="240" w:lineRule="auto"/>
                        <w:jc w:val="center"/>
                        <w:rPr>
                          <w:rFonts w:cs="Arial"/>
                          <w:i/>
                          <w:sz w:val="16"/>
                          <w:szCs w:val="16"/>
                          <w:lang w:val="en-ID"/>
                        </w:rPr>
                      </w:pPr>
                    </w:p>
                  </w:txbxContent>
                </v:textbox>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4" style="position:absolute;left:36671;width:4096;height:5429;visibility:visible;mso-wrap-style:square"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vNWxQAAANsAAAAPAAAAZHJzL2Rvd25yZXYueG1sRI9Ba8JA&#10;FITvBf/D8gQvRTdVEJu6itZKqyA0sRdvj+wzG8y+Ddmtxn/fLRR6HGbmG2a+7GwtrtT6yrGCp1EC&#10;grhwuuJSwddxO5yB8AFZY+2YFNzJw3LRe5hjqt2NM7rmoRQRwj5FBSaEJpXSF4Ys+pFriKN3dq3F&#10;EGVbSt3iLcJtLcdJMpUWK44LBht6NVRc8m+r4FFu0E0O2frT3N/3u+zt+XTSWqlBv1u9gAjUhf/w&#10;X/tDKxhP4fdL/AFy8QMAAP//AwBQSwECLQAUAAYACAAAACEA2+H2y+4AAACFAQAAEwAAAAAAAAAA&#10;AAAAAAAAAAAAW0NvbnRlbnRfVHlwZXNdLnhtbFBLAQItABQABgAIAAAAIQBa9CxbvwAAABUBAAAL&#10;AAAAAAAAAAAAAAAAAB8BAABfcmVscy8ucmVsc1BLAQItABQABgAIAAAAIQBPQvNWxQAAANsAAAAP&#10;AAAAAAAAAAAAAAAAAAcCAABkcnMvZG93bnJldi54bWxQSwUGAAAAAAMAAwC3AAAA+QIAAAAA&#10;">
                <v:imagedata o:title="" r:id="rId4"/>
                <v:shadow on="t" type="perspective" color="black" opacity="19660f" offset=".32197mm,.08628mm" origin="-.5,-.5" matrix=",2098f,3741f,64225f"/>
              </v:shape>
              <v:line id="Straight Connector 5" style="position:absolute;flip:y;visibility:visible;mso-wrap-style:square" o:spid="_x0000_s1031" strokecolor="#7030a0" strokeweight="2.25pt"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NKTwwAAANsAAAAPAAAAZHJzL2Rvd25yZXYueG1sRE/Pa8Iw&#10;FL4P/B/CG+wybKrMIl2jyGAg7FCmO8zbs3lry5qXmkTb/vfLYeDx4/tdbEfTiRs531pWsEhSEMSV&#10;1S3XCr6O7/M1CB+QNXaWScFEHrab2UOBubYDf9LtEGoRQ9jnqKAJoc+l9FVDBn1ie+LI/VhnMETo&#10;aqkdDjHcdHKZppk02HJsaLCnt4aq38PVKDCXrJxa953Kl+dxcZ4uq/Lj1Cv19DjuXkEEGsNd/O/e&#10;awXLODZ+iT9Abv4AAAD//wMAUEsBAi0AFAAGAAgAAAAhANvh9svuAAAAhQEAABMAAAAAAAAAAAAA&#10;AAAAAAAAAFtDb250ZW50X1R5cGVzXS54bWxQSwECLQAUAAYACAAAACEAWvQsW78AAAAVAQAACwAA&#10;AAAAAAAAAAAAAAAfAQAAX3JlbHMvLnJlbHNQSwECLQAUAAYACAAAACEAkYjSk8MAAADbAAAADwAA&#10;AAAAAAAAAAAAAAAHAgAAZHJzL2Rvd25yZXYueG1sUEsFBgAAAAADAAMAtwAAAPcCAAAAAA==&#10;" from="0,5429" to="36671,5429">
                <v:stroke joinstyle="miter"/>
              </v:line>
            </v:group>
          </w:pict>
        </mc:Fallback>
      </mc:AlternateContent>
    </w:r>
  </w:p>
  <w:p w14:paraId="6088FC1E" w14:textId="77777777" w:rsidR="00DE3B4E" w:rsidRDefault="00000000">
    <w:pPr>
      <w:pStyle w:val="Header"/>
    </w:pPr>
    <w:r>
      <w:rPr>
        <w:noProof/>
      </w:rPr>
      <w:pict w14:anchorId="26E5CB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48909440" o:spid="_x0000_s1042" type="#_x0000_t75" style="position:absolute;margin-left:0;margin-top:0;width:351pt;height:329.6pt;z-index:-251661312;mso-position-horizontal:center;mso-position-horizontal-relative:margin;mso-position-vertical:center;mso-position-vertical-relative:margin" o:allowincell="f">
          <v:imagedata r:id="rId5" o:title="images"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23C91"/>
    <w:multiLevelType w:val="multilevel"/>
    <w:tmpl w:val="77CE7C8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02994376"/>
    <w:multiLevelType w:val="hybridMultilevel"/>
    <w:tmpl w:val="B8EE28BE"/>
    <w:lvl w:ilvl="0" w:tplc="EF14889E">
      <w:start w:val="2"/>
      <w:numFmt w:val="bullet"/>
      <w:lvlText w:val="-"/>
      <w:lvlJc w:val="left"/>
      <w:pPr>
        <w:ind w:left="720" w:hanging="360"/>
      </w:pPr>
      <w:rPr>
        <w:rFonts w:ascii="Calibri" w:eastAsia="Calibri" w:hAnsi="Calibri"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 w15:restartNumberingAfterBreak="0">
    <w:nsid w:val="03CE271B"/>
    <w:multiLevelType w:val="hybridMultilevel"/>
    <w:tmpl w:val="A77E09EE"/>
    <w:lvl w:ilvl="0" w:tplc="7CCE7A06">
      <w:start w:val="1"/>
      <w:numFmt w:val="lowerLetter"/>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3" w15:restartNumberingAfterBreak="0">
    <w:nsid w:val="043D4068"/>
    <w:multiLevelType w:val="hybridMultilevel"/>
    <w:tmpl w:val="D57EECC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08F009D3"/>
    <w:multiLevelType w:val="hybridMultilevel"/>
    <w:tmpl w:val="439632C4"/>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0C2B6F0B"/>
    <w:multiLevelType w:val="hybridMultilevel"/>
    <w:tmpl w:val="A9DAA3EC"/>
    <w:lvl w:ilvl="0" w:tplc="76C8647E">
      <w:start w:val="1"/>
      <w:numFmt w:val="decimal"/>
      <w:lvlText w:val="%1."/>
      <w:lvlJc w:val="left"/>
      <w:pPr>
        <w:ind w:left="1364" w:hanging="360"/>
      </w:pPr>
      <w:rPr>
        <w:rFonts w:hint="default"/>
      </w:rPr>
    </w:lvl>
    <w:lvl w:ilvl="1" w:tplc="38090019" w:tentative="1">
      <w:start w:val="1"/>
      <w:numFmt w:val="lowerLetter"/>
      <w:lvlText w:val="%2."/>
      <w:lvlJc w:val="left"/>
      <w:pPr>
        <w:ind w:left="1724" w:hanging="360"/>
      </w:pPr>
    </w:lvl>
    <w:lvl w:ilvl="2" w:tplc="3809001B" w:tentative="1">
      <w:start w:val="1"/>
      <w:numFmt w:val="lowerRoman"/>
      <w:lvlText w:val="%3."/>
      <w:lvlJc w:val="right"/>
      <w:pPr>
        <w:ind w:left="2444" w:hanging="180"/>
      </w:pPr>
    </w:lvl>
    <w:lvl w:ilvl="3" w:tplc="3809000F" w:tentative="1">
      <w:start w:val="1"/>
      <w:numFmt w:val="decimal"/>
      <w:lvlText w:val="%4."/>
      <w:lvlJc w:val="left"/>
      <w:pPr>
        <w:ind w:left="3164" w:hanging="360"/>
      </w:p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6" w15:restartNumberingAfterBreak="0">
    <w:nsid w:val="127C57F1"/>
    <w:multiLevelType w:val="hybridMultilevel"/>
    <w:tmpl w:val="A42CBBA4"/>
    <w:lvl w:ilvl="0" w:tplc="67280214">
      <w:start w:val="1"/>
      <w:numFmt w:val="lowerLetter"/>
      <w:lvlText w:val="%1."/>
      <w:lvlJc w:val="left"/>
      <w:pPr>
        <w:ind w:left="644" w:hanging="360"/>
      </w:pPr>
      <w:rPr>
        <w:rFonts w:hint="default"/>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7" w15:restartNumberingAfterBreak="0">
    <w:nsid w:val="173570BA"/>
    <w:multiLevelType w:val="hybridMultilevel"/>
    <w:tmpl w:val="CB924750"/>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A6A7B06"/>
    <w:multiLevelType w:val="hybridMultilevel"/>
    <w:tmpl w:val="C5804F40"/>
    <w:lvl w:ilvl="0" w:tplc="D0D29EC4">
      <w:start w:val="1"/>
      <w:numFmt w:val="decimal"/>
      <w:lvlText w:val="%1."/>
      <w:lvlJc w:val="left"/>
      <w:pPr>
        <w:ind w:left="742" w:hanging="360"/>
      </w:pPr>
      <w:rPr>
        <w:rFonts w:ascii="Times New Roman" w:eastAsia="Times New Roman" w:hAnsi="Times New Roman" w:cs="Times New Roman" w:hint="default"/>
        <w:w w:val="100"/>
        <w:sz w:val="24"/>
        <w:szCs w:val="24"/>
        <w:lang w:val="id" w:eastAsia="en-US" w:bidi="ar-SA"/>
      </w:rPr>
    </w:lvl>
    <w:lvl w:ilvl="1" w:tplc="7398133C">
      <w:numFmt w:val="bullet"/>
      <w:lvlText w:val="•"/>
      <w:lvlJc w:val="left"/>
      <w:pPr>
        <w:ind w:left="1098" w:hanging="360"/>
      </w:pPr>
      <w:rPr>
        <w:rFonts w:hint="default"/>
        <w:lang w:val="id" w:eastAsia="en-US" w:bidi="ar-SA"/>
      </w:rPr>
    </w:lvl>
    <w:lvl w:ilvl="2" w:tplc="32E4B4B0">
      <w:numFmt w:val="bullet"/>
      <w:lvlText w:val="•"/>
      <w:lvlJc w:val="left"/>
      <w:pPr>
        <w:ind w:left="1456" w:hanging="360"/>
      </w:pPr>
      <w:rPr>
        <w:rFonts w:hint="default"/>
        <w:lang w:val="id" w:eastAsia="en-US" w:bidi="ar-SA"/>
      </w:rPr>
    </w:lvl>
    <w:lvl w:ilvl="3" w:tplc="6E66C5BA">
      <w:numFmt w:val="bullet"/>
      <w:lvlText w:val="•"/>
      <w:lvlJc w:val="left"/>
      <w:pPr>
        <w:ind w:left="1814" w:hanging="360"/>
      </w:pPr>
      <w:rPr>
        <w:rFonts w:hint="default"/>
        <w:lang w:val="id" w:eastAsia="en-US" w:bidi="ar-SA"/>
      </w:rPr>
    </w:lvl>
    <w:lvl w:ilvl="4" w:tplc="EFA29F1C">
      <w:numFmt w:val="bullet"/>
      <w:lvlText w:val="•"/>
      <w:lvlJc w:val="left"/>
      <w:pPr>
        <w:ind w:left="2172" w:hanging="360"/>
      </w:pPr>
      <w:rPr>
        <w:rFonts w:hint="default"/>
        <w:lang w:val="id" w:eastAsia="en-US" w:bidi="ar-SA"/>
      </w:rPr>
    </w:lvl>
    <w:lvl w:ilvl="5" w:tplc="5C22F268">
      <w:numFmt w:val="bullet"/>
      <w:lvlText w:val="•"/>
      <w:lvlJc w:val="left"/>
      <w:pPr>
        <w:ind w:left="2531" w:hanging="360"/>
      </w:pPr>
      <w:rPr>
        <w:rFonts w:hint="default"/>
        <w:lang w:val="id" w:eastAsia="en-US" w:bidi="ar-SA"/>
      </w:rPr>
    </w:lvl>
    <w:lvl w:ilvl="6" w:tplc="2760F27C">
      <w:numFmt w:val="bullet"/>
      <w:lvlText w:val="•"/>
      <w:lvlJc w:val="left"/>
      <w:pPr>
        <w:ind w:left="2889" w:hanging="360"/>
      </w:pPr>
      <w:rPr>
        <w:rFonts w:hint="default"/>
        <w:lang w:val="id" w:eastAsia="en-US" w:bidi="ar-SA"/>
      </w:rPr>
    </w:lvl>
    <w:lvl w:ilvl="7" w:tplc="1792890C">
      <w:numFmt w:val="bullet"/>
      <w:lvlText w:val="•"/>
      <w:lvlJc w:val="left"/>
      <w:pPr>
        <w:ind w:left="3247" w:hanging="360"/>
      </w:pPr>
      <w:rPr>
        <w:rFonts w:hint="default"/>
        <w:lang w:val="id" w:eastAsia="en-US" w:bidi="ar-SA"/>
      </w:rPr>
    </w:lvl>
    <w:lvl w:ilvl="8" w:tplc="31981F40">
      <w:numFmt w:val="bullet"/>
      <w:lvlText w:val="•"/>
      <w:lvlJc w:val="left"/>
      <w:pPr>
        <w:ind w:left="3605" w:hanging="360"/>
      </w:pPr>
      <w:rPr>
        <w:rFonts w:hint="default"/>
        <w:lang w:val="id" w:eastAsia="en-US" w:bidi="ar-SA"/>
      </w:rPr>
    </w:lvl>
  </w:abstractNum>
  <w:abstractNum w:abstractNumId="9" w15:restartNumberingAfterBreak="0">
    <w:nsid w:val="1F3D1ED1"/>
    <w:multiLevelType w:val="hybridMultilevel"/>
    <w:tmpl w:val="8C2879A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204E0399"/>
    <w:multiLevelType w:val="hybridMultilevel"/>
    <w:tmpl w:val="D6668348"/>
    <w:lvl w:ilvl="0" w:tplc="76C8647E">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1" w15:restartNumberingAfterBreak="0">
    <w:nsid w:val="20EC2912"/>
    <w:multiLevelType w:val="hybridMultilevel"/>
    <w:tmpl w:val="F8624BFE"/>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15:restartNumberingAfterBreak="0">
    <w:nsid w:val="245C18CD"/>
    <w:multiLevelType w:val="hybridMultilevel"/>
    <w:tmpl w:val="6526E7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7C6203"/>
    <w:multiLevelType w:val="hybridMultilevel"/>
    <w:tmpl w:val="38AA5058"/>
    <w:lvl w:ilvl="0" w:tplc="A9E2DBFC">
      <w:start w:val="1"/>
      <w:numFmt w:val="lowerLetter"/>
      <w:lvlText w:val="%1."/>
      <w:lvlJc w:val="left"/>
      <w:pPr>
        <w:ind w:left="720" w:hanging="360"/>
      </w:pPr>
      <w:rPr>
        <w:rFonts w:hint="default"/>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5347966"/>
    <w:multiLevelType w:val="hybridMultilevel"/>
    <w:tmpl w:val="D0D2A654"/>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5" w15:restartNumberingAfterBreak="0">
    <w:nsid w:val="2AAC4E29"/>
    <w:multiLevelType w:val="hybridMultilevel"/>
    <w:tmpl w:val="7036552C"/>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 w15:restartNumberingAfterBreak="0">
    <w:nsid w:val="2B760B25"/>
    <w:multiLevelType w:val="hybridMultilevel"/>
    <w:tmpl w:val="7D6ACCAE"/>
    <w:lvl w:ilvl="0" w:tplc="51C2D504">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7" w15:restartNumberingAfterBreak="0">
    <w:nsid w:val="2B9E7CBC"/>
    <w:multiLevelType w:val="hybridMultilevel"/>
    <w:tmpl w:val="35209B12"/>
    <w:lvl w:ilvl="0" w:tplc="67280214">
      <w:start w:val="1"/>
      <w:numFmt w:val="lowerLetter"/>
      <w:lvlText w:val="%1."/>
      <w:lvlJc w:val="left"/>
      <w:pPr>
        <w:ind w:left="644" w:hanging="360"/>
      </w:pPr>
      <w:rPr>
        <w:rFonts w:hint="default"/>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18" w15:restartNumberingAfterBreak="0">
    <w:nsid w:val="2DE56F21"/>
    <w:multiLevelType w:val="hybridMultilevel"/>
    <w:tmpl w:val="2FE49A44"/>
    <w:lvl w:ilvl="0" w:tplc="67280214">
      <w:start w:val="1"/>
      <w:numFmt w:val="lowerLetter"/>
      <w:lvlText w:val="%1."/>
      <w:lvlJc w:val="left"/>
      <w:pPr>
        <w:ind w:left="928" w:hanging="360"/>
      </w:pPr>
      <w:rPr>
        <w:rFonts w:hint="default"/>
      </w:rPr>
    </w:lvl>
    <w:lvl w:ilvl="1" w:tplc="38090019" w:tentative="1">
      <w:start w:val="1"/>
      <w:numFmt w:val="lowerLetter"/>
      <w:lvlText w:val="%2."/>
      <w:lvlJc w:val="left"/>
      <w:pPr>
        <w:ind w:left="1724" w:hanging="360"/>
      </w:pPr>
    </w:lvl>
    <w:lvl w:ilvl="2" w:tplc="3809001B" w:tentative="1">
      <w:start w:val="1"/>
      <w:numFmt w:val="lowerRoman"/>
      <w:lvlText w:val="%3."/>
      <w:lvlJc w:val="right"/>
      <w:pPr>
        <w:ind w:left="2444" w:hanging="180"/>
      </w:pPr>
    </w:lvl>
    <w:lvl w:ilvl="3" w:tplc="3809000F" w:tentative="1">
      <w:start w:val="1"/>
      <w:numFmt w:val="decimal"/>
      <w:lvlText w:val="%4."/>
      <w:lvlJc w:val="left"/>
      <w:pPr>
        <w:ind w:left="3164" w:hanging="360"/>
      </w:p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19" w15:restartNumberingAfterBreak="0">
    <w:nsid w:val="2DFE12C7"/>
    <w:multiLevelType w:val="hybridMultilevel"/>
    <w:tmpl w:val="1CD2E540"/>
    <w:lvl w:ilvl="0" w:tplc="8572EE9E">
      <w:start w:val="1"/>
      <w:numFmt w:val="upperLetter"/>
      <w:lvlText w:val="%1."/>
      <w:lvlJc w:val="left"/>
      <w:pPr>
        <w:ind w:left="466" w:hanging="285"/>
        <w:jc w:val="right"/>
      </w:pPr>
      <w:rPr>
        <w:rFonts w:ascii="Times New Roman" w:eastAsia="Times New Roman" w:hAnsi="Times New Roman" w:cs="Times New Roman" w:hint="default"/>
        <w:i w:val="0"/>
        <w:iCs/>
        <w:spacing w:val="-1"/>
        <w:w w:val="99"/>
        <w:sz w:val="24"/>
        <w:szCs w:val="24"/>
        <w:lang w:val="id" w:eastAsia="en-US" w:bidi="ar-SA"/>
      </w:rPr>
    </w:lvl>
    <w:lvl w:ilvl="1" w:tplc="4EB88266">
      <w:start w:val="1"/>
      <w:numFmt w:val="decimal"/>
      <w:lvlText w:val="%2."/>
      <w:lvlJc w:val="left"/>
      <w:pPr>
        <w:ind w:left="705" w:hanging="181"/>
        <w:jc w:val="right"/>
      </w:pPr>
      <w:rPr>
        <w:rFonts w:hint="default"/>
        <w:i w:val="0"/>
        <w:iCs w:val="0"/>
        <w:w w:val="100"/>
        <w:lang w:val="id" w:eastAsia="en-US" w:bidi="ar-SA"/>
      </w:rPr>
    </w:lvl>
    <w:lvl w:ilvl="2" w:tplc="CA4C6DA6">
      <w:start w:val="1"/>
      <w:numFmt w:val="upperLetter"/>
      <w:lvlText w:val="%3."/>
      <w:lvlJc w:val="left"/>
      <w:pPr>
        <w:ind w:left="824" w:hanging="360"/>
        <w:jc w:val="right"/>
      </w:pPr>
      <w:rPr>
        <w:rFonts w:hint="default"/>
        <w:spacing w:val="-1"/>
        <w:w w:val="99"/>
        <w:lang w:val="id" w:eastAsia="en-US" w:bidi="ar-SA"/>
      </w:rPr>
    </w:lvl>
    <w:lvl w:ilvl="3" w:tplc="198A1A94">
      <w:numFmt w:val="bullet"/>
      <w:lvlText w:val="•"/>
      <w:lvlJc w:val="left"/>
      <w:pPr>
        <w:ind w:left="820" w:hanging="360"/>
      </w:pPr>
      <w:rPr>
        <w:rFonts w:hint="default"/>
        <w:lang w:val="id" w:eastAsia="en-US" w:bidi="ar-SA"/>
      </w:rPr>
    </w:lvl>
    <w:lvl w:ilvl="4" w:tplc="F9A495C0">
      <w:numFmt w:val="bullet"/>
      <w:lvlText w:val="•"/>
      <w:lvlJc w:val="left"/>
      <w:pPr>
        <w:ind w:left="658" w:hanging="360"/>
      </w:pPr>
      <w:rPr>
        <w:rFonts w:hint="default"/>
        <w:lang w:val="id" w:eastAsia="en-US" w:bidi="ar-SA"/>
      </w:rPr>
    </w:lvl>
    <w:lvl w:ilvl="5" w:tplc="823CA6A8">
      <w:numFmt w:val="bullet"/>
      <w:lvlText w:val="•"/>
      <w:lvlJc w:val="left"/>
      <w:pPr>
        <w:ind w:left="497" w:hanging="360"/>
      </w:pPr>
      <w:rPr>
        <w:rFonts w:hint="default"/>
        <w:lang w:val="id" w:eastAsia="en-US" w:bidi="ar-SA"/>
      </w:rPr>
    </w:lvl>
    <w:lvl w:ilvl="6" w:tplc="2B7A4DBA">
      <w:numFmt w:val="bullet"/>
      <w:lvlText w:val="•"/>
      <w:lvlJc w:val="left"/>
      <w:pPr>
        <w:ind w:left="336" w:hanging="360"/>
      </w:pPr>
      <w:rPr>
        <w:rFonts w:hint="default"/>
        <w:lang w:val="id" w:eastAsia="en-US" w:bidi="ar-SA"/>
      </w:rPr>
    </w:lvl>
    <w:lvl w:ilvl="7" w:tplc="4392921A">
      <w:numFmt w:val="bullet"/>
      <w:lvlText w:val="•"/>
      <w:lvlJc w:val="left"/>
      <w:pPr>
        <w:ind w:left="175" w:hanging="360"/>
      </w:pPr>
      <w:rPr>
        <w:rFonts w:hint="default"/>
        <w:lang w:val="id" w:eastAsia="en-US" w:bidi="ar-SA"/>
      </w:rPr>
    </w:lvl>
    <w:lvl w:ilvl="8" w:tplc="79227190">
      <w:numFmt w:val="bullet"/>
      <w:lvlText w:val="•"/>
      <w:lvlJc w:val="left"/>
      <w:pPr>
        <w:ind w:left="14" w:hanging="360"/>
      </w:pPr>
      <w:rPr>
        <w:rFonts w:hint="default"/>
        <w:lang w:val="id" w:eastAsia="en-US" w:bidi="ar-SA"/>
      </w:rPr>
    </w:lvl>
  </w:abstractNum>
  <w:abstractNum w:abstractNumId="20" w15:restartNumberingAfterBreak="0">
    <w:nsid w:val="336F589C"/>
    <w:multiLevelType w:val="hybridMultilevel"/>
    <w:tmpl w:val="205274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3E76F3E"/>
    <w:multiLevelType w:val="hybridMultilevel"/>
    <w:tmpl w:val="755E0DB2"/>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2" w15:restartNumberingAfterBreak="0">
    <w:nsid w:val="35096ABE"/>
    <w:multiLevelType w:val="hybridMultilevel"/>
    <w:tmpl w:val="F5545BFE"/>
    <w:lvl w:ilvl="0" w:tplc="D8326DE2">
      <w:start w:val="1"/>
      <w:numFmt w:val="bullet"/>
      <w:lvlText w:val="-"/>
      <w:lvlJc w:val="left"/>
      <w:pPr>
        <w:ind w:left="720" w:hanging="360"/>
      </w:pPr>
      <w:rPr>
        <w:rFonts w:ascii="Times New Roman" w:eastAsia="BatangChe"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3" w15:restartNumberingAfterBreak="0">
    <w:nsid w:val="35DD142B"/>
    <w:multiLevelType w:val="hybridMultilevel"/>
    <w:tmpl w:val="5F2ECB22"/>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4" w15:restartNumberingAfterBreak="0">
    <w:nsid w:val="36006F05"/>
    <w:multiLevelType w:val="hybridMultilevel"/>
    <w:tmpl w:val="B81241DC"/>
    <w:lvl w:ilvl="0" w:tplc="38090011">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15:restartNumberingAfterBreak="0">
    <w:nsid w:val="362A25B7"/>
    <w:multiLevelType w:val="hybridMultilevel"/>
    <w:tmpl w:val="38C66CD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9D71D9D"/>
    <w:multiLevelType w:val="multilevel"/>
    <w:tmpl w:val="F3F6BE74"/>
    <w:lvl w:ilvl="0">
      <w:start w:val="4"/>
      <w:numFmt w:val="decimal"/>
      <w:lvlText w:val="%1"/>
      <w:lvlJc w:val="left"/>
      <w:pPr>
        <w:ind w:left="360" w:hanging="360"/>
      </w:pPr>
      <w:rPr>
        <w:rFonts w:hint="default"/>
      </w:rPr>
    </w:lvl>
    <w:lvl w:ilvl="1">
      <w:start w:val="1"/>
      <w:numFmt w:val="lowerLetter"/>
      <w:lvlText w:val="%2."/>
      <w:lvlJc w:val="left"/>
      <w:pPr>
        <w:ind w:left="360" w:hanging="360"/>
      </w:p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3AA04AD6"/>
    <w:multiLevelType w:val="hybridMultilevel"/>
    <w:tmpl w:val="534AB07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3C6C3235"/>
    <w:multiLevelType w:val="hybridMultilevel"/>
    <w:tmpl w:val="97D69410"/>
    <w:lvl w:ilvl="0" w:tplc="8CD65724">
      <w:start w:val="1"/>
      <w:numFmt w:val="decimal"/>
      <w:lvlText w:val="4. %1."/>
      <w:lvlJc w:val="left"/>
      <w:pPr>
        <w:ind w:left="828"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9" w15:restartNumberingAfterBreak="0">
    <w:nsid w:val="41842B67"/>
    <w:multiLevelType w:val="hybridMultilevel"/>
    <w:tmpl w:val="E1F06422"/>
    <w:lvl w:ilvl="0" w:tplc="0409000F">
      <w:start w:val="1"/>
      <w:numFmt w:val="decimal"/>
      <w:lvlText w:val="%1."/>
      <w:lvlJc w:val="left"/>
      <w:pPr>
        <w:ind w:left="2629" w:hanging="360"/>
      </w:pPr>
    </w:lvl>
    <w:lvl w:ilvl="1" w:tplc="04090019" w:tentative="1">
      <w:start w:val="1"/>
      <w:numFmt w:val="lowerLetter"/>
      <w:lvlText w:val="%2."/>
      <w:lvlJc w:val="left"/>
      <w:pPr>
        <w:ind w:left="3349" w:hanging="360"/>
      </w:pPr>
    </w:lvl>
    <w:lvl w:ilvl="2" w:tplc="0409001B" w:tentative="1">
      <w:start w:val="1"/>
      <w:numFmt w:val="lowerRoman"/>
      <w:lvlText w:val="%3."/>
      <w:lvlJc w:val="right"/>
      <w:pPr>
        <w:ind w:left="4069" w:hanging="180"/>
      </w:pPr>
    </w:lvl>
    <w:lvl w:ilvl="3" w:tplc="0409000F" w:tentative="1">
      <w:start w:val="1"/>
      <w:numFmt w:val="decimal"/>
      <w:lvlText w:val="%4."/>
      <w:lvlJc w:val="left"/>
      <w:pPr>
        <w:ind w:left="4789" w:hanging="360"/>
      </w:pPr>
    </w:lvl>
    <w:lvl w:ilvl="4" w:tplc="04090019" w:tentative="1">
      <w:start w:val="1"/>
      <w:numFmt w:val="lowerLetter"/>
      <w:lvlText w:val="%5."/>
      <w:lvlJc w:val="left"/>
      <w:pPr>
        <w:ind w:left="5509" w:hanging="360"/>
      </w:pPr>
    </w:lvl>
    <w:lvl w:ilvl="5" w:tplc="0409001B" w:tentative="1">
      <w:start w:val="1"/>
      <w:numFmt w:val="lowerRoman"/>
      <w:lvlText w:val="%6."/>
      <w:lvlJc w:val="right"/>
      <w:pPr>
        <w:ind w:left="6229" w:hanging="180"/>
      </w:pPr>
    </w:lvl>
    <w:lvl w:ilvl="6" w:tplc="0409000F" w:tentative="1">
      <w:start w:val="1"/>
      <w:numFmt w:val="decimal"/>
      <w:lvlText w:val="%7."/>
      <w:lvlJc w:val="left"/>
      <w:pPr>
        <w:ind w:left="6949" w:hanging="360"/>
      </w:pPr>
    </w:lvl>
    <w:lvl w:ilvl="7" w:tplc="04090019" w:tentative="1">
      <w:start w:val="1"/>
      <w:numFmt w:val="lowerLetter"/>
      <w:lvlText w:val="%8."/>
      <w:lvlJc w:val="left"/>
      <w:pPr>
        <w:ind w:left="7669" w:hanging="360"/>
      </w:pPr>
    </w:lvl>
    <w:lvl w:ilvl="8" w:tplc="0409001B" w:tentative="1">
      <w:start w:val="1"/>
      <w:numFmt w:val="lowerRoman"/>
      <w:lvlText w:val="%9."/>
      <w:lvlJc w:val="right"/>
      <w:pPr>
        <w:ind w:left="8389" w:hanging="180"/>
      </w:pPr>
    </w:lvl>
  </w:abstractNum>
  <w:abstractNum w:abstractNumId="30" w15:restartNumberingAfterBreak="0">
    <w:nsid w:val="4CB20DC5"/>
    <w:multiLevelType w:val="hybridMultilevel"/>
    <w:tmpl w:val="B3ECFBF8"/>
    <w:lvl w:ilvl="0" w:tplc="1276BA8A">
      <w:start w:val="1"/>
      <w:numFmt w:val="decimal"/>
      <w:lvlText w:val="%1."/>
      <w:lvlJc w:val="left"/>
      <w:pPr>
        <w:ind w:left="502"/>
      </w:pPr>
      <w:rPr>
        <w:rFonts w:ascii="Cambria" w:eastAsia="Calibri" w:hAnsi="Cambria" w:cs="Times New Roman"/>
        <w:b w:val="0"/>
        <w:i w:val="0"/>
        <w:strike w:val="0"/>
        <w:dstrike w:val="0"/>
        <w:color w:val="000000"/>
        <w:sz w:val="20"/>
        <w:szCs w:val="18"/>
        <w:u w:val="none" w:color="000000"/>
        <w:bdr w:val="none" w:sz="0" w:space="0" w:color="auto"/>
        <w:shd w:val="clear" w:color="auto" w:fill="auto"/>
        <w:vertAlign w:val="baseline"/>
      </w:rPr>
    </w:lvl>
    <w:lvl w:ilvl="1" w:tplc="1D721C70">
      <w:start w:val="1"/>
      <w:numFmt w:val="lowerLetter"/>
      <w:lvlText w:val="%2"/>
      <w:lvlJc w:val="left"/>
      <w:pPr>
        <w:ind w:left="1222"/>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2" w:tplc="6CB0315C">
      <w:start w:val="1"/>
      <w:numFmt w:val="lowerRoman"/>
      <w:lvlText w:val="%3"/>
      <w:lvlJc w:val="left"/>
      <w:pPr>
        <w:ind w:left="1942"/>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3" w:tplc="EEE43E2C">
      <w:start w:val="1"/>
      <w:numFmt w:val="decimal"/>
      <w:lvlText w:val="%4"/>
      <w:lvlJc w:val="left"/>
      <w:pPr>
        <w:ind w:left="2662"/>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4" w:tplc="AB4E3ED8">
      <w:start w:val="1"/>
      <w:numFmt w:val="lowerLetter"/>
      <w:lvlText w:val="%5"/>
      <w:lvlJc w:val="left"/>
      <w:pPr>
        <w:ind w:left="3382"/>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5" w:tplc="32544A38">
      <w:start w:val="1"/>
      <w:numFmt w:val="lowerRoman"/>
      <w:lvlText w:val="%6"/>
      <w:lvlJc w:val="left"/>
      <w:pPr>
        <w:ind w:left="4102"/>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6" w:tplc="B47A23BE">
      <w:start w:val="1"/>
      <w:numFmt w:val="decimal"/>
      <w:lvlText w:val="%7"/>
      <w:lvlJc w:val="left"/>
      <w:pPr>
        <w:ind w:left="4822"/>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7" w:tplc="A3E06258">
      <w:start w:val="1"/>
      <w:numFmt w:val="lowerLetter"/>
      <w:lvlText w:val="%8"/>
      <w:lvlJc w:val="left"/>
      <w:pPr>
        <w:ind w:left="5542"/>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8" w:tplc="67940944">
      <w:start w:val="1"/>
      <w:numFmt w:val="lowerRoman"/>
      <w:lvlText w:val="%9"/>
      <w:lvlJc w:val="left"/>
      <w:pPr>
        <w:ind w:left="6262"/>
      </w:pPr>
      <w:rPr>
        <w:rFonts w:ascii="Arial" w:eastAsia="Arial" w:hAnsi="Arial" w:cs="Arial"/>
        <w:b w:val="0"/>
        <w:i w:val="0"/>
        <w:strike w:val="0"/>
        <w:dstrike w:val="0"/>
        <w:color w:val="000000"/>
        <w:sz w:val="22"/>
        <w:u w:val="none" w:color="000000"/>
        <w:bdr w:val="none" w:sz="0" w:space="0" w:color="auto"/>
        <w:shd w:val="clear" w:color="auto" w:fill="auto"/>
        <w:vertAlign w:val="baseline"/>
      </w:rPr>
    </w:lvl>
  </w:abstractNum>
  <w:abstractNum w:abstractNumId="31" w15:restartNumberingAfterBreak="0">
    <w:nsid w:val="53C1493F"/>
    <w:multiLevelType w:val="hybridMultilevel"/>
    <w:tmpl w:val="B20609F0"/>
    <w:lvl w:ilvl="0" w:tplc="38D83362">
      <w:numFmt w:val="bullet"/>
      <w:lvlText w:val="•"/>
      <w:lvlJc w:val="left"/>
      <w:pPr>
        <w:ind w:left="720" w:hanging="360"/>
      </w:pPr>
      <w:rPr>
        <w:rFonts w:ascii="Times New Roman" w:eastAsia="BatangChe"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2" w15:restartNumberingAfterBreak="0">
    <w:nsid w:val="544818A9"/>
    <w:multiLevelType w:val="multilevel"/>
    <w:tmpl w:val="651C439C"/>
    <w:lvl w:ilvl="0">
      <w:start w:val="2"/>
      <w:numFmt w:val="decimal"/>
      <w:lvlText w:val="%1"/>
      <w:lvlJc w:val="left"/>
      <w:pPr>
        <w:ind w:left="360" w:hanging="360"/>
      </w:pPr>
      <w:rPr>
        <w:rFonts w:hint="default"/>
        <w:b w:val="0"/>
      </w:rPr>
    </w:lvl>
    <w:lvl w:ilvl="1">
      <w:start w:val="5"/>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33" w15:restartNumberingAfterBreak="0">
    <w:nsid w:val="54D363C7"/>
    <w:multiLevelType w:val="hybridMultilevel"/>
    <w:tmpl w:val="5080CD4E"/>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4" w15:restartNumberingAfterBreak="0">
    <w:nsid w:val="58644D2D"/>
    <w:multiLevelType w:val="hybridMultilevel"/>
    <w:tmpl w:val="1DA83A9E"/>
    <w:lvl w:ilvl="0" w:tplc="518869A8">
      <w:start w:val="7"/>
      <w:numFmt w:val="upperLetter"/>
      <w:lvlText w:val="%1."/>
      <w:lvlJc w:val="left"/>
      <w:pPr>
        <w:ind w:left="474" w:hanging="294"/>
      </w:pPr>
      <w:rPr>
        <w:rFonts w:ascii="Times New Roman" w:eastAsia="Times New Roman" w:hAnsi="Times New Roman" w:cs="Times New Roman" w:hint="default"/>
        <w:w w:val="99"/>
        <w:sz w:val="24"/>
        <w:szCs w:val="24"/>
        <w:lang w:val="id" w:eastAsia="en-US" w:bidi="ar-SA"/>
      </w:rPr>
    </w:lvl>
    <w:lvl w:ilvl="1" w:tplc="F0A813A4">
      <w:numFmt w:val="bullet"/>
      <w:lvlText w:val="•"/>
      <w:lvlJc w:val="left"/>
      <w:pPr>
        <w:ind w:left="856" w:hanging="294"/>
      </w:pPr>
      <w:rPr>
        <w:rFonts w:hint="default"/>
        <w:lang w:val="id" w:eastAsia="en-US" w:bidi="ar-SA"/>
      </w:rPr>
    </w:lvl>
    <w:lvl w:ilvl="2" w:tplc="E10E6C54">
      <w:numFmt w:val="bullet"/>
      <w:lvlText w:val="•"/>
      <w:lvlJc w:val="left"/>
      <w:pPr>
        <w:ind w:left="1233" w:hanging="294"/>
      </w:pPr>
      <w:rPr>
        <w:rFonts w:hint="default"/>
        <w:lang w:val="id" w:eastAsia="en-US" w:bidi="ar-SA"/>
      </w:rPr>
    </w:lvl>
    <w:lvl w:ilvl="3" w:tplc="35A8D438">
      <w:numFmt w:val="bullet"/>
      <w:lvlText w:val="•"/>
      <w:lvlJc w:val="left"/>
      <w:pPr>
        <w:ind w:left="1610" w:hanging="294"/>
      </w:pPr>
      <w:rPr>
        <w:rFonts w:hint="default"/>
        <w:lang w:val="id" w:eastAsia="en-US" w:bidi="ar-SA"/>
      </w:rPr>
    </w:lvl>
    <w:lvl w:ilvl="4" w:tplc="F80C9E7C">
      <w:numFmt w:val="bullet"/>
      <w:lvlText w:val="•"/>
      <w:lvlJc w:val="left"/>
      <w:pPr>
        <w:ind w:left="1987" w:hanging="294"/>
      </w:pPr>
      <w:rPr>
        <w:rFonts w:hint="default"/>
        <w:lang w:val="id" w:eastAsia="en-US" w:bidi="ar-SA"/>
      </w:rPr>
    </w:lvl>
    <w:lvl w:ilvl="5" w:tplc="7A3A72A2">
      <w:numFmt w:val="bullet"/>
      <w:lvlText w:val="•"/>
      <w:lvlJc w:val="left"/>
      <w:pPr>
        <w:ind w:left="2364" w:hanging="294"/>
      </w:pPr>
      <w:rPr>
        <w:rFonts w:hint="default"/>
        <w:lang w:val="id" w:eastAsia="en-US" w:bidi="ar-SA"/>
      </w:rPr>
    </w:lvl>
    <w:lvl w:ilvl="6" w:tplc="28EE9360">
      <w:numFmt w:val="bullet"/>
      <w:lvlText w:val="•"/>
      <w:lvlJc w:val="left"/>
      <w:pPr>
        <w:ind w:left="2740" w:hanging="294"/>
      </w:pPr>
      <w:rPr>
        <w:rFonts w:hint="default"/>
        <w:lang w:val="id" w:eastAsia="en-US" w:bidi="ar-SA"/>
      </w:rPr>
    </w:lvl>
    <w:lvl w:ilvl="7" w:tplc="42AAD2C4">
      <w:numFmt w:val="bullet"/>
      <w:lvlText w:val="•"/>
      <w:lvlJc w:val="left"/>
      <w:pPr>
        <w:ind w:left="3117" w:hanging="294"/>
      </w:pPr>
      <w:rPr>
        <w:rFonts w:hint="default"/>
        <w:lang w:val="id" w:eastAsia="en-US" w:bidi="ar-SA"/>
      </w:rPr>
    </w:lvl>
    <w:lvl w:ilvl="8" w:tplc="59C8DD9A">
      <w:numFmt w:val="bullet"/>
      <w:lvlText w:val="•"/>
      <w:lvlJc w:val="left"/>
      <w:pPr>
        <w:ind w:left="3494" w:hanging="294"/>
      </w:pPr>
      <w:rPr>
        <w:rFonts w:hint="default"/>
        <w:lang w:val="id" w:eastAsia="en-US" w:bidi="ar-SA"/>
      </w:rPr>
    </w:lvl>
  </w:abstractNum>
  <w:abstractNum w:abstractNumId="35" w15:restartNumberingAfterBreak="0">
    <w:nsid w:val="5D8B5EE5"/>
    <w:multiLevelType w:val="hybridMultilevel"/>
    <w:tmpl w:val="9120F770"/>
    <w:lvl w:ilvl="0" w:tplc="1C786B78">
      <w:start w:val="1"/>
      <w:numFmt w:val="upperLetter"/>
      <w:lvlText w:val="%1."/>
      <w:lvlJc w:val="left"/>
      <w:pPr>
        <w:ind w:left="607" w:hanging="360"/>
      </w:pPr>
      <w:rPr>
        <w:rFonts w:ascii="Times New Roman" w:eastAsia="Times New Roman" w:hAnsi="Times New Roman" w:cs="Times New Roman" w:hint="default"/>
        <w:spacing w:val="-1"/>
        <w:w w:val="99"/>
        <w:sz w:val="24"/>
        <w:szCs w:val="24"/>
        <w:lang w:val="id" w:eastAsia="en-US" w:bidi="ar-SA"/>
      </w:rPr>
    </w:lvl>
    <w:lvl w:ilvl="1" w:tplc="5DE6D26E">
      <w:start w:val="1"/>
      <w:numFmt w:val="decimal"/>
      <w:lvlText w:val="%2."/>
      <w:lvlJc w:val="left"/>
      <w:pPr>
        <w:ind w:left="891" w:hanging="361"/>
        <w:jc w:val="right"/>
      </w:pPr>
      <w:rPr>
        <w:rFonts w:ascii="Times New Roman" w:eastAsia="Times New Roman" w:hAnsi="Times New Roman" w:cs="Times New Roman" w:hint="default"/>
        <w:w w:val="100"/>
        <w:sz w:val="24"/>
        <w:szCs w:val="24"/>
        <w:lang w:val="id" w:eastAsia="en-US" w:bidi="ar-SA"/>
      </w:rPr>
    </w:lvl>
    <w:lvl w:ilvl="2" w:tplc="53565DB2">
      <w:numFmt w:val="bullet"/>
      <w:lvlText w:val="•"/>
      <w:lvlJc w:val="left"/>
      <w:pPr>
        <w:ind w:left="1271" w:hanging="361"/>
      </w:pPr>
      <w:rPr>
        <w:rFonts w:hint="default"/>
        <w:lang w:val="id" w:eastAsia="en-US" w:bidi="ar-SA"/>
      </w:rPr>
    </w:lvl>
    <w:lvl w:ilvl="3" w:tplc="D0E2EE1C">
      <w:numFmt w:val="bullet"/>
      <w:lvlText w:val="•"/>
      <w:lvlJc w:val="left"/>
      <w:pPr>
        <w:ind w:left="1643" w:hanging="361"/>
      </w:pPr>
      <w:rPr>
        <w:rFonts w:hint="default"/>
        <w:lang w:val="id" w:eastAsia="en-US" w:bidi="ar-SA"/>
      </w:rPr>
    </w:lvl>
    <w:lvl w:ilvl="4" w:tplc="34502B3C">
      <w:numFmt w:val="bullet"/>
      <w:lvlText w:val="•"/>
      <w:lvlJc w:val="left"/>
      <w:pPr>
        <w:ind w:left="2015" w:hanging="361"/>
      </w:pPr>
      <w:rPr>
        <w:rFonts w:hint="default"/>
        <w:lang w:val="id" w:eastAsia="en-US" w:bidi="ar-SA"/>
      </w:rPr>
    </w:lvl>
    <w:lvl w:ilvl="5" w:tplc="17FA52DC">
      <w:numFmt w:val="bullet"/>
      <w:lvlText w:val="•"/>
      <w:lvlJc w:val="left"/>
      <w:pPr>
        <w:ind w:left="2387" w:hanging="361"/>
      </w:pPr>
      <w:rPr>
        <w:rFonts w:hint="default"/>
        <w:lang w:val="id" w:eastAsia="en-US" w:bidi="ar-SA"/>
      </w:rPr>
    </w:lvl>
    <w:lvl w:ilvl="6" w:tplc="5BDEA61C">
      <w:numFmt w:val="bullet"/>
      <w:lvlText w:val="•"/>
      <w:lvlJc w:val="left"/>
      <w:pPr>
        <w:ind w:left="2759" w:hanging="361"/>
      </w:pPr>
      <w:rPr>
        <w:rFonts w:hint="default"/>
        <w:lang w:val="id" w:eastAsia="en-US" w:bidi="ar-SA"/>
      </w:rPr>
    </w:lvl>
    <w:lvl w:ilvl="7" w:tplc="0CF0C6AE">
      <w:numFmt w:val="bullet"/>
      <w:lvlText w:val="•"/>
      <w:lvlJc w:val="left"/>
      <w:pPr>
        <w:ind w:left="3131" w:hanging="361"/>
      </w:pPr>
      <w:rPr>
        <w:rFonts w:hint="default"/>
        <w:lang w:val="id" w:eastAsia="en-US" w:bidi="ar-SA"/>
      </w:rPr>
    </w:lvl>
    <w:lvl w:ilvl="8" w:tplc="7BA4E842">
      <w:numFmt w:val="bullet"/>
      <w:lvlText w:val="•"/>
      <w:lvlJc w:val="left"/>
      <w:pPr>
        <w:ind w:left="3502" w:hanging="361"/>
      </w:pPr>
      <w:rPr>
        <w:rFonts w:hint="default"/>
        <w:lang w:val="id" w:eastAsia="en-US" w:bidi="ar-SA"/>
      </w:rPr>
    </w:lvl>
  </w:abstractNum>
  <w:abstractNum w:abstractNumId="36" w15:restartNumberingAfterBreak="0">
    <w:nsid w:val="615A78B5"/>
    <w:multiLevelType w:val="hybridMultilevel"/>
    <w:tmpl w:val="4022A8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5A36A51"/>
    <w:multiLevelType w:val="hybridMultilevel"/>
    <w:tmpl w:val="C43A7D14"/>
    <w:lvl w:ilvl="0" w:tplc="E6FCE228">
      <w:start w:val="1"/>
      <w:numFmt w:val="decimal"/>
      <w:lvlText w:val="2.%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8" w15:restartNumberingAfterBreak="0">
    <w:nsid w:val="6A8534C3"/>
    <w:multiLevelType w:val="multilevel"/>
    <w:tmpl w:val="B010DC0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9" w15:restartNumberingAfterBreak="0">
    <w:nsid w:val="6CC515C9"/>
    <w:multiLevelType w:val="hybridMultilevel"/>
    <w:tmpl w:val="FD4A8828"/>
    <w:lvl w:ilvl="0" w:tplc="755E174A">
      <w:start w:val="1"/>
      <w:numFmt w:val="decimal"/>
      <w:lvlText w:val="4.%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EAD2490"/>
    <w:multiLevelType w:val="multilevel"/>
    <w:tmpl w:val="4AAE6648"/>
    <w:lvl w:ilvl="0">
      <w:start w:val="1"/>
      <w:numFmt w:val="decimal"/>
      <w:lvlText w:val="%1."/>
      <w:lvlJc w:val="left"/>
      <w:pPr>
        <w:ind w:left="1600" w:hanging="360"/>
        <w:jc w:val="right"/>
      </w:pPr>
      <w:rPr>
        <w:rFonts w:ascii="Times New Roman" w:eastAsia="Times New Roman" w:hAnsi="Times New Roman" w:cs="Times New Roman" w:hint="default"/>
        <w:b w:val="0"/>
        <w:bCs w:val="0"/>
        <w:i w:val="0"/>
        <w:iCs w:val="0"/>
        <w:spacing w:val="0"/>
        <w:w w:val="100"/>
        <w:sz w:val="24"/>
        <w:szCs w:val="24"/>
        <w:lang w:val="id" w:eastAsia="en-US" w:bidi="ar-SA"/>
      </w:rPr>
    </w:lvl>
    <w:lvl w:ilvl="1">
      <w:start w:val="1"/>
      <w:numFmt w:val="decimal"/>
      <w:lvlText w:val="%2."/>
      <w:lvlJc w:val="left"/>
      <w:pPr>
        <w:ind w:left="1959" w:hanging="360"/>
      </w:pPr>
    </w:lvl>
    <w:lvl w:ilvl="2">
      <w:start w:val="1"/>
      <w:numFmt w:val="decimal"/>
      <w:lvlText w:val="%1.%2.%3"/>
      <w:lvlJc w:val="left"/>
      <w:pPr>
        <w:ind w:left="2863" w:hanging="720"/>
      </w:pPr>
      <w:rPr>
        <w:rFonts w:hint="default"/>
        <w:spacing w:val="0"/>
        <w:w w:val="100"/>
        <w:lang w:val="id" w:eastAsia="en-US" w:bidi="ar-SA"/>
      </w:rPr>
    </w:lvl>
    <w:lvl w:ilvl="3">
      <w:start w:val="1"/>
      <w:numFmt w:val="decimal"/>
      <w:lvlText w:val="%1.%2.%3.%4"/>
      <w:lvlJc w:val="left"/>
      <w:pPr>
        <w:ind w:left="3223" w:hanging="720"/>
      </w:pPr>
      <w:rPr>
        <w:rFonts w:ascii="Times New Roman" w:eastAsia="Times New Roman" w:hAnsi="Times New Roman" w:cs="Times New Roman" w:hint="default"/>
        <w:b w:val="0"/>
        <w:bCs w:val="0"/>
        <w:i w:val="0"/>
        <w:iCs w:val="0"/>
        <w:spacing w:val="-5"/>
        <w:w w:val="100"/>
        <w:sz w:val="24"/>
        <w:szCs w:val="24"/>
        <w:lang w:val="id" w:eastAsia="en-US" w:bidi="ar-SA"/>
      </w:rPr>
    </w:lvl>
    <w:lvl w:ilvl="4">
      <w:numFmt w:val="bullet"/>
      <w:lvlText w:val="•"/>
      <w:lvlJc w:val="left"/>
      <w:pPr>
        <w:ind w:left="2500" w:hanging="720"/>
      </w:pPr>
      <w:rPr>
        <w:rFonts w:hint="default"/>
        <w:lang w:val="id" w:eastAsia="en-US" w:bidi="ar-SA"/>
      </w:rPr>
    </w:lvl>
    <w:lvl w:ilvl="5">
      <w:numFmt w:val="bullet"/>
      <w:lvlText w:val="•"/>
      <w:lvlJc w:val="left"/>
      <w:pPr>
        <w:ind w:left="2680" w:hanging="720"/>
      </w:pPr>
      <w:rPr>
        <w:rFonts w:hint="default"/>
        <w:lang w:val="id" w:eastAsia="en-US" w:bidi="ar-SA"/>
      </w:rPr>
    </w:lvl>
    <w:lvl w:ilvl="6">
      <w:numFmt w:val="bullet"/>
      <w:lvlText w:val="•"/>
      <w:lvlJc w:val="left"/>
      <w:pPr>
        <w:ind w:left="2860" w:hanging="720"/>
      </w:pPr>
      <w:rPr>
        <w:rFonts w:hint="default"/>
        <w:lang w:val="id" w:eastAsia="en-US" w:bidi="ar-SA"/>
      </w:rPr>
    </w:lvl>
    <w:lvl w:ilvl="7">
      <w:numFmt w:val="bullet"/>
      <w:lvlText w:val="•"/>
      <w:lvlJc w:val="left"/>
      <w:pPr>
        <w:ind w:left="3220" w:hanging="720"/>
      </w:pPr>
      <w:rPr>
        <w:rFonts w:hint="default"/>
        <w:lang w:val="id" w:eastAsia="en-US" w:bidi="ar-SA"/>
      </w:rPr>
    </w:lvl>
    <w:lvl w:ilvl="8">
      <w:numFmt w:val="bullet"/>
      <w:lvlText w:val="•"/>
      <w:lvlJc w:val="left"/>
      <w:pPr>
        <w:ind w:left="3500" w:hanging="720"/>
      </w:pPr>
      <w:rPr>
        <w:rFonts w:hint="default"/>
        <w:lang w:val="id" w:eastAsia="en-US" w:bidi="ar-SA"/>
      </w:rPr>
    </w:lvl>
  </w:abstractNum>
  <w:abstractNum w:abstractNumId="41" w15:restartNumberingAfterBreak="0">
    <w:nsid w:val="702F056D"/>
    <w:multiLevelType w:val="hybridMultilevel"/>
    <w:tmpl w:val="7036552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704A11BD"/>
    <w:multiLevelType w:val="multilevel"/>
    <w:tmpl w:val="39A6E7EC"/>
    <w:lvl w:ilvl="0">
      <w:start w:val="5"/>
      <w:numFmt w:val="decimal"/>
      <w:lvlText w:val="%1"/>
      <w:lvlJc w:val="left"/>
      <w:pPr>
        <w:ind w:left="360" w:hanging="360"/>
      </w:pPr>
      <w:rPr>
        <w:rFonts w:hint="default"/>
      </w:rPr>
    </w:lvl>
    <w:lvl w:ilvl="1">
      <w:start w:val="1"/>
      <w:numFmt w:val="decimal"/>
      <w:lvlText w:val="%2."/>
      <w:lvlJc w:val="left"/>
      <w:pPr>
        <w:ind w:left="1959" w:hanging="360"/>
      </w:pPr>
    </w:lvl>
    <w:lvl w:ilvl="2">
      <w:start w:val="1"/>
      <w:numFmt w:val="decimal"/>
      <w:lvlText w:val="%1.%2.%3"/>
      <w:lvlJc w:val="left"/>
      <w:pPr>
        <w:ind w:left="3918" w:hanging="720"/>
      </w:pPr>
      <w:rPr>
        <w:rFonts w:hint="default"/>
      </w:rPr>
    </w:lvl>
    <w:lvl w:ilvl="3">
      <w:start w:val="1"/>
      <w:numFmt w:val="decimal"/>
      <w:lvlText w:val="%1.%2.%3.%4"/>
      <w:lvlJc w:val="left"/>
      <w:pPr>
        <w:ind w:left="5517" w:hanging="720"/>
      </w:pPr>
      <w:rPr>
        <w:rFonts w:hint="default"/>
      </w:rPr>
    </w:lvl>
    <w:lvl w:ilvl="4">
      <w:start w:val="1"/>
      <w:numFmt w:val="decimal"/>
      <w:lvlText w:val="%1.%2.%3.%4.%5"/>
      <w:lvlJc w:val="left"/>
      <w:pPr>
        <w:ind w:left="7476" w:hanging="1080"/>
      </w:pPr>
      <w:rPr>
        <w:rFonts w:hint="default"/>
      </w:rPr>
    </w:lvl>
    <w:lvl w:ilvl="5">
      <w:start w:val="1"/>
      <w:numFmt w:val="decimal"/>
      <w:lvlText w:val="%1.%2.%3.%4.%5.%6"/>
      <w:lvlJc w:val="left"/>
      <w:pPr>
        <w:ind w:left="9075" w:hanging="1080"/>
      </w:pPr>
      <w:rPr>
        <w:rFonts w:hint="default"/>
      </w:rPr>
    </w:lvl>
    <w:lvl w:ilvl="6">
      <w:start w:val="1"/>
      <w:numFmt w:val="decimal"/>
      <w:lvlText w:val="%1.%2.%3.%4.%5.%6.%7"/>
      <w:lvlJc w:val="left"/>
      <w:pPr>
        <w:ind w:left="11034" w:hanging="1440"/>
      </w:pPr>
      <w:rPr>
        <w:rFonts w:hint="default"/>
      </w:rPr>
    </w:lvl>
    <w:lvl w:ilvl="7">
      <w:start w:val="1"/>
      <w:numFmt w:val="decimal"/>
      <w:lvlText w:val="%1.%2.%3.%4.%5.%6.%7.%8"/>
      <w:lvlJc w:val="left"/>
      <w:pPr>
        <w:ind w:left="12633" w:hanging="1440"/>
      </w:pPr>
      <w:rPr>
        <w:rFonts w:hint="default"/>
      </w:rPr>
    </w:lvl>
    <w:lvl w:ilvl="8">
      <w:start w:val="1"/>
      <w:numFmt w:val="decimal"/>
      <w:lvlText w:val="%1.%2.%3.%4.%5.%6.%7.%8.%9"/>
      <w:lvlJc w:val="left"/>
      <w:pPr>
        <w:ind w:left="14592" w:hanging="1800"/>
      </w:pPr>
      <w:rPr>
        <w:rFonts w:hint="default"/>
      </w:rPr>
    </w:lvl>
  </w:abstractNum>
  <w:abstractNum w:abstractNumId="43" w15:restartNumberingAfterBreak="0">
    <w:nsid w:val="725E5FE8"/>
    <w:multiLevelType w:val="hybridMultilevel"/>
    <w:tmpl w:val="B2A6F6DE"/>
    <w:lvl w:ilvl="0" w:tplc="04210011">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15:restartNumberingAfterBreak="0">
    <w:nsid w:val="76863BB4"/>
    <w:multiLevelType w:val="multilevel"/>
    <w:tmpl w:val="599289F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5" w15:restartNumberingAfterBreak="0">
    <w:nsid w:val="7A376498"/>
    <w:multiLevelType w:val="hybridMultilevel"/>
    <w:tmpl w:val="E730B91C"/>
    <w:lvl w:ilvl="0" w:tplc="FFFFFFFF">
      <w:start w:val="1"/>
      <w:numFmt w:val="decimal"/>
      <w:lvlText w:val="%1."/>
      <w:lvlJc w:val="left"/>
      <w:pPr>
        <w:ind w:left="1296" w:hanging="360"/>
      </w:pPr>
    </w:lvl>
    <w:lvl w:ilvl="1" w:tplc="38090019" w:tentative="1">
      <w:start w:val="1"/>
      <w:numFmt w:val="lowerLetter"/>
      <w:lvlText w:val="%2."/>
      <w:lvlJc w:val="left"/>
      <w:pPr>
        <w:ind w:left="2016" w:hanging="360"/>
      </w:pPr>
    </w:lvl>
    <w:lvl w:ilvl="2" w:tplc="3809001B" w:tentative="1">
      <w:start w:val="1"/>
      <w:numFmt w:val="lowerRoman"/>
      <w:lvlText w:val="%3."/>
      <w:lvlJc w:val="right"/>
      <w:pPr>
        <w:ind w:left="2736" w:hanging="180"/>
      </w:pPr>
    </w:lvl>
    <w:lvl w:ilvl="3" w:tplc="3809000F" w:tentative="1">
      <w:start w:val="1"/>
      <w:numFmt w:val="decimal"/>
      <w:lvlText w:val="%4."/>
      <w:lvlJc w:val="left"/>
      <w:pPr>
        <w:ind w:left="3456" w:hanging="360"/>
      </w:pPr>
    </w:lvl>
    <w:lvl w:ilvl="4" w:tplc="38090019" w:tentative="1">
      <w:start w:val="1"/>
      <w:numFmt w:val="lowerLetter"/>
      <w:lvlText w:val="%5."/>
      <w:lvlJc w:val="left"/>
      <w:pPr>
        <w:ind w:left="4176" w:hanging="360"/>
      </w:pPr>
    </w:lvl>
    <w:lvl w:ilvl="5" w:tplc="3809001B" w:tentative="1">
      <w:start w:val="1"/>
      <w:numFmt w:val="lowerRoman"/>
      <w:lvlText w:val="%6."/>
      <w:lvlJc w:val="right"/>
      <w:pPr>
        <w:ind w:left="4896" w:hanging="180"/>
      </w:pPr>
    </w:lvl>
    <w:lvl w:ilvl="6" w:tplc="3809000F" w:tentative="1">
      <w:start w:val="1"/>
      <w:numFmt w:val="decimal"/>
      <w:lvlText w:val="%7."/>
      <w:lvlJc w:val="left"/>
      <w:pPr>
        <w:ind w:left="5616" w:hanging="360"/>
      </w:pPr>
    </w:lvl>
    <w:lvl w:ilvl="7" w:tplc="38090019" w:tentative="1">
      <w:start w:val="1"/>
      <w:numFmt w:val="lowerLetter"/>
      <w:lvlText w:val="%8."/>
      <w:lvlJc w:val="left"/>
      <w:pPr>
        <w:ind w:left="6336" w:hanging="360"/>
      </w:pPr>
    </w:lvl>
    <w:lvl w:ilvl="8" w:tplc="3809001B" w:tentative="1">
      <w:start w:val="1"/>
      <w:numFmt w:val="lowerRoman"/>
      <w:lvlText w:val="%9."/>
      <w:lvlJc w:val="right"/>
      <w:pPr>
        <w:ind w:left="7056" w:hanging="180"/>
      </w:pPr>
    </w:lvl>
  </w:abstractNum>
  <w:abstractNum w:abstractNumId="46" w15:restartNumberingAfterBreak="0">
    <w:nsid w:val="7BD32385"/>
    <w:multiLevelType w:val="hybridMultilevel"/>
    <w:tmpl w:val="F8624BFE"/>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1667245512">
    <w:abstractNumId w:val="29"/>
  </w:num>
  <w:num w:numId="2" w16cid:durableId="847208829">
    <w:abstractNumId w:val="20"/>
  </w:num>
  <w:num w:numId="3" w16cid:durableId="1103457991">
    <w:abstractNumId w:val="36"/>
  </w:num>
  <w:num w:numId="4" w16cid:durableId="228153123">
    <w:abstractNumId w:val="7"/>
  </w:num>
  <w:num w:numId="5" w16cid:durableId="892352530">
    <w:abstractNumId w:val="25"/>
  </w:num>
  <w:num w:numId="6" w16cid:durableId="1407533426">
    <w:abstractNumId w:val="12"/>
  </w:num>
  <w:num w:numId="7" w16cid:durableId="1917784264">
    <w:abstractNumId w:val="28"/>
  </w:num>
  <w:num w:numId="8" w16cid:durableId="17048084">
    <w:abstractNumId w:val="9"/>
  </w:num>
  <w:num w:numId="9" w16cid:durableId="109208028">
    <w:abstractNumId w:val="4"/>
  </w:num>
  <w:num w:numId="10" w16cid:durableId="1899396286">
    <w:abstractNumId w:val="1"/>
  </w:num>
  <w:num w:numId="11" w16cid:durableId="1621523900">
    <w:abstractNumId w:val="30"/>
  </w:num>
  <w:num w:numId="12" w16cid:durableId="1865055851">
    <w:abstractNumId w:val="13"/>
  </w:num>
  <w:num w:numId="13" w16cid:durableId="851263267">
    <w:abstractNumId w:val="27"/>
  </w:num>
  <w:num w:numId="14" w16cid:durableId="1701974985">
    <w:abstractNumId w:val="39"/>
  </w:num>
  <w:num w:numId="15" w16cid:durableId="849955405">
    <w:abstractNumId w:val="37"/>
  </w:num>
  <w:num w:numId="16" w16cid:durableId="496120804">
    <w:abstractNumId w:val="33"/>
  </w:num>
  <w:num w:numId="17" w16cid:durableId="2053771109">
    <w:abstractNumId w:val="11"/>
  </w:num>
  <w:num w:numId="18" w16cid:durableId="1260721125">
    <w:abstractNumId w:val="3"/>
  </w:num>
  <w:num w:numId="19" w16cid:durableId="2054697100">
    <w:abstractNumId w:val="46"/>
  </w:num>
  <w:num w:numId="20" w16cid:durableId="860361859">
    <w:abstractNumId w:val="2"/>
  </w:num>
  <w:num w:numId="21" w16cid:durableId="244923633">
    <w:abstractNumId w:val="31"/>
  </w:num>
  <w:num w:numId="22" w16cid:durableId="732242767">
    <w:abstractNumId w:val="22"/>
  </w:num>
  <w:num w:numId="23" w16cid:durableId="644240867">
    <w:abstractNumId w:val="32"/>
  </w:num>
  <w:num w:numId="24" w16cid:durableId="1891526994">
    <w:abstractNumId w:val="10"/>
  </w:num>
  <w:num w:numId="25" w16cid:durableId="750540532">
    <w:abstractNumId w:val="5"/>
  </w:num>
  <w:num w:numId="26" w16cid:durableId="875895560">
    <w:abstractNumId w:val="17"/>
  </w:num>
  <w:num w:numId="27" w16cid:durableId="301541843">
    <w:abstractNumId w:val="18"/>
  </w:num>
  <w:num w:numId="28" w16cid:durableId="965358800">
    <w:abstractNumId w:val="6"/>
  </w:num>
  <w:num w:numId="29" w16cid:durableId="754979726">
    <w:abstractNumId w:val="38"/>
  </w:num>
  <w:num w:numId="30" w16cid:durableId="211956780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808274965">
    <w:abstractNumId w:val="35"/>
  </w:num>
  <w:num w:numId="32" w16cid:durableId="836964641">
    <w:abstractNumId w:val="19"/>
  </w:num>
  <w:num w:numId="33" w16cid:durableId="231892700">
    <w:abstractNumId w:val="34"/>
  </w:num>
  <w:num w:numId="34" w16cid:durableId="1259369502">
    <w:abstractNumId w:val="14"/>
  </w:num>
  <w:num w:numId="35" w16cid:durableId="1883396261">
    <w:abstractNumId w:val="23"/>
  </w:num>
  <w:num w:numId="36" w16cid:durableId="2029797043">
    <w:abstractNumId w:val="21"/>
  </w:num>
  <w:num w:numId="37" w16cid:durableId="1284384864">
    <w:abstractNumId w:val="8"/>
  </w:num>
  <w:num w:numId="38" w16cid:durableId="527567284">
    <w:abstractNumId w:val="15"/>
  </w:num>
  <w:num w:numId="39" w16cid:durableId="1619529568">
    <w:abstractNumId w:val="41"/>
  </w:num>
  <w:num w:numId="40" w16cid:durableId="320159430">
    <w:abstractNumId w:val="45"/>
  </w:num>
  <w:num w:numId="41" w16cid:durableId="801970952">
    <w:abstractNumId w:val="24"/>
  </w:num>
  <w:num w:numId="42" w16cid:durableId="840395577">
    <w:abstractNumId w:val="16"/>
  </w:num>
  <w:num w:numId="43" w16cid:durableId="473184127">
    <w:abstractNumId w:val="44"/>
  </w:num>
  <w:num w:numId="44" w16cid:durableId="427698647">
    <w:abstractNumId w:val="0"/>
  </w:num>
  <w:num w:numId="45" w16cid:durableId="95248258">
    <w:abstractNumId w:val="43"/>
  </w:num>
  <w:num w:numId="46" w16cid:durableId="1523007436">
    <w:abstractNumId w:val="40"/>
  </w:num>
  <w:num w:numId="47" w16cid:durableId="325674760">
    <w:abstractNumId w:val="26"/>
  </w:num>
  <w:num w:numId="48" w16cid:durableId="574902233">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I1MTM2sgRiAxMjcyUdpeDU4uLM/DyQAkPDWgDAkmSHLQAAAA=="/>
  </w:docVars>
  <w:rsids>
    <w:rsidRoot w:val="006C77D3"/>
    <w:rsid w:val="000022F2"/>
    <w:rsid w:val="00004884"/>
    <w:rsid w:val="000053DE"/>
    <w:rsid w:val="00010C31"/>
    <w:rsid w:val="00013930"/>
    <w:rsid w:val="00023F8C"/>
    <w:rsid w:val="00032D98"/>
    <w:rsid w:val="0004115D"/>
    <w:rsid w:val="00041811"/>
    <w:rsid w:val="00045562"/>
    <w:rsid w:val="0004716B"/>
    <w:rsid w:val="00050ACF"/>
    <w:rsid w:val="000510DE"/>
    <w:rsid w:val="00054EFA"/>
    <w:rsid w:val="00064218"/>
    <w:rsid w:val="0007052A"/>
    <w:rsid w:val="00076737"/>
    <w:rsid w:val="000816AA"/>
    <w:rsid w:val="00084FE6"/>
    <w:rsid w:val="000A7EE1"/>
    <w:rsid w:val="000B2429"/>
    <w:rsid w:val="000B5F00"/>
    <w:rsid w:val="000C099D"/>
    <w:rsid w:val="000C137F"/>
    <w:rsid w:val="000C3486"/>
    <w:rsid w:val="000D296E"/>
    <w:rsid w:val="000D2FBE"/>
    <w:rsid w:val="000F2095"/>
    <w:rsid w:val="000F2435"/>
    <w:rsid w:val="000F34B5"/>
    <w:rsid w:val="000F378A"/>
    <w:rsid w:val="000F69B6"/>
    <w:rsid w:val="00101DAE"/>
    <w:rsid w:val="0010706C"/>
    <w:rsid w:val="0011093B"/>
    <w:rsid w:val="00117DF4"/>
    <w:rsid w:val="001200C8"/>
    <w:rsid w:val="001234D9"/>
    <w:rsid w:val="0014178B"/>
    <w:rsid w:val="0015027E"/>
    <w:rsid w:val="00161487"/>
    <w:rsid w:val="001724B2"/>
    <w:rsid w:val="00176E64"/>
    <w:rsid w:val="00177A3C"/>
    <w:rsid w:val="001800BA"/>
    <w:rsid w:val="001810F7"/>
    <w:rsid w:val="00191413"/>
    <w:rsid w:val="00196BC3"/>
    <w:rsid w:val="00196BD9"/>
    <w:rsid w:val="001A158F"/>
    <w:rsid w:val="001A5618"/>
    <w:rsid w:val="001A7773"/>
    <w:rsid w:val="001B49C2"/>
    <w:rsid w:val="001C180B"/>
    <w:rsid w:val="001C496C"/>
    <w:rsid w:val="001C52D3"/>
    <w:rsid w:val="001D111D"/>
    <w:rsid w:val="001D440D"/>
    <w:rsid w:val="001D7475"/>
    <w:rsid w:val="001E51B8"/>
    <w:rsid w:val="001E5E8D"/>
    <w:rsid w:val="001F0B83"/>
    <w:rsid w:val="001F6F53"/>
    <w:rsid w:val="002062C1"/>
    <w:rsid w:val="002066D5"/>
    <w:rsid w:val="00211DA6"/>
    <w:rsid w:val="00213E67"/>
    <w:rsid w:val="002210B1"/>
    <w:rsid w:val="002279B0"/>
    <w:rsid w:val="002358F3"/>
    <w:rsid w:val="00237402"/>
    <w:rsid w:val="00240669"/>
    <w:rsid w:val="002413CC"/>
    <w:rsid w:val="002475F1"/>
    <w:rsid w:val="00255A36"/>
    <w:rsid w:val="00266D62"/>
    <w:rsid w:val="0028358B"/>
    <w:rsid w:val="00285B35"/>
    <w:rsid w:val="002861D9"/>
    <w:rsid w:val="00293905"/>
    <w:rsid w:val="0029615A"/>
    <w:rsid w:val="002966B0"/>
    <w:rsid w:val="002A2286"/>
    <w:rsid w:val="002B01F7"/>
    <w:rsid w:val="002B5563"/>
    <w:rsid w:val="002B740A"/>
    <w:rsid w:val="002C2168"/>
    <w:rsid w:val="002C74DE"/>
    <w:rsid w:val="002D67B3"/>
    <w:rsid w:val="002F09FA"/>
    <w:rsid w:val="002F0EFC"/>
    <w:rsid w:val="002F351D"/>
    <w:rsid w:val="002F540A"/>
    <w:rsid w:val="002F5F0A"/>
    <w:rsid w:val="0030258A"/>
    <w:rsid w:val="00312EE5"/>
    <w:rsid w:val="00316A26"/>
    <w:rsid w:val="00336742"/>
    <w:rsid w:val="00341FE1"/>
    <w:rsid w:val="00343592"/>
    <w:rsid w:val="00343BE4"/>
    <w:rsid w:val="00354150"/>
    <w:rsid w:val="003717A4"/>
    <w:rsid w:val="00373358"/>
    <w:rsid w:val="00373964"/>
    <w:rsid w:val="00375EFE"/>
    <w:rsid w:val="003B2614"/>
    <w:rsid w:val="003C0A34"/>
    <w:rsid w:val="003C1A03"/>
    <w:rsid w:val="003D45F6"/>
    <w:rsid w:val="003D7CBE"/>
    <w:rsid w:val="003E54A9"/>
    <w:rsid w:val="003F25D7"/>
    <w:rsid w:val="003F2CC1"/>
    <w:rsid w:val="0040436C"/>
    <w:rsid w:val="0040520B"/>
    <w:rsid w:val="00405F5A"/>
    <w:rsid w:val="0041703E"/>
    <w:rsid w:val="00422C67"/>
    <w:rsid w:val="00431727"/>
    <w:rsid w:val="0043287A"/>
    <w:rsid w:val="004345A5"/>
    <w:rsid w:val="00435BED"/>
    <w:rsid w:val="00442371"/>
    <w:rsid w:val="00442422"/>
    <w:rsid w:val="00443B34"/>
    <w:rsid w:val="004453C0"/>
    <w:rsid w:val="004541D2"/>
    <w:rsid w:val="004621BE"/>
    <w:rsid w:val="00462BC7"/>
    <w:rsid w:val="00464386"/>
    <w:rsid w:val="00464D12"/>
    <w:rsid w:val="004679B4"/>
    <w:rsid w:val="004867CE"/>
    <w:rsid w:val="00495C67"/>
    <w:rsid w:val="004A2B67"/>
    <w:rsid w:val="004C3188"/>
    <w:rsid w:val="004D139D"/>
    <w:rsid w:val="004D76D6"/>
    <w:rsid w:val="004E03C9"/>
    <w:rsid w:val="004E1C8E"/>
    <w:rsid w:val="004E3416"/>
    <w:rsid w:val="004F5945"/>
    <w:rsid w:val="005038F5"/>
    <w:rsid w:val="00505413"/>
    <w:rsid w:val="0051165C"/>
    <w:rsid w:val="0052371E"/>
    <w:rsid w:val="0052476F"/>
    <w:rsid w:val="005330F8"/>
    <w:rsid w:val="0054743E"/>
    <w:rsid w:val="005475B4"/>
    <w:rsid w:val="0055016F"/>
    <w:rsid w:val="005529A8"/>
    <w:rsid w:val="00555B3E"/>
    <w:rsid w:val="0056139A"/>
    <w:rsid w:val="00565684"/>
    <w:rsid w:val="00572BB7"/>
    <w:rsid w:val="0057468F"/>
    <w:rsid w:val="005810DD"/>
    <w:rsid w:val="00594176"/>
    <w:rsid w:val="005948C1"/>
    <w:rsid w:val="005A5281"/>
    <w:rsid w:val="005A65F2"/>
    <w:rsid w:val="005A6C0A"/>
    <w:rsid w:val="005A6C8E"/>
    <w:rsid w:val="005B664B"/>
    <w:rsid w:val="005C3647"/>
    <w:rsid w:val="005D75C8"/>
    <w:rsid w:val="005D7695"/>
    <w:rsid w:val="005F779C"/>
    <w:rsid w:val="0060226A"/>
    <w:rsid w:val="00617BA0"/>
    <w:rsid w:val="006213C8"/>
    <w:rsid w:val="00625314"/>
    <w:rsid w:val="00627A8F"/>
    <w:rsid w:val="00634DA2"/>
    <w:rsid w:val="006358FF"/>
    <w:rsid w:val="00637E06"/>
    <w:rsid w:val="0064007E"/>
    <w:rsid w:val="0065101A"/>
    <w:rsid w:val="0065496F"/>
    <w:rsid w:val="00655449"/>
    <w:rsid w:val="00660541"/>
    <w:rsid w:val="006668A1"/>
    <w:rsid w:val="00677390"/>
    <w:rsid w:val="006821D5"/>
    <w:rsid w:val="00684152"/>
    <w:rsid w:val="00691951"/>
    <w:rsid w:val="00693271"/>
    <w:rsid w:val="00693B9E"/>
    <w:rsid w:val="0069499E"/>
    <w:rsid w:val="00695ECB"/>
    <w:rsid w:val="00697066"/>
    <w:rsid w:val="006A04EA"/>
    <w:rsid w:val="006A1721"/>
    <w:rsid w:val="006B7082"/>
    <w:rsid w:val="006B7A10"/>
    <w:rsid w:val="006C3660"/>
    <w:rsid w:val="006C77D3"/>
    <w:rsid w:val="006D3A27"/>
    <w:rsid w:val="006D5DBB"/>
    <w:rsid w:val="006E1125"/>
    <w:rsid w:val="006E333D"/>
    <w:rsid w:val="006E3A0C"/>
    <w:rsid w:val="006F6EB8"/>
    <w:rsid w:val="00700117"/>
    <w:rsid w:val="007015E0"/>
    <w:rsid w:val="00701826"/>
    <w:rsid w:val="00703ACC"/>
    <w:rsid w:val="007066D8"/>
    <w:rsid w:val="00710352"/>
    <w:rsid w:val="007114FD"/>
    <w:rsid w:val="00712E29"/>
    <w:rsid w:val="00721E04"/>
    <w:rsid w:val="007400FF"/>
    <w:rsid w:val="0076497E"/>
    <w:rsid w:val="00772AD2"/>
    <w:rsid w:val="00785477"/>
    <w:rsid w:val="007864F8"/>
    <w:rsid w:val="00786B6B"/>
    <w:rsid w:val="0079743D"/>
    <w:rsid w:val="007A17AF"/>
    <w:rsid w:val="007A4D7D"/>
    <w:rsid w:val="007B16D9"/>
    <w:rsid w:val="007B209C"/>
    <w:rsid w:val="007B4019"/>
    <w:rsid w:val="007C297E"/>
    <w:rsid w:val="007C2E32"/>
    <w:rsid w:val="007C4073"/>
    <w:rsid w:val="007C4A29"/>
    <w:rsid w:val="007C6522"/>
    <w:rsid w:val="007C7B6E"/>
    <w:rsid w:val="007D16AC"/>
    <w:rsid w:val="007D18AE"/>
    <w:rsid w:val="007D6E69"/>
    <w:rsid w:val="007D7D89"/>
    <w:rsid w:val="007F13A1"/>
    <w:rsid w:val="00810107"/>
    <w:rsid w:val="00812890"/>
    <w:rsid w:val="00830161"/>
    <w:rsid w:val="00835140"/>
    <w:rsid w:val="008354F6"/>
    <w:rsid w:val="00836CA5"/>
    <w:rsid w:val="00842849"/>
    <w:rsid w:val="008470A3"/>
    <w:rsid w:val="008524CB"/>
    <w:rsid w:val="00852620"/>
    <w:rsid w:val="008550D5"/>
    <w:rsid w:val="00865A0B"/>
    <w:rsid w:val="00875BD9"/>
    <w:rsid w:val="00877A28"/>
    <w:rsid w:val="00883512"/>
    <w:rsid w:val="00884EEE"/>
    <w:rsid w:val="0089314E"/>
    <w:rsid w:val="008A3386"/>
    <w:rsid w:val="008A72EF"/>
    <w:rsid w:val="008B00A9"/>
    <w:rsid w:val="008B1AD7"/>
    <w:rsid w:val="008B2E96"/>
    <w:rsid w:val="008B70E6"/>
    <w:rsid w:val="008C23A0"/>
    <w:rsid w:val="008C45FE"/>
    <w:rsid w:val="008D20AD"/>
    <w:rsid w:val="008D21B6"/>
    <w:rsid w:val="008D69A3"/>
    <w:rsid w:val="008D74E9"/>
    <w:rsid w:val="008E1901"/>
    <w:rsid w:val="008E53D0"/>
    <w:rsid w:val="008F0004"/>
    <w:rsid w:val="008F5A46"/>
    <w:rsid w:val="009101C1"/>
    <w:rsid w:val="00910AED"/>
    <w:rsid w:val="009122D7"/>
    <w:rsid w:val="00930499"/>
    <w:rsid w:val="00932C4B"/>
    <w:rsid w:val="0093410A"/>
    <w:rsid w:val="0094595C"/>
    <w:rsid w:val="00946A23"/>
    <w:rsid w:val="00957C24"/>
    <w:rsid w:val="00970048"/>
    <w:rsid w:val="00972103"/>
    <w:rsid w:val="00984E4F"/>
    <w:rsid w:val="00987636"/>
    <w:rsid w:val="00991D11"/>
    <w:rsid w:val="009A016D"/>
    <w:rsid w:val="009A64DA"/>
    <w:rsid w:val="009B3B80"/>
    <w:rsid w:val="009B7474"/>
    <w:rsid w:val="009C48E9"/>
    <w:rsid w:val="009C7B82"/>
    <w:rsid w:val="009D2CCE"/>
    <w:rsid w:val="009D5F90"/>
    <w:rsid w:val="009D63DC"/>
    <w:rsid w:val="009D7D4C"/>
    <w:rsid w:val="00A05A29"/>
    <w:rsid w:val="00A14FD2"/>
    <w:rsid w:val="00A16BDF"/>
    <w:rsid w:val="00A2299C"/>
    <w:rsid w:val="00A23DF6"/>
    <w:rsid w:val="00A2429A"/>
    <w:rsid w:val="00A24F2F"/>
    <w:rsid w:val="00A36200"/>
    <w:rsid w:val="00A4362A"/>
    <w:rsid w:val="00A44889"/>
    <w:rsid w:val="00A45DF9"/>
    <w:rsid w:val="00A540C8"/>
    <w:rsid w:val="00A61C0D"/>
    <w:rsid w:val="00A62818"/>
    <w:rsid w:val="00A62934"/>
    <w:rsid w:val="00A73AD4"/>
    <w:rsid w:val="00A82A9A"/>
    <w:rsid w:val="00A84EDB"/>
    <w:rsid w:val="00A87A6A"/>
    <w:rsid w:val="00A96570"/>
    <w:rsid w:val="00A972DF"/>
    <w:rsid w:val="00AA6EA9"/>
    <w:rsid w:val="00AB25D6"/>
    <w:rsid w:val="00AB2A80"/>
    <w:rsid w:val="00AB5DDC"/>
    <w:rsid w:val="00AC35F0"/>
    <w:rsid w:val="00AC544E"/>
    <w:rsid w:val="00AC69C5"/>
    <w:rsid w:val="00AC7FB8"/>
    <w:rsid w:val="00AE2BA3"/>
    <w:rsid w:val="00AE4439"/>
    <w:rsid w:val="00AF65DC"/>
    <w:rsid w:val="00B00408"/>
    <w:rsid w:val="00B111FF"/>
    <w:rsid w:val="00B17824"/>
    <w:rsid w:val="00B3226B"/>
    <w:rsid w:val="00B364A3"/>
    <w:rsid w:val="00B36DB7"/>
    <w:rsid w:val="00B407A6"/>
    <w:rsid w:val="00B4475B"/>
    <w:rsid w:val="00B46AFB"/>
    <w:rsid w:val="00B52E86"/>
    <w:rsid w:val="00B5434E"/>
    <w:rsid w:val="00B61B15"/>
    <w:rsid w:val="00B65DBD"/>
    <w:rsid w:val="00B6641C"/>
    <w:rsid w:val="00B710F8"/>
    <w:rsid w:val="00B747CC"/>
    <w:rsid w:val="00B75F91"/>
    <w:rsid w:val="00B82DC9"/>
    <w:rsid w:val="00B8404D"/>
    <w:rsid w:val="00BB5003"/>
    <w:rsid w:val="00BC482C"/>
    <w:rsid w:val="00BD48DC"/>
    <w:rsid w:val="00BE2AF6"/>
    <w:rsid w:val="00BE3753"/>
    <w:rsid w:val="00BE677C"/>
    <w:rsid w:val="00BF48B8"/>
    <w:rsid w:val="00C12E98"/>
    <w:rsid w:val="00C2223B"/>
    <w:rsid w:val="00C245E3"/>
    <w:rsid w:val="00C323FA"/>
    <w:rsid w:val="00C32A57"/>
    <w:rsid w:val="00C32DC5"/>
    <w:rsid w:val="00C33613"/>
    <w:rsid w:val="00C56E00"/>
    <w:rsid w:val="00C57D52"/>
    <w:rsid w:val="00C904F2"/>
    <w:rsid w:val="00C93F4C"/>
    <w:rsid w:val="00CA564A"/>
    <w:rsid w:val="00CB486C"/>
    <w:rsid w:val="00CB76B6"/>
    <w:rsid w:val="00CC7877"/>
    <w:rsid w:val="00CE0622"/>
    <w:rsid w:val="00CF459A"/>
    <w:rsid w:val="00CF4AA1"/>
    <w:rsid w:val="00CF6CFC"/>
    <w:rsid w:val="00CF78E2"/>
    <w:rsid w:val="00D01AC3"/>
    <w:rsid w:val="00D03034"/>
    <w:rsid w:val="00D079B2"/>
    <w:rsid w:val="00D10084"/>
    <w:rsid w:val="00D1376D"/>
    <w:rsid w:val="00D264EC"/>
    <w:rsid w:val="00D36BD1"/>
    <w:rsid w:val="00D63DEF"/>
    <w:rsid w:val="00D65FFB"/>
    <w:rsid w:val="00D7429E"/>
    <w:rsid w:val="00D77AD7"/>
    <w:rsid w:val="00D77C7C"/>
    <w:rsid w:val="00D81006"/>
    <w:rsid w:val="00D87CA6"/>
    <w:rsid w:val="00D92328"/>
    <w:rsid w:val="00D92B86"/>
    <w:rsid w:val="00D92EFD"/>
    <w:rsid w:val="00D9557A"/>
    <w:rsid w:val="00DA5057"/>
    <w:rsid w:val="00DB0CD4"/>
    <w:rsid w:val="00DB77D8"/>
    <w:rsid w:val="00DC0D57"/>
    <w:rsid w:val="00DC22E0"/>
    <w:rsid w:val="00DC606D"/>
    <w:rsid w:val="00DC716D"/>
    <w:rsid w:val="00DC7593"/>
    <w:rsid w:val="00DE30C2"/>
    <w:rsid w:val="00DE3B4E"/>
    <w:rsid w:val="00DE59F9"/>
    <w:rsid w:val="00DE6E11"/>
    <w:rsid w:val="00DF034A"/>
    <w:rsid w:val="00E1405D"/>
    <w:rsid w:val="00E14DF7"/>
    <w:rsid w:val="00E15A3F"/>
    <w:rsid w:val="00E16D4C"/>
    <w:rsid w:val="00E22757"/>
    <w:rsid w:val="00E3308A"/>
    <w:rsid w:val="00E367D2"/>
    <w:rsid w:val="00E401EE"/>
    <w:rsid w:val="00E44667"/>
    <w:rsid w:val="00E45261"/>
    <w:rsid w:val="00E52BAB"/>
    <w:rsid w:val="00E551F9"/>
    <w:rsid w:val="00E572ED"/>
    <w:rsid w:val="00E6066A"/>
    <w:rsid w:val="00E6205B"/>
    <w:rsid w:val="00E70317"/>
    <w:rsid w:val="00E7548D"/>
    <w:rsid w:val="00E85076"/>
    <w:rsid w:val="00E857E9"/>
    <w:rsid w:val="00E90FEB"/>
    <w:rsid w:val="00E91FC2"/>
    <w:rsid w:val="00E96C2F"/>
    <w:rsid w:val="00EA24B4"/>
    <w:rsid w:val="00EA3179"/>
    <w:rsid w:val="00EA4448"/>
    <w:rsid w:val="00EB1BBC"/>
    <w:rsid w:val="00EB2746"/>
    <w:rsid w:val="00EB2E0C"/>
    <w:rsid w:val="00EB46C4"/>
    <w:rsid w:val="00EC18C7"/>
    <w:rsid w:val="00EC3C3C"/>
    <w:rsid w:val="00ED2CD1"/>
    <w:rsid w:val="00ED4795"/>
    <w:rsid w:val="00EE01C1"/>
    <w:rsid w:val="00EE18F3"/>
    <w:rsid w:val="00EE5F6E"/>
    <w:rsid w:val="00EE7A4C"/>
    <w:rsid w:val="00EF1E7A"/>
    <w:rsid w:val="00EF7288"/>
    <w:rsid w:val="00F253E4"/>
    <w:rsid w:val="00F327B5"/>
    <w:rsid w:val="00F40CC1"/>
    <w:rsid w:val="00F414B5"/>
    <w:rsid w:val="00F446B2"/>
    <w:rsid w:val="00F46056"/>
    <w:rsid w:val="00F47DFA"/>
    <w:rsid w:val="00F54A5C"/>
    <w:rsid w:val="00F55FC0"/>
    <w:rsid w:val="00F56F53"/>
    <w:rsid w:val="00F62F61"/>
    <w:rsid w:val="00F630FD"/>
    <w:rsid w:val="00F654F3"/>
    <w:rsid w:val="00F80D1F"/>
    <w:rsid w:val="00F872F7"/>
    <w:rsid w:val="00FA13AC"/>
    <w:rsid w:val="00FA6F18"/>
    <w:rsid w:val="00FB0254"/>
    <w:rsid w:val="00FB165A"/>
    <w:rsid w:val="00FB4354"/>
    <w:rsid w:val="00FC3170"/>
    <w:rsid w:val="00FD0034"/>
    <w:rsid w:val="00FE0004"/>
    <w:rsid w:val="00FF12F6"/>
  </w:rsids>
  <m:mathPr>
    <m:mathFont m:val="Cambria Math"/>
    <m:brkBin m:val="before"/>
    <m:brkBinSub m:val="--"/>
    <m:smallFrac/>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DC1F17"/>
  <w15:chartTrackingRefBased/>
  <w15:docId w15:val="{D4D1EDFD-825E-4CC6-989C-D39D04EEE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ID"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14FD"/>
    <w:pPr>
      <w:spacing w:after="200" w:line="276" w:lineRule="auto"/>
    </w:pPr>
    <w:rPr>
      <w:sz w:val="22"/>
      <w:szCs w:val="22"/>
      <w:lang w:val="id-ID" w:eastAsia="en-US"/>
    </w:rPr>
  </w:style>
  <w:style w:type="paragraph" w:styleId="Heading1">
    <w:name w:val="heading 1"/>
    <w:basedOn w:val="Normal"/>
    <w:link w:val="Heading1Char"/>
    <w:uiPriority w:val="9"/>
    <w:qFormat/>
    <w:rsid w:val="0041703E"/>
    <w:pPr>
      <w:widowControl w:val="0"/>
      <w:autoSpaceDE w:val="0"/>
      <w:autoSpaceDN w:val="0"/>
      <w:spacing w:before="120" w:after="0"/>
      <w:ind w:left="115" w:firstLine="576"/>
      <w:jc w:val="both"/>
      <w:outlineLvl w:val="0"/>
    </w:pPr>
    <w:rPr>
      <w:rFonts w:ascii="Times New Roman" w:eastAsia="Times New Roman" w:hAnsi="Times New Roman"/>
      <w:b/>
      <w:bCs/>
      <w:sz w:val="24"/>
      <w:szCs w:val="24"/>
      <w:lang w:val="id"/>
    </w:rPr>
  </w:style>
  <w:style w:type="paragraph" w:styleId="Heading3">
    <w:name w:val="heading 3"/>
    <w:basedOn w:val="Normal"/>
    <w:next w:val="Normal"/>
    <w:link w:val="Heading3Char"/>
    <w:uiPriority w:val="9"/>
    <w:semiHidden/>
    <w:unhideWhenUsed/>
    <w:qFormat/>
    <w:rsid w:val="00023F8C"/>
    <w:pPr>
      <w:keepNext/>
      <w:spacing w:before="240" w:after="60"/>
      <w:outlineLvl w:val="2"/>
    </w:pPr>
    <w:rPr>
      <w:rFonts w:ascii="Calibri Light" w:eastAsia="MS Gothic" w:hAnsi="Calibri Light"/>
      <w:b/>
      <w:bCs/>
      <w:sz w:val="26"/>
      <w:szCs w:val="26"/>
    </w:rPr>
  </w:style>
  <w:style w:type="paragraph" w:styleId="Heading4">
    <w:name w:val="heading 4"/>
    <w:basedOn w:val="Normal"/>
    <w:next w:val="Normal"/>
    <w:link w:val="Heading4Char"/>
    <w:uiPriority w:val="9"/>
    <w:semiHidden/>
    <w:unhideWhenUsed/>
    <w:qFormat/>
    <w:rsid w:val="00684152"/>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77D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C77D3"/>
  </w:style>
  <w:style w:type="paragraph" w:styleId="Footer">
    <w:name w:val="footer"/>
    <w:basedOn w:val="Normal"/>
    <w:link w:val="FooterChar"/>
    <w:uiPriority w:val="99"/>
    <w:unhideWhenUsed/>
    <w:rsid w:val="006C77D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C77D3"/>
  </w:style>
  <w:style w:type="paragraph" w:styleId="BalloonText">
    <w:name w:val="Balloon Text"/>
    <w:basedOn w:val="Normal"/>
    <w:link w:val="BalloonTextChar"/>
    <w:uiPriority w:val="99"/>
    <w:semiHidden/>
    <w:unhideWhenUsed/>
    <w:rsid w:val="006C77D3"/>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6C77D3"/>
    <w:rPr>
      <w:rFonts w:ascii="Tahoma" w:hAnsi="Tahoma" w:cs="Tahoma"/>
      <w:sz w:val="16"/>
      <w:szCs w:val="16"/>
    </w:rPr>
  </w:style>
  <w:style w:type="paragraph" w:styleId="ListParagraph">
    <w:name w:val="List Paragraph"/>
    <w:aliases w:val="Body of text,List Paragraph1,spasi 2 taiiii,1.2 Dst...,Heading 1 Char1,Body of text+1,Body of text+2,Body of text+3,List Paragraph11,Body of textCxSp"/>
    <w:basedOn w:val="Normal"/>
    <w:link w:val="ListParagraphChar"/>
    <w:uiPriority w:val="34"/>
    <w:qFormat/>
    <w:rsid w:val="00812890"/>
    <w:pPr>
      <w:spacing w:after="0" w:line="360" w:lineRule="auto"/>
      <w:ind w:left="720"/>
      <w:contextualSpacing/>
      <w:jc w:val="both"/>
    </w:pPr>
    <w:rPr>
      <w:rFonts w:ascii="Times New Roman" w:hAnsi="Times New Roman"/>
      <w:sz w:val="24"/>
      <w:lang w:val="en-US"/>
    </w:rPr>
  </w:style>
  <w:style w:type="paragraph" w:customStyle="1" w:styleId="Default">
    <w:name w:val="Default"/>
    <w:rsid w:val="00812890"/>
    <w:pPr>
      <w:autoSpaceDE w:val="0"/>
      <w:autoSpaceDN w:val="0"/>
      <w:adjustRightInd w:val="0"/>
    </w:pPr>
    <w:rPr>
      <w:rFonts w:cs="Calibri"/>
      <w:color w:val="000000"/>
      <w:sz w:val="24"/>
      <w:szCs w:val="24"/>
      <w:lang w:val="id-ID" w:eastAsia="en-US"/>
    </w:rPr>
  </w:style>
  <w:style w:type="table" w:styleId="TableGrid">
    <w:name w:val="Table Grid"/>
    <w:basedOn w:val="TableNormal"/>
    <w:uiPriority w:val="59"/>
    <w:rsid w:val="00812890"/>
    <w:rPr>
      <w:rFonts w:eastAsia="SimSun" w:cs="SimSu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Char">
    <w:name w:val="Body Char"/>
    <w:link w:val="BodyCharChar"/>
    <w:rsid w:val="00812890"/>
    <w:pPr>
      <w:tabs>
        <w:tab w:val="left" w:pos="567"/>
      </w:tabs>
      <w:jc w:val="both"/>
    </w:pPr>
    <w:rPr>
      <w:rFonts w:ascii="Times" w:eastAsia="Times New Roman" w:hAnsi="Times"/>
      <w:color w:val="000000"/>
      <w:lang w:val="en-GB" w:eastAsia="id-ID"/>
    </w:rPr>
  </w:style>
  <w:style w:type="character" w:customStyle="1" w:styleId="BodyCharChar">
    <w:name w:val="Body Char Char"/>
    <w:link w:val="BodyChar"/>
    <w:rsid w:val="00812890"/>
    <w:rPr>
      <w:rFonts w:ascii="Times" w:eastAsia="Times New Roman" w:hAnsi="Times"/>
      <w:color w:val="000000"/>
      <w:lang w:val="en-GB" w:eastAsia="id-ID" w:bidi="ar-SA"/>
    </w:rPr>
  </w:style>
  <w:style w:type="paragraph" w:customStyle="1" w:styleId="FigureCaption">
    <w:name w:val="FigureCaption"/>
    <w:rsid w:val="00812890"/>
    <w:pPr>
      <w:spacing w:before="170"/>
      <w:ind w:left="28"/>
      <w:jc w:val="center"/>
    </w:pPr>
    <w:rPr>
      <w:rFonts w:ascii="Times" w:eastAsia="Times New Roman" w:hAnsi="Times"/>
      <w:color w:val="000000"/>
      <w:sz w:val="22"/>
      <w:szCs w:val="22"/>
      <w:lang w:val="en-GB" w:eastAsia="en-US"/>
    </w:rPr>
  </w:style>
  <w:style w:type="table" w:customStyle="1" w:styleId="Style1">
    <w:name w:val="Style1"/>
    <w:basedOn w:val="TableNormal"/>
    <w:uiPriority w:val="99"/>
    <w:qFormat/>
    <w:rsid w:val="00D01AC3"/>
    <w:tblPr/>
  </w:style>
  <w:style w:type="table" w:styleId="LightShading-Accent4">
    <w:name w:val="Light Shading Accent 4"/>
    <w:basedOn w:val="TableNormal"/>
    <w:uiPriority w:val="60"/>
    <w:rsid w:val="00D01AC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character" w:styleId="CommentReference">
    <w:name w:val="annotation reference"/>
    <w:uiPriority w:val="99"/>
    <w:semiHidden/>
    <w:unhideWhenUsed/>
    <w:rsid w:val="007015E0"/>
    <w:rPr>
      <w:sz w:val="16"/>
      <w:szCs w:val="16"/>
    </w:rPr>
  </w:style>
  <w:style w:type="paragraph" w:styleId="CommentText">
    <w:name w:val="annotation text"/>
    <w:basedOn w:val="Normal"/>
    <w:link w:val="CommentTextChar"/>
    <w:uiPriority w:val="99"/>
    <w:unhideWhenUsed/>
    <w:rsid w:val="007015E0"/>
    <w:pPr>
      <w:spacing w:line="240" w:lineRule="auto"/>
    </w:pPr>
    <w:rPr>
      <w:sz w:val="20"/>
      <w:szCs w:val="20"/>
      <w:lang w:val="x-none" w:eastAsia="x-none"/>
    </w:rPr>
  </w:style>
  <w:style w:type="character" w:customStyle="1" w:styleId="CommentTextChar">
    <w:name w:val="Comment Text Char"/>
    <w:link w:val="CommentText"/>
    <w:uiPriority w:val="99"/>
    <w:rsid w:val="007015E0"/>
    <w:rPr>
      <w:sz w:val="20"/>
      <w:szCs w:val="20"/>
    </w:rPr>
  </w:style>
  <w:style w:type="paragraph" w:styleId="CommentSubject">
    <w:name w:val="annotation subject"/>
    <w:basedOn w:val="CommentText"/>
    <w:next w:val="CommentText"/>
    <w:link w:val="CommentSubjectChar"/>
    <w:uiPriority w:val="99"/>
    <w:semiHidden/>
    <w:unhideWhenUsed/>
    <w:rsid w:val="007015E0"/>
    <w:rPr>
      <w:b/>
      <w:bCs/>
    </w:rPr>
  </w:style>
  <w:style w:type="character" w:customStyle="1" w:styleId="CommentSubjectChar">
    <w:name w:val="Comment Subject Char"/>
    <w:link w:val="CommentSubject"/>
    <w:uiPriority w:val="99"/>
    <w:semiHidden/>
    <w:rsid w:val="007015E0"/>
    <w:rPr>
      <w:b/>
      <w:bCs/>
      <w:sz w:val="20"/>
      <w:szCs w:val="20"/>
    </w:rPr>
  </w:style>
  <w:style w:type="character" w:customStyle="1" w:styleId="fontstyle01">
    <w:name w:val="fontstyle01"/>
    <w:rsid w:val="005D7695"/>
    <w:rPr>
      <w:rFonts w:ascii="Times New Roman" w:hAnsi="Times New Roman" w:cs="Times New Roman" w:hint="default"/>
      <w:b w:val="0"/>
      <w:bCs w:val="0"/>
      <w:i w:val="0"/>
      <w:iCs w:val="0"/>
      <w:color w:val="000000"/>
      <w:sz w:val="22"/>
      <w:szCs w:val="22"/>
    </w:rPr>
  </w:style>
  <w:style w:type="character" w:customStyle="1" w:styleId="fontstyle21">
    <w:name w:val="fontstyle21"/>
    <w:rsid w:val="005D7695"/>
    <w:rPr>
      <w:rFonts w:ascii="Times New Roman" w:hAnsi="Times New Roman" w:cs="Times New Roman" w:hint="default"/>
      <w:b w:val="0"/>
      <w:bCs w:val="0"/>
      <w:i/>
      <w:iCs/>
      <w:color w:val="000000"/>
      <w:sz w:val="22"/>
      <w:szCs w:val="22"/>
    </w:rPr>
  </w:style>
  <w:style w:type="character" w:customStyle="1" w:styleId="ListParagraphChar">
    <w:name w:val="List Paragraph Char"/>
    <w:aliases w:val="Body of text Char,List Paragraph1 Char,spasi 2 taiiii Char,1.2 Dst... Char,Heading 1 Char1 Char,Body of text+1 Char,Body of text+2 Char,Body of text+3 Char,List Paragraph11 Char,Body of textCxSp Char"/>
    <w:link w:val="ListParagraph"/>
    <w:uiPriority w:val="34"/>
    <w:rsid w:val="00786B6B"/>
    <w:rPr>
      <w:rFonts w:ascii="Times New Roman" w:hAnsi="Times New Roman"/>
      <w:sz w:val="24"/>
      <w:szCs w:val="22"/>
      <w:lang w:val="en-US" w:eastAsia="en-US"/>
    </w:rPr>
  </w:style>
  <w:style w:type="character" w:styleId="Hyperlink">
    <w:name w:val="Hyperlink"/>
    <w:uiPriority w:val="99"/>
    <w:unhideWhenUsed/>
    <w:rsid w:val="009C7B82"/>
    <w:rPr>
      <w:color w:val="0563C1"/>
      <w:u w:val="single"/>
    </w:rPr>
  </w:style>
  <w:style w:type="table" w:customStyle="1" w:styleId="TableGrid0">
    <w:name w:val="TableGrid"/>
    <w:rsid w:val="007D6E69"/>
    <w:rPr>
      <w:rFonts w:eastAsia="Times New Roman"/>
      <w:sz w:val="22"/>
      <w:szCs w:val="22"/>
      <w:lang w:val="en-US" w:eastAsia="en-US"/>
    </w:rPr>
    <w:tblPr>
      <w:tblCellMar>
        <w:top w:w="0" w:type="dxa"/>
        <w:left w:w="0" w:type="dxa"/>
        <w:bottom w:w="0" w:type="dxa"/>
        <w:right w:w="0" w:type="dxa"/>
      </w:tblCellMar>
    </w:tblPr>
  </w:style>
  <w:style w:type="character" w:styleId="UnresolvedMention">
    <w:name w:val="Unresolved Mention"/>
    <w:uiPriority w:val="99"/>
    <w:semiHidden/>
    <w:unhideWhenUsed/>
    <w:rsid w:val="008354F6"/>
    <w:rPr>
      <w:color w:val="605E5C"/>
      <w:shd w:val="clear" w:color="auto" w:fill="E1DFDD"/>
    </w:rPr>
  </w:style>
  <w:style w:type="paragraph" w:styleId="BodyText">
    <w:name w:val="Body Text"/>
    <w:basedOn w:val="Normal"/>
    <w:link w:val="BodyTextChar"/>
    <w:uiPriority w:val="1"/>
    <w:qFormat/>
    <w:rsid w:val="00660541"/>
    <w:pPr>
      <w:widowControl w:val="0"/>
      <w:autoSpaceDE w:val="0"/>
      <w:autoSpaceDN w:val="0"/>
      <w:spacing w:after="0" w:line="240" w:lineRule="auto"/>
      <w:jc w:val="both"/>
    </w:pPr>
    <w:rPr>
      <w:rFonts w:ascii="Times New Roman" w:eastAsia="Times New Roman" w:hAnsi="Times New Roman"/>
      <w:sz w:val="24"/>
      <w:szCs w:val="24"/>
      <w:lang w:val="en-US"/>
    </w:rPr>
  </w:style>
  <w:style w:type="character" w:customStyle="1" w:styleId="BodyTextChar">
    <w:name w:val="Body Text Char"/>
    <w:link w:val="BodyText"/>
    <w:uiPriority w:val="1"/>
    <w:rsid w:val="00660541"/>
    <w:rPr>
      <w:rFonts w:ascii="Times New Roman" w:eastAsia="Times New Roman" w:hAnsi="Times New Roman"/>
      <w:sz w:val="24"/>
      <w:szCs w:val="24"/>
    </w:rPr>
  </w:style>
  <w:style w:type="paragraph" w:customStyle="1" w:styleId="TableParagraph">
    <w:name w:val="Table Paragraph"/>
    <w:basedOn w:val="Normal"/>
    <w:uiPriority w:val="1"/>
    <w:qFormat/>
    <w:rsid w:val="00660541"/>
    <w:pPr>
      <w:widowControl w:val="0"/>
      <w:autoSpaceDE w:val="0"/>
      <w:autoSpaceDN w:val="0"/>
      <w:spacing w:after="0" w:line="275" w:lineRule="exact"/>
      <w:ind w:left="110"/>
    </w:pPr>
    <w:rPr>
      <w:rFonts w:ascii="Times New Roman" w:eastAsia="Times New Roman" w:hAnsi="Times New Roman"/>
      <w:lang w:val="en-US"/>
    </w:rPr>
  </w:style>
  <w:style w:type="character" w:customStyle="1" w:styleId="Heading3Char">
    <w:name w:val="Heading 3 Char"/>
    <w:link w:val="Heading3"/>
    <w:uiPriority w:val="9"/>
    <w:semiHidden/>
    <w:rsid w:val="00023F8C"/>
    <w:rPr>
      <w:rFonts w:ascii="Calibri Light" w:eastAsia="MS Gothic" w:hAnsi="Calibri Light"/>
      <w:b/>
      <w:bCs/>
      <w:sz w:val="26"/>
      <w:szCs w:val="26"/>
      <w:lang w:val="id-ID"/>
    </w:rPr>
  </w:style>
  <w:style w:type="paragraph" w:customStyle="1" w:styleId="Equation">
    <w:name w:val="Equation"/>
    <w:basedOn w:val="Normal"/>
    <w:rsid w:val="00023F8C"/>
    <w:pPr>
      <w:widowControl w:val="0"/>
      <w:tabs>
        <w:tab w:val="left" w:pos="0"/>
        <w:tab w:val="center" w:pos="2268"/>
        <w:tab w:val="right" w:pos="4706"/>
      </w:tabs>
      <w:autoSpaceDE w:val="0"/>
      <w:autoSpaceDN w:val="0"/>
      <w:adjustRightInd w:val="0"/>
      <w:spacing w:before="120" w:after="120" w:line="240" w:lineRule="auto"/>
      <w:jc w:val="both"/>
      <w:textAlignment w:val="baseline"/>
    </w:pPr>
    <w:rPr>
      <w:rFonts w:ascii="Times New Roman" w:eastAsia="BatangChe" w:hAnsi="Times New Roman"/>
      <w:szCs w:val="20"/>
      <w:lang w:val="en-US" w:eastAsia="ko-KR"/>
    </w:rPr>
  </w:style>
  <w:style w:type="character" w:styleId="PlaceholderText">
    <w:name w:val="Placeholder Text"/>
    <w:basedOn w:val="DefaultParagraphFont"/>
    <w:uiPriority w:val="99"/>
    <w:semiHidden/>
    <w:rsid w:val="00DC716D"/>
    <w:rPr>
      <w:color w:val="808080"/>
    </w:rPr>
  </w:style>
  <w:style w:type="table" w:customStyle="1" w:styleId="TableGrid1">
    <w:name w:val="Table Grid1"/>
    <w:basedOn w:val="TableNormal"/>
    <w:next w:val="TableGrid"/>
    <w:uiPriority w:val="39"/>
    <w:rsid w:val="0040520B"/>
    <w:rPr>
      <w:rFonts w:cs="Arial"/>
      <w:sz w:val="22"/>
      <w:szCs w:val="22"/>
      <w:lang w:val="en-MY"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40520B"/>
    <w:rPr>
      <w:rFonts w:cs="Arial"/>
      <w:sz w:val="22"/>
      <w:szCs w:val="22"/>
      <w:lang w:val="en-MY"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2-Accent31">
    <w:name w:val="List Table 2 - Accent 31"/>
    <w:basedOn w:val="TableNormal"/>
    <w:next w:val="ListTable2-Accent3"/>
    <w:uiPriority w:val="47"/>
    <w:rsid w:val="0040520B"/>
    <w:rPr>
      <w:rFonts w:cs="Arial"/>
      <w:sz w:val="22"/>
      <w:szCs w:val="22"/>
      <w:lang w:val="en-MY" w:eastAsia="en-US"/>
    </w:rPr>
    <w:tblPr>
      <w:tblStyleRowBandSize w:val="1"/>
      <w:tblStyleColBandSize w:val="1"/>
      <w:tblBorders>
        <w:top w:val="single" w:sz="4" w:space="0" w:color="C9C9C9"/>
        <w:bottom w:val="single" w:sz="4" w:space="0" w:color="C9C9C9"/>
        <w:insideH w:val="single" w:sz="4" w:space="0" w:color="C9C9C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ListTable2-Accent3">
    <w:name w:val="List Table 2 Accent 3"/>
    <w:basedOn w:val="TableNormal"/>
    <w:uiPriority w:val="47"/>
    <w:rsid w:val="0040520B"/>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Heading4Char">
    <w:name w:val="Heading 4 Char"/>
    <w:basedOn w:val="DefaultParagraphFont"/>
    <w:link w:val="Heading4"/>
    <w:uiPriority w:val="9"/>
    <w:semiHidden/>
    <w:rsid w:val="00684152"/>
    <w:rPr>
      <w:rFonts w:asciiTheme="majorHAnsi" w:eastAsiaTheme="majorEastAsia" w:hAnsiTheme="majorHAnsi" w:cstheme="majorBidi"/>
      <w:i/>
      <w:iCs/>
      <w:color w:val="2F5496" w:themeColor="accent1" w:themeShade="BF"/>
      <w:sz w:val="22"/>
      <w:szCs w:val="22"/>
      <w:lang w:val="id-ID" w:eastAsia="en-US"/>
    </w:rPr>
  </w:style>
  <w:style w:type="table" w:styleId="PlainTable2">
    <w:name w:val="Plain Table 2"/>
    <w:basedOn w:val="TableNormal"/>
    <w:uiPriority w:val="42"/>
    <w:rsid w:val="0041703E"/>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1Char">
    <w:name w:val="Heading 1 Char"/>
    <w:basedOn w:val="DefaultParagraphFont"/>
    <w:link w:val="Heading1"/>
    <w:uiPriority w:val="9"/>
    <w:rsid w:val="0041703E"/>
    <w:rPr>
      <w:rFonts w:ascii="Times New Roman" w:eastAsia="Times New Roman" w:hAnsi="Times New Roman"/>
      <w:b/>
      <w:bCs/>
      <w:sz w:val="24"/>
      <w:szCs w:val="24"/>
      <w:lang w:val="id" w:eastAsia="en-US"/>
    </w:rPr>
  </w:style>
  <w:style w:type="table" w:styleId="PlainTable4">
    <w:name w:val="Plain Table 4"/>
    <w:basedOn w:val="TableNormal"/>
    <w:uiPriority w:val="44"/>
    <w:rsid w:val="0041703E"/>
    <w:pPr>
      <w:widowControl w:val="0"/>
      <w:autoSpaceDE w:val="0"/>
      <w:autoSpaceDN w:val="0"/>
    </w:pPr>
    <w:rPr>
      <w:rFonts w:asciiTheme="minorHAnsi" w:eastAsiaTheme="minorHAnsi" w:hAnsiTheme="minorHAnsi" w:cstheme="minorBidi"/>
      <w:sz w:val="22"/>
      <w:szCs w:val="22"/>
      <w:lang w:val="en-US"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Style1Char">
    <w:name w:val="Style1 Char"/>
    <w:basedOn w:val="DefaultParagraphFont"/>
    <w:rsid w:val="0041703E"/>
    <w:rPr>
      <w:rFonts w:ascii="Times New Roman" w:eastAsia="Times New Roman" w:hAnsi="Times New Roman" w:cs="Times New Roman"/>
      <w:lang w:val="id"/>
    </w:rPr>
  </w:style>
  <w:style w:type="paragraph" w:customStyle="1" w:styleId="Isi">
    <w:name w:val="Isi"/>
    <w:basedOn w:val="Normal"/>
    <w:link w:val="IsiChar"/>
    <w:qFormat/>
    <w:rsid w:val="0041703E"/>
    <w:pPr>
      <w:spacing w:after="160" w:line="480" w:lineRule="auto"/>
      <w:ind w:firstLine="576"/>
      <w:jc w:val="both"/>
    </w:pPr>
    <w:rPr>
      <w:rFonts w:ascii="Times New Roman" w:eastAsiaTheme="minorHAnsi" w:hAnsi="Times New Roman"/>
      <w:sz w:val="24"/>
      <w:szCs w:val="24"/>
      <w:lang w:val="en-ID" w:bidi="hi-IN"/>
    </w:rPr>
  </w:style>
  <w:style w:type="character" w:customStyle="1" w:styleId="IsiChar">
    <w:name w:val="Isi Char"/>
    <w:basedOn w:val="DefaultParagraphFont"/>
    <w:link w:val="Isi"/>
    <w:rsid w:val="0041703E"/>
    <w:rPr>
      <w:rFonts w:ascii="Times New Roman" w:eastAsiaTheme="minorHAnsi" w:hAnsi="Times New Roman"/>
      <w:sz w:val="24"/>
      <w:szCs w:val="24"/>
      <w:lang w:eastAsia="en-US" w:bidi="hi-IN"/>
    </w:rPr>
  </w:style>
  <w:style w:type="paragraph" w:styleId="NormalWeb">
    <w:name w:val="Normal (Web)"/>
    <w:basedOn w:val="Normal"/>
    <w:uiPriority w:val="99"/>
    <w:unhideWhenUsed/>
    <w:rsid w:val="0041703E"/>
    <w:pPr>
      <w:spacing w:before="100" w:beforeAutospacing="1" w:after="100" w:afterAutospacing="1" w:line="240" w:lineRule="auto"/>
    </w:pPr>
    <w:rPr>
      <w:rFonts w:ascii="Times New Roman" w:eastAsia="Times New Roman" w:hAnsi="Times New Roman"/>
      <w:sz w:val="24"/>
      <w:szCs w:val="24"/>
      <w:lang w:val="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106924">
      <w:bodyDiv w:val="1"/>
      <w:marLeft w:val="0"/>
      <w:marRight w:val="0"/>
      <w:marTop w:val="0"/>
      <w:marBottom w:val="0"/>
      <w:divBdr>
        <w:top w:val="none" w:sz="0" w:space="0" w:color="auto"/>
        <w:left w:val="none" w:sz="0" w:space="0" w:color="auto"/>
        <w:bottom w:val="none" w:sz="0" w:space="0" w:color="auto"/>
        <w:right w:val="none" w:sz="0" w:space="0" w:color="auto"/>
      </w:divBdr>
    </w:div>
    <w:div w:id="304119604">
      <w:bodyDiv w:val="1"/>
      <w:marLeft w:val="0"/>
      <w:marRight w:val="0"/>
      <w:marTop w:val="0"/>
      <w:marBottom w:val="0"/>
      <w:divBdr>
        <w:top w:val="none" w:sz="0" w:space="0" w:color="auto"/>
        <w:left w:val="none" w:sz="0" w:space="0" w:color="auto"/>
        <w:bottom w:val="none" w:sz="0" w:space="0" w:color="auto"/>
        <w:right w:val="none" w:sz="0" w:space="0" w:color="auto"/>
      </w:divBdr>
      <w:divsChild>
        <w:div w:id="13851141">
          <w:marLeft w:val="0"/>
          <w:marRight w:val="0"/>
          <w:marTop w:val="0"/>
          <w:marBottom w:val="0"/>
          <w:divBdr>
            <w:top w:val="none" w:sz="0" w:space="0" w:color="auto"/>
            <w:left w:val="none" w:sz="0" w:space="0" w:color="auto"/>
            <w:bottom w:val="none" w:sz="0" w:space="0" w:color="auto"/>
            <w:right w:val="none" w:sz="0" w:space="0" w:color="auto"/>
          </w:divBdr>
        </w:div>
        <w:div w:id="47996074">
          <w:marLeft w:val="0"/>
          <w:marRight w:val="0"/>
          <w:marTop w:val="0"/>
          <w:marBottom w:val="0"/>
          <w:divBdr>
            <w:top w:val="none" w:sz="0" w:space="0" w:color="auto"/>
            <w:left w:val="none" w:sz="0" w:space="0" w:color="auto"/>
            <w:bottom w:val="none" w:sz="0" w:space="0" w:color="auto"/>
            <w:right w:val="none" w:sz="0" w:space="0" w:color="auto"/>
          </w:divBdr>
        </w:div>
        <w:div w:id="61410802">
          <w:marLeft w:val="0"/>
          <w:marRight w:val="0"/>
          <w:marTop w:val="0"/>
          <w:marBottom w:val="0"/>
          <w:divBdr>
            <w:top w:val="none" w:sz="0" w:space="0" w:color="auto"/>
            <w:left w:val="none" w:sz="0" w:space="0" w:color="auto"/>
            <w:bottom w:val="none" w:sz="0" w:space="0" w:color="auto"/>
            <w:right w:val="none" w:sz="0" w:space="0" w:color="auto"/>
          </w:divBdr>
        </w:div>
        <w:div w:id="83379412">
          <w:marLeft w:val="0"/>
          <w:marRight w:val="0"/>
          <w:marTop w:val="0"/>
          <w:marBottom w:val="0"/>
          <w:divBdr>
            <w:top w:val="none" w:sz="0" w:space="0" w:color="auto"/>
            <w:left w:val="none" w:sz="0" w:space="0" w:color="auto"/>
            <w:bottom w:val="none" w:sz="0" w:space="0" w:color="auto"/>
            <w:right w:val="none" w:sz="0" w:space="0" w:color="auto"/>
          </w:divBdr>
        </w:div>
        <w:div w:id="105317134">
          <w:marLeft w:val="0"/>
          <w:marRight w:val="0"/>
          <w:marTop w:val="0"/>
          <w:marBottom w:val="0"/>
          <w:divBdr>
            <w:top w:val="none" w:sz="0" w:space="0" w:color="auto"/>
            <w:left w:val="none" w:sz="0" w:space="0" w:color="auto"/>
            <w:bottom w:val="none" w:sz="0" w:space="0" w:color="auto"/>
            <w:right w:val="none" w:sz="0" w:space="0" w:color="auto"/>
          </w:divBdr>
        </w:div>
        <w:div w:id="309677812">
          <w:marLeft w:val="0"/>
          <w:marRight w:val="0"/>
          <w:marTop w:val="0"/>
          <w:marBottom w:val="0"/>
          <w:divBdr>
            <w:top w:val="none" w:sz="0" w:space="0" w:color="auto"/>
            <w:left w:val="none" w:sz="0" w:space="0" w:color="auto"/>
            <w:bottom w:val="none" w:sz="0" w:space="0" w:color="auto"/>
            <w:right w:val="none" w:sz="0" w:space="0" w:color="auto"/>
          </w:divBdr>
        </w:div>
        <w:div w:id="352997716">
          <w:marLeft w:val="0"/>
          <w:marRight w:val="0"/>
          <w:marTop w:val="0"/>
          <w:marBottom w:val="0"/>
          <w:divBdr>
            <w:top w:val="none" w:sz="0" w:space="0" w:color="auto"/>
            <w:left w:val="none" w:sz="0" w:space="0" w:color="auto"/>
            <w:bottom w:val="none" w:sz="0" w:space="0" w:color="auto"/>
            <w:right w:val="none" w:sz="0" w:space="0" w:color="auto"/>
          </w:divBdr>
        </w:div>
        <w:div w:id="442653974">
          <w:marLeft w:val="0"/>
          <w:marRight w:val="0"/>
          <w:marTop w:val="0"/>
          <w:marBottom w:val="0"/>
          <w:divBdr>
            <w:top w:val="none" w:sz="0" w:space="0" w:color="auto"/>
            <w:left w:val="none" w:sz="0" w:space="0" w:color="auto"/>
            <w:bottom w:val="none" w:sz="0" w:space="0" w:color="auto"/>
            <w:right w:val="none" w:sz="0" w:space="0" w:color="auto"/>
          </w:divBdr>
        </w:div>
        <w:div w:id="456529537">
          <w:marLeft w:val="0"/>
          <w:marRight w:val="0"/>
          <w:marTop w:val="0"/>
          <w:marBottom w:val="0"/>
          <w:divBdr>
            <w:top w:val="none" w:sz="0" w:space="0" w:color="auto"/>
            <w:left w:val="none" w:sz="0" w:space="0" w:color="auto"/>
            <w:bottom w:val="none" w:sz="0" w:space="0" w:color="auto"/>
            <w:right w:val="none" w:sz="0" w:space="0" w:color="auto"/>
          </w:divBdr>
        </w:div>
        <w:div w:id="482238303">
          <w:marLeft w:val="0"/>
          <w:marRight w:val="0"/>
          <w:marTop w:val="0"/>
          <w:marBottom w:val="0"/>
          <w:divBdr>
            <w:top w:val="none" w:sz="0" w:space="0" w:color="auto"/>
            <w:left w:val="none" w:sz="0" w:space="0" w:color="auto"/>
            <w:bottom w:val="none" w:sz="0" w:space="0" w:color="auto"/>
            <w:right w:val="none" w:sz="0" w:space="0" w:color="auto"/>
          </w:divBdr>
        </w:div>
        <w:div w:id="614485071">
          <w:marLeft w:val="0"/>
          <w:marRight w:val="0"/>
          <w:marTop w:val="0"/>
          <w:marBottom w:val="0"/>
          <w:divBdr>
            <w:top w:val="none" w:sz="0" w:space="0" w:color="auto"/>
            <w:left w:val="none" w:sz="0" w:space="0" w:color="auto"/>
            <w:bottom w:val="none" w:sz="0" w:space="0" w:color="auto"/>
            <w:right w:val="none" w:sz="0" w:space="0" w:color="auto"/>
          </w:divBdr>
        </w:div>
        <w:div w:id="728572692">
          <w:marLeft w:val="0"/>
          <w:marRight w:val="0"/>
          <w:marTop w:val="0"/>
          <w:marBottom w:val="0"/>
          <w:divBdr>
            <w:top w:val="none" w:sz="0" w:space="0" w:color="auto"/>
            <w:left w:val="none" w:sz="0" w:space="0" w:color="auto"/>
            <w:bottom w:val="none" w:sz="0" w:space="0" w:color="auto"/>
            <w:right w:val="none" w:sz="0" w:space="0" w:color="auto"/>
          </w:divBdr>
        </w:div>
        <w:div w:id="744374603">
          <w:marLeft w:val="0"/>
          <w:marRight w:val="0"/>
          <w:marTop w:val="0"/>
          <w:marBottom w:val="0"/>
          <w:divBdr>
            <w:top w:val="none" w:sz="0" w:space="0" w:color="auto"/>
            <w:left w:val="none" w:sz="0" w:space="0" w:color="auto"/>
            <w:bottom w:val="none" w:sz="0" w:space="0" w:color="auto"/>
            <w:right w:val="none" w:sz="0" w:space="0" w:color="auto"/>
          </w:divBdr>
        </w:div>
        <w:div w:id="801725880">
          <w:marLeft w:val="0"/>
          <w:marRight w:val="0"/>
          <w:marTop w:val="0"/>
          <w:marBottom w:val="0"/>
          <w:divBdr>
            <w:top w:val="none" w:sz="0" w:space="0" w:color="auto"/>
            <w:left w:val="none" w:sz="0" w:space="0" w:color="auto"/>
            <w:bottom w:val="none" w:sz="0" w:space="0" w:color="auto"/>
            <w:right w:val="none" w:sz="0" w:space="0" w:color="auto"/>
          </w:divBdr>
        </w:div>
        <w:div w:id="804859855">
          <w:marLeft w:val="0"/>
          <w:marRight w:val="0"/>
          <w:marTop w:val="0"/>
          <w:marBottom w:val="0"/>
          <w:divBdr>
            <w:top w:val="none" w:sz="0" w:space="0" w:color="auto"/>
            <w:left w:val="none" w:sz="0" w:space="0" w:color="auto"/>
            <w:bottom w:val="none" w:sz="0" w:space="0" w:color="auto"/>
            <w:right w:val="none" w:sz="0" w:space="0" w:color="auto"/>
          </w:divBdr>
        </w:div>
        <w:div w:id="843785036">
          <w:marLeft w:val="0"/>
          <w:marRight w:val="0"/>
          <w:marTop w:val="0"/>
          <w:marBottom w:val="0"/>
          <w:divBdr>
            <w:top w:val="none" w:sz="0" w:space="0" w:color="auto"/>
            <w:left w:val="none" w:sz="0" w:space="0" w:color="auto"/>
            <w:bottom w:val="none" w:sz="0" w:space="0" w:color="auto"/>
            <w:right w:val="none" w:sz="0" w:space="0" w:color="auto"/>
          </w:divBdr>
        </w:div>
        <w:div w:id="875043538">
          <w:marLeft w:val="0"/>
          <w:marRight w:val="0"/>
          <w:marTop w:val="0"/>
          <w:marBottom w:val="0"/>
          <w:divBdr>
            <w:top w:val="none" w:sz="0" w:space="0" w:color="auto"/>
            <w:left w:val="none" w:sz="0" w:space="0" w:color="auto"/>
            <w:bottom w:val="none" w:sz="0" w:space="0" w:color="auto"/>
            <w:right w:val="none" w:sz="0" w:space="0" w:color="auto"/>
          </w:divBdr>
        </w:div>
        <w:div w:id="892348730">
          <w:marLeft w:val="0"/>
          <w:marRight w:val="0"/>
          <w:marTop w:val="0"/>
          <w:marBottom w:val="0"/>
          <w:divBdr>
            <w:top w:val="none" w:sz="0" w:space="0" w:color="auto"/>
            <w:left w:val="none" w:sz="0" w:space="0" w:color="auto"/>
            <w:bottom w:val="none" w:sz="0" w:space="0" w:color="auto"/>
            <w:right w:val="none" w:sz="0" w:space="0" w:color="auto"/>
          </w:divBdr>
        </w:div>
        <w:div w:id="941885502">
          <w:marLeft w:val="0"/>
          <w:marRight w:val="0"/>
          <w:marTop w:val="0"/>
          <w:marBottom w:val="0"/>
          <w:divBdr>
            <w:top w:val="none" w:sz="0" w:space="0" w:color="auto"/>
            <w:left w:val="none" w:sz="0" w:space="0" w:color="auto"/>
            <w:bottom w:val="none" w:sz="0" w:space="0" w:color="auto"/>
            <w:right w:val="none" w:sz="0" w:space="0" w:color="auto"/>
          </w:divBdr>
        </w:div>
        <w:div w:id="952320380">
          <w:marLeft w:val="0"/>
          <w:marRight w:val="0"/>
          <w:marTop w:val="0"/>
          <w:marBottom w:val="0"/>
          <w:divBdr>
            <w:top w:val="none" w:sz="0" w:space="0" w:color="auto"/>
            <w:left w:val="none" w:sz="0" w:space="0" w:color="auto"/>
            <w:bottom w:val="none" w:sz="0" w:space="0" w:color="auto"/>
            <w:right w:val="none" w:sz="0" w:space="0" w:color="auto"/>
          </w:divBdr>
        </w:div>
        <w:div w:id="984624696">
          <w:marLeft w:val="0"/>
          <w:marRight w:val="0"/>
          <w:marTop w:val="0"/>
          <w:marBottom w:val="0"/>
          <w:divBdr>
            <w:top w:val="none" w:sz="0" w:space="0" w:color="auto"/>
            <w:left w:val="none" w:sz="0" w:space="0" w:color="auto"/>
            <w:bottom w:val="none" w:sz="0" w:space="0" w:color="auto"/>
            <w:right w:val="none" w:sz="0" w:space="0" w:color="auto"/>
          </w:divBdr>
        </w:div>
        <w:div w:id="994726766">
          <w:marLeft w:val="0"/>
          <w:marRight w:val="0"/>
          <w:marTop w:val="0"/>
          <w:marBottom w:val="0"/>
          <w:divBdr>
            <w:top w:val="none" w:sz="0" w:space="0" w:color="auto"/>
            <w:left w:val="none" w:sz="0" w:space="0" w:color="auto"/>
            <w:bottom w:val="none" w:sz="0" w:space="0" w:color="auto"/>
            <w:right w:val="none" w:sz="0" w:space="0" w:color="auto"/>
          </w:divBdr>
        </w:div>
        <w:div w:id="997803946">
          <w:marLeft w:val="0"/>
          <w:marRight w:val="0"/>
          <w:marTop w:val="0"/>
          <w:marBottom w:val="0"/>
          <w:divBdr>
            <w:top w:val="none" w:sz="0" w:space="0" w:color="auto"/>
            <w:left w:val="none" w:sz="0" w:space="0" w:color="auto"/>
            <w:bottom w:val="none" w:sz="0" w:space="0" w:color="auto"/>
            <w:right w:val="none" w:sz="0" w:space="0" w:color="auto"/>
          </w:divBdr>
        </w:div>
        <w:div w:id="1031107010">
          <w:marLeft w:val="0"/>
          <w:marRight w:val="0"/>
          <w:marTop w:val="0"/>
          <w:marBottom w:val="0"/>
          <w:divBdr>
            <w:top w:val="none" w:sz="0" w:space="0" w:color="auto"/>
            <w:left w:val="none" w:sz="0" w:space="0" w:color="auto"/>
            <w:bottom w:val="none" w:sz="0" w:space="0" w:color="auto"/>
            <w:right w:val="none" w:sz="0" w:space="0" w:color="auto"/>
          </w:divBdr>
        </w:div>
        <w:div w:id="1041242617">
          <w:marLeft w:val="0"/>
          <w:marRight w:val="0"/>
          <w:marTop w:val="0"/>
          <w:marBottom w:val="0"/>
          <w:divBdr>
            <w:top w:val="none" w:sz="0" w:space="0" w:color="auto"/>
            <w:left w:val="none" w:sz="0" w:space="0" w:color="auto"/>
            <w:bottom w:val="none" w:sz="0" w:space="0" w:color="auto"/>
            <w:right w:val="none" w:sz="0" w:space="0" w:color="auto"/>
          </w:divBdr>
        </w:div>
        <w:div w:id="1078671953">
          <w:marLeft w:val="0"/>
          <w:marRight w:val="0"/>
          <w:marTop w:val="0"/>
          <w:marBottom w:val="0"/>
          <w:divBdr>
            <w:top w:val="none" w:sz="0" w:space="0" w:color="auto"/>
            <w:left w:val="none" w:sz="0" w:space="0" w:color="auto"/>
            <w:bottom w:val="none" w:sz="0" w:space="0" w:color="auto"/>
            <w:right w:val="none" w:sz="0" w:space="0" w:color="auto"/>
          </w:divBdr>
        </w:div>
        <w:div w:id="1103456590">
          <w:marLeft w:val="0"/>
          <w:marRight w:val="0"/>
          <w:marTop w:val="0"/>
          <w:marBottom w:val="0"/>
          <w:divBdr>
            <w:top w:val="none" w:sz="0" w:space="0" w:color="auto"/>
            <w:left w:val="none" w:sz="0" w:space="0" w:color="auto"/>
            <w:bottom w:val="none" w:sz="0" w:space="0" w:color="auto"/>
            <w:right w:val="none" w:sz="0" w:space="0" w:color="auto"/>
          </w:divBdr>
        </w:div>
        <w:div w:id="1114595040">
          <w:marLeft w:val="0"/>
          <w:marRight w:val="0"/>
          <w:marTop w:val="0"/>
          <w:marBottom w:val="0"/>
          <w:divBdr>
            <w:top w:val="none" w:sz="0" w:space="0" w:color="auto"/>
            <w:left w:val="none" w:sz="0" w:space="0" w:color="auto"/>
            <w:bottom w:val="none" w:sz="0" w:space="0" w:color="auto"/>
            <w:right w:val="none" w:sz="0" w:space="0" w:color="auto"/>
          </w:divBdr>
        </w:div>
        <w:div w:id="1116631496">
          <w:marLeft w:val="0"/>
          <w:marRight w:val="0"/>
          <w:marTop w:val="0"/>
          <w:marBottom w:val="0"/>
          <w:divBdr>
            <w:top w:val="none" w:sz="0" w:space="0" w:color="auto"/>
            <w:left w:val="none" w:sz="0" w:space="0" w:color="auto"/>
            <w:bottom w:val="none" w:sz="0" w:space="0" w:color="auto"/>
            <w:right w:val="none" w:sz="0" w:space="0" w:color="auto"/>
          </w:divBdr>
        </w:div>
        <w:div w:id="1131510380">
          <w:marLeft w:val="0"/>
          <w:marRight w:val="0"/>
          <w:marTop w:val="0"/>
          <w:marBottom w:val="0"/>
          <w:divBdr>
            <w:top w:val="none" w:sz="0" w:space="0" w:color="auto"/>
            <w:left w:val="none" w:sz="0" w:space="0" w:color="auto"/>
            <w:bottom w:val="none" w:sz="0" w:space="0" w:color="auto"/>
            <w:right w:val="none" w:sz="0" w:space="0" w:color="auto"/>
          </w:divBdr>
        </w:div>
        <w:div w:id="1158154660">
          <w:marLeft w:val="0"/>
          <w:marRight w:val="0"/>
          <w:marTop w:val="0"/>
          <w:marBottom w:val="0"/>
          <w:divBdr>
            <w:top w:val="none" w:sz="0" w:space="0" w:color="auto"/>
            <w:left w:val="none" w:sz="0" w:space="0" w:color="auto"/>
            <w:bottom w:val="none" w:sz="0" w:space="0" w:color="auto"/>
            <w:right w:val="none" w:sz="0" w:space="0" w:color="auto"/>
          </w:divBdr>
        </w:div>
        <w:div w:id="1173841694">
          <w:marLeft w:val="0"/>
          <w:marRight w:val="0"/>
          <w:marTop w:val="0"/>
          <w:marBottom w:val="0"/>
          <w:divBdr>
            <w:top w:val="none" w:sz="0" w:space="0" w:color="auto"/>
            <w:left w:val="none" w:sz="0" w:space="0" w:color="auto"/>
            <w:bottom w:val="none" w:sz="0" w:space="0" w:color="auto"/>
            <w:right w:val="none" w:sz="0" w:space="0" w:color="auto"/>
          </w:divBdr>
        </w:div>
        <w:div w:id="1225413985">
          <w:marLeft w:val="0"/>
          <w:marRight w:val="0"/>
          <w:marTop w:val="0"/>
          <w:marBottom w:val="0"/>
          <w:divBdr>
            <w:top w:val="none" w:sz="0" w:space="0" w:color="auto"/>
            <w:left w:val="none" w:sz="0" w:space="0" w:color="auto"/>
            <w:bottom w:val="none" w:sz="0" w:space="0" w:color="auto"/>
            <w:right w:val="none" w:sz="0" w:space="0" w:color="auto"/>
          </w:divBdr>
        </w:div>
        <w:div w:id="1252082108">
          <w:marLeft w:val="0"/>
          <w:marRight w:val="0"/>
          <w:marTop w:val="0"/>
          <w:marBottom w:val="0"/>
          <w:divBdr>
            <w:top w:val="none" w:sz="0" w:space="0" w:color="auto"/>
            <w:left w:val="none" w:sz="0" w:space="0" w:color="auto"/>
            <w:bottom w:val="none" w:sz="0" w:space="0" w:color="auto"/>
            <w:right w:val="none" w:sz="0" w:space="0" w:color="auto"/>
          </w:divBdr>
        </w:div>
        <w:div w:id="1337881933">
          <w:marLeft w:val="0"/>
          <w:marRight w:val="0"/>
          <w:marTop w:val="0"/>
          <w:marBottom w:val="0"/>
          <w:divBdr>
            <w:top w:val="none" w:sz="0" w:space="0" w:color="auto"/>
            <w:left w:val="none" w:sz="0" w:space="0" w:color="auto"/>
            <w:bottom w:val="none" w:sz="0" w:space="0" w:color="auto"/>
            <w:right w:val="none" w:sz="0" w:space="0" w:color="auto"/>
          </w:divBdr>
        </w:div>
        <w:div w:id="1346906023">
          <w:marLeft w:val="0"/>
          <w:marRight w:val="0"/>
          <w:marTop w:val="0"/>
          <w:marBottom w:val="0"/>
          <w:divBdr>
            <w:top w:val="none" w:sz="0" w:space="0" w:color="auto"/>
            <w:left w:val="none" w:sz="0" w:space="0" w:color="auto"/>
            <w:bottom w:val="none" w:sz="0" w:space="0" w:color="auto"/>
            <w:right w:val="none" w:sz="0" w:space="0" w:color="auto"/>
          </w:divBdr>
        </w:div>
        <w:div w:id="1355421289">
          <w:marLeft w:val="0"/>
          <w:marRight w:val="0"/>
          <w:marTop w:val="0"/>
          <w:marBottom w:val="0"/>
          <w:divBdr>
            <w:top w:val="none" w:sz="0" w:space="0" w:color="auto"/>
            <w:left w:val="none" w:sz="0" w:space="0" w:color="auto"/>
            <w:bottom w:val="none" w:sz="0" w:space="0" w:color="auto"/>
            <w:right w:val="none" w:sz="0" w:space="0" w:color="auto"/>
          </w:divBdr>
        </w:div>
        <w:div w:id="1367827703">
          <w:marLeft w:val="0"/>
          <w:marRight w:val="0"/>
          <w:marTop w:val="0"/>
          <w:marBottom w:val="0"/>
          <w:divBdr>
            <w:top w:val="none" w:sz="0" w:space="0" w:color="auto"/>
            <w:left w:val="none" w:sz="0" w:space="0" w:color="auto"/>
            <w:bottom w:val="none" w:sz="0" w:space="0" w:color="auto"/>
            <w:right w:val="none" w:sz="0" w:space="0" w:color="auto"/>
          </w:divBdr>
        </w:div>
        <w:div w:id="1382438983">
          <w:marLeft w:val="0"/>
          <w:marRight w:val="0"/>
          <w:marTop w:val="0"/>
          <w:marBottom w:val="0"/>
          <w:divBdr>
            <w:top w:val="none" w:sz="0" w:space="0" w:color="auto"/>
            <w:left w:val="none" w:sz="0" w:space="0" w:color="auto"/>
            <w:bottom w:val="none" w:sz="0" w:space="0" w:color="auto"/>
            <w:right w:val="none" w:sz="0" w:space="0" w:color="auto"/>
          </w:divBdr>
        </w:div>
        <w:div w:id="1560048408">
          <w:marLeft w:val="0"/>
          <w:marRight w:val="0"/>
          <w:marTop w:val="0"/>
          <w:marBottom w:val="0"/>
          <w:divBdr>
            <w:top w:val="none" w:sz="0" w:space="0" w:color="auto"/>
            <w:left w:val="none" w:sz="0" w:space="0" w:color="auto"/>
            <w:bottom w:val="none" w:sz="0" w:space="0" w:color="auto"/>
            <w:right w:val="none" w:sz="0" w:space="0" w:color="auto"/>
          </w:divBdr>
        </w:div>
        <w:div w:id="1671057902">
          <w:marLeft w:val="0"/>
          <w:marRight w:val="0"/>
          <w:marTop w:val="0"/>
          <w:marBottom w:val="0"/>
          <w:divBdr>
            <w:top w:val="none" w:sz="0" w:space="0" w:color="auto"/>
            <w:left w:val="none" w:sz="0" w:space="0" w:color="auto"/>
            <w:bottom w:val="none" w:sz="0" w:space="0" w:color="auto"/>
            <w:right w:val="none" w:sz="0" w:space="0" w:color="auto"/>
          </w:divBdr>
        </w:div>
        <w:div w:id="1696075822">
          <w:marLeft w:val="0"/>
          <w:marRight w:val="0"/>
          <w:marTop w:val="0"/>
          <w:marBottom w:val="0"/>
          <w:divBdr>
            <w:top w:val="none" w:sz="0" w:space="0" w:color="auto"/>
            <w:left w:val="none" w:sz="0" w:space="0" w:color="auto"/>
            <w:bottom w:val="none" w:sz="0" w:space="0" w:color="auto"/>
            <w:right w:val="none" w:sz="0" w:space="0" w:color="auto"/>
          </w:divBdr>
        </w:div>
        <w:div w:id="1706173601">
          <w:marLeft w:val="0"/>
          <w:marRight w:val="0"/>
          <w:marTop w:val="0"/>
          <w:marBottom w:val="0"/>
          <w:divBdr>
            <w:top w:val="none" w:sz="0" w:space="0" w:color="auto"/>
            <w:left w:val="none" w:sz="0" w:space="0" w:color="auto"/>
            <w:bottom w:val="none" w:sz="0" w:space="0" w:color="auto"/>
            <w:right w:val="none" w:sz="0" w:space="0" w:color="auto"/>
          </w:divBdr>
        </w:div>
        <w:div w:id="1707484136">
          <w:marLeft w:val="0"/>
          <w:marRight w:val="0"/>
          <w:marTop w:val="0"/>
          <w:marBottom w:val="0"/>
          <w:divBdr>
            <w:top w:val="none" w:sz="0" w:space="0" w:color="auto"/>
            <w:left w:val="none" w:sz="0" w:space="0" w:color="auto"/>
            <w:bottom w:val="none" w:sz="0" w:space="0" w:color="auto"/>
            <w:right w:val="none" w:sz="0" w:space="0" w:color="auto"/>
          </w:divBdr>
        </w:div>
        <w:div w:id="1814908248">
          <w:marLeft w:val="0"/>
          <w:marRight w:val="0"/>
          <w:marTop w:val="0"/>
          <w:marBottom w:val="0"/>
          <w:divBdr>
            <w:top w:val="none" w:sz="0" w:space="0" w:color="auto"/>
            <w:left w:val="none" w:sz="0" w:space="0" w:color="auto"/>
            <w:bottom w:val="none" w:sz="0" w:space="0" w:color="auto"/>
            <w:right w:val="none" w:sz="0" w:space="0" w:color="auto"/>
          </w:divBdr>
        </w:div>
        <w:div w:id="1824269504">
          <w:marLeft w:val="0"/>
          <w:marRight w:val="0"/>
          <w:marTop w:val="0"/>
          <w:marBottom w:val="0"/>
          <w:divBdr>
            <w:top w:val="none" w:sz="0" w:space="0" w:color="auto"/>
            <w:left w:val="none" w:sz="0" w:space="0" w:color="auto"/>
            <w:bottom w:val="none" w:sz="0" w:space="0" w:color="auto"/>
            <w:right w:val="none" w:sz="0" w:space="0" w:color="auto"/>
          </w:divBdr>
        </w:div>
        <w:div w:id="1849558005">
          <w:marLeft w:val="0"/>
          <w:marRight w:val="0"/>
          <w:marTop w:val="0"/>
          <w:marBottom w:val="0"/>
          <w:divBdr>
            <w:top w:val="none" w:sz="0" w:space="0" w:color="auto"/>
            <w:left w:val="none" w:sz="0" w:space="0" w:color="auto"/>
            <w:bottom w:val="none" w:sz="0" w:space="0" w:color="auto"/>
            <w:right w:val="none" w:sz="0" w:space="0" w:color="auto"/>
          </w:divBdr>
        </w:div>
        <w:div w:id="1952667208">
          <w:marLeft w:val="0"/>
          <w:marRight w:val="0"/>
          <w:marTop w:val="0"/>
          <w:marBottom w:val="0"/>
          <w:divBdr>
            <w:top w:val="none" w:sz="0" w:space="0" w:color="auto"/>
            <w:left w:val="none" w:sz="0" w:space="0" w:color="auto"/>
            <w:bottom w:val="none" w:sz="0" w:space="0" w:color="auto"/>
            <w:right w:val="none" w:sz="0" w:space="0" w:color="auto"/>
          </w:divBdr>
        </w:div>
        <w:div w:id="1982347824">
          <w:marLeft w:val="0"/>
          <w:marRight w:val="0"/>
          <w:marTop w:val="0"/>
          <w:marBottom w:val="0"/>
          <w:divBdr>
            <w:top w:val="none" w:sz="0" w:space="0" w:color="auto"/>
            <w:left w:val="none" w:sz="0" w:space="0" w:color="auto"/>
            <w:bottom w:val="none" w:sz="0" w:space="0" w:color="auto"/>
            <w:right w:val="none" w:sz="0" w:space="0" w:color="auto"/>
          </w:divBdr>
        </w:div>
        <w:div w:id="2020349862">
          <w:marLeft w:val="0"/>
          <w:marRight w:val="0"/>
          <w:marTop w:val="0"/>
          <w:marBottom w:val="0"/>
          <w:divBdr>
            <w:top w:val="none" w:sz="0" w:space="0" w:color="auto"/>
            <w:left w:val="none" w:sz="0" w:space="0" w:color="auto"/>
            <w:bottom w:val="none" w:sz="0" w:space="0" w:color="auto"/>
            <w:right w:val="none" w:sz="0" w:space="0" w:color="auto"/>
          </w:divBdr>
        </w:div>
        <w:div w:id="2059165875">
          <w:marLeft w:val="0"/>
          <w:marRight w:val="0"/>
          <w:marTop w:val="0"/>
          <w:marBottom w:val="0"/>
          <w:divBdr>
            <w:top w:val="none" w:sz="0" w:space="0" w:color="auto"/>
            <w:left w:val="none" w:sz="0" w:space="0" w:color="auto"/>
            <w:bottom w:val="none" w:sz="0" w:space="0" w:color="auto"/>
            <w:right w:val="none" w:sz="0" w:space="0" w:color="auto"/>
          </w:divBdr>
        </w:div>
        <w:div w:id="2110808184">
          <w:marLeft w:val="0"/>
          <w:marRight w:val="0"/>
          <w:marTop w:val="0"/>
          <w:marBottom w:val="0"/>
          <w:divBdr>
            <w:top w:val="none" w:sz="0" w:space="0" w:color="auto"/>
            <w:left w:val="none" w:sz="0" w:space="0" w:color="auto"/>
            <w:bottom w:val="none" w:sz="0" w:space="0" w:color="auto"/>
            <w:right w:val="none" w:sz="0" w:space="0" w:color="auto"/>
          </w:divBdr>
        </w:div>
      </w:divsChild>
    </w:div>
    <w:div w:id="315189831">
      <w:bodyDiv w:val="1"/>
      <w:marLeft w:val="0"/>
      <w:marRight w:val="0"/>
      <w:marTop w:val="0"/>
      <w:marBottom w:val="0"/>
      <w:divBdr>
        <w:top w:val="none" w:sz="0" w:space="0" w:color="auto"/>
        <w:left w:val="none" w:sz="0" w:space="0" w:color="auto"/>
        <w:bottom w:val="none" w:sz="0" w:space="0" w:color="auto"/>
        <w:right w:val="none" w:sz="0" w:space="0" w:color="auto"/>
      </w:divBdr>
    </w:div>
    <w:div w:id="379743767">
      <w:bodyDiv w:val="1"/>
      <w:marLeft w:val="0"/>
      <w:marRight w:val="0"/>
      <w:marTop w:val="0"/>
      <w:marBottom w:val="0"/>
      <w:divBdr>
        <w:top w:val="none" w:sz="0" w:space="0" w:color="auto"/>
        <w:left w:val="none" w:sz="0" w:space="0" w:color="auto"/>
        <w:bottom w:val="none" w:sz="0" w:space="0" w:color="auto"/>
        <w:right w:val="none" w:sz="0" w:space="0" w:color="auto"/>
      </w:divBdr>
    </w:div>
    <w:div w:id="380252765">
      <w:bodyDiv w:val="1"/>
      <w:marLeft w:val="0"/>
      <w:marRight w:val="0"/>
      <w:marTop w:val="0"/>
      <w:marBottom w:val="0"/>
      <w:divBdr>
        <w:top w:val="none" w:sz="0" w:space="0" w:color="auto"/>
        <w:left w:val="none" w:sz="0" w:space="0" w:color="auto"/>
        <w:bottom w:val="none" w:sz="0" w:space="0" w:color="auto"/>
        <w:right w:val="none" w:sz="0" w:space="0" w:color="auto"/>
      </w:divBdr>
      <w:divsChild>
        <w:div w:id="1025717576">
          <w:marLeft w:val="480"/>
          <w:marRight w:val="0"/>
          <w:marTop w:val="0"/>
          <w:marBottom w:val="0"/>
          <w:divBdr>
            <w:top w:val="none" w:sz="0" w:space="0" w:color="auto"/>
            <w:left w:val="none" w:sz="0" w:space="0" w:color="auto"/>
            <w:bottom w:val="none" w:sz="0" w:space="0" w:color="auto"/>
            <w:right w:val="none" w:sz="0" w:space="0" w:color="auto"/>
          </w:divBdr>
        </w:div>
        <w:div w:id="267780153">
          <w:marLeft w:val="480"/>
          <w:marRight w:val="0"/>
          <w:marTop w:val="0"/>
          <w:marBottom w:val="0"/>
          <w:divBdr>
            <w:top w:val="none" w:sz="0" w:space="0" w:color="auto"/>
            <w:left w:val="none" w:sz="0" w:space="0" w:color="auto"/>
            <w:bottom w:val="none" w:sz="0" w:space="0" w:color="auto"/>
            <w:right w:val="none" w:sz="0" w:space="0" w:color="auto"/>
          </w:divBdr>
        </w:div>
        <w:div w:id="212080574">
          <w:marLeft w:val="480"/>
          <w:marRight w:val="0"/>
          <w:marTop w:val="0"/>
          <w:marBottom w:val="0"/>
          <w:divBdr>
            <w:top w:val="none" w:sz="0" w:space="0" w:color="auto"/>
            <w:left w:val="none" w:sz="0" w:space="0" w:color="auto"/>
            <w:bottom w:val="none" w:sz="0" w:space="0" w:color="auto"/>
            <w:right w:val="none" w:sz="0" w:space="0" w:color="auto"/>
          </w:divBdr>
        </w:div>
        <w:div w:id="1894195061">
          <w:marLeft w:val="480"/>
          <w:marRight w:val="0"/>
          <w:marTop w:val="0"/>
          <w:marBottom w:val="0"/>
          <w:divBdr>
            <w:top w:val="none" w:sz="0" w:space="0" w:color="auto"/>
            <w:left w:val="none" w:sz="0" w:space="0" w:color="auto"/>
            <w:bottom w:val="none" w:sz="0" w:space="0" w:color="auto"/>
            <w:right w:val="none" w:sz="0" w:space="0" w:color="auto"/>
          </w:divBdr>
        </w:div>
        <w:div w:id="1502544758">
          <w:marLeft w:val="480"/>
          <w:marRight w:val="0"/>
          <w:marTop w:val="0"/>
          <w:marBottom w:val="0"/>
          <w:divBdr>
            <w:top w:val="none" w:sz="0" w:space="0" w:color="auto"/>
            <w:left w:val="none" w:sz="0" w:space="0" w:color="auto"/>
            <w:bottom w:val="none" w:sz="0" w:space="0" w:color="auto"/>
            <w:right w:val="none" w:sz="0" w:space="0" w:color="auto"/>
          </w:divBdr>
        </w:div>
        <w:div w:id="1184440796">
          <w:marLeft w:val="480"/>
          <w:marRight w:val="0"/>
          <w:marTop w:val="0"/>
          <w:marBottom w:val="0"/>
          <w:divBdr>
            <w:top w:val="none" w:sz="0" w:space="0" w:color="auto"/>
            <w:left w:val="none" w:sz="0" w:space="0" w:color="auto"/>
            <w:bottom w:val="none" w:sz="0" w:space="0" w:color="auto"/>
            <w:right w:val="none" w:sz="0" w:space="0" w:color="auto"/>
          </w:divBdr>
        </w:div>
      </w:divsChild>
    </w:div>
    <w:div w:id="413236596">
      <w:bodyDiv w:val="1"/>
      <w:marLeft w:val="0"/>
      <w:marRight w:val="0"/>
      <w:marTop w:val="0"/>
      <w:marBottom w:val="0"/>
      <w:divBdr>
        <w:top w:val="none" w:sz="0" w:space="0" w:color="auto"/>
        <w:left w:val="none" w:sz="0" w:space="0" w:color="auto"/>
        <w:bottom w:val="none" w:sz="0" w:space="0" w:color="auto"/>
        <w:right w:val="none" w:sz="0" w:space="0" w:color="auto"/>
      </w:divBdr>
    </w:div>
    <w:div w:id="472139552">
      <w:bodyDiv w:val="1"/>
      <w:marLeft w:val="0"/>
      <w:marRight w:val="0"/>
      <w:marTop w:val="0"/>
      <w:marBottom w:val="0"/>
      <w:divBdr>
        <w:top w:val="none" w:sz="0" w:space="0" w:color="auto"/>
        <w:left w:val="none" w:sz="0" w:space="0" w:color="auto"/>
        <w:bottom w:val="none" w:sz="0" w:space="0" w:color="auto"/>
        <w:right w:val="none" w:sz="0" w:space="0" w:color="auto"/>
      </w:divBdr>
    </w:div>
    <w:div w:id="519126179">
      <w:bodyDiv w:val="1"/>
      <w:marLeft w:val="0"/>
      <w:marRight w:val="0"/>
      <w:marTop w:val="0"/>
      <w:marBottom w:val="0"/>
      <w:divBdr>
        <w:top w:val="none" w:sz="0" w:space="0" w:color="auto"/>
        <w:left w:val="none" w:sz="0" w:space="0" w:color="auto"/>
        <w:bottom w:val="none" w:sz="0" w:space="0" w:color="auto"/>
        <w:right w:val="none" w:sz="0" w:space="0" w:color="auto"/>
      </w:divBdr>
      <w:divsChild>
        <w:div w:id="794636334">
          <w:marLeft w:val="480"/>
          <w:marRight w:val="0"/>
          <w:marTop w:val="0"/>
          <w:marBottom w:val="0"/>
          <w:divBdr>
            <w:top w:val="none" w:sz="0" w:space="0" w:color="auto"/>
            <w:left w:val="none" w:sz="0" w:space="0" w:color="auto"/>
            <w:bottom w:val="none" w:sz="0" w:space="0" w:color="auto"/>
            <w:right w:val="none" w:sz="0" w:space="0" w:color="auto"/>
          </w:divBdr>
        </w:div>
        <w:div w:id="2093773513">
          <w:marLeft w:val="480"/>
          <w:marRight w:val="0"/>
          <w:marTop w:val="0"/>
          <w:marBottom w:val="0"/>
          <w:divBdr>
            <w:top w:val="none" w:sz="0" w:space="0" w:color="auto"/>
            <w:left w:val="none" w:sz="0" w:space="0" w:color="auto"/>
            <w:bottom w:val="none" w:sz="0" w:space="0" w:color="auto"/>
            <w:right w:val="none" w:sz="0" w:space="0" w:color="auto"/>
          </w:divBdr>
        </w:div>
        <w:div w:id="1087072966">
          <w:marLeft w:val="480"/>
          <w:marRight w:val="0"/>
          <w:marTop w:val="0"/>
          <w:marBottom w:val="0"/>
          <w:divBdr>
            <w:top w:val="none" w:sz="0" w:space="0" w:color="auto"/>
            <w:left w:val="none" w:sz="0" w:space="0" w:color="auto"/>
            <w:bottom w:val="none" w:sz="0" w:space="0" w:color="auto"/>
            <w:right w:val="none" w:sz="0" w:space="0" w:color="auto"/>
          </w:divBdr>
        </w:div>
        <w:div w:id="1707637354">
          <w:marLeft w:val="480"/>
          <w:marRight w:val="0"/>
          <w:marTop w:val="0"/>
          <w:marBottom w:val="0"/>
          <w:divBdr>
            <w:top w:val="none" w:sz="0" w:space="0" w:color="auto"/>
            <w:left w:val="none" w:sz="0" w:space="0" w:color="auto"/>
            <w:bottom w:val="none" w:sz="0" w:space="0" w:color="auto"/>
            <w:right w:val="none" w:sz="0" w:space="0" w:color="auto"/>
          </w:divBdr>
        </w:div>
        <w:div w:id="1694258848">
          <w:marLeft w:val="480"/>
          <w:marRight w:val="0"/>
          <w:marTop w:val="0"/>
          <w:marBottom w:val="0"/>
          <w:divBdr>
            <w:top w:val="none" w:sz="0" w:space="0" w:color="auto"/>
            <w:left w:val="none" w:sz="0" w:space="0" w:color="auto"/>
            <w:bottom w:val="none" w:sz="0" w:space="0" w:color="auto"/>
            <w:right w:val="none" w:sz="0" w:space="0" w:color="auto"/>
          </w:divBdr>
        </w:div>
        <w:div w:id="1738552192">
          <w:marLeft w:val="480"/>
          <w:marRight w:val="0"/>
          <w:marTop w:val="0"/>
          <w:marBottom w:val="0"/>
          <w:divBdr>
            <w:top w:val="none" w:sz="0" w:space="0" w:color="auto"/>
            <w:left w:val="none" w:sz="0" w:space="0" w:color="auto"/>
            <w:bottom w:val="none" w:sz="0" w:space="0" w:color="auto"/>
            <w:right w:val="none" w:sz="0" w:space="0" w:color="auto"/>
          </w:divBdr>
        </w:div>
        <w:div w:id="1250506229">
          <w:marLeft w:val="480"/>
          <w:marRight w:val="0"/>
          <w:marTop w:val="0"/>
          <w:marBottom w:val="0"/>
          <w:divBdr>
            <w:top w:val="none" w:sz="0" w:space="0" w:color="auto"/>
            <w:left w:val="none" w:sz="0" w:space="0" w:color="auto"/>
            <w:bottom w:val="none" w:sz="0" w:space="0" w:color="auto"/>
            <w:right w:val="none" w:sz="0" w:space="0" w:color="auto"/>
          </w:divBdr>
        </w:div>
      </w:divsChild>
    </w:div>
    <w:div w:id="744762317">
      <w:bodyDiv w:val="1"/>
      <w:marLeft w:val="0"/>
      <w:marRight w:val="0"/>
      <w:marTop w:val="0"/>
      <w:marBottom w:val="0"/>
      <w:divBdr>
        <w:top w:val="none" w:sz="0" w:space="0" w:color="auto"/>
        <w:left w:val="none" w:sz="0" w:space="0" w:color="auto"/>
        <w:bottom w:val="none" w:sz="0" w:space="0" w:color="auto"/>
        <w:right w:val="none" w:sz="0" w:space="0" w:color="auto"/>
      </w:divBdr>
    </w:div>
    <w:div w:id="972179134">
      <w:bodyDiv w:val="1"/>
      <w:marLeft w:val="0"/>
      <w:marRight w:val="0"/>
      <w:marTop w:val="0"/>
      <w:marBottom w:val="0"/>
      <w:divBdr>
        <w:top w:val="none" w:sz="0" w:space="0" w:color="auto"/>
        <w:left w:val="none" w:sz="0" w:space="0" w:color="auto"/>
        <w:bottom w:val="none" w:sz="0" w:space="0" w:color="auto"/>
        <w:right w:val="none" w:sz="0" w:space="0" w:color="auto"/>
      </w:divBdr>
      <w:divsChild>
        <w:div w:id="1144007517">
          <w:marLeft w:val="480"/>
          <w:marRight w:val="0"/>
          <w:marTop w:val="0"/>
          <w:marBottom w:val="0"/>
          <w:divBdr>
            <w:top w:val="none" w:sz="0" w:space="0" w:color="auto"/>
            <w:left w:val="none" w:sz="0" w:space="0" w:color="auto"/>
            <w:bottom w:val="none" w:sz="0" w:space="0" w:color="auto"/>
            <w:right w:val="none" w:sz="0" w:space="0" w:color="auto"/>
          </w:divBdr>
        </w:div>
        <w:div w:id="820387882">
          <w:marLeft w:val="480"/>
          <w:marRight w:val="0"/>
          <w:marTop w:val="0"/>
          <w:marBottom w:val="0"/>
          <w:divBdr>
            <w:top w:val="none" w:sz="0" w:space="0" w:color="auto"/>
            <w:left w:val="none" w:sz="0" w:space="0" w:color="auto"/>
            <w:bottom w:val="none" w:sz="0" w:space="0" w:color="auto"/>
            <w:right w:val="none" w:sz="0" w:space="0" w:color="auto"/>
          </w:divBdr>
        </w:div>
        <w:div w:id="1808275236">
          <w:marLeft w:val="480"/>
          <w:marRight w:val="0"/>
          <w:marTop w:val="0"/>
          <w:marBottom w:val="0"/>
          <w:divBdr>
            <w:top w:val="none" w:sz="0" w:space="0" w:color="auto"/>
            <w:left w:val="none" w:sz="0" w:space="0" w:color="auto"/>
            <w:bottom w:val="none" w:sz="0" w:space="0" w:color="auto"/>
            <w:right w:val="none" w:sz="0" w:space="0" w:color="auto"/>
          </w:divBdr>
        </w:div>
        <w:div w:id="1260412479">
          <w:marLeft w:val="480"/>
          <w:marRight w:val="0"/>
          <w:marTop w:val="0"/>
          <w:marBottom w:val="0"/>
          <w:divBdr>
            <w:top w:val="none" w:sz="0" w:space="0" w:color="auto"/>
            <w:left w:val="none" w:sz="0" w:space="0" w:color="auto"/>
            <w:bottom w:val="none" w:sz="0" w:space="0" w:color="auto"/>
            <w:right w:val="none" w:sz="0" w:space="0" w:color="auto"/>
          </w:divBdr>
        </w:div>
        <w:div w:id="1140607781">
          <w:marLeft w:val="480"/>
          <w:marRight w:val="0"/>
          <w:marTop w:val="0"/>
          <w:marBottom w:val="0"/>
          <w:divBdr>
            <w:top w:val="none" w:sz="0" w:space="0" w:color="auto"/>
            <w:left w:val="none" w:sz="0" w:space="0" w:color="auto"/>
            <w:bottom w:val="none" w:sz="0" w:space="0" w:color="auto"/>
            <w:right w:val="none" w:sz="0" w:space="0" w:color="auto"/>
          </w:divBdr>
        </w:div>
        <w:div w:id="1892643413">
          <w:marLeft w:val="480"/>
          <w:marRight w:val="0"/>
          <w:marTop w:val="0"/>
          <w:marBottom w:val="0"/>
          <w:divBdr>
            <w:top w:val="none" w:sz="0" w:space="0" w:color="auto"/>
            <w:left w:val="none" w:sz="0" w:space="0" w:color="auto"/>
            <w:bottom w:val="none" w:sz="0" w:space="0" w:color="auto"/>
            <w:right w:val="none" w:sz="0" w:space="0" w:color="auto"/>
          </w:divBdr>
        </w:div>
        <w:div w:id="1344892470">
          <w:marLeft w:val="480"/>
          <w:marRight w:val="0"/>
          <w:marTop w:val="0"/>
          <w:marBottom w:val="0"/>
          <w:divBdr>
            <w:top w:val="none" w:sz="0" w:space="0" w:color="auto"/>
            <w:left w:val="none" w:sz="0" w:space="0" w:color="auto"/>
            <w:bottom w:val="none" w:sz="0" w:space="0" w:color="auto"/>
            <w:right w:val="none" w:sz="0" w:space="0" w:color="auto"/>
          </w:divBdr>
        </w:div>
      </w:divsChild>
    </w:div>
    <w:div w:id="1056708515">
      <w:bodyDiv w:val="1"/>
      <w:marLeft w:val="0"/>
      <w:marRight w:val="0"/>
      <w:marTop w:val="0"/>
      <w:marBottom w:val="0"/>
      <w:divBdr>
        <w:top w:val="none" w:sz="0" w:space="0" w:color="auto"/>
        <w:left w:val="none" w:sz="0" w:space="0" w:color="auto"/>
        <w:bottom w:val="none" w:sz="0" w:space="0" w:color="auto"/>
        <w:right w:val="none" w:sz="0" w:space="0" w:color="auto"/>
      </w:divBdr>
      <w:divsChild>
        <w:div w:id="2032485585">
          <w:marLeft w:val="480"/>
          <w:marRight w:val="0"/>
          <w:marTop w:val="0"/>
          <w:marBottom w:val="0"/>
          <w:divBdr>
            <w:top w:val="none" w:sz="0" w:space="0" w:color="auto"/>
            <w:left w:val="none" w:sz="0" w:space="0" w:color="auto"/>
            <w:bottom w:val="none" w:sz="0" w:space="0" w:color="auto"/>
            <w:right w:val="none" w:sz="0" w:space="0" w:color="auto"/>
          </w:divBdr>
        </w:div>
        <w:div w:id="862091076">
          <w:marLeft w:val="480"/>
          <w:marRight w:val="0"/>
          <w:marTop w:val="0"/>
          <w:marBottom w:val="0"/>
          <w:divBdr>
            <w:top w:val="none" w:sz="0" w:space="0" w:color="auto"/>
            <w:left w:val="none" w:sz="0" w:space="0" w:color="auto"/>
            <w:bottom w:val="none" w:sz="0" w:space="0" w:color="auto"/>
            <w:right w:val="none" w:sz="0" w:space="0" w:color="auto"/>
          </w:divBdr>
        </w:div>
        <w:div w:id="133064348">
          <w:marLeft w:val="480"/>
          <w:marRight w:val="0"/>
          <w:marTop w:val="0"/>
          <w:marBottom w:val="0"/>
          <w:divBdr>
            <w:top w:val="none" w:sz="0" w:space="0" w:color="auto"/>
            <w:left w:val="none" w:sz="0" w:space="0" w:color="auto"/>
            <w:bottom w:val="none" w:sz="0" w:space="0" w:color="auto"/>
            <w:right w:val="none" w:sz="0" w:space="0" w:color="auto"/>
          </w:divBdr>
        </w:div>
        <w:div w:id="62989546">
          <w:marLeft w:val="480"/>
          <w:marRight w:val="0"/>
          <w:marTop w:val="0"/>
          <w:marBottom w:val="0"/>
          <w:divBdr>
            <w:top w:val="none" w:sz="0" w:space="0" w:color="auto"/>
            <w:left w:val="none" w:sz="0" w:space="0" w:color="auto"/>
            <w:bottom w:val="none" w:sz="0" w:space="0" w:color="auto"/>
            <w:right w:val="none" w:sz="0" w:space="0" w:color="auto"/>
          </w:divBdr>
        </w:div>
        <w:div w:id="756173549">
          <w:marLeft w:val="480"/>
          <w:marRight w:val="0"/>
          <w:marTop w:val="0"/>
          <w:marBottom w:val="0"/>
          <w:divBdr>
            <w:top w:val="none" w:sz="0" w:space="0" w:color="auto"/>
            <w:left w:val="none" w:sz="0" w:space="0" w:color="auto"/>
            <w:bottom w:val="none" w:sz="0" w:space="0" w:color="auto"/>
            <w:right w:val="none" w:sz="0" w:space="0" w:color="auto"/>
          </w:divBdr>
        </w:div>
        <w:div w:id="1951936870">
          <w:marLeft w:val="480"/>
          <w:marRight w:val="0"/>
          <w:marTop w:val="0"/>
          <w:marBottom w:val="0"/>
          <w:divBdr>
            <w:top w:val="none" w:sz="0" w:space="0" w:color="auto"/>
            <w:left w:val="none" w:sz="0" w:space="0" w:color="auto"/>
            <w:bottom w:val="none" w:sz="0" w:space="0" w:color="auto"/>
            <w:right w:val="none" w:sz="0" w:space="0" w:color="auto"/>
          </w:divBdr>
        </w:div>
        <w:div w:id="704210779">
          <w:marLeft w:val="480"/>
          <w:marRight w:val="0"/>
          <w:marTop w:val="0"/>
          <w:marBottom w:val="0"/>
          <w:divBdr>
            <w:top w:val="none" w:sz="0" w:space="0" w:color="auto"/>
            <w:left w:val="none" w:sz="0" w:space="0" w:color="auto"/>
            <w:bottom w:val="none" w:sz="0" w:space="0" w:color="auto"/>
            <w:right w:val="none" w:sz="0" w:space="0" w:color="auto"/>
          </w:divBdr>
        </w:div>
        <w:div w:id="852106219">
          <w:marLeft w:val="480"/>
          <w:marRight w:val="0"/>
          <w:marTop w:val="0"/>
          <w:marBottom w:val="0"/>
          <w:divBdr>
            <w:top w:val="none" w:sz="0" w:space="0" w:color="auto"/>
            <w:left w:val="none" w:sz="0" w:space="0" w:color="auto"/>
            <w:bottom w:val="none" w:sz="0" w:space="0" w:color="auto"/>
            <w:right w:val="none" w:sz="0" w:space="0" w:color="auto"/>
          </w:divBdr>
        </w:div>
        <w:div w:id="277487761">
          <w:marLeft w:val="480"/>
          <w:marRight w:val="0"/>
          <w:marTop w:val="0"/>
          <w:marBottom w:val="0"/>
          <w:divBdr>
            <w:top w:val="none" w:sz="0" w:space="0" w:color="auto"/>
            <w:left w:val="none" w:sz="0" w:space="0" w:color="auto"/>
            <w:bottom w:val="none" w:sz="0" w:space="0" w:color="auto"/>
            <w:right w:val="none" w:sz="0" w:space="0" w:color="auto"/>
          </w:divBdr>
        </w:div>
        <w:div w:id="1674186154">
          <w:marLeft w:val="480"/>
          <w:marRight w:val="0"/>
          <w:marTop w:val="0"/>
          <w:marBottom w:val="0"/>
          <w:divBdr>
            <w:top w:val="none" w:sz="0" w:space="0" w:color="auto"/>
            <w:left w:val="none" w:sz="0" w:space="0" w:color="auto"/>
            <w:bottom w:val="none" w:sz="0" w:space="0" w:color="auto"/>
            <w:right w:val="none" w:sz="0" w:space="0" w:color="auto"/>
          </w:divBdr>
        </w:div>
        <w:div w:id="786390548">
          <w:marLeft w:val="480"/>
          <w:marRight w:val="0"/>
          <w:marTop w:val="0"/>
          <w:marBottom w:val="0"/>
          <w:divBdr>
            <w:top w:val="none" w:sz="0" w:space="0" w:color="auto"/>
            <w:left w:val="none" w:sz="0" w:space="0" w:color="auto"/>
            <w:bottom w:val="none" w:sz="0" w:space="0" w:color="auto"/>
            <w:right w:val="none" w:sz="0" w:space="0" w:color="auto"/>
          </w:divBdr>
        </w:div>
      </w:divsChild>
    </w:div>
    <w:div w:id="1659310420">
      <w:bodyDiv w:val="1"/>
      <w:marLeft w:val="0"/>
      <w:marRight w:val="0"/>
      <w:marTop w:val="0"/>
      <w:marBottom w:val="0"/>
      <w:divBdr>
        <w:top w:val="none" w:sz="0" w:space="0" w:color="auto"/>
        <w:left w:val="none" w:sz="0" w:space="0" w:color="auto"/>
        <w:bottom w:val="none" w:sz="0" w:space="0" w:color="auto"/>
        <w:right w:val="none" w:sz="0" w:space="0" w:color="auto"/>
      </w:divBdr>
      <w:divsChild>
        <w:div w:id="1333489118">
          <w:marLeft w:val="480"/>
          <w:marRight w:val="0"/>
          <w:marTop w:val="0"/>
          <w:marBottom w:val="0"/>
          <w:divBdr>
            <w:top w:val="none" w:sz="0" w:space="0" w:color="auto"/>
            <w:left w:val="none" w:sz="0" w:space="0" w:color="auto"/>
            <w:bottom w:val="none" w:sz="0" w:space="0" w:color="auto"/>
            <w:right w:val="none" w:sz="0" w:space="0" w:color="auto"/>
          </w:divBdr>
        </w:div>
        <w:div w:id="2026516147">
          <w:marLeft w:val="480"/>
          <w:marRight w:val="0"/>
          <w:marTop w:val="0"/>
          <w:marBottom w:val="0"/>
          <w:divBdr>
            <w:top w:val="none" w:sz="0" w:space="0" w:color="auto"/>
            <w:left w:val="none" w:sz="0" w:space="0" w:color="auto"/>
            <w:bottom w:val="none" w:sz="0" w:space="0" w:color="auto"/>
            <w:right w:val="none" w:sz="0" w:space="0" w:color="auto"/>
          </w:divBdr>
        </w:div>
        <w:div w:id="588394495">
          <w:marLeft w:val="480"/>
          <w:marRight w:val="0"/>
          <w:marTop w:val="0"/>
          <w:marBottom w:val="0"/>
          <w:divBdr>
            <w:top w:val="none" w:sz="0" w:space="0" w:color="auto"/>
            <w:left w:val="none" w:sz="0" w:space="0" w:color="auto"/>
            <w:bottom w:val="none" w:sz="0" w:space="0" w:color="auto"/>
            <w:right w:val="none" w:sz="0" w:space="0" w:color="auto"/>
          </w:divBdr>
        </w:div>
        <w:div w:id="1346058271">
          <w:marLeft w:val="480"/>
          <w:marRight w:val="0"/>
          <w:marTop w:val="0"/>
          <w:marBottom w:val="0"/>
          <w:divBdr>
            <w:top w:val="none" w:sz="0" w:space="0" w:color="auto"/>
            <w:left w:val="none" w:sz="0" w:space="0" w:color="auto"/>
            <w:bottom w:val="none" w:sz="0" w:space="0" w:color="auto"/>
            <w:right w:val="none" w:sz="0" w:space="0" w:color="auto"/>
          </w:divBdr>
        </w:div>
        <w:div w:id="77872813">
          <w:marLeft w:val="480"/>
          <w:marRight w:val="0"/>
          <w:marTop w:val="0"/>
          <w:marBottom w:val="0"/>
          <w:divBdr>
            <w:top w:val="none" w:sz="0" w:space="0" w:color="auto"/>
            <w:left w:val="none" w:sz="0" w:space="0" w:color="auto"/>
            <w:bottom w:val="none" w:sz="0" w:space="0" w:color="auto"/>
            <w:right w:val="none" w:sz="0" w:space="0" w:color="auto"/>
          </w:divBdr>
        </w:div>
        <w:div w:id="531383017">
          <w:marLeft w:val="480"/>
          <w:marRight w:val="0"/>
          <w:marTop w:val="0"/>
          <w:marBottom w:val="0"/>
          <w:divBdr>
            <w:top w:val="none" w:sz="0" w:space="0" w:color="auto"/>
            <w:left w:val="none" w:sz="0" w:space="0" w:color="auto"/>
            <w:bottom w:val="none" w:sz="0" w:space="0" w:color="auto"/>
            <w:right w:val="none" w:sz="0" w:space="0" w:color="auto"/>
          </w:divBdr>
        </w:div>
        <w:div w:id="1960600202">
          <w:marLeft w:val="480"/>
          <w:marRight w:val="0"/>
          <w:marTop w:val="0"/>
          <w:marBottom w:val="0"/>
          <w:divBdr>
            <w:top w:val="none" w:sz="0" w:space="0" w:color="auto"/>
            <w:left w:val="none" w:sz="0" w:space="0" w:color="auto"/>
            <w:bottom w:val="none" w:sz="0" w:space="0" w:color="auto"/>
            <w:right w:val="none" w:sz="0" w:space="0" w:color="auto"/>
          </w:divBdr>
        </w:div>
        <w:div w:id="1704985513">
          <w:marLeft w:val="480"/>
          <w:marRight w:val="0"/>
          <w:marTop w:val="0"/>
          <w:marBottom w:val="0"/>
          <w:divBdr>
            <w:top w:val="none" w:sz="0" w:space="0" w:color="auto"/>
            <w:left w:val="none" w:sz="0" w:space="0" w:color="auto"/>
            <w:bottom w:val="none" w:sz="0" w:space="0" w:color="auto"/>
            <w:right w:val="none" w:sz="0" w:space="0" w:color="auto"/>
          </w:divBdr>
        </w:div>
      </w:divsChild>
    </w:div>
    <w:div w:id="1951353403">
      <w:bodyDiv w:val="1"/>
      <w:marLeft w:val="0"/>
      <w:marRight w:val="0"/>
      <w:marTop w:val="0"/>
      <w:marBottom w:val="0"/>
      <w:divBdr>
        <w:top w:val="none" w:sz="0" w:space="0" w:color="auto"/>
        <w:left w:val="none" w:sz="0" w:space="0" w:color="auto"/>
        <w:bottom w:val="none" w:sz="0" w:space="0" w:color="auto"/>
        <w:right w:val="none" w:sz="0" w:space="0" w:color="auto"/>
      </w:divBdr>
      <w:divsChild>
        <w:div w:id="1378046942">
          <w:marLeft w:val="480"/>
          <w:marRight w:val="0"/>
          <w:marTop w:val="0"/>
          <w:marBottom w:val="0"/>
          <w:divBdr>
            <w:top w:val="none" w:sz="0" w:space="0" w:color="auto"/>
            <w:left w:val="none" w:sz="0" w:space="0" w:color="auto"/>
            <w:bottom w:val="none" w:sz="0" w:space="0" w:color="auto"/>
            <w:right w:val="none" w:sz="0" w:space="0" w:color="auto"/>
          </w:divBdr>
        </w:div>
        <w:div w:id="2069498012">
          <w:marLeft w:val="480"/>
          <w:marRight w:val="0"/>
          <w:marTop w:val="0"/>
          <w:marBottom w:val="0"/>
          <w:divBdr>
            <w:top w:val="none" w:sz="0" w:space="0" w:color="auto"/>
            <w:left w:val="none" w:sz="0" w:space="0" w:color="auto"/>
            <w:bottom w:val="none" w:sz="0" w:space="0" w:color="auto"/>
            <w:right w:val="none" w:sz="0" w:space="0" w:color="auto"/>
          </w:divBdr>
        </w:div>
        <w:div w:id="1538544159">
          <w:marLeft w:val="480"/>
          <w:marRight w:val="0"/>
          <w:marTop w:val="0"/>
          <w:marBottom w:val="0"/>
          <w:divBdr>
            <w:top w:val="none" w:sz="0" w:space="0" w:color="auto"/>
            <w:left w:val="none" w:sz="0" w:space="0" w:color="auto"/>
            <w:bottom w:val="none" w:sz="0" w:space="0" w:color="auto"/>
            <w:right w:val="none" w:sz="0" w:space="0" w:color="auto"/>
          </w:divBdr>
        </w:div>
        <w:div w:id="2147357614">
          <w:marLeft w:val="480"/>
          <w:marRight w:val="0"/>
          <w:marTop w:val="0"/>
          <w:marBottom w:val="0"/>
          <w:divBdr>
            <w:top w:val="none" w:sz="0" w:space="0" w:color="auto"/>
            <w:left w:val="none" w:sz="0" w:space="0" w:color="auto"/>
            <w:bottom w:val="none" w:sz="0" w:space="0" w:color="auto"/>
            <w:right w:val="none" w:sz="0" w:space="0" w:color="auto"/>
          </w:divBdr>
        </w:div>
        <w:div w:id="403141977">
          <w:marLeft w:val="480"/>
          <w:marRight w:val="0"/>
          <w:marTop w:val="0"/>
          <w:marBottom w:val="0"/>
          <w:divBdr>
            <w:top w:val="none" w:sz="0" w:space="0" w:color="auto"/>
            <w:left w:val="none" w:sz="0" w:space="0" w:color="auto"/>
            <w:bottom w:val="none" w:sz="0" w:space="0" w:color="auto"/>
            <w:right w:val="none" w:sz="0" w:space="0" w:color="auto"/>
          </w:divBdr>
        </w:div>
        <w:div w:id="176651085">
          <w:marLeft w:val="480"/>
          <w:marRight w:val="0"/>
          <w:marTop w:val="0"/>
          <w:marBottom w:val="0"/>
          <w:divBdr>
            <w:top w:val="none" w:sz="0" w:space="0" w:color="auto"/>
            <w:left w:val="none" w:sz="0" w:space="0" w:color="auto"/>
            <w:bottom w:val="none" w:sz="0" w:space="0" w:color="auto"/>
            <w:right w:val="none" w:sz="0" w:space="0" w:color="auto"/>
          </w:divBdr>
        </w:div>
      </w:divsChild>
    </w:div>
    <w:div w:id="2067989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3" Type="http://schemas.openxmlformats.org/officeDocument/2006/relationships/hyperlink" Target="http://jurnal.uinsu.ac.id/index.php/contagion" TargetMode="External"/><Relationship Id="rId2" Type="http://schemas.openxmlformats.org/officeDocument/2006/relationships/image" Target="media/image2.jpeg"/><Relationship Id="rId1" Type="http://schemas.openxmlformats.org/officeDocument/2006/relationships/hyperlink" Target="http://jurnal.uinsu.ac.id/index.php/contagion" TargetMode="External"/><Relationship Id="rId5" Type="http://schemas.openxmlformats.org/officeDocument/2006/relationships/image" Target="media/image1.jpeg"/><Relationship Id="rId4"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296"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4D5689D-6232-443F-849E-A447F8B22C9F}">
  <we:reference id="wa104382081" version="1.55.1.0" store="en-US" storeType="OMEX"/>
  <we:alternateReferences>
    <we:reference id="wa104382081" version="1.55.1.0" store="" storeType="OMEX"/>
  </we:alternateReferences>
  <we:properties>
    <we:property name="MENDELEY_CITATIONS" value="[{&quot;citationID&quot;:&quot;MENDELEY_CITATION_75973b76-f952-4639-b820-0ed4f342ab53&quot;,&quot;properties&quot;:{&quot;noteIndex&quot;:0},&quot;isEdited&quot;:false,&quot;manualOverride&quot;:{&quot;isManuallyOverridden&quot;:false,&quot;citeprocText&quot;:&quot;(Taniguchi et al., 2012)&quot;,&quot;manualOverrideText&quot;:&quot;&quot;},&quot;citationTag&quot;:&quot;MENDELEY_CITATION_v3_eyJjaXRhdGlvbklEIjoiTUVOREVMRVlfQ0lUQVRJT05fNzU5NzNiNzYtZjk1Mi00NjM5LWI4MjAtMGVkNGYzNDJhYjUzIiwicHJvcGVydGllcyI6eyJub3RlSW5kZXgiOjB9LCJpc0VkaXRlZCI6ZmFsc2UsIm1hbnVhbE92ZXJyaWRlIjp7ImlzTWFudWFsbHlPdmVycmlkZGVuIjpmYWxzZSwiY2l0ZXByb2NUZXh0IjoiKFRhbmlndWNoaSBldCBhbC4sIDIwMTIpIiwibWFudWFsT3ZlcnJpZGVUZXh0IjoiIn0sImNpdGF0aW9uSXRlbXMiOlt7ImlkIjoiY2RlMGFjNmQtZTA2MC0zM2NlLWJmZDUtNzQ5MThmOTIxMjVmIiwiaXRlbURhdGEiOnsidHlwZSI6ImFydGljbGUtam91cm5hbCIsImlkIjoiY2RlMGFjNmQtZTA2MC0zM2NlLWJmZDUtNzQ5MThmOTIxMjVmIiwidGl0bGUiOiJDYXJkaWFjIGFycmVzdDogYSBwdWJsaWMgaGVhbHRoIHBlcnNwZWN0aXZlIiwiYXV0aG9yIjpbeyJmYW1pbHkiOiJUYW5pZ3VjaGkiLCJnaXZlbiI6IkRhd24iLCJwYXJzZS1uYW1lcyI6ZmFsc2UsImRyb3BwaW5nLXBhcnRpY2xlIjoiIiwibm9uLWRyb3BwaW5nLXBhcnRpY2xlIjoiIn0seyJmYW1pbHkiOiJCYWVybnN0ZWluIiwiZ2l2ZW4iOiJBbXkiLCJwYXJzZS1uYW1lcyI6ZmFsc2UsImRyb3BwaW5nLXBhcnRpY2xlIjoiIiwibm9uLWRyb3BwaW5nLXBhcnRpY2xlIjoiIn0seyJmYW1pbHkiOiJOaWNob2wiLCJnaXZlbiI6IkdyYWhhbSIsInBhcnNlLW5hbWVzIjpmYWxzZSwiZHJvcHBpbmctcGFydGljbGUiOiIiLCJub24tZHJvcHBpbmctcGFydGljbGUiOiIifV0sImNvbnRhaW5lci10aXRsZSI6IkVtZXJnZW5jeSBNZWRpY2luZSBDbGluaWNzIiwiSVNTTiI6IjA3MzMtODYyNyIsImlzc3VlZCI6eyJkYXRlLXBhcnRzIjpbWzIwMTJdXX0sInBhZ2UiOiIxLTEyIiwicHVibGlzaGVyIjoiRWxzZXZpZXIiLCJpc3N1ZSI6IjEiLCJ2b2x1bWUiOiIzMCIsImNvbnRhaW5lci10aXRsZS1zaG9ydCI6IiJ9LCJpc1RlbXBvcmFyeSI6ZmFsc2V9XX0=&quot;,&quot;citationItems&quot;:[{&quot;id&quot;:&quot;cde0ac6d-e060-33ce-bfd5-74918f92125f&quot;,&quot;itemData&quot;:{&quot;type&quot;:&quot;article-journal&quot;,&quot;id&quot;:&quot;cde0ac6d-e060-33ce-bfd5-74918f92125f&quot;,&quot;title&quot;:&quot;Cardiac arrest: a public health perspective&quot;,&quot;author&quot;:[{&quot;family&quot;:&quot;Taniguchi&quot;,&quot;given&quot;:&quot;Dawn&quot;,&quot;parse-names&quot;:false,&quot;dropping-particle&quot;:&quot;&quot;,&quot;non-dropping-particle&quot;:&quot;&quot;},{&quot;family&quot;:&quot;Baernstein&quot;,&quot;given&quot;:&quot;Amy&quot;,&quot;parse-names&quot;:false,&quot;dropping-particle&quot;:&quot;&quot;,&quot;non-dropping-particle&quot;:&quot;&quot;},{&quot;family&quot;:&quot;Nichol&quot;,&quot;given&quot;:&quot;Graham&quot;,&quot;parse-names&quot;:false,&quot;dropping-particle&quot;:&quot;&quot;,&quot;non-dropping-particle&quot;:&quot;&quot;}],&quot;container-title&quot;:&quot;Emergency Medicine Clinics&quot;,&quot;ISSN&quot;:&quot;0733-8627&quot;,&quot;issued&quot;:{&quot;date-parts&quot;:[[2012]]},&quot;page&quot;:&quot;1-12&quot;,&quot;publisher&quot;:&quot;Elsevier&quot;,&quot;issue&quot;:&quot;1&quot;,&quot;volume&quot;:&quot;30&quot;,&quot;container-title-short&quot;:&quot;&quot;},&quot;isTemporary&quot;:false}]},{&quot;citationID&quot;:&quot;MENDELEY_CITATION_e084eeee-be96-4a9e-91e4-2b1ed224d546&quot;,&quot;properties&quot;:{&quot;noteIndex&quot;:0},&quot;isEdited&quot;:false,&quot;manualOverride&quot;:{&quot;isManuallyOverridden&quot;:false,&quot;citeprocText&quot;:&quot;(Junaidi, 2021)&quot;,&quot;manualOverrideText&quot;:&quot;&quot;},&quot;citationTag&quot;:&quot;MENDELEY_CITATION_v3_eyJjaXRhdGlvbklEIjoiTUVOREVMRVlfQ0lUQVRJT05fZTA4NGVlZWUtYmU5Ni00YTllLTkxZTQtMmIxZWQyMjRkNTQ2IiwicHJvcGVydGllcyI6eyJub3RlSW5kZXgiOjB9LCJpc0VkaXRlZCI6ZmFsc2UsIm1hbnVhbE92ZXJyaWRlIjp7ImlzTWFudWFsbHlPdmVycmlkZGVuIjpmYWxzZSwiY2l0ZXByb2NUZXh0IjoiKEp1bmFpZGksIDIwMjEpIiwibWFudWFsT3ZlcnJpZGVUZXh0IjoiIn0sImNpdGF0aW9uSXRlbXMiOlt7ImlkIjoiZDBhYmEwZGMtNTY3ZC0zYTE3LWE1NTgtMWNlNjdmZDQ4ODQ2IiwiaXRlbURhdGEiOnsidHlwZSI6ImJvb2siLCJpZCI6ImQwYWJhMGRjLTU2N2QtM2ExNy1hNTU4LTFjZTY3ZmQ0ODg0NiIsInRpdGxlIjoiTUVOQ0VHQUggJiBNRU5HQVRBU0kgQkVSQkFHQUkgUEVOWUFLSVQgU0VOREk6IEFzYW0gVXJhdCwgUmVtYXRpaywgZGFuIFBlbnlha2l0IFNlbmRpIExhaW5ueWEiLCJhdXRob3IiOlt7ImZhbWlseSI6Ikp1bmFpZGkiLCJnaXZlbiI6Iklza2FuZGFyIiwicGFyc2UtbmFtZXMiOmZhbHNlLCJkcm9wcGluZy1wYXJ0aWNsZSI6IiIsIm5vbi1kcm9wcGluZy1wYXJ0aWNsZSI6IiJ9XSwiSVNCTiI6IjYyMzcyMzk4NDciLCJpc3N1ZWQiOnsiZGF0ZS1wYXJ0cyI6W1syMDIxXV19LCJwdWJsaXNoZXIiOiJQZW5lcmJpdCBBbmRpIiwiY29udGFpbmVyLXRpdGxlLXNob3J0IjoiIn0sImlzVGVtcG9yYXJ5IjpmYWxzZX1dfQ==&quot;,&quot;citationItems&quot;:[{&quot;id&quot;:&quot;d0aba0dc-567d-3a17-a558-1ce67fd48846&quot;,&quot;itemData&quot;:{&quot;type&quot;:&quot;book&quot;,&quot;id&quot;:&quot;d0aba0dc-567d-3a17-a558-1ce67fd48846&quot;,&quot;title&quot;:&quot;MENCEGAH &amp; MENGATASI BERBAGAI PENYAKIT SENDI: Asam Urat, Rematik, dan Penyakit Sendi Lainnya&quot;,&quot;author&quot;:[{&quot;family&quot;:&quot;Junaidi&quot;,&quot;given&quot;:&quot;Iskandar&quot;,&quot;parse-names&quot;:false,&quot;dropping-particle&quot;:&quot;&quot;,&quot;non-dropping-particle&quot;:&quot;&quot;}],&quot;ISBN&quot;:&quot;6237239847&quot;,&quot;issued&quot;:{&quot;date-parts&quot;:[[2021]]},&quot;publisher&quot;:&quot;Penerbit Andi&quot;,&quot;container-title-short&quot;:&quot;&quot;},&quot;isTemporary&quot;:false}]},{&quot;citationID&quot;:&quot;MENDELEY_CITATION_3545ea7f-7deb-4253-a76a-25b41270a482&quot;,&quot;properties&quot;:{&quot;noteIndex&quot;:0},&quot;isEdited&quot;:false,&quot;manualOverride&quot;:{&quot;isManuallyOverridden&quot;:false,&quot;citeprocText&quot;:&quot;(Manurung &amp;#38; Hutapea, 2022)&quot;,&quot;manualOverrideText&quot;:&quot;&quot;},&quot;citationTag&quot;:&quot;MENDELEY_CITATION_v3_eyJjaXRhdGlvbklEIjoiTUVOREVMRVlfQ0lUQVRJT05fMzU0NWVhN2YtN2RlYi00MjUzLWE3NmEtMjViNDEyNzBhNDgyIiwicHJvcGVydGllcyI6eyJub3RlSW5kZXgiOjB9LCJpc0VkaXRlZCI6ZmFsc2UsIm1hbnVhbE92ZXJyaWRlIjp7ImlzTWFudWFsbHlPdmVycmlkZGVuIjpmYWxzZSwiY2l0ZXByb2NUZXh0IjoiKE1hbnVydW5nICYjMzg7IEh1dGFwZWEsIDIwMjIpIiwibWFudWFsT3ZlcnJpZGVUZXh0IjoiIn0sImNpdGF0aW9uSXRlbXMiOlt7ImlkIjoiMjg4ZDQzZDYtMTIyYS0zZmNjLThiYWYtNTU4NmQ4OGZmY2ZlIiwiaXRlbURhdGEiOnsidHlwZSI6ImFydGljbGUtam91cm5hbCIsImlkIjoiMjg4ZDQzZDYtMTIyYS0zZmNjLThiYWYtNTU4NmQ4OGZmY2ZlIiwidGl0bGUiOiJUaW5na2F0IFBlbmdldGFodWFuIFRlbnRhbmcgQmFudHVhbiBIaWR1cCBEYXNhciBNYWhhc2lzd2EgUHJvZ3JhbSBTdHVkaSBEMyBGYXJtYXNpIFNUSUtFUyBBcmp1bmEiLCJhdXRob3IiOlt7ImZhbWlseSI6Ik1hbnVydW5nIiwiZ2l2ZW4iOiJNZWx2YSBFcHkgTWFyZGlhbmEiLCJwYXJzZS1uYW1lcyI6ZmFsc2UsImRyb3BwaW5nLXBhcnRpY2xlIjoiIiwibm9uLWRyb3BwaW5nLXBhcnRpY2xlIjoiIn0seyJmYW1pbHkiOiJIdXRhcGVhIiwiZ2l2ZW4iOiJLaXJpc3RhIiwicGFyc2UtbmFtZXMiOmZhbHNlLCJkcm9wcGluZy1wYXJ0aWNsZSI6IiIsIm5vbi1kcm9wcGluZy1wYXJ0aWNsZSI6IiJ9XSwiY29udGFpbmVyLXRpdGxlIjoiSlVSTkFMIEtFUEVSQVdBVEFOIENJS0lOSSIsIklTU04iOiIyNjg2LTE5ODQiLCJpc3N1ZWQiOnsiZGF0ZS1wYXJ0cyI6W1syMDIyXV19LCJpc3N1ZSI6IjIiLCJ2b2x1bWUiOiIzIiwiY29udGFpbmVyLXRpdGxlLXNob3J0IjoiIn0sImlzVGVtcG9yYXJ5IjpmYWxzZX1dfQ==&quot;,&quot;citationItems&quot;:[{&quot;id&quot;:&quot;288d43d6-122a-3fcc-8baf-5586d88ffcfe&quot;,&quot;itemData&quot;:{&quot;type&quot;:&quot;article-journal&quot;,&quot;id&quot;:&quot;288d43d6-122a-3fcc-8baf-5586d88ffcfe&quot;,&quot;title&quot;:&quot;Tingkat Pengetahuan Tentang Bantuan Hidup Dasar Mahasiswa Program Studi D3 Farmasi STIKES Arjuna&quot;,&quot;author&quot;:[{&quot;family&quot;:&quot;Manurung&quot;,&quot;given&quot;:&quot;Melva Epy Mardiana&quot;,&quot;parse-names&quot;:false,&quot;dropping-particle&quot;:&quot;&quot;,&quot;non-dropping-particle&quot;:&quot;&quot;},{&quot;family&quot;:&quot;Hutapea&quot;,&quot;given&quot;:&quot;Kirista&quot;,&quot;parse-names&quot;:false,&quot;dropping-particle&quot;:&quot;&quot;,&quot;non-dropping-particle&quot;:&quot;&quot;}],&quot;container-title&quot;:&quot;JURNAL KEPERAWATAN CIKINI&quot;,&quot;ISSN&quot;:&quot;2686-1984&quot;,&quot;issued&quot;:{&quot;date-parts&quot;:[[2022]]},&quot;issue&quot;:&quot;2&quot;,&quot;volume&quot;:&quot;3&quot;,&quot;container-title-short&quot;:&quot;&quot;},&quot;isTemporary&quot;:false}]},{&quot;citationID&quot;:&quot;MENDELEY_CITATION_55e753e1-b4ab-4cc4-a0c9-659fbdb2a681&quot;,&quot;properties&quot;:{&quot;noteIndex&quot;:0},&quot;isEdited&quot;:false,&quot;manualOverride&quot;:{&quot;isManuallyOverridden&quot;:false,&quot;citeprocText&quot;:&quot;(Wissenberg et al., 2013)&quot;,&quot;manualOverrideText&quot;:&quot;&quot;},&quot;citationTag&quot;:&quot;MENDELEY_CITATION_v3_eyJjaXRhdGlvbklEIjoiTUVOREVMRVlfQ0lUQVRJT05fNTVlNzUzZTEtYjRhYi00Y2M0LWEwYzktNjU5ZmJkYjJhNjgxIiwicHJvcGVydGllcyI6eyJub3RlSW5kZXgiOjB9LCJpc0VkaXRlZCI6ZmFsc2UsIm1hbnVhbE92ZXJyaWRlIjp7ImlzTWFudWFsbHlPdmVycmlkZGVuIjpmYWxzZSwiY2l0ZXByb2NUZXh0IjoiKFdpc3NlbmJlcmcgZXQgYWwuLCAyMDEzKSIsIm1hbnVhbE92ZXJyaWRlVGV4dCI6IiJ9LCJjaXRhdGlvbkl0ZW1zIjpbeyJpZCI6IjM2MzdkOGUwLTVhZDctMzU4NS1hZDZhLTYyMDU2MTVmMzE3OSIsIml0ZW1EYXRhIjp7InR5cGUiOiJhcnRpY2xlLWpvdXJuYWwiLCJpZCI6IjM2MzdkOGUwLTVhZDctMzU4NS1hZDZhLTYyMDU2MTVmMzE3OSIsInRpdGxlIjoiQXNzb2NpYXRpb24gb2YgbmF0aW9uYWwgaW5pdGlhdGl2ZXMgdG8gaW1wcm92ZSBjYXJkaWFjIGFycmVzdCBtYW5hZ2VtZW50IHdpdGggcmF0ZXMgb2YgYnlzdGFuZGVyIGludGVydmVudGlvbiBhbmQgcGF0aWVudCBzdXJ2aXZhbCBhZnRlciBvdXQtb2YtaG9zcGl0YWwgY2FyZGlhYyBhcnJlc3QiLCJhdXRob3IiOlt7ImZhbWlseSI6Ildpc3NlbmJlcmciLCJnaXZlbiI6Ik1hZHMiLCJwYXJzZS1uYW1lcyI6ZmFsc2UsImRyb3BwaW5nLXBhcnRpY2xlIjoiIiwibm9uLWRyb3BwaW5nLXBhcnRpY2xlIjoiIn0seyJmYW1pbHkiOiJMaXBwZXJ0IiwiZ2l2ZW4iOiJGcmVkZHkgSyIsInBhcnNlLW5hbWVzIjpmYWxzZSwiZHJvcHBpbmctcGFydGljbGUiOiIiLCJub24tZHJvcHBpbmctcGFydGljbGUiOiIifSx7ImZhbWlseSI6IkZvbGtlIiwiZ2l2ZW4iOiJGcmVkcmlrIiwicGFyc2UtbmFtZXMiOmZhbHNlLCJkcm9wcGluZy1wYXJ0aWNsZSI6IiIsIm5vbi1kcm9wcGluZy1wYXJ0aWNsZSI6IiJ9LHsiZmFtaWx5IjoiV2Vla2UiLCJnaXZlbiI6IlBldGVyIiwicGFyc2UtbmFtZXMiOmZhbHNlLCJkcm9wcGluZy1wYXJ0aWNsZSI6IiIsIm5vbi1kcm9wcGluZy1wYXJ0aWNsZSI6IiJ9LHsiZmFtaWx5IjoiSGFuc2VuIiwiZ2l2ZW4iOiJDYXJvbGluYSBNYWx0YSIsInBhcnNlLW5hbWVzIjpmYWxzZSwiZHJvcHBpbmctcGFydGljbGUiOiIiLCJub24tZHJvcHBpbmctcGFydGljbGUiOiIifSx7ImZhbWlseSI6IkNocmlzdGVuc2VuIiwiZ2l2ZW4iOiJFcmlrYSBGcmlzY2hrbmVjaHQiLCJwYXJzZS1uYW1lcyI6ZmFsc2UsImRyb3BwaW5nLXBhcnRpY2xlIjoiIiwibm9uLWRyb3BwaW5nLXBhcnRpY2xlIjoiIn0seyJmYW1pbHkiOiJKYW5zIiwiZ2l2ZW4iOiJIZW5uaW5nIiwicGFyc2UtbmFtZXMiOmZhbHNlLCJkcm9wcGluZy1wYXJ0aWNsZSI6IiIsIm5vbi1kcm9wcGluZy1wYXJ0aWNsZSI6IiJ9LHsiZmFtaWx5IjoiSGFuc2VuIiwiZ2l2ZW4iOiJQb3VsIEFuZGVycyIsInBhcnNlLW5hbWVzIjpmYWxzZSwiZHJvcHBpbmctcGFydGljbGUiOiIiLCJub24tZHJvcHBpbmctcGFydGljbGUiOiIifSx7ImZhbWlseSI6IkxhbmctSmVuc2VuIiwiZ2l2ZW4iOiJUb3JzdGVuIiwicGFyc2UtbmFtZXMiOmZhbHNlLCJkcm9wcGluZy1wYXJ0aWNsZSI6IiIsIm5vbi1kcm9wcGluZy1wYXJ0aWNsZSI6IiJ9LHsiZmFtaWx5IjoiT2xlc2VuIiwiZ2l2ZW4iOiJKb25hcyBCamVycmluZyIsInBhcnNlLW5hbWVzIjpmYWxzZSwiZHJvcHBpbmctcGFydGljbGUiOiIiLCJub24tZHJvcHBpbmctcGFydGljbGUiOiIifV0sImNvbnRhaW5lci10aXRsZSI6IkphbWEiLCJjb250YWluZXItdGl0bGUtc2hvcnQiOiJKQU1BIiwiSVNTTiI6IjAwOTgtNzQ4NCIsImlzc3VlZCI6eyJkYXRlLXBhcnRzIjpbWzIwMTNdXX0sInBhZ2UiOiIxMzc3LTEzODQiLCJwdWJsaXNoZXIiOiJBbWVyaWNhbiBNZWRpY2FsIEFzc29jaWF0aW9uIiwiaXNzdWUiOiIxMyIsInZvbHVtZSI6IjMxMCJ9LCJpc1RlbXBvcmFyeSI6ZmFsc2V9XX0=&quot;,&quot;citationItems&quot;:[{&quot;id&quot;:&quot;3637d8e0-5ad7-3585-ad6a-6205615f3179&quot;,&quot;itemData&quot;:{&quot;type&quot;:&quot;article-journal&quot;,&quot;id&quot;:&quot;3637d8e0-5ad7-3585-ad6a-6205615f3179&quot;,&quot;title&quot;:&quot;Association of national initiatives to improve cardiac arrest management with rates of bystander intervention and patient survival after out-of-hospital cardiac arrest&quot;,&quot;author&quot;:[{&quot;family&quot;:&quot;Wissenberg&quot;,&quot;given&quot;:&quot;Mads&quot;,&quot;parse-names&quot;:false,&quot;dropping-particle&quot;:&quot;&quot;,&quot;non-dropping-particle&quot;:&quot;&quot;},{&quot;family&quot;:&quot;Lippert&quot;,&quot;given&quot;:&quot;Freddy K&quot;,&quot;parse-names&quot;:false,&quot;dropping-particle&quot;:&quot;&quot;,&quot;non-dropping-particle&quot;:&quot;&quot;},{&quot;family&quot;:&quot;Folke&quot;,&quot;given&quot;:&quot;Fredrik&quot;,&quot;parse-names&quot;:false,&quot;dropping-particle&quot;:&quot;&quot;,&quot;non-dropping-particle&quot;:&quot;&quot;},{&quot;family&quot;:&quot;Weeke&quot;,&quot;given&quot;:&quot;Peter&quot;,&quot;parse-names&quot;:false,&quot;dropping-particle&quot;:&quot;&quot;,&quot;non-dropping-particle&quot;:&quot;&quot;},{&quot;family&quot;:&quot;Hansen&quot;,&quot;given&quot;:&quot;Carolina Malta&quot;,&quot;parse-names&quot;:false,&quot;dropping-particle&quot;:&quot;&quot;,&quot;non-dropping-particle&quot;:&quot;&quot;},{&quot;family&quot;:&quot;Christensen&quot;,&quot;given&quot;:&quot;Erika Frischknecht&quot;,&quot;parse-names&quot;:false,&quot;dropping-particle&quot;:&quot;&quot;,&quot;non-dropping-particle&quot;:&quot;&quot;},{&quot;family&quot;:&quot;Jans&quot;,&quot;given&quot;:&quot;Henning&quot;,&quot;parse-names&quot;:false,&quot;dropping-particle&quot;:&quot;&quot;,&quot;non-dropping-particle&quot;:&quot;&quot;},{&quot;family&quot;:&quot;Hansen&quot;,&quot;given&quot;:&quot;Poul Anders&quot;,&quot;parse-names&quot;:false,&quot;dropping-particle&quot;:&quot;&quot;,&quot;non-dropping-particle&quot;:&quot;&quot;},{&quot;family&quot;:&quot;Lang-Jensen&quot;,&quot;given&quot;:&quot;Torsten&quot;,&quot;parse-names&quot;:false,&quot;dropping-particle&quot;:&quot;&quot;,&quot;non-dropping-particle&quot;:&quot;&quot;},{&quot;family&quot;:&quot;Olesen&quot;,&quot;given&quot;:&quot;Jonas Bjerring&quot;,&quot;parse-names&quot;:false,&quot;dropping-particle&quot;:&quot;&quot;,&quot;non-dropping-particle&quot;:&quot;&quot;}],&quot;container-title&quot;:&quot;Jama&quot;,&quot;container-title-short&quot;:&quot;JAMA&quot;,&quot;ISSN&quot;:&quot;0098-7484&quot;,&quot;issued&quot;:{&quot;date-parts&quot;:[[2013]]},&quot;page&quot;:&quot;1377-1384&quot;,&quot;publisher&quot;:&quot;American Medical Association&quot;,&quot;issue&quot;:&quot;13&quot;,&quot;volume&quot;:&quot;310&quot;},&quot;isTemporary&quot;:false}]},{&quot;citationID&quot;:&quot;MENDELEY_CITATION_3503f418-64c6-4f16-8cad-0cb42e39c05c&quot;,&quot;properties&quot;:{&quot;noteIndex&quot;:0},&quot;isEdited&quot;:false,&quot;manualOverride&quot;:{&quot;isManuallyOverridden&quot;:false,&quot;citeprocText&quot;:&quot;(Kannel et al., 1975)&quot;,&quot;manualOverrideText&quot;:&quot;&quot;},&quot;citationTag&quot;:&quot;MENDELEY_CITATION_v3_eyJjaXRhdGlvbklEIjoiTUVOREVMRVlfQ0lUQVRJT05fMzUwM2Y0MTgtNjRjNi00ZjE2LThjYWQtMGNiNDJlMzljMDVjIiwicHJvcGVydGllcyI6eyJub3RlSW5kZXgiOjB9LCJpc0VkaXRlZCI6ZmFsc2UsIm1hbnVhbE92ZXJyaWRlIjp7ImlzTWFudWFsbHlPdmVycmlkZGVuIjpmYWxzZSwiY2l0ZXByb2NUZXh0IjoiKEthbm5lbCBldCBhbC4sIDE5NzUpIiwibWFudWFsT3ZlcnJpZGVUZXh0IjoiIn0sImNpdGF0aW9uSXRlbXMiOlt7ImlkIjoiOTQ0MWMyNDAtNTQxYy0zMjMyLWI3NDEtMTgyNDRjYjA0OTIxIiwiaXRlbURhdGEiOnsidHlwZSI6ImFydGljbGUtam91cm5hbCIsImlkIjoiOTQ0MWMyNDAtNTQxYy0zMjMyLWI3NDEtMTgyNDRjYjA0OTIxIiwidGl0bGUiOiJQcmVjdXJzb3JzIG9mIHN1ZGRlbiBjb3JvbmFyeSBkZWF0aC4gRmFjdG9ycyByZWxhdGVkIHRvIHRoZSBpbmNpZGVuY2Ugb2Ygc3VkZGVuIGRlYXRoLiIsImF1dGhvciI6W3siZmFtaWx5IjoiS2FubmVsIiwiZ2l2ZW4iOiJXSUxMSU1pIEIiLCJwYXJzZS1uYW1lcyI6ZmFsc2UsImRyb3BwaW5nLXBhcnRpY2xlIjoiIiwibm9uLWRyb3BwaW5nLXBhcnRpY2xlIjoiIn0seyJmYW1pbHkiOiJEb3lsZSIsImdpdmVuIjoiSm9zZXBoIFQiLCJwYXJzZS1uYW1lcyI6ZmFsc2UsImRyb3BwaW5nLXBhcnRpY2xlIjoiIiwibm9uLWRyb3BwaW5nLXBhcnRpY2xlIjoiIn0seyJmYW1pbHkiOiJNY05hbWFyYSIsImdpdmVuIjoiUGF0cmljaWEgTSIsInBhcnNlLW5hbWVzIjpmYWxzZSwiZHJvcHBpbmctcGFydGljbGUiOiIiLCJub24tZHJvcHBpbmctcGFydGljbGUiOiIifSx7ImZhbWlseSI6IlF1aWNrZW50b24iLCJnaXZlbiI6IlBoaWxsaXAiLCJwYXJzZS1uYW1lcyI6ZmFsc2UsImRyb3BwaW5nLXBhcnRpY2xlIjoiIiwibm9uLWRyb3BwaW5nLXBhcnRpY2xlIjoiIn0seyJmYW1pbHkiOiJHb3Jkb24iLCJnaXZlbiI6IlRhdmlhIiwicGFyc2UtbmFtZXMiOmZhbHNlLCJkcm9wcGluZy1wYXJ0aWNsZSI6IiIsIm5vbi1kcm9wcGluZy1wYXJ0aWNsZSI6IiJ9XSwiY29udGFpbmVyLXRpdGxlIjoiQ2lyY3VsYXRpb24iLCJjb250YWluZXItdGl0bGUtc2hvcnQiOiJDaXJjdWxhdGlvbiIsIklTU04iOiIwMDA5LTczMjIiLCJpc3N1ZWQiOnsiZGF0ZS1wYXJ0cyI6W1sxOTc1XV19LCJwYWdlIjoiNjA2LTYxMyIsInB1Ymxpc2hlciI6IkFtIEhlYXJ0IEFzc29jIiwiaXNzdWUiOiI0Iiwidm9sdW1lIjoiNTEifSwiaXNUZW1wb3JhcnkiOmZhbHNlfV19&quot;,&quot;citationItems&quot;:[{&quot;id&quot;:&quot;9441c240-541c-3232-b741-18244cb04921&quot;,&quot;itemData&quot;:{&quot;type&quot;:&quot;article-journal&quot;,&quot;id&quot;:&quot;9441c240-541c-3232-b741-18244cb04921&quot;,&quot;title&quot;:&quot;Precursors of sudden coronary death. Factors related to the incidence of sudden death.&quot;,&quot;author&quot;:[{&quot;family&quot;:&quot;Kannel&quot;,&quot;given&quot;:&quot;WILLIMi B&quot;,&quot;parse-names&quot;:false,&quot;dropping-particle&quot;:&quot;&quot;,&quot;non-dropping-particle&quot;:&quot;&quot;},{&quot;family&quot;:&quot;Doyle&quot;,&quot;given&quot;:&quot;Joseph T&quot;,&quot;parse-names&quot;:false,&quot;dropping-particle&quot;:&quot;&quot;,&quot;non-dropping-particle&quot;:&quot;&quot;},{&quot;family&quot;:&quot;McNamara&quot;,&quot;given&quot;:&quot;Patricia M&quot;,&quot;parse-names&quot;:false,&quot;dropping-particle&quot;:&quot;&quot;,&quot;non-dropping-particle&quot;:&quot;&quot;},{&quot;family&quot;:&quot;Quickenton&quot;,&quot;given&quot;:&quot;Phillip&quot;,&quot;parse-names&quot;:false,&quot;dropping-particle&quot;:&quot;&quot;,&quot;non-dropping-particle&quot;:&quot;&quot;},{&quot;family&quot;:&quot;Gordon&quot;,&quot;given&quot;:&quot;Tavia&quot;,&quot;parse-names&quot;:false,&quot;dropping-particle&quot;:&quot;&quot;,&quot;non-dropping-particle&quot;:&quot;&quot;}],&quot;container-title&quot;:&quot;Circulation&quot;,&quot;container-title-short&quot;:&quot;Circulation&quot;,&quot;ISSN&quot;:&quot;0009-7322&quot;,&quot;issued&quot;:{&quot;date-parts&quot;:[[1975]]},&quot;page&quot;:&quot;606-613&quot;,&quot;publisher&quot;:&quot;Am Heart Assoc&quot;,&quot;issue&quot;:&quot;4&quot;,&quot;volume&quot;:&quot;51&quot;},&quot;isTemporary&quot;:false}]},{&quot;citationID&quot;:&quot;MENDELEY_CITATION_6989416c-4cbc-4ce2-8567-e37acf7527e1&quot;,&quot;properties&quot;:{&quot;noteIndex&quot;:0},&quot;isEdited&quot;:false,&quot;manualOverride&quot;:{&quot;isManuallyOverridden&quot;:false,&quot;citeprocText&quot;:&quot;(Effendi, 2023)&quot;,&quot;manualOverrideText&quot;:&quot;&quot;},&quot;citationTag&quot;:&quot;MENDELEY_CITATION_v3_eyJjaXRhdGlvbklEIjoiTUVOREVMRVlfQ0lUQVRJT05fNjk4OTQxNmMtNGNiYy00Y2UyLTg1NjctZTM3YWNmNzUyN2UxIiwicHJvcGVydGllcyI6eyJub3RlSW5kZXgiOjB9LCJpc0VkaXRlZCI6ZmFsc2UsIm1hbnVhbE92ZXJyaWRlIjp7ImlzTWFudWFsbHlPdmVycmlkZGVuIjpmYWxzZSwiY2l0ZXByb2NUZXh0IjoiKEVmZmVuZGksIDIwMjMpIiwibWFudWFsT3ZlcnJpZGVUZXh0IjoiIn0sImNpdGF0aW9uSXRlbXMiOlt7ImlkIjoiYzAzNDc4OGItMmU3NC0zYTQ4LTlkZDEtMjk0YjRhZTlhZTZjIiwiaXRlbURhdGEiOnsidHlwZSI6ImFydGljbGUtam91cm5hbCIsImlkIjoiYzAzNDc4OGItMmU3NC0zYTQ4LTlkZDEtMjk0YjRhZTlhZTZjIiwidGl0bGUiOiJJbXBsZW1lbnRhdGlvbiBvZiBDb2RlIEJsdWUgSW4gSG9zcGl0YWxzIiwiYXV0aG9yIjpbeyJmYW1pbHkiOiJFZmZlbmRpIiwiZ2l2ZW4iOiJSaW5hbCIsInBhcnNlLW5hbWVzIjpmYWxzZSwiZHJvcHBpbmctcGFydGljbGUiOiIiLCJub24tZHJvcHBpbmctcGFydGljbGUiOiIifV0sImNvbnRhaW5lci10aXRsZSI6IkRldm90aW9uIEpvdXJuYWwgb2YgQ29tbXVuaXR5IFNlcnZpY2UiLCJJU1NOIjoiMjc5Ny02MDY4IiwiaXNzdWVkIjp7ImRhdGUtcGFydHMiOltbMjAyM11dfSwicGFnZSI6IjQ4OS01MDIiLCJpc3N1ZSI6IjIiLCJ2b2x1bWUiOiI0IiwiY29udGFpbmVyLXRpdGxlLXNob3J0IjoiIn0sImlzVGVtcG9yYXJ5IjpmYWxzZX1dfQ==&quot;,&quot;citationItems&quot;:[{&quot;id&quot;:&quot;c034788b-2e74-3a48-9dd1-294b4ae9ae6c&quot;,&quot;itemData&quot;:{&quot;type&quot;:&quot;article-journal&quot;,&quot;id&quot;:&quot;c034788b-2e74-3a48-9dd1-294b4ae9ae6c&quot;,&quot;title&quot;:&quot;Implementation of Code Blue In Hospitals&quot;,&quot;author&quot;:[{&quot;family&quot;:&quot;Effendi&quot;,&quot;given&quot;:&quot;Rinal&quot;,&quot;parse-names&quot;:false,&quot;dropping-particle&quot;:&quot;&quot;,&quot;non-dropping-particle&quot;:&quot;&quot;}],&quot;container-title&quot;:&quot;Devotion Journal of Community Service&quot;,&quot;ISSN&quot;:&quot;2797-6068&quot;,&quot;issued&quot;:{&quot;date-parts&quot;:[[2023]]},&quot;page&quot;:&quot;489-502&quot;,&quot;issue&quot;:&quot;2&quot;,&quot;volume&quot;:&quot;4&quot;,&quot;container-title-short&quot;:&quot;&quot;},&quot;isTemporary&quot;:false}]},{&quot;citationID&quot;:&quot;MENDELEY_CITATION_50172fe8-8627-4cf1-99c3-c6a63988e5a4&quot;,&quot;properties&quot;:{&quot;noteIndex&quot;:0},&quot;isEdited&quot;:false,&quot;manualOverride&quot;:{&quot;isManuallyOverridden&quot;:false,&quot;citeprocText&quot;:&quot;(Shin Tyan et al., 2019)&quot;,&quot;manualOverrideText&quot;:&quot;&quot;},&quot;citationTag&quot;:&quot;MENDELEY_CITATION_v3_eyJjaXRhdGlvbklEIjoiTUVOREVMRVlfQ0lUQVRJT05fNTAxNzJmZTgtODYyNy00Y2YxLTk5YzMtYzZhNjM5ODhlNWE0IiwicHJvcGVydGllcyI6eyJub3RlSW5kZXgiOjB9LCJpc0VkaXRlZCI6ZmFsc2UsIm1hbnVhbE92ZXJyaWRlIjp7ImlzTWFudWFsbHlPdmVycmlkZGVuIjpmYWxzZSwiY2l0ZXByb2NUZXh0IjoiKFNoaW4gVHlhbiBldCBhbC4sIDIwMTkpIiwibWFudWFsT3ZlcnJpZGVUZXh0IjoiIn0sImNpdGF0aW9uSXRlbXMiOlt7ImlkIjoiOGY2YzMyNTEtMGEzMi0zMTNmLWIyOWYtMDZhMmRkMzQ5MDYwIiwiaXRlbURhdGEiOnsidHlwZSI6ImFydGljbGUtam91cm5hbCIsImlkIjoiOGY2YzMyNTEtMGEzMi0zMTNmLWIyOWYtMDZhMmRkMzQ5MDYwIiwidGl0bGUiOiJBd2FyZW5lc3MgYW5kIEF0dGl0dWRlIFRvd2FyZHMgQmFzaWMgTGlmZSBTdXBwb3J0IEFtb25nIFVuZGVyZ3JhZHVhdGUgTWVkaWNhbCBTdHVkZW50cyBvZiBQcml2YXRlIE1lZGljYWwgQ29sbGVnZXMgaW4gTWFsYXlzaWEiLCJhdXRob3IiOlt7ImZhbWlseSI6IlNoaW4gVHlhbiIsImdpdmVuIjoiTCIsInBhcnNlLW5hbWVzIjpmYWxzZSwiZHJvcHBpbmctcGFydGljbGUiOiIiLCJub24tZHJvcHBpbmctcGFydGljbGUiOiIifSx7ImZhbWlseSI6Ik5lbHNvbiIsImdpdmVuIjoiUyIsInBhcnNlLW5hbWVzIjpmYWxzZSwiZHJvcHBpbmctcGFydGljbGUiOiIiLCJub24tZHJvcHBpbmctcGFydGljbGUiOiIifSx7ImZhbWlseSI6IkppdW4gQ2hlbiIsImdpdmVuIjoiUyIsInBhcnNlLW5hbWVzIjpmYWxzZSwiZHJvcHBpbmctcGFydGljbGUiOiIiLCJub24tZHJvcHBpbmctcGFydGljbGUiOiIifSx7ImZhbWlseSI6Ik51cmF6ZXJhIEJpbnRpIEthbWFsdWRpbiIsImdpdmVuIjoiUyIsInBhcnNlLW5hbWVzIjpmYWxzZSwiZHJvcHBpbmctcGFydGljbGUiOiIiLCJub24tZHJvcHBpbmctcGFydGljbGUiOiIifSx7ImZhbWlseSI6IkFtcmFuIiwiZ2l2ZW4iOiJBIiwicGFyc2UtbmFtZXMiOmZhbHNlLCJkcm9wcGluZy1wYXJ0aWNsZSI6IiIsIm5vbi1kcm9wcGluZy1wYXJ0aWNsZSI6IkJpbiJ9XSwiY29udGFpbmVyLXRpdGxlIjoiT3BlbiBTY2kgSiBDbGluIE1lZCIsImlzc3VlZCI6eyJkYXRlLXBhcnRzIjpbWzIwMTldXX0sInBhZ2UiOiI5My0xMDIiLCJpc3N1ZSI6IjMiLCJ2b2x1bWUiOiI3IiwiY29udGFpbmVyLXRpdGxlLXNob3J0IjoiIn0sImlzVGVtcG9yYXJ5IjpmYWxzZX1dfQ==&quot;,&quot;citationItems&quot;:[{&quot;id&quot;:&quot;8f6c3251-0a32-313f-b29f-06a2dd349060&quot;,&quot;itemData&quot;:{&quot;type&quot;:&quot;article-journal&quot;,&quot;id&quot;:&quot;8f6c3251-0a32-313f-b29f-06a2dd349060&quot;,&quot;title&quot;:&quot;Awareness and Attitude Towards Basic Life Support Among Undergraduate Medical Students of Private Medical Colleges in Malaysia&quot;,&quot;author&quot;:[{&quot;family&quot;:&quot;Shin Tyan&quot;,&quot;given&quot;:&quot;L&quot;,&quot;parse-names&quot;:false,&quot;dropping-particle&quot;:&quot;&quot;,&quot;non-dropping-particle&quot;:&quot;&quot;},{&quot;family&quot;:&quot;Nelson&quot;,&quot;given&quot;:&quot;S&quot;,&quot;parse-names&quot;:false,&quot;dropping-particle&quot;:&quot;&quot;,&quot;non-dropping-particle&quot;:&quot;&quot;},{&quot;family&quot;:&quot;Jiun Chen&quot;,&quot;given&quot;:&quot;S&quot;,&quot;parse-names&quot;:false,&quot;dropping-particle&quot;:&quot;&quot;,&quot;non-dropping-particle&quot;:&quot;&quot;},{&quot;family&quot;:&quot;Nurazera Binti Kamaludin&quot;,&quot;given&quot;:&quot;S&quot;,&quot;parse-names&quot;:false,&quot;dropping-particle&quot;:&quot;&quot;,&quot;non-dropping-particle&quot;:&quot;&quot;},{&quot;family&quot;:&quot;Amran&quot;,&quot;given&quot;:&quot;A&quot;,&quot;parse-names&quot;:false,&quot;dropping-particle&quot;:&quot;&quot;,&quot;non-dropping-particle&quot;:&quot;Bin&quot;}],&quot;container-title&quot;:&quot;Open Sci J Clin Med&quot;,&quot;issued&quot;:{&quot;date-parts&quot;:[[2019]]},&quot;page&quot;:&quot;93-102&quot;,&quot;issue&quot;:&quot;3&quot;,&quot;volume&quot;:&quot;7&quot;,&quot;container-title-short&quot;:&quot;&quot;},&quot;isTemporary&quot;:false}]},{&quot;citationID&quot;:&quot;MENDELEY_CITATION_9693e297-c7d7-4761-9656-4bb0afd1a2a5&quot;,&quot;properties&quot;:{&quot;noteIndex&quot;:0},&quot;isEdited&quot;:false,&quot;manualOverride&quot;:{&quot;isManuallyOverridden&quot;:false,&quot;citeprocText&quot;:&quot;(Alghamdi et al., 2021)&quot;,&quot;manualOverrideText&quot;:&quot;&quot;},&quot;citationTag&quot;:&quot;MENDELEY_CITATION_v3_eyJjaXRhdGlvbklEIjoiTUVOREVMRVlfQ0lUQVRJT05fOTY5M2UyOTctYzdkNy00NzYxLTk2NTYtNGJiMGFmZDFhMmE1IiwicHJvcGVydGllcyI6eyJub3RlSW5kZXgiOjB9LCJpc0VkaXRlZCI6ZmFsc2UsIm1hbnVhbE92ZXJyaWRlIjp7ImlzTWFudWFsbHlPdmVycmlkZGVuIjpmYWxzZSwiY2l0ZXByb2NUZXh0IjoiKEFsZ2hhbWRpIGV0IGFsLiwgMjAyMSkiLCJtYW51YWxPdmVycmlkZVRleHQiOiIifSwiY2l0YXRpb25JdGVtcyI6W3siaWQiOiJmNGJkZmZhMy0wM2U5LTMyODgtYjZiZS1jYWQ2YmUzOTA2NTIiLCJpdGVtRGF0YSI6eyJ0eXBlIjoiYXJ0aWNsZS1qb3VybmFsIiwiaWQiOiJmNGJkZmZhMy0wM2U5LTMyODgtYjZiZS1jYWQ2YmUzOTA2NTIiLCJ0aXRsZSI6IkF3YXJlbmVzcyBhbmQgYXR0aXR1ZGUgYWJvdXQgYmFzaWMgbGlmZSBzdXBwb3J0IGFtb25nIG1lZGljYWwgc2Nob29sIHN0dWRlbnRzIGluIEplZGRhaCBVbml2ZXJzaXR5LCAyMDE5OiBBIGNyb3NzLXNlY3Rpb25hbCBzdHVkeSIsImF1dGhvciI6W3siZmFtaWx5IjoiQWxnaGFtZGkiLCJnaXZlbiI6IllvdXNlZiBBYmR1bHdhaGFiIiwicGFyc2UtbmFtZXMiOmZhbHNlLCJkcm9wcGluZy1wYXJ0aWNsZSI6IiIsIm5vbi1kcm9wcGluZy1wYXJ0aWNsZSI6IiJ9LHsiZmFtaWx5IjoiQWxnaGFtZGkiLCJnaXZlbiI6IlRhcmlxIEFobWFkIiwicGFyc2UtbmFtZXMiOmZhbHNlLCJkcm9wcGluZy1wYXJ0aWNsZSI6IiIsIm5vbi1kcm9wcGluZy1wYXJ0aWNsZSI6IiJ9LHsiZmFtaWx5IjoiQWxnaGFtZGkiLCJnaXZlbiI6IkZhaGFkIFNhbGVoIiwicGFyc2UtbmFtZXMiOmZhbHNlLCJkcm9wcGluZy1wYXJ0aWNsZSI6IiIsIm5vbi1kcm9wcGluZy1wYXJ0aWNsZSI6IiJ9LHsiZmFtaWx5IjoiQWxnaGFtZGkiLCJnaXZlbiI6IkFtYWwgSGFzc2FuIiwicGFyc2UtbmFtZXMiOmZhbHNlLCJkcm9wcGluZy1wYXJ0aWNsZSI6IiIsIm5vbi1kcm9wcGluZy1wYXJ0aWNsZSI6IiJ9XSwiY29udGFpbmVyLXRpdGxlIjoiSm91cm5hbCBvZiBGYW1pbHkgTWVkaWNpbmUgYW5kIFByaW1hcnkgQ2FyZSIsImNvbnRhaW5lci10aXRsZS1zaG9ydCI6IkogRmFtaWx5IE1lZCBQcmltIENhcmUiLCJpc3N1ZWQiOnsiZGF0ZS1wYXJ0cyI6W1syMDIxXV19LCJwYWdlIjoiMjY4NCIsInB1Ymxpc2hlciI6IldvbHRlcnMgS2x1d2VyLS1NZWRrbm93IFB1YmxpY2F0aW9ucyIsImlzc3VlIjoiNyIsInZvbHVtZSI6IjEwIn0sImlzVGVtcG9yYXJ5IjpmYWxzZX1dfQ==&quot;,&quot;citationItems&quot;:[{&quot;id&quot;:&quot;f4bdffa3-03e9-3288-b6be-cad6be390652&quot;,&quot;itemData&quot;:{&quot;type&quot;:&quot;article-journal&quot;,&quot;id&quot;:&quot;f4bdffa3-03e9-3288-b6be-cad6be390652&quot;,&quot;title&quot;:&quot;Awareness and attitude about basic life support among medical school students in Jeddah University, 2019: A cross-sectional study&quot;,&quot;author&quot;:[{&quot;family&quot;:&quot;Alghamdi&quot;,&quot;given&quot;:&quot;Yousef Abdulwahab&quot;,&quot;parse-names&quot;:false,&quot;dropping-particle&quot;:&quot;&quot;,&quot;non-dropping-particle&quot;:&quot;&quot;},{&quot;family&quot;:&quot;Alghamdi&quot;,&quot;given&quot;:&quot;Tariq Ahmad&quot;,&quot;parse-names&quot;:false,&quot;dropping-particle&quot;:&quot;&quot;,&quot;non-dropping-particle&quot;:&quot;&quot;},{&quot;family&quot;:&quot;Alghamdi&quot;,&quot;given&quot;:&quot;Fahad Saleh&quot;,&quot;parse-names&quot;:false,&quot;dropping-particle&quot;:&quot;&quot;,&quot;non-dropping-particle&quot;:&quot;&quot;},{&quot;family&quot;:&quot;Alghamdi&quot;,&quot;given&quot;:&quot;Amal Hassan&quot;,&quot;parse-names&quot;:false,&quot;dropping-particle&quot;:&quot;&quot;,&quot;non-dropping-particle&quot;:&quot;&quot;}],&quot;container-title&quot;:&quot;Journal of Family Medicine and Primary Care&quot;,&quot;container-title-short&quot;:&quot;J Family Med Prim Care&quot;,&quot;issued&quot;:{&quot;date-parts&quot;:[[2021]]},&quot;page&quot;:&quot;2684&quot;,&quot;publisher&quot;:&quot;Wolters Kluwer--Medknow Publications&quot;,&quot;issue&quot;:&quot;7&quot;,&quot;volume&quot;:&quot;10&quot;},&quot;isTemporary&quot;:false}]},{&quot;citationID&quot;:&quot;MENDELEY_CITATION_2b08ff25-03b8-4ab2-8aa6-f3b044d7ab21&quot;,&quot;properties&quot;:{&quot;noteIndex&quot;:0},&quot;isEdited&quot;:false,&quot;manualOverride&quot;:{&quot;isManuallyOverridden&quot;:false,&quot;citeprocText&quot;:&quot;(Myo et al., 2020)&quot;,&quot;manualOverrideText&quot;:&quot;&quot;},&quot;citationTag&quot;:&quot;MENDELEY_CITATION_v3_eyJjaXRhdGlvbklEIjoiTUVOREVMRVlfQ0lUQVRJT05fMmIwOGZmMjUtMDNiOC00YWIyLThhYTYtZjNiMDQ0ZDdhYjIxIiwicHJvcGVydGllcyI6eyJub3RlSW5kZXgiOjB9LCJpc0VkaXRlZCI6ZmFsc2UsIm1hbnVhbE92ZXJyaWRlIjp7ImlzTWFudWFsbHlPdmVycmlkZGVuIjpmYWxzZSwiY2l0ZXByb2NUZXh0IjoiKE15byBldCBhbC4sIDIwMjApIiwibWFudWFsT3ZlcnJpZGVUZXh0IjoiIn0sImNpdGF0aW9uSXRlbXMiOlt7ImlkIjoiOGNiMmY2NzQtMDc5OC0zYzZlLTk1ZWEtYTc4MTAyZDM3MTUyIiwiaXRlbURhdGEiOnsidHlwZSI6ImFydGljbGUtam91cm5hbCIsImlkIjoiOGNiMmY2NzQtMDc5OC0zYzZlLTk1ZWEtYTc4MTAyZDM3MTUyIiwidGl0bGUiOiJLTk9XTEVER0UgQU5EIEFUVElUVURFIFRPV0FSRFMgQkFTSUMgTElGRSBTVVBQT1JUIEFNT05HIE1FRElDQUwgQU5EIE5VUlNJTkcgU1RVREVOVFMgSU4gVU5JVkVSU0lUSSBLVUFMQSBMVU1QVVIgUk9ZQUwgQ09MTEVHRSBPRiBNRURJQ0lORSBQRVJBSy4iLCJhdXRob3IiOlt7ImZhbWlseSI6Ik15byIsImdpdmVuIjoiVCIsInBhcnNlLW5hbWVzIjpmYWxzZSwiZHJvcHBpbmctcGFydGljbGUiOiIiLCJub24tZHJvcHBpbmctcGFydGljbGUiOiIifSx7ImZhbWlseSI6IkFSIiwiZ2l2ZW4iOiJNb2hhbWFkIEtoYWlydWwgQWZpZiIsInBhcnNlLW5hbWVzIjpmYWxzZSwiZHJvcHBpbmctcGFydGljbGUiOiIiLCJub24tZHJvcHBpbmctcGFydGljbGUiOiIifSx7ImZhbWlseSI6Ik11aGFtbWFkIiwiZ2l2ZW4iOiJZIiwicGFyc2UtbmFtZXMiOmZhbHNlLCJkcm9wcGluZy1wYXJ0aWNsZSI6IiIsIm5vbi1kcm9wcGluZy1wYXJ0aWNsZSI6IiJ9LHsiZmFtaWx5IjoiQWRhbmkiLCJnaXZlbiI6Ik51cnVsIiwicGFyc2UtbmFtZXMiOmZhbHNlLCJkcm9wcGluZy1wYXJ0aWNsZSI6IiIsIm5vbi1kcm9wcGluZy1wYXJ0aWNsZSI6IiJ9XSwiY29udGFpbmVyLXRpdGxlIjoiUy4gTm8uIFRpdGxlIFBhZ2Ugbm8uIiwiaXNzdWVkIjp7ImRhdGUtcGFydHMiOltbMjAyMF1dfSwicGFnZSI6IjM2IiwiaXNzdWUiOiIxIiwidm9sdW1lIjoiMyIsImNvbnRhaW5lci10aXRsZS1zaG9ydCI6IiJ9LCJpc1RlbXBvcmFyeSI6ZmFsc2V9XX0=&quot;,&quot;citationItems&quot;:[{&quot;id&quot;:&quot;8cb2f674-0798-3c6e-95ea-a78102d37152&quot;,&quot;itemData&quot;:{&quot;type&quot;:&quot;article-journal&quot;,&quot;id&quot;:&quot;8cb2f674-0798-3c6e-95ea-a78102d37152&quot;,&quot;title&quot;:&quot;KNOWLEDGE AND ATTITUDE TOWARDS BASIC LIFE SUPPORT AMONG MEDICAL AND NURSING STUDENTS IN UNIVERSITI KUALA LUMPUR ROYAL COLLEGE OF MEDICINE PERAK.&quot;,&quot;author&quot;:[{&quot;family&quot;:&quot;Myo&quot;,&quot;given&quot;:&quot;T&quot;,&quot;parse-names&quot;:false,&quot;dropping-particle&quot;:&quot;&quot;,&quot;non-dropping-particle&quot;:&quot;&quot;},{&quot;family&quot;:&quot;AR&quot;,&quot;given&quot;:&quot;Mohamad Khairul Afif&quot;,&quot;parse-names&quot;:false,&quot;dropping-particle&quot;:&quot;&quot;,&quot;non-dropping-particle&quot;:&quot;&quot;},{&quot;family&quot;:&quot;Muhammad&quot;,&quot;given&quot;:&quot;Y&quot;,&quot;parse-names&quot;:false,&quot;dropping-particle&quot;:&quot;&quot;,&quot;non-dropping-particle&quot;:&quot;&quot;},{&quot;family&quot;:&quot;Adani&quot;,&quot;given&quot;:&quot;Nurul&quot;,&quot;parse-names&quot;:false,&quot;dropping-particle&quot;:&quot;&quot;,&quot;non-dropping-particle&quot;:&quot;&quot;}],&quot;container-title&quot;:&quot;S. No. Title Page no.&quot;,&quot;issued&quot;:{&quot;date-parts&quot;:[[2020]]},&quot;page&quot;:&quot;36&quot;,&quot;issue&quot;:&quot;1&quot;,&quot;volume&quot;:&quot;3&quot;,&quot;container-title-short&quot;:&quot;&quot;},&quot;isTemporary&quot;:false}]},{&quot;citationID&quot;:&quot;MENDELEY_CITATION_77b808e0-ad97-437e-9c40-23369890b8ce&quot;,&quot;properties&quot;:{&quot;noteIndex&quot;:0},&quot;isEdited&quot;:false,&quot;manualOverride&quot;:{&quot;isManuallyOverridden&quot;:false,&quot;citeprocText&quot;:&quot;(Srivilaithon et al., 2020)&quot;,&quot;manualOverrideText&quot;:&quot;&quot;},&quot;citationTag&quot;:&quot;MENDELEY_CITATION_v3_eyJjaXRhdGlvbklEIjoiTUVOREVMRVlfQ0lUQVRJT05fNzdiODA4ZTAtYWQ5Ny00MzdlLTljNDAtMjMzNjk4OTBiOGNlIiwicHJvcGVydGllcyI6eyJub3RlSW5kZXgiOjB9LCJpc0VkaXRlZCI6ZmFsc2UsIm1hbnVhbE92ZXJyaWRlIjp7ImlzTWFudWFsbHlPdmVycmlkZGVuIjpmYWxzZSwiY2l0ZXByb2NUZXh0IjoiKFNyaXZpbGFpdGhvbiBldCBhbC4sIDIwMjApIiwibWFudWFsT3ZlcnJpZGVUZXh0IjoiIn0sImNpdGF0aW9uSXRlbXMiOlt7ImlkIjoiNTJkODMxYzItYWJlOC0zMGVlLWFjMWItMDRmZGVkZTI4MGNjIiwiaXRlbURhdGEiOnsidHlwZSI6ImFydGljbGUtam91cm5hbCIsImlkIjoiNTJkODMxYzItYWJlOC0zMGVlLWFjMWItMDRmZGVkZTI4MGNjIiwidGl0bGUiOiJSZXRlbnRpb24gb2YgYmFzaWMtbGlmZS1zdXBwb3J0IGtub3dsZWRnZSBhbmQgc2tpbGxzIGluIHNlY29uZC15ZWFyIG1lZGljYWwgc3R1ZGVudHMiLCJhdXRob3IiOlt7ImZhbWlseSI6IlNyaXZpbGFpdGhvbiIsImdpdmVuIjoiV2luY2hhbmEiLCJwYXJzZS1uYW1lcyI6ZmFsc2UsImRyb3BwaW5nLXBhcnRpY2xlIjoiIiwibm9uLWRyb3BwaW5nLXBhcnRpY2xlIjoiIn0seyJmYW1pbHkiOiJBbW51YXlwYXR0YW5hcG9uIiwiZ2l2ZW4iOiJLdW1wb24iLCJwYXJzZS1uYW1lcyI6ZmFsc2UsImRyb3BwaW5nLXBhcnRpY2xlIjoiIiwibm9uLWRyb3BwaW5nLXBhcnRpY2xlIjoiIn0seyJmYW1pbHkiOiJMaW1qaW5kYXBvcm4iLCJnaXZlbiI6IkNoaXRsYWRhIiwicGFyc2UtbmFtZXMiOmZhbHNlLCJkcm9wcGluZy1wYXJ0aWNsZSI6IiIsIm5vbi1kcm9wcGluZy1wYXJ0aWNsZSI6IiJ9LHsiZmFtaWx5IjoiRGlza3VtcG9uIiwiZ2l2ZW4iOiJOaXBvbiIsInBhcnNlLW5hbWVzIjpmYWxzZSwiZHJvcHBpbmctcGFydGljbGUiOiIiLCJub24tZHJvcHBpbmctcGFydGljbGUiOiIifSx7ImZhbWlseSI6IkRhc2FuYWRlYmEiLCJnaXZlbiI6Ikl0dGFidWQiLCJwYXJzZS1uYW1lcyI6ZmFsc2UsImRyb3BwaW5nLXBhcnRpY2xlIjoiIiwibm9uLWRyb3BwaW5nLXBhcnRpY2xlIjoiIn0seyJmYW1pbHkiOiJEYW9yYXR0YW5hY2hhaSIsImdpdmVuIjoiS2lhdHRpY2hhaSIsInBhcnNlLW5hbWVzIjpmYWxzZSwiZHJvcHBpbmctcGFydGljbGUiOiIiLCJub24tZHJvcHBpbmctcGFydGljbGUiOiIifV0sImNvbnRhaW5lci10aXRsZSI6Ik9wZW4gQWNjZXNzIEVtZXJnZW5jeSBNZWRpY2luZSIsIklTU04iOiIxMTc5LTE1MDAiLCJpc3N1ZWQiOnsiZGF0ZS1wYXJ0cyI6W1syMDIwXV19LCJwYWdlIjoiMjExLTIxNyIsInB1Ymxpc2hlciI6IlRheWxvciAmIEZyYW5jaXMiLCJjb250YWluZXItdGl0bGUtc2hvcnQiOiIifSwiaXNUZW1wb3JhcnkiOmZhbHNlfV19&quot;,&quot;citationItems&quot;:[{&quot;id&quot;:&quot;52d831c2-abe8-30ee-ac1b-04fdede280cc&quot;,&quot;itemData&quot;:{&quot;type&quot;:&quot;article-journal&quot;,&quot;id&quot;:&quot;52d831c2-abe8-30ee-ac1b-04fdede280cc&quot;,&quot;title&quot;:&quot;Retention of basic-life-support knowledge and skills in second-year medical students&quot;,&quot;author&quot;:[{&quot;family&quot;:&quot;Srivilaithon&quot;,&quot;given&quot;:&quot;Winchana&quot;,&quot;parse-names&quot;:false,&quot;dropping-particle&quot;:&quot;&quot;,&quot;non-dropping-particle&quot;:&quot;&quot;},{&quot;family&quot;:&quot;Amnuaypattanapon&quot;,&quot;given&quot;:&quot;Kumpon&quot;,&quot;parse-names&quot;:false,&quot;dropping-particle&quot;:&quot;&quot;,&quot;non-dropping-particle&quot;:&quot;&quot;},{&quot;family&quot;:&quot;Limjindaporn&quot;,&quot;given&quot;:&quot;Chitlada&quot;,&quot;parse-names&quot;:false,&quot;dropping-particle&quot;:&quot;&quot;,&quot;non-dropping-particle&quot;:&quot;&quot;},{&quot;family&quot;:&quot;Diskumpon&quot;,&quot;given&quot;:&quot;Nipon&quot;,&quot;parse-names&quot;:false,&quot;dropping-particle&quot;:&quot;&quot;,&quot;non-dropping-particle&quot;:&quot;&quot;},{&quot;family&quot;:&quot;Dasanadeba&quot;,&quot;given&quot;:&quot;Ittabud&quot;,&quot;parse-names&quot;:false,&quot;dropping-particle&quot;:&quot;&quot;,&quot;non-dropping-particle&quot;:&quot;&quot;},{&quot;family&quot;:&quot;Daorattanachai&quot;,&quot;given&quot;:&quot;Kiattichai&quot;,&quot;parse-names&quot;:false,&quot;dropping-particle&quot;:&quot;&quot;,&quot;non-dropping-particle&quot;:&quot;&quot;}],&quot;container-title&quot;:&quot;Open Access Emergency Medicine&quot;,&quot;ISSN&quot;:&quot;1179-1500&quot;,&quot;issued&quot;:{&quot;date-parts&quot;:[[2020]]},&quot;page&quot;:&quot;211-217&quot;,&quot;publisher&quot;:&quot;Taylor &amp; Francis&quot;,&quot;container-title-short&quot;:&quot;&quot;},&quot;isTemporary&quot;:false}]},{&quot;citationID&quot;:&quot;MENDELEY_CITATION_d3e817f6-db6b-4596-8afa-6ebdc9d65748&quot;,&quot;properties&quot;:{&quot;noteIndex&quot;:0},&quot;isEdited&quot;:false,&quot;manualOverride&quot;:{&quot;isManuallyOverridden&quot;:false,&quot;citeprocText&quot;:&quot;(Mutiarasari et al., 2018)&quot;,&quot;manualOverrideText&quot;:&quot;&quot;},&quot;citationTag&quot;:&quot;MENDELEY_CITATION_v3_eyJjaXRhdGlvbklEIjoiTUVOREVMRVlfQ0lUQVRJT05fZDNlODE3ZjYtZGI2Yi00NTk2LThhZmEtNmViZGM5ZDY1NzQ4IiwicHJvcGVydGllcyI6eyJub3RlSW5kZXgiOjB9LCJpc0VkaXRlZCI6ZmFsc2UsIm1hbnVhbE92ZXJyaWRlIjp7ImlzTWFudWFsbHlPdmVycmlkZGVuIjpmYWxzZSwiY2l0ZXByb2NUZXh0IjoiKE11dGlhcmFzYXJpIGV0IGFsLiwgMjAxOCkiLCJtYW51YWxPdmVycmlkZVRleHQiOiIifSwiY2l0YXRpb25JdGVtcyI6W3siaWQiOiJhODc1OTY3MS0xM2M4LTNkYTgtODNhOS04MTk3OTdmNTA5YWEiLCJpdGVtRGF0YSI6eyJ0eXBlIjoiYXJ0aWNsZS1qb3VybmFsIiwiaWQiOiJhODc1OTY3MS0xM2M4LTNkYTgtODNhOS04MTk3OTdmNTA5YWEiLCJ0aXRsZSI6Ikh1YnVuZ2FuIFRpbmdrYXQgUGVuZ2V0YWh1YW4gVGVyaGFkYXAgS2V0ZXJhbXBpbGFuIEJhbnR1YW4gSGlkdXAgRGFzYXIgKEJoZCkgVGVuYWdhIEtlc2VoYXRhbiBEaSBQdXNrZXNtYXMgQmFsdWFzZSIsImF1dGhvciI6W3siZmFtaWx5IjoiTXV0aWFyYXNhcmkiLCJnaXZlbiI6IkRpYWgiLCJwYXJzZS1uYW1lcyI6ZmFsc2UsImRyb3BwaW5nLXBhcnRpY2xlIjoiIiwibm9uLWRyb3BwaW5nLXBhcnRpY2xlIjoiIn0seyJmYW1pbHkiOiJSYWloYW4iLCJnaXZlbiI6Ik11aCBJc3lyYXEiLCJwYXJzZS1uYW1lcyI6ZmFsc2UsImRyb3BwaW5nLXBhcnRpY2xlIjoiIiwibm9uLWRyb3BwaW5nLXBhcnRpY2xlIjoiIn0seyJmYW1pbHkiOiJNdXJzaWQiLCJnaXZlbiI6Ik11cnNpZCIsInBhcnNlLW5hbWVzIjpmYWxzZSwiZHJvcHBpbmctcGFydGljbGUiOiIiLCJub24tZHJvcHBpbmctcGFydGljbGUiOiIifV0sImNvbnRhaW5lci10aXRsZSI6IkhlYWx0aHkgVGFkdWxha28gSm91cm5hbCAoSnVybmFsIEtlc2VoYXRhbiBUYWR1bGFrbykiLCJJU1NOIjoiMjUwMi0wNzQ5IiwiaXNzdWVkIjp7ImRhdGUtcGFydHMiOltbMjAxOF1dfSwicGFnZSI6IjIzLTI5IiwiaXNzdWUiOiIzIiwidm9sdW1lIjoiNCIsImNvbnRhaW5lci10aXRsZS1zaG9ydCI6IiJ9LCJpc1RlbXBvcmFyeSI6ZmFsc2V9XX0=&quot;,&quot;citationItems&quot;:[{&quot;id&quot;:&quot;a8759671-13c8-3da8-83a9-819797f509aa&quot;,&quot;itemData&quot;:{&quot;type&quot;:&quot;article-journal&quot;,&quot;id&quot;:&quot;a8759671-13c8-3da8-83a9-819797f509aa&quot;,&quot;title&quot;:&quot;Hubungan Tingkat Pengetahuan Terhadap Keterampilan Bantuan Hidup Dasar (Bhd) Tenaga Kesehatan Di Puskesmas Baluase&quot;,&quot;author&quot;:[{&quot;family&quot;:&quot;Mutiarasari&quot;,&quot;given&quot;:&quot;Diah&quot;,&quot;parse-names&quot;:false,&quot;dropping-particle&quot;:&quot;&quot;,&quot;non-dropping-particle&quot;:&quot;&quot;},{&quot;family&quot;:&quot;Raihan&quot;,&quot;given&quot;:&quot;Muh Isyraq&quot;,&quot;parse-names&quot;:false,&quot;dropping-particle&quot;:&quot;&quot;,&quot;non-dropping-particle&quot;:&quot;&quot;},{&quot;family&quot;:&quot;Mursid&quot;,&quot;given&quot;:&quot;Mursid&quot;,&quot;parse-names&quot;:false,&quot;dropping-particle&quot;:&quot;&quot;,&quot;non-dropping-particle&quot;:&quot;&quot;}],&quot;container-title&quot;:&quot;Healthy Tadulako Journal (Jurnal Kesehatan Tadulako)&quot;,&quot;ISSN&quot;:&quot;2502-0749&quot;,&quot;issued&quot;:{&quot;date-parts&quot;:[[2018]]},&quot;page&quot;:&quot;23-29&quot;,&quot;issue&quot;:&quot;3&quot;,&quot;volume&quot;:&quot;4&quot;,&quot;container-title-short&quot;:&quot;&quot;},&quot;isTemporar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GMa10</b:Tag>
    <b:SourceType>Book</b:SourceType>
    <b:Guid>{FBFDB670-0C7D-304D-936F-E4DAF1E3120C}</b:Guid>
    <b:Author>
      <b:Author>
        <b:NameList>
          <b:Person>
            <b:Last>Mangku</b:Last>
            <b:First>G</b:First>
          </b:Person>
          <b:Person>
            <b:Last>Senapathi</b:Last>
            <b:First>TGA</b:First>
          </b:Person>
        </b:NameList>
      </b:Author>
    </b:Author>
    <b:Title>Buku Ajar Ilmu Anestesia dan Reanimasi</b:Title>
    <b:City>Jakarta</b:City>
    <b:Publisher>Indeks</b:Publisher>
    <b:Year>2010</b:Year>
    <b:RefOrder>1</b:RefOrder>
  </b:Source>
  <b:Source>
    <b:Tag>IKC98</b:Tag>
    <b:SourceType>JournalArticle</b:SourceType>
    <b:Guid>{690CEE50-6422-E742-B794-D8173B4D3A21}</b:Guid>
    <b:Author>
      <b:Author>
        <b:NameList>
          <b:Person>
            <b:Last>Crombie</b:Last>
            <b:First>IK</b:First>
          </b:Person>
          <b:Person>
            <b:Last>Davies</b:Last>
            <b:First>HTO</b:First>
          </b:Person>
          <b:Person>
            <b:Last>Macrae</b:Last>
            <b:First>WA</b:First>
          </b:Person>
        </b:NameList>
      </b:Author>
    </b:Author>
    <b:Title>antecedent surgery and trauma among patients attending a chronic pain clinic.</b:Title>
    <b:JournalName>Cut and thrust</b:JournalName>
    <b:RefOrder>3</b:RefOrder>
  </b:Source>
  <b:Source>
    <b:Tag>San15</b:Tag>
    <b:SourceType>Report</b:SourceType>
    <b:Guid>{33FCBA07-2A27-0A4B-9741-40A2DD764289}</b:Guid>
    <b:Author>
      <b:Author>
        <b:NameList>
          <b:Person>
            <b:Last>Sandika</b:Last>
          </b:Person>
          <b:Person>
            <b:Last>al</b:Last>
            <b:First>et</b:First>
          </b:Person>
        </b:NameList>
      </b:Author>
    </b:Author>
    <b:Year>2015</b:Year>
    <b:RefOrder>4</b:RefOrder>
  </b:Source>
  <b:Source>
    <b:Tag>WMe15</b:Tag>
    <b:SourceType>JournalArticle</b:SourceType>
    <b:Guid>{869B586F-27D7-0940-86FF-9FA4DB80CB57}</b:Guid>
    <b:Author>
      <b:Author>
        <b:NameList>
          <b:Person>
            <b:Last>MeissneR</b:Last>
            <b:First>W</b:First>
          </b:Person>
          <b:Person>
            <b:Last>Coluzzi</b:Last>
            <b:First>F</b:First>
          </b:Person>
          <b:Person>
            <b:Last>Fletcher</b:Last>
            <b:First>D</b:First>
          </b:Person>
          <b:Person>
            <b:Last>Huygen</b:Last>
            <b:First>F</b:First>
          </b:Person>
          <b:Person>
            <b:Last>Morlion</b:Last>
            <b:First>B</b:First>
          </b:Person>
          <b:Person>
            <b:Last>Neugebauer</b:Last>
            <b:First>E</b:First>
          </b:Person>
        </b:NameList>
      </b:Author>
    </b:Author>
    <b:Title>improving the management of post-operative acute pain</b:Title>
    <b:Publisher>curr med res opin</b:Publisher>
    <b:Year>2015</b:Year>
    <b:RefOrder>5</b:RefOrder>
  </b:Source>
  <b:Source>
    <b:Tag>JEl13</b:Tag>
    <b:SourceType>JournalArticle</b:SourceType>
    <b:Guid>{0E7A5C9A-2533-7946-A39B-E0D68F25ABA6}</b:Guid>
    <b:Author>
      <b:Author>
        <b:NameList>
          <b:Person>
            <b:Last>Eldor</b:Last>
            <b:First>J</b:First>
          </b:Person>
          <b:Person>
            <b:Last>Kotlovker</b:Last>
            <b:First>V</b:First>
          </b:Person>
          <b:Person>
            <b:Last>Orkin</b:Last>
            <b:First>D</b:First>
          </b:Person>
        </b:NameList>
      </b:Author>
    </b:Author>
    <b:Title>pain free hospital availability of anesthesiologists</b:Title>
    <b:Publisher>j anesthesiol clin sci</b:Publisher>
    <b:Year>2013</b:Year>
    <b:RefOrder>6</b:RefOrder>
  </b:Source>
  <b:Source>
    <b:Tag>ABo16</b:Tag>
    <b:SourceType>JournalArticle</b:SourceType>
    <b:Guid>{91E1A5CE-A139-7A4E-9A99-4B66A8945E69}</b:Guid>
    <b:Author>
      <b:Author>
        <b:NameList>
          <b:Person>
            <b:Last>Bonnal</b:Last>
            <b:First>A</b:First>
          </b:Person>
          <b:Person>
            <b:Last>Dehon</b:Last>
            <b:First>A</b:First>
          </b:Person>
          <b:Person>
            <b:Last>Nagot</b:Last>
            <b:First>N</b:First>
          </b:Person>
          <b:Person>
            <b:Last>MacIoce</b:Last>
            <b:First>V</b:First>
          </b:Person>
          <b:Person>
            <b:Last>Nogue</b:Last>
            <b:First>E</b:First>
          </b:Person>
          <b:Person>
            <b:Last>Morau</b:Last>
            <b:First>E</b:First>
          </b:Person>
        </b:NameList>
      </b:Author>
    </b:Author>
    <b:Title>Patient-controlled oral analgesia versus nurse-controlled parenteral analgesia after caesarean section</b:Title>
    <b:JournalName>A randomised controlled trial</b:JournalName>
    <b:Publisher>Anaesthesia</b:Publisher>
    <b:Year>2016</b:Year>
    <b:RefOrder>7</b:RefOrder>
  </b:Source>
  <b:Source>
    <b:Tag>LAT12</b:Tag>
    <b:SourceType>JournalArticle</b:SourceType>
    <b:Guid>{B95EDD6B-6D67-394C-9D1E-9316D616B842}</b:Guid>
    <b:Author>
      <b:Author>
        <b:NameList>
          <b:Person>
            <b:Last>Thompson</b:Last>
            <b:First>LA</b:First>
          </b:Person>
          <b:Person>
            <b:Last>Zhang</b:Last>
            <b:First>S</b:First>
          </b:Person>
          <b:Person>
            <b:Last>Black</b:Last>
            <b:First>E</b:First>
          </b:Person>
          <b:Person>
            <b:Last>Das</b:Last>
            <b:First>R</b:First>
          </b:Person>
          <b:Person>
            <b:Last>Ryngaert</b:Last>
            <b:First>M</b:First>
          </b:Person>
          <b:Person>
            <b:Last>Sullivan</b:Last>
            <b:First>S</b:First>
          </b:Person>
        </b:NameList>
      </b:Author>
    </b:Author>
    <b:Title>he Association of Maternal Pre- pregnancy Body Mass Index with Breastfeeding Initation</b:Title>
    <b:Publisher>Matern Child Health</b:Publisher>
    <b:Year>2012</b:Year>
    <b:RefOrder>8</b:RefOrder>
  </b:Source>
  <b:Source>
    <b:Tag>Bru01</b:Tag>
    <b:SourceType>JournalArticle</b:SourceType>
    <b:Guid>{33B05139-0B0E-CA41-BA33-14A946898AE8}</b:Guid>
    <b:Author>
      <b:Author>
        <b:NameList>
          <b:Person>
            <b:Last>Brunner</b:Last>
          </b:Person>
          <b:Person>
            <b:Last>Sudarth</b:Last>
          </b:Person>
        </b:NameList>
      </b:Author>
    </b:Author>
    <b:Year>2010</b:Year>
    <b:RefOrder>2</b:RefOrder>
  </b:Source>
  <b:Source>
    <b:Tag>WHO09</b:Tag>
    <b:SourceType>Report</b:SourceType>
    <b:Guid>{05B4F703-750F-5048-B32A-569A13AC52A1}</b:Guid>
    <b:Title>Forward Programme 2008-2009</b:Title>
    <b:City>Geneva</b:City>
    <b:Year>2009</b:Year>
    <b:Author>
      <b:Author>
        <b:NameList>
          <b:Person>
            <b:Last>WHO</b:Last>
          </b:Person>
        </b:NameList>
      </b:Author>
    </b:Author>
    <b:Institution>World Health Organization</b:Institution>
    <b:RefOrder>29</b:RefOrder>
  </b:Source>
  <b:Source>
    <b:Tag>som08</b:Tag>
    <b:SourceType>Report</b:SourceType>
    <b:Guid>{D851413C-D769-C547-8950-430F92672E6A}</b:Guid>
    <b:Year>2008</b:Year>
    <b:Author>
      <b:Author>
        <b:NameList>
          <b:Person>
            <b:Last>sommer</b:Last>
          </b:Person>
          <b:Person>
            <b:Last>al</b:Last>
            <b:First>et</b:First>
          </b:Person>
        </b:NameList>
      </b:Author>
    </b:Author>
    <b:RefOrder>30</b:RefOrder>
  </b:Source>
  <b:Source>
    <b:Tag>LAS00</b:Tag>
    <b:SourceType>JournalArticle</b:SourceType>
    <b:Guid>{7F2DBB26-0F3E-5045-B771-437B05693096}</b:Guid>
    <b:Author>
      <b:Author>
        <b:NameList>
          <b:Person>
            <b:Last>Smith</b:Last>
            <b:First>LA</b:First>
          </b:Person>
          <b:Person>
            <b:Last>Carroll</b:Last>
            <b:First>D</b:First>
          </b:Person>
          <b:Person>
            <b:Last>edwards</b:Last>
            <b:First>JE</b:First>
          </b:Person>
          <b:Person>
            <b:Last>Moore</b:Last>
            <b:First>RA</b:First>
          </b:Person>
          <b:Person>
            <b:Last>McQuay</b:Last>
            <b:First>HJ</b:First>
          </b:Person>
        </b:NameList>
      </b:Author>
    </b:Author>
    <b:Title>Single-dose ketorolac and pethidine in acute postoperative pain</b:Title>
    <b:JournalName>systematic review with meta- analysis</b:JournalName>
    <b:Publisher>Br J Anaesth</b:Publisher>
    <b:Year>2000</b:Year>
    <b:RefOrder>31</b:RefOrder>
  </b:Source>
  <b:Source>
    <b:Tag>WAM08</b:Tag>
    <b:SourceType>JournalArticle</b:SourceType>
    <b:Guid>{C6AA860C-8269-EF4A-ADE1-87B24EDA6834}</b:Guid>
    <b:Author>
      <b:Author>
        <b:NameList>
          <b:Person>
            <b:Last>Macrae</b:Last>
            <b:First>WA</b:First>
          </b:Person>
        </b:NameList>
      </b:Author>
    </b:Author>
    <b:Title>Chronic post-surgical pain: 10 years on</b:Title>
    <b:Publisher>British Journal of Anaesthesia</b:Publisher>
    <b:Year>2008</b:Year>
    <b:Pages>77-86</b:Pages>
    <b:RefOrder>32</b:RefOrder>
  </b:Source>
  <b:Source>
    <b:Tag>Kam08</b:Tag>
    <b:SourceType>Book</b:SourceType>
    <b:Guid>{9B81E32D-0BDC-8B4E-AADD-DA6DA67E1D37}</b:Guid>
    <b:Author>
      <b:Author>
        <b:NameList>
          <b:Person>
            <b:Last>Indonesia</b:Last>
            <b:First>Kamus</b:First>
            <b:Middle>Besar Bahasa</b:Middle>
          </b:Person>
        </b:NameList>
      </b:Author>
    </b:Author>
    <b:StateProvince>Jakarta</b:StateProvince>
    <b:Publisher>Gramedia</b:Publisher>
    <b:Year>2008</b:Year>
    <b:Pages>1110</b:Pages>
    <b:RefOrder>33</b:RefOrder>
  </b:Source>
  <b:Source>
    <b:Tag>Phi97</b:Tag>
    <b:SourceType>JournalArticle</b:SourceType>
    <b:Guid>{B3791EB9-9ECE-A841-9208-F0E61F1A12D8}</b:Guid>
    <b:Title>Analysis, Planning, Implementation and Control</b:Title>
    <b:Publisher>New Jersey: Prentice-Hall Inc</b:Publisher>
    <b:Year>1997</b:Year>
    <b:Pages>40</b:Pages>
    <b:Author>
      <b:Author>
        <b:NameList>
          <b:Person>
            <b:Last>Kotler</b:Last>
            <b:First>Philip</b:First>
          </b:Person>
        </b:NameList>
      </b:Author>
    </b:Author>
    <b:RefOrder>34</b:RefOrder>
  </b:Source>
  <b:Source>
    <b:Tag>Uma03</b:Tag>
    <b:SourceType>Book</b:SourceType>
    <b:Guid>{B3382382-6C38-DA40-9186-E7625FB3366B}</b:Guid>
    <b:Author>
      <b:Author>
        <b:NameList>
          <b:Person>
            <b:Last>Umar</b:Last>
            <b:First>Husain</b:First>
          </b:Person>
        </b:NameList>
      </b:Author>
    </b:Author>
    <b:Title>Metode Riset Perilaku Konsumen Jasa</b:Title>
    <b:Publisher>Ghalia Indonesia</b:Publisher>
    <b:Year>2003</b:Year>
    <b:Pages>14</b:Pages>
    <b:StateProvince>Jakarta</b:StateProvince>
    <b:RefOrder>35</b:RefOrder>
  </b:Source>
  <b:Source>
    <b:Tag>bio17</b:Tag>
    <b:SourceType>JournalArticle</b:SourceType>
    <b:Guid>{CCD0EE3C-9E34-324A-8E4C-BB24DC6C5DE7}</b:Guid>
    <b:Author>
      <b:Author>
        <b:NameList>
          <b:Person>
            <b:Last>biocic</b:Last>
            <b:First>M</b:First>
          </b:Person>
          <b:Person>
            <b:Last>Vidosevic</b:Last>
            <b:First>D</b:First>
          </b:Person>
          <b:Person>
            <b:Last>Boric</b:Last>
            <b:First>T</b:First>
          </b:Person>
          <b:Person>
            <b:Last>L Giunio</b:Last>
            <b:First>D</b:First>
            <b:Middle>Fabijanic</b:Middle>
          </b:Person>
        </b:NameList>
      </b:Author>
    </b:Author>
    <b:Title>anesthesia and preoperative pain management during cardiac electronic device implantation</b:Title>
    <b:Publisher>J Pain Res</b:Publisher>
    <b:Year>2017</b:Year>
    <b:RefOrder>36</b:RefOrder>
  </b:Source>
  <b:Source>
    <b:Tag>JBG17</b:Tag>
    <b:SourceType>JournalArticle</b:SourceType>
    <b:Guid>{68B60CD6-73E4-8F43-AE8D-F1C7FB9DC7C0}</b:Guid>
    <b:Author>
      <b:Author>
        <b:NameList>
          <b:Person>
            <b:Last>Garcia</b:Last>
            <b:First>JB</b:First>
          </b:Person>
          <b:Person>
            <b:Last>Bonilla</b:Last>
            <b:First>P</b:First>
          </b:Person>
          <b:Person>
            <b:Last>Kraychette</b:Last>
            <b:First>DC</b:First>
          </b:Person>
          <b:Person>
            <b:Last>Flores</b:Last>
            <b:First>FC</b:First>
          </b:Person>
          <b:Person>
            <b:Last>valtolina</b:Last>
            <b:First>ED</b:First>
            <b:Middle>Perez de</b:Middle>
          </b:Person>
          <b:Person>
            <b:Last>Guerrero</b:Last>
            <b:First>C</b:First>
          </b:Person>
        </b:NameList>
      </b:Author>
    </b:Author>
    <b:Title>Optimizing post-operative pain management in latin america</b:Title>
    <b:Publisher>rev bras anestesiol</b:Publisher>
    <b:Year>2017</b:Year>
    <b:RefOrder>37</b:RefOrder>
  </b:Source>
  <b:Source>
    <b:Tag>VAZ06</b:Tag>
    <b:SourceType>Report</b:SourceType>
    <b:Guid>{01EB3E4D-41EB-5147-8045-8E154DB09EB9}</b:Guid>
    <b:Author>
      <b:Author>
        <b:NameList>
          <b:Person>
            <b:Last>Zeithmal</b:Last>
            <b:First>V.A</b:First>
          </b:Person>
          <b:Person>
            <b:Last>Bitner</b:Last>
          </b:Person>
        </b:NameList>
      </b:Author>
    </b:Author>
    <b:Year>2006</b:Year>
    <b:RefOrder>38</b:RefOrder>
  </b:Source>
  <b:Source>
    <b:Tag>Kam11</b:Tag>
    <b:SourceType>Book</b:SourceType>
    <b:Guid>{97587B1F-70E2-3E4A-BE0A-60ED986069F2}</b:Guid>
    <b:Title>Kamus Besar Bahasa Indonesia</b:Title>
    <b:Year>2011</b:Year>
    <b:RefOrder>39</b:RefOrder>
  </b:Source>
  <b:Source>
    <b:Tag>Dal20</b:Tag>
    <b:SourceType>JournalArticle</b:SourceType>
    <b:Guid>{3169C3E3-2E07-C44C-9614-E887668612B0}</b:Guid>
    <b:Title>erbandingan Pemberian Parasetamol Oral dan Ketorolak Intravena dalam Membantu Keberhasilan Menyusui Pasca Seksio Sesarea</b:Title>
    <b:Year>2020</b:Year>
    <b:Author>
      <b:Author>
        <b:NameList>
          <b:Person>
            <b:Last>Fidina</b:Last>
            <b:First>Dalri</b:First>
            <b:Middle>Nur</b:Middle>
          </b:Person>
          <b:Person>
            <b:Last>Attamimi</b:Last>
            <b:First>Ahsanudin</b:First>
          </b:Person>
          <b:Person>
            <b:Last>Prawitasari</b:Last>
            <b:First>Shinta</b:First>
          </b:Person>
        </b:NameList>
      </b:Author>
    </b:Author>
    <b:JournalName>Jurnal Kesehatan Reproduksi</b:JournalName>
    <b:RefOrder>9</b:RefOrder>
  </b:Source>
  <b:Source>
    <b:Tag>Ayu14</b:Tag>
    <b:SourceType>JournalArticle</b:SourceType>
    <b:Guid>{161AD338-CDAC-EB45-97F3-8B89E09F3239}</b:Guid>
    <b:Author>
      <b:Author>
        <b:NameList>
          <b:Person>
            <b:Last>Fajarini</b:Last>
            <b:First>Ayu</b:First>
            <b:Middle>Y. S.</b:Middle>
          </b:Person>
          <b:Person>
            <b:Last>Kumaat</b:Last>
            <b:First>Lucky</b:First>
          </b:Person>
          <b:Person>
            <b:Last>Laihad</b:Last>
            <b:First>Mordekhai</b:First>
          </b:Person>
        </b:NameList>
      </b:Author>
    </b:Author>
    <b:Title>PERBANDINGAN EFEKTIVITAS TRAMADOL DENGAN KOMBINASI TRAMADOL + KETOLORAC PADA PENANGANAN NYERI PASCA SEKSIO SESAREA</b:Title>
    <b:JournalName>Jurnal E-Clinil</b:JournalName>
    <b:Year>2014</b:Year>
    <b:RefOrder>10</b:RefOrder>
  </b:Source>
  <b:Source>
    <b:Tag>Nur17</b:Tag>
    <b:SourceType>JournalArticle</b:SourceType>
    <b:Guid>{9FFD1EA4-72FB-3E4B-8678-A380C0A26746}</b:Guid>
    <b:Author>
      <b:Author>
        <b:NameList>
          <b:Person>
            <b:Last>Sari</b:Last>
            <b:First>Nurmahida</b:First>
            <b:Middle>Mutia</b:Middle>
          </b:Person>
        </b:NameList>
      </b:Author>
    </b:Author>
    <b:Title>TINGKAT KEPUASAN PASIEN PASCA OPERASI DENGAN ANESTESI REGIONAL DAN ANESTESI UMUM DI RS PKU MUHAMMADIYAH GAMPING</b:Title>
    <b:JournalName>Research Repository UMY</b:JournalName>
    <b:Year>2017</b:Year>
    <b:RefOrder>11</b:RefOrder>
  </b:Source>
  <b:Source>
    <b:Tag>Agu17</b:Tag>
    <b:SourceType>JournalArticle</b:SourceType>
    <b:Guid>{E6D4D109-F574-D94E-926A-4F3B67AC9EFE}</b:Guid>
    <b:Author>
      <b:Author>
        <b:NameList>
          <b:Person>
            <b:Last>Hidayat</b:Last>
            <b:First>Agus</b:First>
            <b:Middle>Purwo</b:Middle>
          </b:Person>
          <b:Person>
            <b:Last>Harahap</b:Last>
            <b:First>M</b:First>
            <b:Middle>Sofyan</b:Middle>
          </b:Person>
          <b:Person>
            <b:Last>Villyastuti</b:Last>
            <b:First>Yulia</b:First>
            <b:Middle>Wahyu</b:Middle>
          </b:Person>
        </b:NameList>
      </b:Author>
    </b:Author>
    <b:Title>PERBEDAAN ANTARA PARASETAMOL DAN KETOROLAK TERHADAP KADAR SUBSTANSI P SERUM TIKUS WISTAR SEBAGAI ANALGESIK</b:Title>
    <b:JournalName>Jurnal Anestesiologi Indonesia</b:JournalName>
    <b:Year>2017</b:Year>
    <b:RefOrder>12</b:RefOrder>
  </b:Source>
  <b:Source>
    <b:Tag>Fai13</b:Tag>
    <b:SourceType>JournalArticle</b:SourceType>
    <b:Guid>{20FAC2DD-3C21-5844-BEC3-FCB63F1DFCB4}</b:Guid>
    <b:Author>
      <b:Author>
        <b:NameList>
          <b:Person>
            <b:Last>Faisal</b:Last>
          </b:Person>
          <b:Person>
            <b:Last>Tanra</b:Last>
            <b:First>Husni</b:First>
          </b:Person>
          <b:Person>
            <b:Last>Ahmad</b:Last>
            <b:First>Ramli</b:First>
          </b:Person>
          <b:Person>
            <b:Last>Bahar</b:Last>
            <b:First>Burhanuddin</b:First>
          </b:Person>
        </b:NameList>
      </b:Author>
    </b:Author>
    <b:Title>PERBANDINGAN EFEK KOMBINASI ANTARA PARASETAMOL 1 GR/8 JAM DAN KETAMIN 0,1 MG/KGBB/JAM DENGAN PARASETAMOL 1 GR/8 JAM DAN PETIDIN 0,1 MG/KGBB/JAM SEBAGAI MULTIMODAL ANALGESIA PASCABEDAH SEKSIO SESARIA</b:Title>
    <b:Publisher>Fakultas Kedokteran, Universitas Hasanuddin Makassar</b:Publisher>
    <b:Year>2013</b:Year>
    <b:RefOrder>13</b:RefOrder>
  </b:Source>
  <b:Source>
    <b:Tag>Mor11</b:Tag>
    <b:SourceType>JournalArticle</b:SourceType>
    <b:Guid>{366831AF-FBF7-1A48-8CB7-997766291177}</b:Guid>
    <b:Author>
      <b:Author>
        <b:NameList>
          <b:Person>
            <b:Last>Morgan</b:Last>
          </b:Person>
        </b:NameList>
      </b:Author>
    </b:Author>
    <b:Year>2011</b:Year>
    <b:RefOrder>14</b:RefOrder>
  </b:Source>
  <b:Source>
    <b:Tag>Hol64</b:Tag>
    <b:SourceType>JournalArticle</b:SourceType>
    <b:Guid>{C5EB3112-5E84-6D44-A575-F3E3F98A30DD}</b:Guid>
    <b:Author>
      <b:Author>
        <b:NameList>
          <b:Person>
            <b:Last>Holmes</b:Last>
          </b:Person>
        </b:NameList>
      </b:Author>
    </b:Author>
    <b:Year>1864</b:Year>
    <b:RefOrder>40</b:RefOrder>
  </b:Source>
  <b:Source>
    <b:Tag>ASA13</b:Tag>
    <b:SourceType>JournalArticle</b:SourceType>
    <b:Guid>{FEC4E633-F2B1-1F43-8388-4F95624F68FB}</b:Guid>
    <b:Author>
      <b:Author>
        <b:NameList>
          <b:Person>
            <b:Last>ASA</b:Last>
          </b:Person>
        </b:NameList>
      </b:Author>
    </b:Author>
    <b:JournalName>American Association of Anestesiologist</b:JournalName>
    <b:Year>2013</b:Year>
    <b:RefOrder>15</b:RefOrder>
  </b:Source>
  <b:Source>
    <b:Tag>Pot06</b:Tag>
    <b:SourceType>JournalArticle</b:SourceType>
    <b:Guid>{F4C53993-BFEF-6B4D-8E2C-2D6DC1D7D9FE}</b:Guid>
    <b:Author>
      <b:Author>
        <b:NameList>
          <b:Person>
            <b:Last>Perry</b:Last>
            <b:First>Potter</b:First>
            <b:Middle>&amp;</b:Middle>
          </b:Person>
        </b:NameList>
      </b:Author>
    </b:Author>
    <b:Year>2006</b:Year>
    <b:RefOrder>41</b:RefOrder>
  </b:Source>
  <b:Source>
    <b:Tag>Dew14</b:Tag>
    <b:SourceType>InternetSite</b:SourceType>
    <b:Guid>{E94F8459-EE83-7145-B9CC-802F9B415F89}</b:Guid>
    <b:Title>Penatalaksanaan Nyeri Pasca Operasi</b:Title>
    <b:Year>2014</b:Year>
    <b:Month>oktober</b:Month>
    <b:Author>
      <b:Author>
        <b:NameList>
          <b:Person>
            <b:Last>Kusumawati</b:Last>
            <b:First>Dewi</b:First>
          </b:Person>
        </b:NameList>
      </b:Author>
    </b:Author>
    <b:InternetSiteTitle>Hospital of Borromeus Group Rumah Sakit Santo yusup</b:InternetSiteTitle>
    <b:URL>https://www.rssantoyusup.com/penatalaksanaan-nyeri-pasca-operasi/</b:URL>
    <b:YearAccessed>2020</b:YearAccessed>
    <b:MonthAccessed>september</b:MonthAccessed>
    <b:DayAccessed>28</b:DayAccessed>
    <b:RefOrder>16</b:RefOrder>
  </b:Source>
  <b:Source>
    <b:Tag>RSU16</b:Tag>
    <b:SourceType>InternetSite</b:SourceType>
    <b:Guid>{10420651-7A7E-B142-93D9-7755A3506BFB}</b:Guid>
    <b:Author>
      <b:Author>
        <b:NameList>
          <b:Person>
            <b:Last>RSUKTS</b:Last>
          </b:Person>
        </b:NameList>
      </b:Author>
    </b:Author>
    <b:Title>Rumah Sakit Umum Kota Tangerang Selatan</b:Title>
    <b:InternetSiteTitle>PENATALAKSANAAN NYERI PASCA OPERASI</b:InternetSiteTitle>
    <b:URL>https://rsu.tangerangselatankota.go.id/penatalaksanaan-nyeri-pasca-operasi/</b:URL>
    <b:Year>2016</b:Year>
    <b:Month>November</b:Month>
    <b:Day>08</b:Day>
    <b:YearAccessed>2020</b:YearAccessed>
    <b:MonthAccessed>September</b:MonthAccessed>
    <b:DayAccessed>28</b:DayAccessed>
    <b:RefOrder>17</b:RefOrder>
  </b:Source>
  <b:Source>
    <b:Tag>GEM96</b:Tag>
    <b:SourceType>JournalArticle</b:SourceType>
    <b:Guid>{2F756F26-FB92-654B-9F60-69891CCC460F}</b:Guid>
    <b:Author>
      <b:Author>
        <b:NameList>
          <b:Person>
            <b:Last>Morgan</b:Last>
            <b:First>G.E.</b:First>
          </b:Person>
        </b:NameList>
      </b:Author>
    </b:Author>
    <b:Title>Pain Management</b:Title>
    <b:JournalName>Pain Management</b:JournalName>
    <b:Publisher>Stamford: Appleton and Lange</b:Publisher>
    <b:Year>1996</b:Year>
    <b:RefOrder>42</b:RefOrder>
  </b:Source>
  <b:Source>
    <b:Tag>RJH95</b:Tag>
    <b:SourceType>JournalArticle</b:SourceType>
    <b:Guid>{257331C7-21EB-A64D-9E2E-A7F3990A7C26}</b:Guid>
    <b:Author>
      <b:Author>
        <b:NameList>
          <b:Person>
            <b:Last>Hamill</b:Last>
            <b:First>R.J.</b:First>
          </b:Person>
        </b:NameList>
      </b:Author>
    </b:Author>
    <b:Title>The Assesment of Pain</b:Title>
    <b:JournalName>Handbook of Critical Care Pain Management</b:JournalName>
    <b:Publisher>New York, McGrow-Hill</b:Publisher>
    <b:Year>1995</b:Year>
    <b:RefOrder>43</b:RefOrder>
  </b:Source>
  <b:Source>
    <b:Tag>GMa02</b:Tag>
    <b:SourceType>JournalArticle</b:SourceType>
    <b:Guid>{3CCF0F5B-A7E3-564A-8F9A-22E90BBE85C1}</b:Guid>
    <b:Author>
      <b:Author>
        <b:NameList>
          <b:Person>
            <b:Last>Mangku</b:Last>
            <b:First>G.</b:First>
          </b:Person>
        </b:NameList>
      </b:Author>
    </b:Author>
    <b:Title>Diktat Kumpulan Kuliah, Bagian/SMF Anestesiologi dan Reanimasi</b:Title>
    <b:Publisher>Fakultas Kedokteran Universitas Udayana</b:Publisher>
    <b:Year>2002</b:Year>
    <b:RefOrder>44</b:RefOrder>
  </b:Source>
  <b:Source>
    <b:Tag>WMe151</b:Tag>
    <b:SourceType>JournalArticle</b:SourceType>
    <b:Guid>{5F5E6059-8271-4C4D-9CF1-829FA33C974F}</b:Guid>
    <b:Author>
      <b:Author>
        <b:NameList>
          <b:Person>
            <b:Last>Meissner</b:Last>
            <b:First>W.</b:First>
          </b:Person>
          <b:Person>
            <b:Last>Coluzzi</b:Last>
            <b:First>F.</b:First>
          </b:Person>
          <b:Person>
            <b:Last>Fletcher</b:Last>
            <b:First>D.</b:First>
          </b:Person>
          <b:Person>
            <b:Last>Huygen</b:Last>
            <b:First>F.</b:First>
          </b:Person>
          <b:Person>
            <b:Last>Morlion</b:Last>
            <b:First>B.</b:First>
          </b:Person>
          <b:Person>
            <b:Last>Neugebauer</b:Last>
            <b:First>E.</b:First>
          </b:Person>
        </b:NameList>
      </b:Author>
    </b:Author>
    <b:Title>Improving the management of post-operative acute pain</b:Title>
    <b:JournalName>priorities for change</b:JournalName>
    <b:Publisher>Curr Med Res Opin</b:Publisher>
    <b:Year>2015</b:Year>
    <b:RefOrder>19</b:RefOrder>
  </b:Source>
  <b:Source>
    <b:Tag>WAM081</b:Tag>
    <b:SourceType>JournalArticle</b:SourceType>
    <b:Guid>{C712CCE8-5644-5B4B-BEFB-7EF58209C9F6}</b:Guid>
    <b:Author>
      <b:Author>
        <b:NameList>
          <b:Person>
            <b:Last>Macrae</b:Last>
            <b:First>W.A.</b:First>
          </b:Person>
        </b:NameList>
      </b:Author>
    </b:Author>
    <b:Title>Chronic post-surgical pain: 10 years on</b:Title>
    <b:JournalName>British Journal of Anaesthesia</b:JournalName>
    <b:Year>2008</b:Year>
    <b:RefOrder>20</b:RefOrder>
  </b:Source>
  <b:Source>
    <b:Tag>NTo14</b:Tag>
    <b:SourceType>JournalArticle</b:SourceType>
    <b:Guid>{C40997A3-6E73-6447-9132-409DF46F9EBA}</b:Guid>
    <b:Author>
      <b:Author>
        <b:NameList>
          <b:Person>
            <b:Last>Torrance</b:Last>
            <b:First>N</b:First>
          </b:Person>
          <b:Person>
            <b:Last>Lawson</b:Last>
            <b:First>KD</b:First>
          </b:Person>
          <b:Person>
            <b:Last>Afolabi</b:Last>
            <b:First>E</b:First>
          </b:Person>
          <b:Person>
            <b:Last>Bennett</b:Last>
            <b:First>MI</b:First>
          </b:Person>
          <b:Person>
            <b:Last>Serpell</b:Last>
            <b:First>MG</b:First>
          </b:Person>
          <b:Person>
            <b:Last>Dunn</b:Last>
            <b:First>KM</b:First>
          </b:Person>
          <b:Person>
            <b:Last>al.</b:Last>
            <b:First>et</b:First>
          </b:Person>
        </b:NameList>
      </b:Author>
    </b:Author>
    <b:Title>Estimating the burden of disease in chronic pain with and without neuropathic characteristics</b:Title>
    <b:JournalName>Does the choice between the EQ-5D and SF-6D matter</b:JournalName>
    <b:Year>2014</b:Year>
    <b:RefOrder>21</b:RefOrder>
  </b:Source>
  <b:Source>
    <b:Tag>GEM961</b:Tag>
    <b:SourceType>JournalArticle</b:SourceType>
    <b:Guid>{941B8225-007B-5E48-872A-7B5BB546E563}</b:Guid>
    <b:Author>
      <b:Author>
        <b:NameList>
          <b:Person>
            <b:Last>Morgan</b:Last>
            <b:First>G.E.</b:First>
          </b:Person>
        </b:NameList>
      </b:Author>
    </b:Author>
    <b:Title>Pain Management</b:Title>
    <b:JournalName>Clinical Anesthesiology 2nd</b:JournalName>
    <b:Publisher>Stamford: Appleton and Lange</b:Publisher>
    <b:Year>1996</b:Year>
    <b:RefOrder>45</b:RefOrder>
  </b:Source>
  <b:Source>
    <b:Tag>RKS06</b:Tag>
    <b:SourceType>JournalArticle</b:SourceType>
    <b:Guid>{530EBC22-2947-0240-AE21-8CC30EF9DE35}</b:Guid>
    <b:Author>
      <b:Author>
        <b:NameList>
          <b:Person>
            <b:Last>Stoelting</b:Last>
            <b:First>R.K.</b:First>
          </b:Person>
          <b:Person>
            <b:Last>Hillier</b:Last>
            <b:First>S.C.</b:First>
          </b:Person>
        </b:NameList>
      </b:Author>
    </b:Author>
    <b:Title>pioid agonists and antagonists, local anesthetics, cyclooxygenase-2 inhibitor and nonspecific nonsteroidal antiinflammatory drugs</b:Title>
    <b:JournalName>pharmacology &amp; physiology in anesthetic practice 4th</b:JournalName>
    <b:Publisher>Philadelphia; Lippincott Williams &amp; Wilkins</b:Publisher>
    <b:Year>2006</b:Year>
    <b:RefOrder>46</b:RefOrder>
  </b:Source>
  <b:Source>
    <b:Tag>LAd14</b:Tag>
    <b:SourceType>JournalArticle</b:SourceType>
    <b:Guid>{C44592C4-E392-7948-90FA-D9EB5DC127C3}</b:Guid>
    <b:Author>
      <b:Author>
        <b:NameList>
          <b:Person>
            <b:Last>Silva</b:Last>
            <b:First>L.A.</b:First>
            <b:Middle>da</b:Middle>
          </b:Person>
          <b:Person>
            <b:Last>Rezende</b:Last>
            <b:First>J.G.</b:First>
          </b:Person>
          <b:Person>
            <b:Last>Souza</b:Last>
            <b:First>M.I.T.</b:First>
          </b:Person>
          <b:Person>
            <b:Last>Robazzi</b:Last>
            <b:First>M.L.</b:First>
          </b:Person>
          <b:Person>
            <b:Last>Dalri</b:Last>
            <b:First>R.</b:First>
            <b:Middle>de</b:Middle>
          </b:Person>
          <b:Person>
            <b:Last>Faleiros</b:Last>
            <b:First>S.A.</b:First>
          </b:Person>
          <b:Person>
            <b:Last>al.</b:Last>
            <b:First>et</b:First>
          </b:Person>
        </b:NameList>
      </b:Author>
    </b:Author>
    <b:Title>Pain in patients undergoing orthopedic surgery</b:Title>
    <b:JournalName>J Nurs UFPE</b:JournalName>
    <b:Publisher>Science Direct</b:Publisher>
    <b:Year>2014</b:Year>
    <b:Month>January</b:Month>
    <b:RefOrder>22</b:RefOrder>
  </b:Source>
  <b:Source>
    <b:Tag>BFJ97</b:Tag>
    <b:SourceType>JournalArticle</b:SourceType>
    <b:Guid>{1809C4DA-4998-0B4C-A95B-6ABE46A6DA86}</b:Guid>
    <b:Author>
      <b:Author>
        <b:NameList>
          <b:Person>
            <b:Last>James</b:Last>
            <b:First>B.F.</b:First>
          </b:Person>
          <b:Person>
            <b:Last>Ellen</b:Last>
            <b:First>L.H.</b:First>
          </b:Person>
          <b:Person>
            <b:Last>Stephen</b:Last>
            <b:First>R.</b:First>
          </b:Person>
        </b:NameList>
      </b:Author>
    </b:Author>
    <b:Title>Ketorolac for postoperative pain management in children</b:Title>
    <b:JournalName>Drug Safety</b:JournalName>
    <b:Publisher>Spinger Link</b:Publisher>
    <b:Year>1997</b:Year>
    <b:RefOrder>47</b:RefOrder>
  </b:Source>
  <b:Source>
    <b:Tag>KBa14</b:Tag>
    <b:SourceType>JournalArticle</b:SourceType>
    <b:Guid>{B77C7BE7-0C53-0243-8493-B06BA646818E}</b:Guid>
    <b:Author>
      <b:Author>
        <b:NameList>
          <b:Person>
            <b:Last>Baley</b:Last>
            <b:First>K.</b:First>
          </b:Person>
          <b:Person>
            <b:Last>Michalov</b:Last>
            <b:First>K.</b:First>
          </b:Person>
          <b:Person>
            <b:Last>Kossick</b:Last>
            <b:First>M.A</b:First>
          </b:Person>
          <b:Person>
            <b:Last>McDowell</b:Last>
            <b:First>M.</b:First>
          </b:Person>
        </b:NameList>
      </b:Author>
    </b:Author>
    <b:Title>Intravenous acetaminophen and intravenous ketorolac for management of pediatric surgical pain</b:Title>
    <b:JournalName>AANA J</b:JournalName>
    <b:Publisher>Science Direct</b:Publisher>
    <b:Year>2014</b:Year>
    <b:RefOrder>28</b:RefOrder>
  </b:Source>
  <b:Source>
    <b:Tag>Kwo04</b:Tag>
    <b:SourceType>JournalArticle</b:SourceType>
    <b:Guid>{637B0346-BE63-D944-9011-59B89E4BBE65}</b:Guid>
    <b:RefOrder>48</b:RefOrder>
  </b:Source>
  <b:Source>
    <b:Tag>Hay09</b:Tag>
    <b:SourceType>JournalArticle</b:SourceType>
    <b:Guid>{523F51A9-4923-FD42-9504-D8C95D0D2FD9}</b:Guid>
    <b:Author>
      <b:Author>
        <b:NameList>
          <b:Person>
            <b:Last>Haynes</b:Last>
            <b:First>AB</b:First>
          </b:Person>
          <b:Person>
            <b:Last>Weisher</b:Last>
            <b:First>TG</b:First>
          </b:Person>
          <b:Person>
            <b:Last>Berry</b:Last>
            <b:First>WR</b:First>
          </b:Person>
          <b:Person>
            <b:Last>Lipsits</b:Last>
            <b:First>SR</b:First>
          </b:Person>
          <b:Person>
            <b:Last>Breizat</b:Last>
            <b:First>A</b:First>
          </b:Person>
          <b:Person>
            <b:Last>Hadi</b:Last>
            <b:First>S</b:First>
          </b:Person>
          <b:Person>
            <b:Last>Dellinger</b:Last>
            <b:First>EP</b:First>
          </b:Person>
          <b:Person>
            <b:Last>Herbosa</b:Last>
            <b:First>T</b:First>
          </b:Person>
        </b:NameList>
      </b:Author>
    </b:Author>
    <b:Title>A Surgical Safety Checklist to Reduce Mor- bidity and Mortality in a Global Population</b:Title>
    <b:Year>2010</b:Year>
    <b:JournalName>N Engl J Med</b:JournalName>
    <b:RefOrder>49</b:RefOrder>
  </b:Source>
  <b:Source>
    <b:Tag>Pot061</b:Tag>
    <b:SourceType>JournalArticle</b:SourceType>
    <b:Guid>{B84528C4-89CC-B549-8B6C-2A77D418616E}</b:Guid>
    <b:RefOrder>50</b:RefOrder>
  </b:Source>
  <b:Source>
    <b:Tag>PSw13</b:Tag>
    <b:SourceType>JournalArticle</b:SourceType>
    <b:Guid>{C3A9D246-716F-DB4C-8336-7C36B557DE25}</b:Guid>
    <b:Author>
      <b:Author>
        <b:NameList>
          <b:Person>
            <b:Last>Swleboda</b:Last>
            <b:First>P</b:First>
          </b:Person>
          <b:Person>
            <b:Last>et.al.</b:Last>
          </b:Person>
        </b:NameList>
      </b:Author>
    </b:Author>
    <b:Title>Assessment of Pain: Types, Mechanism, and Treatment.</b:Title>
    <b:JournalName>Ann Agric Environ Med.</b:JournalName>
    <b:Year>2013</b:Year>
    <b:RefOrder>18</b:RefOrder>
  </b:Source>
  <b:Source>
    <b:Tag>DrR</b:Tag>
    <b:SourceType>JournalArticle</b:SourceType>
    <b:Guid>{6919C0DA-58E5-EC49-8D2A-EE8FD4AB83EE}</b:Guid>
    <b:Author>
      <b:Author>
        <b:NameList>
          <b:Person>
            <b:Last>Venkateswaran</b:Last>
            <b:First>Dr.</b:First>
            <b:Middle>Ramkumar</b:Middle>
          </b:Person>
          <b:Person>
            <b:Last>N.</b:Last>
            <b:First>Dr.</b:First>
            <b:Middle>Prasad K.</b:Middle>
          </b:Person>
        </b:NameList>
      </b:Author>
    </b:Author>
    <b:Title>MANAGEMENT OF POSTOPERATIVE PAIN</b:Title>
    <b:JournalName>Indian,J.Anesth, </b:JournalName>
    <b:Pages>345-354</b:Pages>
    <b:RefOrder>23</b:RefOrder>
  </b:Source>
  <b:Source>
    <b:Tag>Sis13</b:Tag>
    <b:SourceType>JournalArticle</b:SourceType>
    <b:Guid>{A3E894A0-0F76-F940-802A-7C419E61CBAA}</b:Guid>
    <b:Author>
      <b:Author>
        <b:NameList>
          <b:Person>
            <b:Last>Sinardja</b:Last>
            <b:First>Siska</b:First>
            <b:Middle>Permanasari</b:Middle>
          </b:Person>
          <b:Person>
            <b:Last>Aribawa</b:Last>
            <b:First>IGN</b:First>
            <b:Middle>Mahaalit</b:Middle>
          </b:Person>
        </b:NameList>
      </b:Author>
    </b:Author>
    <b:Title>PENATALAKSANAAN NYERI AKUT PADA PASIEN DENGAN PATIENT</b:Title>
    <b:JournalName>CONTROLLED ANALGESIA</b:JournalName>
    <b:Year>2013</b:Year>
    <b:RefOrder>24</b:RefOrder>
  </b:Source>
  <b:Source>
    <b:Tag>Ted14</b:Tag>
    <b:SourceType>JournalArticle</b:SourceType>
    <b:Guid>{6ECDEFDE-C9FF-E045-A69B-5FDC2A7DA289}</b:Guid>
    <b:Author>
      <b:Author>
        <b:NameList>
          <b:Person>
            <b:Last>Ferdinand</b:Last>
            <b:First>I</b:First>
            <b:Middle>Teddy</b:Middle>
          </b:Person>
          <b:Person>
            <b:Last>R.</b:Last>
            <b:First>Basuki</b:First>
            <b:Middle>Dju dju k</b:Middle>
          </b:Person>
          <b:Person>
            <b:Last>Isnga</b:Last>
          </b:Person>
        </b:NameList>
      </b:Author>
    </b:Author>
    <b:Title>Perbandingan Intensitas Nyeri Akut Setelah Pembedahan Pada Pasien dengan Regional Analgesia Epidural Teknik Kontinyu dibandingkan dengan Teknik Intermitten</b:Title>
    <b:JournalName>Jurnal Anestesiologi Indonesia</b:JournalName>
    <b:Year>2014</b:Year>
    <b:RefOrder>26</b:RefOrder>
  </b:Source>
  <b:Source>
    <b:Tag>DrR1</b:Tag>
    <b:SourceType>JournalArticle</b:SourceType>
    <b:Guid>{935A6EF8-DD4D-054E-8F29-838406AD1A8F}</b:Guid>
    <b:Author>
      <b:Author>
        <b:NameList>
          <b:Person>
            <b:Last>Venkateswaran</b:Last>
            <b:First>Dr.</b:First>
            <b:Middle>Ramkumar</b:Middle>
          </b:Person>
          <b:Person>
            <b:Last>N.</b:Last>
            <b:First>Dr.</b:First>
            <b:Middle>Prasad K.</b:Middle>
          </b:Person>
        </b:NameList>
      </b:Author>
    </b:Author>
    <b:Title>MANAGEMENT OF POSTOPERATIVE PAIN</b:Title>
    <b:JournalName>Indian,J.Anesth</b:JournalName>
    <b:Pages>345-354</b:Pages>
    <b:RefOrder>25</b:RefOrder>
  </b:Source>
  <b:Source>
    <b:Tag>SYL10</b:Tag>
    <b:SourceType>JournalArticle</b:SourceType>
    <b:Guid>{4A65BA4B-FB73-7843-97C4-237DD3E945B8}</b:Guid>
    <b:Author>
      <b:Author>
        <b:NameList>
          <b:Person>
            <b:Last>Lee</b:Last>
            <b:First>SY</b:First>
          </b:Person>
          <b:Person>
            <b:Last>Lee</b:Last>
            <b:First>WH</b:First>
          </b:Person>
          <b:Person>
            <b:Last>Lee</b:Last>
            <b:First>EH</b:First>
          </b:Person>
          <b:Person>
            <b:Last>Han</b:Last>
            <b:First>KC</b:First>
          </b:Person>
          <b:Person>
            <b:Last>Ko</b:Last>
            <b:First>YK</b:First>
          </b:Person>
        </b:NameList>
      </b:Author>
    </b:Author>
    <b:Title>The effects of paracetamol, ketorolac, and paracetamol plus morphine on pain control after thyroidectomy.</b:Title>
    <b:JournalName>Korean J Pain.</b:JournalName>
    <b:Year>2010</b:Year>
    <b:RefOrder>27</b:RefOrder>
  </b:Source>
</b:Sources>
</file>

<file path=customXml/itemProps1.xml><?xml version="1.0" encoding="utf-8"?>
<ds:datastoreItem xmlns:ds="http://schemas.openxmlformats.org/officeDocument/2006/customXml" ds:itemID="{B2EACBC2-2E32-499B-ADB5-47D63CBFC5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610</TotalTime>
  <Pages>17</Pages>
  <Words>18439</Words>
  <Characters>105103</Characters>
  <Application>Microsoft Office Word</Application>
  <DocSecurity>0</DocSecurity>
  <Lines>875</Lines>
  <Paragraphs>246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123296</CharactersWithSpaces>
  <SharedDoc>false</SharedDoc>
  <HLinks>
    <vt:vector size="6" baseType="variant">
      <vt:variant>
        <vt:i4>1835083</vt:i4>
      </vt:variant>
      <vt:variant>
        <vt:i4>6</vt:i4>
      </vt:variant>
      <vt:variant>
        <vt:i4>0</vt:i4>
      </vt:variant>
      <vt:variant>
        <vt:i4>5</vt:i4>
      </vt:variant>
      <vt:variant>
        <vt:lpwstr>http://jurnal.uinsu.ac.id/index.php/contagion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Toshiba</dc:creator>
  <cp:keywords/>
  <cp:lastModifiedBy>Widya Widya</cp:lastModifiedBy>
  <cp:revision>1</cp:revision>
  <cp:lastPrinted>2019-02-05T17:01:00Z</cp:lastPrinted>
  <dcterms:created xsi:type="dcterms:W3CDTF">2023-03-06T03:30:00Z</dcterms:created>
  <dcterms:modified xsi:type="dcterms:W3CDTF">2023-12-30T06:02:00Z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https://csl.mendeley.com/styles/475823531/apa</vt:lpwstr>
  </property>
  <property fmtid="{D5CDD505-2E9C-101B-9397-08002B2CF9AE}" pid="5" name="Mendeley Recent Style Name 1_1">
    <vt:lpwstr>American Psychological Association 6th edition - Mincho Slavov</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http://www.zotero.org/styles/chicago-fullnote-bibliography</vt:lpwstr>
  </property>
  <property fmtid="{D5CDD505-2E9C-101B-9397-08002B2CF9AE}" pid="13" name="Mendeley Recent Style Name 5_1">
    <vt:lpwstr>Chicago Manual of Style 17th edition (full note)</vt:lpwstr>
  </property>
  <property fmtid="{D5CDD505-2E9C-101B-9397-08002B2CF9AE}" pid="14" name="Mendeley Recent Style Id 6_1">
    <vt:lpwstr>http://www.zotero.org/styles/chicago-note-bibliography</vt:lpwstr>
  </property>
  <property fmtid="{D5CDD505-2E9C-101B-9397-08002B2CF9AE}" pid="15" name="Mendeley Recent Style Name 6_1">
    <vt:lpwstr>Chicago Manual of Style 17th edition (note)</vt:lpwstr>
  </property>
  <property fmtid="{D5CDD505-2E9C-101B-9397-08002B2CF9AE}" pid="16" name="Mendeley Recent Style Id 7_1">
    <vt:lpwstr>http://www.zotero.org/styles/harvard-cite-them-right</vt:lpwstr>
  </property>
  <property fmtid="{D5CDD505-2E9C-101B-9397-08002B2CF9AE}" pid="17" name="Mendeley Recent Style Name 7_1">
    <vt:lpwstr>Cite Them Right 11th edition - Harvard</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http://www.zotero.org/styles/turabian-fullnote-bibliography</vt:lpwstr>
  </property>
  <property fmtid="{D5CDD505-2E9C-101B-9397-08002B2CF9AE}" pid="21" name="Mendeley Recent Style Name 9_1">
    <vt:lpwstr>Turabian 8th edition (full note)</vt:lpwstr>
  </property>
  <property fmtid="{D5CDD505-2E9C-101B-9397-08002B2CF9AE}" pid="22" name="Mendeley Document_1">
    <vt:lpwstr>True</vt:lpwstr>
  </property>
  <property fmtid="{D5CDD505-2E9C-101B-9397-08002B2CF9AE}" pid="23" name="Mendeley Unique User Id_1">
    <vt:lpwstr>5b7cee6a-95aa-3a93-b2b2-925eb2e3f6e4</vt:lpwstr>
  </property>
  <property fmtid="{D5CDD505-2E9C-101B-9397-08002B2CF9AE}" pid="24" name="Mendeley Citation Style_1">
    <vt:lpwstr>http://www.zotero.org/styles/apa</vt:lpwstr>
  </property>
</Properties>
</file>