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034C11" w14:textId="0B494229" w:rsidR="008E72D1" w:rsidRPr="005B7689" w:rsidRDefault="008E72D1" w:rsidP="00EC477A">
      <w:pPr>
        <w:widowControl w:val="0"/>
        <w:pBdr>
          <w:top w:val="nil"/>
          <w:left w:val="nil"/>
          <w:bottom w:val="nil"/>
          <w:right w:val="nil"/>
          <w:between w:val="nil"/>
        </w:pBdr>
        <w:spacing w:after="0"/>
        <w:ind w:left="1" w:hanging="3"/>
        <w:jc w:val="center"/>
        <w:rPr>
          <w:rFonts w:ascii="Times New Roman" w:eastAsia="Times New Roman" w:hAnsi="Times New Roman" w:cs="Times New Roman"/>
          <w:b/>
          <w:color w:val="000000"/>
          <w:sz w:val="28"/>
          <w:szCs w:val="28"/>
        </w:rPr>
      </w:pPr>
      <w:r w:rsidRPr="008E72D1">
        <w:rPr>
          <w:rFonts w:ascii="Times New Roman" w:eastAsia="Times New Roman" w:hAnsi="Times New Roman" w:cs="Times New Roman"/>
          <w:b/>
          <w:color w:val="000000"/>
          <w:sz w:val="28"/>
          <w:szCs w:val="28"/>
        </w:rPr>
        <w:t>Factors Associated with the Utilization of the Chronic Disease Management Program (Prolanis) Among Patients with Diabetes Mellitus</w:t>
      </w:r>
    </w:p>
    <w:p w14:paraId="4734B54F" w14:textId="77777777" w:rsidR="005852D4" w:rsidRDefault="005852D4">
      <w:pPr>
        <w:spacing w:after="0" w:line="240" w:lineRule="auto"/>
        <w:ind w:left="0" w:hanging="2"/>
        <w:jc w:val="center"/>
        <w:rPr>
          <w:rFonts w:ascii="Times New Roman" w:eastAsia="Times New Roman" w:hAnsi="Times New Roman" w:cs="Times New Roman"/>
        </w:rPr>
      </w:pPr>
    </w:p>
    <w:p w14:paraId="4C1C8432" w14:textId="472D26F1" w:rsidR="005852D4" w:rsidRPr="008E72D1" w:rsidRDefault="00B124C2" w:rsidP="00EC477A">
      <w:pPr>
        <w:spacing w:after="0" w:line="240" w:lineRule="auto"/>
        <w:ind w:left="0" w:hanging="2"/>
        <w:jc w:val="center"/>
        <w:rPr>
          <w:rFonts w:asciiTheme="majorBidi" w:eastAsia="Times New Roman" w:hAnsiTheme="majorBidi" w:cstheme="majorBidi"/>
          <w:color w:val="000000"/>
          <w:sz w:val="20"/>
          <w:szCs w:val="20"/>
          <w:vertAlign w:val="superscript"/>
        </w:rPr>
      </w:pPr>
      <w:proofErr w:type="spellStart"/>
      <w:r w:rsidRPr="008E72D1">
        <w:rPr>
          <w:rFonts w:asciiTheme="majorBidi" w:eastAsia="Times New Roman" w:hAnsiTheme="majorBidi" w:cstheme="majorBidi"/>
          <w:color w:val="000000"/>
          <w:sz w:val="20"/>
          <w:szCs w:val="20"/>
          <w:lang w:val="en-US"/>
        </w:rPr>
        <w:t>Shofiyana</w:t>
      </w:r>
      <w:proofErr w:type="spellEnd"/>
      <w:r w:rsidR="002678EE" w:rsidRPr="008E72D1">
        <w:rPr>
          <w:rFonts w:asciiTheme="majorBidi" w:eastAsia="Times New Roman" w:hAnsiTheme="majorBidi" w:cstheme="majorBidi"/>
          <w:color w:val="000000"/>
          <w:sz w:val="20"/>
          <w:szCs w:val="20"/>
        </w:rPr>
        <w:t xml:space="preserve"> </w:t>
      </w:r>
      <w:r w:rsidR="002678EE" w:rsidRPr="008E72D1">
        <w:rPr>
          <w:rFonts w:asciiTheme="majorBidi" w:eastAsia="Times New Roman" w:hAnsiTheme="majorBidi" w:cstheme="majorBidi"/>
          <w:color w:val="000000"/>
          <w:sz w:val="20"/>
          <w:szCs w:val="20"/>
          <w:vertAlign w:val="superscript"/>
        </w:rPr>
        <w:t>1</w:t>
      </w:r>
      <w:r w:rsidR="002678EE" w:rsidRPr="008E72D1">
        <w:rPr>
          <w:rFonts w:asciiTheme="majorBidi" w:eastAsia="Times New Roman" w:hAnsiTheme="majorBidi" w:cstheme="majorBidi"/>
          <w:color w:val="000000"/>
          <w:sz w:val="20"/>
          <w:szCs w:val="20"/>
        </w:rPr>
        <w:t xml:space="preserve">, </w:t>
      </w:r>
      <w:r w:rsidRPr="008E72D1">
        <w:rPr>
          <w:rFonts w:asciiTheme="majorBidi" w:hAnsiTheme="majorBidi" w:cstheme="majorBidi"/>
          <w:sz w:val="20"/>
          <w:szCs w:val="20"/>
        </w:rPr>
        <w:t>Sutopo Patria Jati</w:t>
      </w:r>
      <w:r w:rsidRPr="008E72D1">
        <w:rPr>
          <w:rFonts w:asciiTheme="majorBidi" w:eastAsia="Times New Roman" w:hAnsiTheme="majorBidi" w:cstheme="majorBidi"/>
          <w:color w:val="000000"/>
          <w:sz w:val="20"/>
          <w:szCs w:val="20"/>
          <w:vertAlign w:val="superscript"/>
        </w:rPr>
        <w:t xml:space="preserve"> </w:t>
      </w:r>
      <w:r w:rsidR="002678EE" w:rsidRPr="008E72D1">
        <w:rPr>
          <w:rFonts w:asciiTheme="majorBidi" w:eastAsia="Times New Roman" w:hAnsiTheme="majorBidi" w:cstheme="majorBidi"/>
          <w:color w:val="000000"/>
          <w:sz w:val="20"/>
          <w:szCs w:val="20"/>
          <w:vertAlign w:val="superscript"/>
        </w:rPr>
        <w:t>2</w:t>
      </w:r>
      <w:r w:rsidR="002678EE" w:rsidRPr="008E72D1">
        <w:rPr>
          <w:rFonts w:asciiTheme="majorBidi" w:eastAsia="Times New Roman" w:hAnsiTheme="majorBidi" w:cstheme="majorBidi"/>
          <w:color w:val="000000"/>
          <w:sz w:val="20"/>
          <w:szCs w:val="20"/>
        </w:rPr>
        <w:t xml:space="preserve">, </w:t>
      </w:r>
      <w:r w:rsidRPr="008E72D1">
        <w:rPr>
          <w:rFonts w:asciiTheme="majorBidi" w:hAnsiTheme="majorBidi" w:cstheme="majorBidi"/>
          <w:sz w:val="20"/>
          <w:szCs w:val="20"/>
        </w:rPr>
        <w:t>Farid Agushybana</w:t>
      </w:r>
      <w:r w:rsidR="002678EE" w:rsidRPr="008E72D1">
        <w:rPr>
          <w:rFonts w:asciiTheme="majorBidi" w:eastAsia="Times New Roman" w:hAnsiTheme="majorBidi" w:cstheme="majorBidi"/>
          <w:color w:val="000000"/>
          <w:sz w:val="20"/>
          <w:szCs w:val="20"/>
          <w:vertAlign w:val="superscript"/>
        </w:rPr>
        <w:t>2</w:t>
      </w:r>
    </w:p>
    <w:p w14:paraId="7D084C99" w14:textId="77777777" w:rsidR="005852D4" w:rsidRPr="008E72D1" w:rsidRDefault="005852D4" w:rsidP="00EC477A">
      <w:pPr>
        <w:widowControl w:val="0"/>
        <w:spacing w:after="0" w:line="240" w:lineRule="auto"/>
        <w:ind w:left="0" w:hanging="2"/>
        <w:jc w:val="center"/>
        <w:rPr>
          <w:rFonts w:asciiTheme="majorBidi" w:eastAsia="Times New Roman" w:hAnsiTheme="majorBidi" w:cstheme="majorBidi"/>
          <w:sz w:val="20"/>
          <w:szCs w:val="20"/>
        </w:rPr>
      </w:pPr>
    </w:p>
    <w:p w14:paraId="01D55E92" w14:textId="5D34B7ED" w:rsidR="008E72D1" w:rsidRPr="008E72D1" w:rsidRDefault="002678EE" w:rsidP="008E72D1">
      <w:pPr>
        <w:widowControl w:val="0"/>
        <w:spacing w:after="0" w:line="240" w:lineRule="auto"/>
        <w:ind w:left="0" w:hanging="2"/>
        <w:jc w:val="center"/>
        <w:rPr>
          <w:rFonts w:asciiTheme="majorBidi" w:eastAsia="Times New Roman" w:hAnsiTheme="majorBidi" w:cstheme="majorBidi"/>
          <w:sz w:val="20"/>
          <w:szCs w:val="20"/>
        </w:rPr>
      </w:pPr>
      <w:r w:rsidRPr="008E72D1">
        <w:rPr>
          <w:rFonts w:asciiTheme="majorBidi" w:eastAsia="Times New Roman" w:hAnsiTheme="majorBidi" w:cstheme="majorBidi"/>
          <w:sz w:val="20"/>
          <w:szCs w:val="20"/>
          <w:vertAlign w:val="superscript"/>
        </w:rPr>
        <w:t>1</w:t>
      </w:r>
      <w:r w:rsidR="00B124C2" w:rsidRPr="008E72D1">
        <w:rPr>
          <w:rFonts w:asciiTheme="majorBidi" w:eastAsia="Times New Roman" w:hAnsiTheme="majorBidi" w:cstheme="majorBidi"/>
          <w:sz w:val="20"/>
          <w:szCs w:val="20"/>
          <w:vertAlign w:val="superscript"/>
          <w:lang w:val="en-US"/>
        </w:rPr>
        <w:t xml:space="preserve"> </w:t>
      </w:r>
      <w:r w:rsidR="008E72D1" w:rsidRPr="008E72D1">
        <w:rPr>
          <w:rFonts w:asciiTheme="majorBidi" w:eastAsia="Times New Roman" w:hAnsiTheme="majorBidi" w:cstheme="majorBidi"/>
          <w:sz w:val="20"/>
          <w:szCs w:val="20"/>
          <w:lang w:val="en-US"/>
        </w:rPr>
        <w:t>Faculty of Public Health, Diponegoro University, Semarang</w:t>
      </w:r>
      <w:r w:rsidR="008E72D1" w:rsidRPr="008E72D1">
        <w:rPr>
          <w:rFonts w:asciiTheme="majorBidi" w:eastAsia="Times New Roman" w:hAnsiTheme="majorBidi" w:cstheme="majorBidi"/>
          <w:sz w:val="20"/>
          <w:szCs w:val="20"/>
          <w:lang w:val="en-US"/>
        </w:rPr>
        <w:br/>
      </w:r>
      <w:r w:rsidR="008E72D1" w:rsidRPr="008E72D1">
        <w:rPr>
          <w:rFonts w:asciiTheme="majorBidi" w:hAnsiTheme="majorBidi" w:cstheme="majorBidi"/>
          <w:sz w:val="20"/>
          <w:szCs w:val="20"/>
        </w:rPr>
        <w:t>² Faculty of Public Health, Diponegoro University, Semarang</w:t>
      </w:r>
    </w:p>
    <w:p w14:paraId="6953C596" w14:textId="449039AD" w:rsidR="005852D4" w:rsidRPr="008E72D1" w:rsidRDefault="002678EE" w:rsidP="00EC477A">
      <w:pPr>
        <w:widowControl w:val="0"/>
        <w:spacing w:after="0" w:line="240" w:lineRule="auto"/>
        <w:ind w:left="0" w:hanging="2"/>
        <w:jc w:val="center"/>
        <w:rPr>
          <w:rFonts w:asciiTheme="majorBidi" w:eastAsia="Times New Roman" w:hAnsiTheme="majorBidi" w:cstheme="majorBidi"/>
          <w:sz w:val="20"/>
          <w:szCs w:val="20"/>
          <w:lang w:val="en-US"/>
        </w:rPr>
      </w:pPr>
      <w:r w:rsidRPr="008E72D1">
        <w:rPr>
          <w:rFonts w:asciiTheme="majorBidi" w:eastAsia="Times New Roman" w:hAnsiTheme="majorBidi" w:cstheme="majorBidi"/>
          <w:sz w:val="20"/>
          <w:szCs w:val="20"/>
        </w:rPr>
        <w:t xml:space="preserve">Email corespondensi : </w:t>
      </w:r>
      <w:r w:rsidR="00D553C7" w:rsidRPr="008E72D1">
        <w:rPr>
          <w:rFonts w:asciiTheme="majorBidi" w:hAnsiTheme="majorBidi" w:cstheme="majorBidi"/>
          <w:sz w:val="20"/>
          <w:szCs w:val="20"/>
          <w:lang w:val="en-US"/>
        </w:rPr>
        <w:t>cv.aghistna13@gmail.com</w:t>
      </w:r>
    </w:p>
    <w:p w14:paraId="4DCFF451" w14:textId="77777777" w:rsidR="005852D4" w:rsidRDefault="005852D4" w:rsidP="00EC477A">
      <w:pPr>
        <w:widowControl w:val="0"/>
        <w:spacing w:after="0" w:line="240" w:lineRule="auto"/>
        <w:ind w:left="0" w:hanging="2"/>
        <w:jc w:val="center"/>
        <w:rPr>
          <w:rFonts w:ascii="Times New Roman" w:eastAsia="Times New Roman" w:hAnsi="Times New Roman" w:cs="Times New Roman"/>
          <w:sz w:val="20"/>
          <w:szCs w:val="20"/>
        </w:rPr>
      </w:pPr>
    </w:p>
    <w:tbl>
      <w:tblPr>
        <w:tblStyle w:val="a"/>
        <w:tblW w:w="93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42"/>
        <w:gridCol w:w="8080"/>
      </w:tblGrid>
      <w:tr w:rsidR="005852D4" w14:paraId="2B28AEA8" w14:textId="77777777">
        <w:tc>
          <w:tcPr>
            <w:tcW w:w="1242" w:type="dxa"/>
          </w:tcPr>
          <w:p w14:paraId="3DDCA5B0" w14:textId="77777777" w:rsidR="005852D4" w:rsidRDefault="005852D4" w:rsidP="00EC477A">
            <w:pPr>
              <w:spacing w:after="0" w:line="240" w:lineRule="auto"/>
              <w:ind w:left="0" w:hanging="2"/>
              <w:jc w:val="center"/>
              <w:rPr>
                <w:rFonts w:ascii="Times New Roman" w:eastAsia="Times New Roman" w:hAnsi="Times New Roman" w:cs="Times New Roman"/>
                <w:sz w:val="18"/>
                <w:szCs w:val="18"/>
              </w:rPr>
            </w:pPr>
          </w:p>
          <w:p w14:paraId="54CD17BE" w14:textId="77777777" w:rsidR="005852D4" w:rsidRDefault="002678EE" w:rsidP="00EC477A">
            <w:pPr>
              <w:spacing w:after="0" w:line="240" w:lineRule="auto"/>
              <w:ind w:left="0" w:hanging="2"/>
              <w:jc w:val="center"/>
              <w:rPr>
                <w:rFonts w:ascii="Times New Roman" w:eastAsia="Times New Roman" w:hAnsi="Times New Roman" w:cs="Times New Roman"/>
                <w:sz w:val="18"/>
                <w:szCs w:val="18"/>
              </w:rPr>
            </w:pPr>
            <w:r>
              <w:rPr>
                <w:rFonts w:ascii="Times New Roman" w:eastAsia="Times New Roman" w:hAnsi="Times New Roman" w:cs="Times New Roman"/>
                <w:b/>
                <w:sz w:val="18"/>
                <w:szCs w:val="18"/>
              </w:rPr>
              <w:t>Track Record Article</w:t>
            </w:r>
          </w:p>
          <w:p w14:paraId="5B14C6D0" w14:textId="77777777" w:rsidR="005852D4" w:rsidRDefault="005852D4" w:rsidP="00EC477A">
            <w:pPr>
              <w:spacing w:after="0" w:line="240" w:lineRule="auto"/>
              <w:rPr>
                <w:rFonts w:ascii="Times New Roman" w:eastAsia="Times New Roman" w:hAnsi="Times New Roman" w:cs="Times New Roman"/>
                <w:sz w:val="12"/>
                <w:szCs w:val="12"/>
              </w:rPr>
            </w:pPr>
          </w:p>
          <w:p w14:paraId="471BFDE4" w14:textId="77777777" w:rsidR="005852D4" w:rsidRDefault="002678EE" w:rsidP="00EC477A">
            <w:pPr>
              <w:spacing w:after="0" w:line="240" w:lineRule="auto"/>
              <w:rPr>
                <w:rFonts w:ascii="Times New Roman" w:eastAsia="Times New Roman" w:hAnsi="Times New Roman" w:cs="Times New Roman"/>
                <w:sz w:val="12"/>
                <w:szCs w:val="12"/>
              </w:rPr>
            </w:pPr>
            <w:r>
              <w:rPr>
                <w:rFonts w:ascii="Times New Roman" w:eastAsia="Times New Roman" w:hAnsi="Times New Roman" w:cs="Times New Roman"/>
                <w:sz w:val="12"/>
                <w:szCs w:val="12"/>
              </w:rPr>
              <w:t xml:space="preserve">Accepted: </w:t>
            </w:r>
          </w:p>
          <w:p w14:paraId="17E7F5FD" w14:textId="77777777" w:rsidR="005852D4" w:rsidRDefault="005852D4" w:rsidP="00EC477A">
            <w:pPr>
              <w:spacing w:after="0" w:line="240" w:lineRule="auto"/>
              <w:rPr>
                <w:rFonts w:ascii="Times New Roman" w:eastAsia="Times New Roman" w:hAnsi="Times New Roman" w:cs="Times New Roman"/>
                <w:sz w:val="12"/>
                <w:szCs w:val="12"/>
              </w:rPr>
            </w:pPr>
          </w:p>
          <w:p w14:paraId="38D49C70" w14:textId="77777777" w:rsidR="005852D4" w:rsidRDefault="002678EE" w:rsidP="00EC477A">
            <w:pPr>
              <w:spacing w:after="0" w:line="240" w:lineRule="auto"/>
              <w:rPr>
                <w:rFonts w:ascii="Times New Roman" w:eastAsia="Times New Roman" w:hAnsi="Times New Roman" w:cs="Times New Roman"/>
                <w:sz w:val="12"/>
                <w:szCs w:val="12"/>
              </w:rPr>
            </w:pPr>
            <w:r>
              <w:rPr>
                <w:rFonts w:ascii="Times New Roman" w:eastAsia="Times New Roman" w:hAnsi="Times New Roman" w:cs="Times New Roman"/>
                <w:sz w:val="12"/>
                <w:szCs w:val="12"/>
              </w:rPr>
              <w:t xml:space="preserve"> Published: </w:t>
            </w:r>
          </w:p>
          <w:p w14:paraId="4F825100" w14:textId="77777777" w:rsidR="005852D4" w:rsidRDefault="005852D4" w:rsidP="00EC477A">
            <w:pPr>
              <w:spacing w:after="0" w:line="240" w:lineRule="auto"/>
              <w:ind w:left="1" w:hanging="3"/>
              <w:rPr>
                <w:rFonts w:ascii="Times New Roman" w:eastAsia="Times New Roman" w:hAnsi="Times New Roman" w:cs="Times New Roman"/>
                <w:color w:val="000000"/>
                <w:sz w:val="28"/>
                <w:szCs w:val="28"/>
              </w:rPr>
            </w:pPr>
          </w:p>
        </w:tc>
        <w:tc>
          <w:tcPr>
            <w:tcW w:w="8080" w:type="dxa"/>
          </w:tcPr>
          <w:p w14:paraId="556A3E72" w14:textId="77777777" w:rsidR="005852D4" w:rsidRPr="008E72D1" w:rsidRDefault="005852D4" w:rsidP="00EC477A">
            <w:pPr>
              <w:widowControl w:val="0"/>
              <w:spacing w:after="0" w:line="240" w:lineRule="auto"/>
              <w:ind w:left="0" w:right="-135" w:hanging="2"/>
              <w:jc w:val="center"/>
              <w:rPr>
                <w:rFonts w:asciiTheme="majorBidi" w:eastAsia="Times New Roman" w:hAnsiTheme="majorBidi" w:cstheme="majorBidi"/>
                <w:i/>
                <w:iCs/>
                <w:sz w:val="20"/>
                <w:szCs w:val="20"/>
              </w:rPr>
            </w:pPr>
          </w:p>
          <w:p w14:paraId="67EA8642" w14:textId="77777777" w:rsidR="005852D4" w:rsidRPr="008E72D1" w:rsidRDefault="002678EE" w:rsidP="00EC477A">
            <w:pPr>
              <w:widowControl w:val="0"/>
              <w:spacing w:after="0" w:line="240" w:lineRule="auto"/>
              <w:ind w:left="0" w:right="-135" w:hanging="2"/>
              <w:jc w:val="center"/>
              <w:rPr>
                <w:rFonts w:asciiTheme="majorBidi" w:eastAsia="Times New Roman" w:hAnsiTheme="majorBidi" w:cstheme="majorBidi"/>
                <w:i/>
                <w:iCs/>
                <w:sz w:val="20"/>
                <w:szCs w:val="20"/>
              </w:rPr>
            </w:pPr>
            <w:r w:rsidRPr="008E72D1">
              <w:rPr>
                <w:rFonts w:asciiTheme="majorBidi" w:eastAsia="Times New Roman" w:hAnsiTheme="majorBidi" w:cstheme="majorBidi"/>
                <w:b/>
                <w:i/>
                <w:iCs/>
                <w:sz w:val="20"/>
                <w:szCs w:val="20"/>
              </w:rPr>
              <w:t>Abstract</w:t>
            </w:r>
          </w:p>
          <w:p w14:paraId="4DAC065D" w14:textId="77777777" w:rsidR="008E72D1" w:rsidRPr="008E72D1" w:rsidRDefault="008E72D1" w:rsidP="008E72D1">
            <w:pPr>
              <w:spacing w:after="0" w:line="240" w:lineRule="auto"/>
              <w:ind w:left="-2" w:firstLineChars="236" w:firstLine="472"/>
              <w:jc w:val="both"/>
              <w:textDirection w:val="lrTb"/>
              <w:rPr>
                <w:rFonts w:asciiTheme="majorBidi" w:hAnsiTheme="majorBidi" w:cstheme="majorBidi"/>
                <w:i/>
                <w:iCs/>
                <w:sz w:val="20"/>
                <w:szCs w:val="20"/>
              </w:rPr>
            </w:pPr>
            <w:r w:rsidRPr="008E72D1">
              <w:rPr>
                <w:rFonts w:asciiTheme="majorBidi" w:hAnsiTheme="majorBidi" w:cstheme="majorBidi"/>
                <w:i/>
                <w:iCs/>
                <w:sz w:val="20"/>
                <w:szCs w:val="20"/>
              </w:rPr>
              <w:t>The prevalence of diabetes mellitus continues to increase and significantly contributes to high morbidity and mortality rates. Diabetes management is implemented through the Chronic Disease Management Program (Prolanis), a promotive and preventive initiative developed by the Indonesian National Health Insurance Agency (BPJS Kesehatan) aimed at controlling chronic diseases, including Diabetes Mellitus (DM). The level of Prolanis utilization among DM patients varies and is influenced by multiple factors. This study aims to analyze factors associated with the utilization of Prolanis among patients with Diabetes Mellitus. A quantitative research method with a cross-sectional design was employed. The study population consisted of DM patients enrolled in Prolanis at primary healthcare facilities (FKTP) in Demak. A Proportionate Stratified Random Sampling technique was used, resulting in a total sample of 120 participants. Data were collected using a structured questionnaire covering respondent characteristics and key variables (knowledge, family support, healthcare provider support, service accessibility, and perceived need). Data were analyzed using univariate, bivariate (chi-square), and multivariate (logistic regression) methods.</w:t>
            </w:r>
            <w:r w:rsidRPr="008E72D1">
              <w:rPr>
                <w:rFonts w:asciiTheme="majorBidi" w:hAnsiTheme="majorBidi" w:cstheme="majorBidi"/>
                <w:i/>
                <w:iCs/>
                <w:sz w:val="20"/>
                <w:szCs w:val="20"/>
                <w:lang w:val="en-US"/>
              </w:rPr>
              <w:t xml:space="preserve"> </w:t>
            </w:r>
            <w:r w:rsidRPr="008E72D1">
              <w:rPr>
                <w:rFonts w:asciiTheme="majorBidi" w:hAnsiTheme="majorBidi" w:cstheme="majorBidi"/>
                <w:i/>
                <w:iCs/>
                <w:sz w:val="20"/>
                <w:szCs w:val="20"/>
              </w:rPr>
              <w:t>The results showed significant associations between knowledge (p = 0.000; OR = 38.5), family support (p = 0.000; OR = 49), healthcare provider support (p = 0.000; OR = 23.2), service accessibility (p = 0.000; OR = 6.1), and perceived need (p = 0.000; OR = 22.6) with Prolanis utilization. Logistic regression analysis demonstrated that all variables (knowledge, family support, healthcare provider support, service accessibility, and perceived need) significantly influenced Prolanis utilization (p &lt; 0.05). Family support emerged as the most dominant factor, reflected by the highest Exp(B) value (39.868), followed by knowledge (24.877), perceived need (20.778), healthcare provider support (10.948), and service accessibility (6.036). These findings suggest that primary healthcare centers and BPJS Kesehatan need to enhance Prolanis accessibility through flexible scheduling, community-based services, and optimization of activities such as Prolanis clubs, regular education, and attendance monitoring.</w:t>
            </w:r>
          </w:p>
          <w:p w14:paraId="7E7C8A7B" w14:textId="5B7CF3F4" w:rsidR="008E72D1" w:rsidRPr="008E72D1" w:rsidRDefault="008E72D1" w:rsidP="008E72D1">
            <w:pPr>
              <w:spacing w:after="0" w:line="240" w:lineRule="auto"/>
              <w:ind w:left="0" w:hanging="2"/>
              <w:jc w:val="both"/>
              <w:textDirection w:val="lrTb"/>
              <w:rPr>
                <w:rFonts w:asciiTheme="majorBidi" w:hAnsiTheme="majorBidi" w:cstheme="majorBidi"/>
                <w:i/>
                <w:iCs/>
                <w:sz w:val="20"/>
                <w:szCs w:val="20"/>
              </w:rPr>
            </w:pPr>
            <w:r w:rsidRPr="008E72D1">
              <w:rPr>
                <w:rFonts w:asciiTheme="majorBidi" w:hAnsiTheme="majorBidi" w:cstheme="majorBidi"/>
                <w:b/>
                <w:bCs/>
                <w:i/>
                <w:iCs/>
                <w:sz w:val="20"/>
                <w:szCs w:val="20"/>
              </w:rPr>
              <w:t>Keywords:</w:t>
            </w:r>
            <w:r w:rsidRPr="008E72D1">
              <w:rPr>
                <w:rFonts w:asciiTheme="majorBidi" w:hAnsiTheme="majorBidi" w:cstheme="majorBidi"/>
                <w:i/>
                <w:iCs/>
                <w:sz w:val="20"/>
                <w:szCs w:val="20"/>
              </w:rPr>
              <w:t xml:space="preserve"> Prolanis, Diabetes Mellitus, knowledge, family support, healthcare provider support, service </w:t>
            </w:r>
            <w:r w:rsidRPr="008E72D1">
              <w:rPr>
                <w:rFonts w:asciiTheme="majorBidi" w:hAnsiTheme="majorBidi" w:cstheme="majorBidi"/>
                <w:i/>
                <w:iCs/>
                <w:sz w:val="20"/>
                <w:szCs w:val="20"/>
                <w:lang w:val="en-US"/>
              </w:rPr>
              <w:t>accessibility</w:t>
            </w:r>
            <w:r w:rsidRPr="008E72D1">
              <w:rPr>
                <w:rFonts w:asciiTheme="majorBidi" w:hAnsiTheme="majorBidi" w:cstheme="majorBidi"/>
                <w:i/>
                <w:iCs/>
                <w:sz w:val="20"/>
                <w:szCs w:val="20"/>
              </w:rPr>
              <w:t>, perceived need.</w:t>
            </w:r>
          </w:p>
          <w:p w14:paraId="256191F2" w14:textId="3857B7CA" w:rsidR="005852D4" w:rsidRPr="008E72D1" w:rsidRDefault="005852D4" w:rsidP="008E72D1">
            <w:pPr>
              <w:spacing w:after="0" w:line="240" w:lineRule="auto"/>
              <w:ind w:leftChars="0" w:left="0" w:firstLineChars="0" w:firstLine="0"/>
              <w:jc w:val="both"/>
              <w:rPr>
                <w:rFonts w:asciiTheme="majorBidi" w:hAnsiTheme="majorBidi" w:cstheme="majorBidi"/>
                <w:i/>
                <w:iCs/>
                <w:sz w:val="20"/>
                <w:szCs w:val="20"/>
              </w:rPr>
            </w:pPr>
          </w:p>
        </w:tc>
      </w:tr>
    </w:tbl>
    <w:p w14:paraId="58661E69" w14:textId="77777777" w:rsidR="005852D4" w:rsidRDefault="005852D4">
      <w:pPr>
        <w:spacing w:line="240" w:lineRule="auto"/>
        <w:ind w:left="0" w:hanging="2"/>
        <w:jc w:val="both"/>
        <w:rPr>
          <w:rFonts w:ascii="Times New Roman" w:eastAsia="Times New Roman" w:hAnsi="Times New Roman" w:cs="Times New Roman"/>
        </w:rPr>
        <w:sectPr w:rsidR="005852D4">
          <w:headerReference w:type="even" r:id="rId9"/>
          <w:headerReference w:type="default" r:id="rId10"/>
          <w:footerReference w:type="default" r:id="rId11"/>
          <w:headerReference w:type="first" r:id="rId12"/>
          <w:type w:val="continuous"/>
          <w:pgSz w:w="11906" w:h="16838"/>
          <w:pgMar w:top="1440" w:right="1440" w:bottom="1440" w:left="1440" w:header="709" w:footer="709" w:gutter="0"/>
          <w:cols w:space="720"/>
          <w:titlePg/>
        </w:sectPr>
      </w:pPr>
    </w:p>
    <w:p w14:paraId="60A97D55" w14:textId="062CB4D4" w:rsidR="005852D4" w:rsidRDefault="002678EE" w:rsidP="008E72D1">
      <w:pPr>
        <w:pBdr>
          <w:top w:val="nil"/>
          <w:left w:val="nil"/>
          <w:bottom w:val="nil"/>
          <w:right w:val="nil"/>
          <w:between w:val="nil"/>
        </w:pBdr>
        <w:spacing w:line="360" w:lineRule="auto"/>
        <w:ind w:left="0" w:hanging="2"/>
        <w:jc w:val="both"/>
        <w:rPr>
          <w:rFonts w:ascii="Times New Roman" w:eastAsia="Times New Roman" w:hAnsi="Times New Roman" w:cs="Times New Roman"/>
          <w:color w:val="000000"/>
          <w:sz w:val="24"/>
          <w:szCs w:val="24"/>
        </w:rPr>
      </w:pPr>
      <w:bookmarkStart w:id="0" w:name="_heading=h.gjdgxs" w:colFirst="0" w:colLast="0"/>
      <w:bookmarkEnd w:id="0"/>
      <w:r>
        <w:rPr>
          <w:rFonts w:ascii="Times New Roman" w:eastAsia="Times New Roman" w:hAnsi="Times New Roman" w:cs="Times New Roman"/>
          <w:b/>
          <w:color w:val="000000"/>
          <w:sz w:val="24"/>
          <w:szCs w:val="24"/>
        </w:rPr>
        <w:t>INTRODUCTION</w:t>
      </w:r>
    </w:p>
    <w:p w14:paraId="67A24B73" w14:textId="6CFD3CDB" w:rsidR="00B762FA" w:rsidRPr="00B30C99" w:rsidRDefault="008E72D1" w:rsidP="008E72D1">
      <w:pPr>
        <w:pStyle w:val="ListParagraph"/>
        <w:ind w:left="-2" w:firstLineChars="236" w:firstLine="566"/>
        <w:rPr>
          <w:rFonts w:asciiTheme="majorBidi" w:hAnsiTheme="majorBidi" w:cstheme="majorBidi"/>
        </w:rPr>
      </w:pPr>
      <w:r>
        <w:t xml:space="preserve">The progression of globalization has driven an epidemiological transition characterized by a shift from infectious diseases to non-communicable diseases (NCDs), including diabetes mellitus (DM) </w:t>
      </w:r>
      <w:r w:rsidR="00020A2C" w:rsidRPr="00B30C99">
        <w:rPr>
          <w:rFonts w:asciiTheme="majorBidi" w:eastAsia="AGaramondPro-Regular" w:hAnsiTheme="majorBidi" w:cstheme="majorBidi"/>
        </w:rPr>
        <w:fldChar w:fldCharType="begin" w:fldLock="1"/>
      </w:r>
      <w:r w:rsidR="00EC477A">
        <w:rPr>
          <w:rFonts w:asciiTheme="majorBidi" w:eastAsia="AGaramondPro-Regular" w:hAnsiTheme="majorBidi" w:cstheme="majorBidi"/>
        </w:rPr>
        <w:instrText>ADDIN CSL_CITATION {"citationItems":[{"id":"ITEM-1","itemData":{"abstract":"… dapat menyebabkan penyakit komplikasi seperti strok dan gagal jantung bahkan kematian. … posisi setengah duduk atau posisi fowler atau semi fowler. Segera meminta bantuan orang …","author":[{"dropping-particle":"","family":"Kemenkes RI","given":"","non-dropping-particle":"","parse-names":false,"suffix":""}],"container-title":"Buletin Jendela Data dan Informasi Kesehatan","id":"ITEM-1","issued":{"date-parts":[["2023"]]},"number-of-pages":"67-87","publisher":"Kemenkes RI","publisher-place":"Jakarta","title":"Survei Kesehatan Indonesia (SKI) 2023: Penyakit Tidak Menular","type":"book"},"uris":["http://www.mendeley.com/documents/?uuid=6487e9f8-6dbf-43c8-81c9-3351faa09b0d","http://www.mendeley.com/documents/?uuid=d445cc22-d8f8-4180-807c-7296550c8c9c"]}],"mendeley":{"formattedCitation":"(Kemenkes RI, 2023)","plainTextFormattedCitation":"(Kemenkes RI, 2023)","previouslyFormattedCitation":"(Kemenkes RI, 2023)"},"properties":{"noteIndex":0},"schema":"https://github.com/citation-style-language/schema/raw/master/csl-citation.json"}</w:instrText>
      </w:r>
      <w:r w:rsidR="00020A2C" w:rsidRPr="00B30C99">
        <w:rPr>
          <w:rFonts w:asciiTheme="majorBidi" w:eastAsia="AGaramondPro-Regular" w:hAnsiTheme="majorBidi" w:cstheme="majorBidi"/>
        </w:rPr>
        <w:fldChar w:fldCharType="separate"/>
      </w:r>
      <w:r w:rsidR="00AF4670" w:rsidRPr="00B30C99">
        <w:rPr>
          <w:rFonts w:asciiTheme="majorBidi" w:eastAsia="AGaramondPro-Regular" w:hAnsiTheme="majorBidi" w:cstheme="majorBidi"/>
          <w:noProof/>
        </w:rPr>
        <w:t>(Kemenkes RI, 2023)</w:t>
      </w:r>
      <w:r w:rsidR="00020A2C" w:rsidRPr="00B30C99">
        <w:rPr>
          <w:rFonts w:asciiTheme="majorBidi" w:eastAsia="AGaramondPro-Regular" w:hAnsiTheme="majorBidi" w:cstheme="majorBidi"/>
        </w:rPr>
        <w:fldChar w:fldCharType="end"/>
      </w:r>
      <w:r w:rsidR="00730186" w:rsidRPr="00B30C99">
        <w:rPr>
          <w:rFonts w:asciiTheme="majorBidi" w:eastAsia="Times New Roman" w:hAnsiTheme="majorBidi" w:cstheme="majorBidi"/>
          <w:lang w:eastAsia="en-ID"/>
        </w:rPr>
        <w:t xml:space="preserve">. </w:t>
      </w:r>
      <w:r>
        <w:t>The International Diabetes Federation (IDF) reports a continuous global rise in DM prevalence, including among younger age groups</w:t>
      </w:r>
      <w:r>
        <w:t xml:space="preserve"> </w:t>
      </w:r>
      <w:r w:rsidR="00B762FA" w:rsidRPr="00B30C99">
        <w:rPr>
          <w:rFonts w:asciiTheme="majorBidi" w:eastAsia="ArialMT" w:hAnsiTheme="majorBidi" w:cstheme="majorBidi"/>
          <w:color w:val="000000"/>
        </w:rPr>
        <w:fldChar w:fldCharType="begin" w:fldLock="1"/>
      </w:r>
      <w:r w:rsidR="00EC477A">
        <w:rPr>
          <w:rFonts w:asciiTheme="majorBidi" w:eastAsia="ArialMT" w:hAnsiTheme="majorBidi" w:cstheme="majorBidi"/>
          <w:color w:val="000000"/>
        </w:rPr>
        <w:instrText>ADDIN CSL_CITATION {"citationItems":[{"id":"ITEM-1","itemData":{"URL":"http://www.diabetesatlas.org/","author":[{"dropping-particle":"","family":"International Diabetes Federation (IDF)","given":"","non-dropping-particle":"","parse-names":false,"suffix":""}],"container-title":"International Diabetes Federation","id":"ITEM-1","issued":{"date-parts":[["2024"]]},"publisher-place":"Brussels","title":"IDF Diabetes Atlas 7th Edition","type":"webpage"},"uris":["http://www.mendeley.com/documents/?uuid=0f43d3b3-3854-4c81-9c2c-046f1dd80fb6"]}],"mendeley":{"formattedCitation":"(International Diabetes Federation (IDF), 2024)","manualFormatting":"(IDF, 2024)","plainTextFormattedCitation":"(International Diabetes Federation (IDF), 2024)","previouslyFormattedCitation":"(International Diabetes Federation (IDF), 2024)"},"properties":{"noteIndex":0},"schema":"https://github.com/citation-style-language/schema/raw/master/csl-citation.json"}</w:instrText>
      </w:r>
      <w:r w:rsidR="00B762FA" w:rsidRPr="00B30C99">
        <w:rPr>
          <w:rFonts w:asciiTheme="majorBidi" w:eastAsia="ArialMT" w:hAnsiTheme="majorBidi" w:cstheme="majorBidi"/>
          <w:color w:val="000000"/>
        </w:rPr>
        <w:fldChar w:fldCharType="separate"/>
      </w:r>
      <w:r w:rsidR="00B762FA" w:rsidRPr="00B30C99">
        <w:rPr>
          <w:rFonts w:asciiTheme="majorBidi" w:eastAsia="ArialMT" w:hAnsiTheme="majorBidi" w:cstheme="majorBidi"/>
          <w:noProof/>
          <w:color w:val="000000"/>
        </w:rPr>
        <w:t>(IDF, 2024)</w:t>
      </w:r>
      <w:r w:rsidR="00B762FA" w:rsidRPr="00B30C99">
        <w:rPr>
          <w:rFonts w:asciiTheme="majorBidi" w:eastAsia="ArialMT" w:hAnsiTheme="majorBidi" w:cstheme="majorBidi"/>
          <w:color w:val="000000"/>
        </w:rPr>
        <w:fldChar w:fldCharType="end"/>
      </w:r>
      <w:r w:rsidR="00B762FA" w:rsidRPr="00B30C99">
        <w:rPr>
          <w:rFonts w:asciiTheme="majorBidi" w:eastAsia="ArialMT" w:hAnsiTheme="majorBidi" w:cstheme="majorBidi"/>
          <w:color w:val="000000"/>
        </w:rPr>
        <w:t xml:space="preserve">. </w:t>
      </w:r>
      <w:r>
        <w:t>The global prevalence of DM in individuals aged 20–79 years increased from 10.5% in 2021 to 11.1% in 2024, and the number of people living with DM is projected to rise from 415 million to 642 million by 2040</w:t>
      </w:r>
      <w:r>
        <w:t xml:space="preserve"> </w:t>
      </w:r>
      <w:r w:rsidR="00B762FA" w:rsidRPr="00B30C99">
        <w:rPr>
          <w:rFonts w:asciiTheme="majorBidi" w:hAnsiTheme="majorBidi" w:cstheme="majorBidi"/>
          <w:i/>
        </w:rPr>
        <w:fldChar w:fldCharType="begin" w:fldLock="1"/>
      </w:r>
      <w:r w:rsidR="00EC477A">
        <w:rPr>
          <w:rFonts w:asciiTheme="majorBidi" w:hAnsiTheme="majorBidi" w:cstheme="majorBidi"/>
          <w:i/>
        </w:rPr>
        <w:instrText>ADDIN CSL_CITATION {"citationItems":[{"id":"ITEM-1","itemData":{"URL":"www.diabetesjournals.org","author":[{"dropping-particle":"","family":"American Diabetes Association (ADA)","given":"","non-dropping-particle":"","parse-names":false,"suffix":""}],"container-title":"ADA","id":"ITEM-1","issued":{"date-parts":[["2024"]]},"title":"Standars od Medical Care In Diabetes","type":"webpage"},"uris":["http://www.mendeley.com/documents/?uuid=e425febd-6271-48b8-b164-2df42513fbac"]}],"mendeley":{"formattedCitation":"(American Diabetes Association (ADA), 2024)","manualFormatting":"(ADA, 2024)","plainTextFormattedCitation":"(American Diabetes Association (ADA), 2024)","previouslyFormattedCitation":"(American Diabetes Association (ADA), 2024)"},"properties":{"noteIndex":0},"schema":"https://github.com/citation-style-language/schema/raw/master/csl-citation.json"}</w:instrText>
      </w:r>
      <w:r w:rsidR="00B762FA" w:rsidRPr="00B30C99">
        <w:rPr>
          <w:rFonts w:asciiTheme="majorBidi" w:hAnsiTheme="majorBidi" w:cstheme="majorBidi"/>
          <w:i/>
        </w:rPr>
        <w:fldChar w:fldCharType="separate"/>
      </w:r>
      <w:r w:rsidR="00B762FA" w:rsidRPr="00B30C99">
        <w:rPr>
          <w:rFonts w:asciiTheme="majorBidi" w:hAnsiTheme="majorBidi" w:cstheme="majorBidi"/>
          <w:noProof/>
        </w:rPr>
        <w:t>(ADA, 2024)</w:t>
      </w:r>
      <w:r w:rsidR="00B762FA" w:rsidRPr="00B30C99">
        <w:rPr>
          <w:rFonts w:asciiTheme="majorBidi" w:hAnsiTheme="majorBidi" w:cstheme="majorBidi"/>
          <w:i/>
        </w:rPr>
        <w:fldChar w:fldCharType="end"/>
      </w:r>
      <w:r w:rsidR="00A8515E" w:rsidRPr="00A8515E">
        <w:rPr>
          <w:rFonts w:asciiTheme="majorBidi" w:eastAsia="Times New Roman" w:hAnsiTheme="majorBidi" w:cstheme="majorBidi"/>
          <w:position w:val="0"/>
          <w:szCs w:val="24"/>
          <w:lang w:val="en-ID" w:eastAsia="en-ID"/>
        </w:rPr>
        <w:t xml:space="preserve">. </w:t>
      </w:r>
      <w:r>
        <w:t>In Southeast Asia, the prevalence has increased from 8.7% to 10.8%</w:t>
      </w:r>
      <w:r w:rsidR="00A8515E" w:rsidRPr="00A8515E">
        <w:rPr>
          <w:rFonts w:asciiTheme="majorBidi" w:eastAsia="Times New Roman" w:hAnsiTheme="majorBidi" w:cstheme="majorBidi"/>
          <w:position w:val="0"/>
          <w:szCs w:val="24"/>
          <w:lang w:val="en-ID" w:eastAsia="en-ID"/>
        </w:rPr>
        <w:t xml:space="preserve"> </w:t>
      </w:r>
      <w:r w:rsidR="00B762FA" w:rsidRPr="00B30C99">
        <w:rPr>
          <w:rFonts w:asciiTheme="majorBidi" w:hAnsiTheme="majorBidi" w:cstheme="majorBidi"/>
        </w:rPr>
        <w:fldChar w:fldCharType="begin" w:fldLock="1"/>
      </w:r>
      <w:r w:rsidR="00EC477A">
        <w:rPr>
          <w:rFonts w:asciiTheme="majorBidi" w:hAnsiTheme="majorBidi" w:cstheme="majorBidi"/>
        </w:rPr>
        <w:instrText>ADDIN CSL_CITATION {"citationItems":[{"id":"ITEM-1","itemData":{"URL":"http://apps.who.int/iris/bitstream","author":[{"dropping-particle":"","family":"World Health Organization (WHO)","given":"","non-dropping-particle":"","parse-names":false,"suffix":""}],"container-title":"Public Health","id":"ITEM-1","issued":{"date-parts":[["2024"]]},"title":"Global Report on Diabetes. 1. Diabetes Mellitus – epidemiology. 2. Diabetes Mellitus – prevention and control. 3. Diabetes, Gestational. 4. Chronic Disease. 5.","type":"webpage"},"uris":["http://www.mendeley.com/documents/?uuid=0fa8ea21-9747-47ba-b4f5-a67b550e6772"]}],"mendeley":{"formattedCitation":"(World Health Organization (WHO), 2024)","manualFormatting":"(WHO, 2024)","plainTextFormattedCitation":"(World Health Organization (WHO), 2024)","previouslyFormattedCitation":"(World Health Organization (WHO), 2024)"},"properties":{"noteIndex":0},"schema":"https://github.com/citation-style-language/schema/raw/master/csl-citation.json"}</w:instrText>
      </w:r>
      <w:r w:rsidR="00B762FA" w:rsidRPr="00B30C99">
        <w:rPr>
          <w:rFonts w:asciiTheme="majorBidi" w:hAnsiTheme="majorBidi" w:cstheme="majorBidi"/>
        </w:rPr>
        <w:fldChar w:fldCharType="separate"/>
      </w:r>
      <w:r w:rsidR="00B762FA" w:rsidRPr="00B30C99">
        <w:rPr>
          <w:rFonts w:asciiTheme="majorBidi" w:hAnsiTheme="majorBidi" w:cstheme="majorBidi"/>
          <w:noProof/>
        </w:rPr>
        <w:t>(WHO, 2024)</w:t>
      </w:r>
      <w:r w:rsidR="00B762FA" w:rsidRPr="00B30C99">
        <w:rPr>
          <w:rFonts w:asciiTheme="majorBidi" w:hAnsiTheme="majorBidi" w:cstheme="majorBidi"/>
        </w:rPr>
        <w:fldChar w:fldCharType="end"/>
      </w:r>
      <w:r w:rsidR="00A8515E" w:rsidRPr="00A8515E">
        <w:rPr>
          <w:rFonts w:asciiTheme="majorBidi" w:eastAsia="Times New Roman" w:hAnsiTheme="majorBidi" w:cstheme="majorBidi"/>
          <w:position w:val="0"/>
          <w:szCs w:val="24"/>
          <w:lang w:val="en-ID" w:eastAsia="en-ID"/>
        </w:rPr>
        <w:t xml:space="preserve">, </w:t>
      </w:r>
      <w:r>
        <w:t>and is estimated to reach 10.1% by 2035</w:t>
      </w:r>
      <w:r w:rsidRPr="00A8515E">
        <w:rPr>
          <w:rFonts w:asciiTheme="majorBidi" w:eastAsia="Times New Roman" w:hAnsiTheme="majorBidi" w:cstheme="majorBidi"/>
          <w:position w:val="0"/>
          <w:szCs w:val="24"/>
          <w:lang w:val="en-ID" w:eastAsia="en-ID"/>
        </w:rPr>
        <w:t xml:space="preserve"> </w:t>
      </w:r>
      <w:r w:rsidR="00A8515E" w:rsidRPr="00A8515E">
        <w:rPr>
          <w:rFonts w:asciiTheme="majorBidi" w:eastAsia="Times New Roman" w:hAnsiTheme="majorBidi" w:cstheme="majorBidi"/>
          <w:position w:val="0"/>
          <w:szCs w:val="24"/>
          <w:lang w:val="en-ID" w:eastAsia="en-ID"/>
        </w:rPr>
        <w:t>(IDF, 2024).</w:t>
      </w:r>
      <w:r w:rsidR="00BB5493">
        <w:rPr>
          <w:rFonts w:asciiTheme="majorBidi" w:eastAsia="Times New Roman" w:hAnsiTheme="majorBidi" w:cstheme="majorBidi"/>
          <w:position w:val="0"/>
          <w:szCs w:val="24"/>
          <w:lang w:val="en-ID" w:eastAsia="en-ID"/>
        </w:rPr>
        <w:t xml:space="preserve"> </w:t>
      </w:r>
      <w:r>
        <w:t xml:space="preserve">In Indonesia, DM prevalence rose from 10.9% to 11.7%, with the highest rates found among older </w:t>
      </w:r>
      <w:r>
        <w:lastRenderedPageBreak/>
        <w:t xml:space="preserve">adults aged ≥60 years (24.3%) </w:t>
      </w:r>
      <w:r w:rsidR="00B762FA" w:rsidRPr="00B30C99">
        <w:rPr>
          <w:rFonts w:asciiTheme="majorBidi" w:eastAsia="ArialMT" w:hAnsiTheme="majorBidi" w:cstheme="majorBidi"/>
          <w:color w:val="000000"/>
        </w:rPr>
        <w:fldChar w:fldCharType="begin" w:fldLock="1"/>
      </w:r>
      <w:r w:rsidR="00EC477A">
        <w:rPr>
          <w:rFonts w:asciiTheme="majorBidi" w:eastAsia="ArialMT" w:hAnsiTheme="majorBidi" w:cstheme="majorBidi"/>
          <w:color w:val="000000"/>
        </w:rPr>
        <w:instrText>ADDIN CSL_CITATION {"citationItems":[{"id":"ITEM-1","itemData":{"author":[{"dropping-particle":"","family":"Kemenkes RI","given":"","non-dropping-particle":"","parse-names":false,"suffix":""}],"id":"ITEM-1","issued":{"date-parts":[["2024"]]},"publisher":"Kemenkes RI","publisher-place":"Jakarta","title":"Profil Kesehatan Indonesia","type":"book"},"uris":["http://www.mendeley.com/documents/?uuid=820316f8-8b8a-4141-b3e0-adacc124d7ea"]}],"mendeley":{"formattedCitation":"(Kemenkes RI, 2024)","plainTextFormattedCitation":"(Kemenkes RI, 2024)","previouslyFormattedCitation":"(Kemenkes RI, 2024)"},"properties":{"noteIndex":0},"schema":"https://github.com/citation-style-language/schema/raw/master/csl-citation.json"}</w:instrText>
      </w:r>
      <w:r w:rsidR="00B762FA" w:rsidRPr="00B30C99">
        <w:rPr>
          <w:rFonts w:asciiTheme="majorBidi" w:eastAsia="ArialMT" w:hAnsiTheme="majorBidi" w:cstheme="majorBidi"/>
          <w:color w:val="000000"/>
        </w:rPr>
        <w:fldChar w:fldCharType="separate"/>
      </w:r>
      <w:r w:rsidR="00B762FA" w:rsidRPr="00B30C99">
        <w:rPr>
          <w:rFonts w:asciiTheme="majorBidi" w:eastAsia="ArialMT" w:hAnsiTheme="majorBidi" w:cstheme="majorBidi"/>
          <w:noProof/>
          <w:color w:val="000000"/>
        </w:rPr>
        <w:t>(Kemenkes RI, 2024)</w:t>
      </w:r>
      <w:r w:rsidR="00B762FA" w:rsidRPr="00B30C99">
        <w:rPr>
          <w:rFonts w:asciiTheme="majorBidi" w:eastAsia="ArialMT" w:hAnsiTheme="majorBidi" w:cstheme="majorBidi"/>
          <w:color w:val="000000"/>
        </w:rPr>
        <w:fldChar w:fldCharType="end"/>
      </w:r>
      <w:r w:rsidR="00B762FA" w:rsidRPr="00B762FA">
        <w:rPr>
          <w:rFonts w:asciiTheme="majorBidi" w:eastAsia="Times New Roman" w:hAnsiTheme="majorBidi" w:cstheme="majorBidi"/>
          <w:position w:val="0"/>
          <w:szCs w:val="24"/>
          <w:lang w:val="en-ID" w:eastAsia="en-ID"/>
        </w:rPr>
        <w:t xml:space="preserve">. </w:t>
      </w:r>
      <w:r>
        <w:t>In Central Java Province, DM ranks among the top three NCDs with a prevalence of 8.7%</w:t>
      </w:r>
      <w:r>
        <w:t xml:space="preserve"> </w:t>
      </w:r>
      <w:r w:rsidR="00B762FA" w:rsidRPr="00B30C99">
        <w:rPr>
          <w:rFonts w:asciiTheme="majorBidi" w:eastAsia="ArialMT" w:hAnsiTheme="majorBidi" w:cstheme="majorBidi"/>
        </w:rPr>
        <w:fldChar w:fldCharType="begin" w:fldLock="1"/>
      </w:r>
      <w:r w:rsidR="00EC477A">
        <w:rPr>
          <w:rFonts w:asciiTheme="majorBidi" w:eastAsia="ArialMT" w:hAnsiTheme="majorBidi" w:cstheme="majorBidi"/>
        </w:rPr>
        <w:instrText>ADDIN CSL_CITATION {"citationItems":[{"id":"ITEM-1","itemData":{"URL":"https://dinkes.jatengprov.go.id","author":[{"dropping-particle":"","family":"Dinkes Jateng","given":"","non-dropping-particle":"","parse-names":false,"suffix":""}],"container-title":"Dinkes Jateng","id":"ITEM-1","issued":{"date-parts":[["2024"]]},"title":"Profil Kesehatan Propinsi Jawa Tengah","type":"webpage"},"uris":["http://www.mendeley.com/documents/?uuid=7c9618ea-ee71-477a-a0a3-1130d10273fa"]}],"mendeley":{"formattedCitation":"(Dinkes Jateng, 2024)","plainTextFormattedCitation":"(Dinkes Jateng, 2024)","previouslyFormattedCitation":"(Dinkes Jateng, 2024)"},"properties":{"noteIndex":0},"schema":"https://github.com/citation-style-language/schema/raw/master/csl-citation.json"}</w:instrText>
      </w:r>
      <w:r w:rsidR="00B762FA" w:rsidRPr="00B30C99">
        <w:rPr>
          <w:rFonts w:asciiTheme="majorBidi" w:eastAsia="ArialMT" w:hAnsiTheme="majorBidi" w:cstheme="majorBidi"/>
        </w:rPr>
        <w:fldChar w:fldCharType="separate"/>
      </w:r>
      <w:r w:rsidR="00B762FA" w:rsidRPr="00B30C99">
        <w:rPr>
          <w:rFonts w:asciiTheme="majorBidi" w:eastAsia="ArialMT" w:hAnsiTheme="majorBidi" w:cstheme="majorBidi"/>
          <w:noProof/>
        </w:rPr>
        <w:t>(Dinkes Jateng, 2024)</w:t>
      </w:r>
      <w:r w:rsidR="00B762FA" w:rsidRPr="00B30C99">
        <w:rPr>
          <w:rFonts w:asciiTheme="majorBidi" w:eastAsia="ArialMT" w:hAnsiTheme="majorBidi" w:cstheme="majorBidi"/>
        </w:rPr>
        <w:fldChar w:fldCharType="end"/>
      </w:r>
      <w:r w:rsidR="00B762FA" w:rsidRPr="00B762FA">
        <w:rPr>
          <w:rFonts w:asciiTheme="majorBidi" w:eastAsia="Times New Roman" w:hAnsiTheme="majorBidi" w:cstheme="majorBidi"/>
          <w:position w:val="0"/>
          <w:szCs w:val="24"/>
          <w:lang w:val="en-ID" w:eastAsia="en-ID"/>
        </w:rPr>
        <w:t xml:space="preserve">. </w:t>
      </w:r>
      <w:r>
        <w:t xml:space="preserve">In </w:t>
      </w:r>
      <w:proofErr w:type="spellStart"/>
      <w:r>
        <w:t>Demak</w:t>
      </w:r>
      <w:proofErr w:type="spellEnd"/>
      <w:r>
        <w:t xml:space="preserve"> Regency, DM is the second most common NCD, with 19,118 cases or 6.12% of all chronic disease cases</w:t>
      </w:r>
      <w:r>
        <w:t xml:space="preserve"> </w:t>
      </w:r>
      <w:r w:rsidR="00020A2C" w:rsidRPr="00B30C99">
        <w:rPr>
          <w:rFonts w:asciiTheme="majorBidi" w:hAnsiTheme="majorBidi" w:cstheme="majorBidi"/>
        </w:rPr>
        <w:fldChar w:fldCharType="begin" w:fldLock="1"/>
      </w:r>
      <w:r w:rsidR="00EC477A">
        <w:rPr>
          <w:rFonts w:asciiTheme="majorBidi" w:hAnsiTheme="majorBidi" w:cstheme="majorBidi"/>
        </w:rPr>
        <w:instrText>ADDIN CSL_CITATION {"citationItems":[{"id":"ITEM-1","itemData":{"abstract":"Profil dengan data tahun 2017 ini menggambarkan kondisi kesehatan di Kabupaten Sleman yang diharapkan dapat digunakan sebagai bahan masukan dalam penyusunan perencanaan pembangunan kesehatan di Kabupaten Sleman yang berisi tentang visi dan misi Dinas Kesehatan, gambaran umum wilayah, gambaran pencapaian program, sarana prasarana kesehatan dan pola penyakit yang diperoleh dari kompilasi laporan seluruh sarana kesehatan yang ada di Kabupaten Sleman yang disajikan dalam bentuk grafik, tabel dan gambar","author":[{"dropping-particle":"","family":"Dinkes Demak","given":"","non-dropping-particle":"","parse-names":false,"suffix":""}],"container-title":"Dinas Kesehatan Kab. Demak","id":"ITEM-1","issued":{"date-parts":[["2024"]]},"number-of-pages":"1-89","publisher":"Dinkes Demak","publisher-place":"Demak","title":"Profil Kesehatan Kabupaten Demak 2022","type":"book"},"uris":["http://www.mendeley.com/documents/?uuid=35eeea48-c588-489f-b545-27742961929f","http://www.mendeley.com/documents/?uuid=dc6f5b8e-6cb0-459f-b2a4-280a6b74963c"]}],"mendeley":{"formattedCitation":"(Dinkes Demak, 2024)","plainTextFormattedCitation":"(Dinkes Demak, 2024)","previouslyFormattedCitation":"(Dinkes Demak, 2024)"},"properties":{"noteIndex":0},"schema":"https://github.com/citation-style-language/schema/raw/master/csl-citation.json"}</w:instrText>
      </w:r>
      <w:r w:rsidR="00020A2C" w:rsidRPr="00B30C99">
        <w:rPr>
          <w:rFonts w:asciiTheme="majorBidi" w:hAnsiTheme="majorBidi" w:cstheme="majorBidi"/>
        </w:rPr>
        <w:fldChar w:fldCharType="separate"/>
      </w:r>
      <w:r w:rsidR="00AF4670" w:rsidRPr="00B30C99">
        <w:rPr>
          <w:rFonts w:asciiTheme="majorBidi" w:hAnsiTheme="majorBidi" w:cstheme="majorBidi"/>
          <w:noProof/>
        </w:rPr>
        <w:t>(Dinkes Demak, 2024)</w:t>
      </w:r>
      <w:r w:rsidR="00020A2C" w:rsidRPr="00B30C99">
        <w:rPr>
          <w:rFonts w:asciiTheme="majorBidi" w:hAnsiTheme="majorBidi" w:cstheme="majorBidi"/>
        </w:rPr>
        <w:fldChar w:fldCharType="end"/>
      </w:r>
      <w:r w:rsidR="00B762FA" w:rsidRPr="00B30C99">
        <w:rPr>
          <w:rFonts w:asciiTheme="majorBidi" w:hAnsiTheme="majorBidi" w:cstheme="majorBidi"/>
        </w:rPr>
        <w:t xml:space="preserve">. </w:t>
      </w:r>
    </w:p>
    <w:p w14:paraId="409DC8A7" w14:textId="21F31A73" w:rsidR="00BB5493" w:rsidRDefault="008E72D1" w:rsidP="008E72D1">
      <w:pPr>
        <w:pStyle w:val="ListParagraph"/>
        <w:ind w:left="-2" w:firstLineChars="236" w:firstLine="566"/>
        <w:rPr>
          <w:rFonts w:asciiTheme="majorBidi" w:hAnsiTheme="majorBidi" w:cstheme="majorBidi"/>
          <w:color w:val="000000"/>
        </w:rPr>
      </w:pPr>
      <w:r>
        <w:t>The high burden of DM is influenced by factors such as age, physical activity, lifestyle habits, body mass index, blood pressure, stress, family history, HDL, triglycerides, and dietary patterns</w:t>
      </w:r>
      <w:r>
        <w:t xml:space="preserve"> </w:t>
      </w:r>
      <w:r w:rsidR="00020A2C" w:rsidRPr="00B30C99">
        <w:rPr>
          <w:rFonts w:asciiTheme="majorBidi" w:hAnsiTheme="majorBidi" w:cstheme="majorBidi"/>
        </w:rPr>
        <w:fldChar w:fldCharType="begin" w:fldLock="1"/>
      </w:r>
      <w:r w:rsidR="00EC477A">
        <w:rPr>
          <w:rFonts w:asciiTheme="majorBidi" w:hAnsiTheme="majorBidi" w:cstheme="majorBidi"/>
        </w:rPr>
        <w:instrText>ADDIN CSL_CITATION {"citationItems":[{"id":"ITEM-1","itemData":{"URL":"https://p2ptm.kemkes.go.id/infographic-p2ptm/penyakit-diabetes-melitus","author":[{"dropping-particle":"","family":"Kemenkes RI","given":"","non-dropping-particle":"","parse-names":false,"suffix":""}],"container-title":"Kementerian Kesehatan RI","id":"ITEM-1","issued":{"date-parts":[["2022"]]},"title":"Faktor Risiko Penyakit Diabetes Melitus (DM)-Faktor Risiko yang Bisa Diubah","type":"webpage"},"uris":["http://www.mendeley.com/documents/?uuid=2a51b9ed-667d-45d8-92f7-882ca425b865"]}],"mendeley":{"formattedCitation":"(Kemenkes RI, 2022a)","plainTextFormattedCitation":"(Kemenkes RI, 2022a)","previouslyFormattedCitation":"(Kemenkes RI, 2022a)"},"properties":{"noteIndex":0},"schema":"https://github.com/citation-style-language/schema/raw/master/csl-citation.json"}</w:instrText>
      </w:r>
      <w:r w:rsidR="00020A2C" w:rsidRPr="00B30C99">
        <w:rPr>
          <w:rFonts w:asciiTheme="majorBidi" w:hAnsiTheme="majorBidi" w:cstheme="majorBidi"/>
        </w:rPr>
        <w:fldChar w:fldCharType="separate"/>
      </w:r>
      <w:r w:rsidR="00AF4670" w:rsidRPr="00B30C99">
        <w:rPr>
          <w:rFonts w:asciiTheme="majorBidi" w:hAnsiTheme="majorBidi" w:cstheme="majorBidi"/>
          <w:noProof/>
        </w:rPr>
        <w:t>(Kemenkes RI, 2022a)</w:t>
      </w:r>
      <w:r w:rsidR="00020A2C" w:rsidRPr="00B30C99">
        <w:rPr>
          <w:rFonts w:asciiTheme="majorBidi" w:hAnsiTheme="majorBidi" w:cstheme="majorBidi"/>
        </w:rPr>
        <w:fldChar w:fldCharType="end"/>
      </w:r>
      <w:r w:rsidR="00B762FA" w:rsidRPr="00B30C99">
        <w:rPr>
          <w:rFonts w:asciiTheme="majorBidi" w:hAnsiTheme="majorBidi" w:cstheme="majorBidi"/>
        </w:rPr>
        <w:t xml:space="preserve">. </w:t>
      </w:r>
      <w:r>
        <w:t>Type 2 DM has been associated with age (p = 0.000), sex (p = 0.022), dietary habits (p = 0.009), obesity (p = 0.015), physical activity (p = 0.002), and family history of DM (p = 0.014). Conversely, education (p = 0.0254), smoking (p = 0.0411), hypertension history (p = 0.0593), and stress (p = 0.0320) were not found to be significant contributors</w:t>
      </w:r>
      <w:r>
        <w:t xml:space="preserve"> </w:t>
      </w:r>
      <w:r w:rsidR="00020A2C" w:rsidRPr="00B30C99">
        <w:rPr>
          <w:rFonts w:asciiTheme="majorBidi" w:hAnsiTheme="majorBidi" w:cstheme="majorBidi"/>
        </w:rPr>
        <w:fldChar w:fldCharType="begin" w:fldLock="1"/>
      </w:r>
      <w:r w:rsidR="00EC477A">
        <w:rPr>
          <w:rFonts w:asciiTheme="majorBidi" w:hAnsiTheme="majorBidi" w:cstheme="majorBidi"/>
        </w:rPr>
        <w:instrText>ADDIN CSL_CITATION {"citationItems":[{"id":"ITEM-1","itemData":{"DOI":"10.31436/ijcs.v8i1.410","author":[{"dropping-particle":"","family":"Lestari","given":"Fitri","non-dropping-particle":"","parse-names":false,"suffix":""},{"dropping-particle":"","family":"Isnaini","given":"Nur","non-dropping-particle":"","parse-names":false,"suffix":""}],"container-title":"International Journal of Care Scholars","id":"ITEM-1","issue":"December 2024","issued":{"date-parts":[["2025"]]},"page":"25-30","title":"Identifying Type 2 Diabetes Mellitus Risk Factors among Patients at Public Health Care Centre in Indonesia","type":"article-journal","volume":"8"},"uris":["http://www.mendeley.com/documents/?uuid=4305f73d-c0a7-49b9-822e-870fd34de19c"]}],"mendeley":{"formattedCitation":"(Lestari &amp; Isnaini, 2025)","plainTextFormattedCitation":"(Lestari &amp; Isnaini, 2025)","previouslyFormattedCitation":"(Lestari &amp; Isnaini, 2025)"},"properties":{"noteIndex":0},"schema":"https://github.com/citation-style-language/schema/raw/master/csl-citation.json"}</w:instrText>
      </w:r>
      <w:r w:rsidR="00020A2C" w:rsidRPr="00B30C99">
        <w:rPr>
          <w:rFonts w:asciiTheme="majorBidi" w:hAnsiTheme="majorBidi" w:cstheme="majorBidi"/>
        </w:rPr>
        <w:fldChar w:fldCharType="separate"/>
      </w:r>
      <w:r w:rsidR="00AF4670" w:rsidRPr="00B30C99">
        <w:rPr>
          <w:rFonts w:asciiTheme="majorBidi" w:hAnsiTheme="majorBidi" w:cstheme="majorBidi"/>
          <w:noProof/>
        </w:rPr>
        <w:t>(Lestari &amp; Isnaini, 2025)</w:t>
      </w:r>
      <w:r w:rsidR="00020A2C" w:rsidRPr="00B30C99">
        <w:rPr>
          <w:rFonts w:asciiTheme="majorBidi" w:hAnsiTheme="majorBidi" w:cstheme="majorBidi"/>
        </w:rPr>
        <w:fldChar w:fldCharType="end"/>
      </w:r>
      <w:r w:rsidR="00B762FA" w:rsidRPr="00B30C99">
        <w:rPr>
          <w:rFonts w:asciiTheme="majorBidi" w:hAnsiTheme="majorBidi" w:cstheme="majorBidi"/>
        </w:rPr>
        <w:t xml:space="preserve">. </w:t>
      </w:r>
      <w:r>
        <w:t>The increasing prevalence of DM has led to a rise in severe complications such as stroke, kidney failure, cardiovascular disease, and neuropathy</w:t>
      </w:r>
      <w:r>
        <w:t xml:space="preserve"> </w:t>
      </w:r>
      <w:r w:rsidR="00020A2C" w:rsidRPr="00B30C99">
        <w:rPr>
          <w:rFonts w:asciiTheme="majorBidi" w:hAnsiTheme="majorBidi" w:cstheme="majorBidi"/>
        </w:rPr>
        <w:fldChar w:fldCharType="begin" w:fldLock="1"/>
      </w:r>
      <w:r w:rsidR="00EC477A">
        <w:rPr>
          <w:rFonts w:asciiTheme="majorBidi" w:hAnsiTheme="majorBidi" w:cstheme="majorBidi"/>
        </w:rPr>
        <w:instrText>ADDIN CSL_CITATION {"citationItems":[{"id":"ITEM-1","itemData":{"URL":"http://www.kemenkes.go.id","author":[{"dropping-particle":"","family":"Kemenkes RI","given":"","non-dropping-particle":"","parse-names":false,"suffix":""}],"container-title":"Kementerian Kesehatan RI","id":"ITEM-1","issued":{"date-parts":[["2021"]]},"title":"Situasi dan Analisis Diabetes","type":"webpage"},"uris":["http://www.mendeley.com/documents/?uuid=3c295030-cf1b-4504-8f66-c1e2532a5378"]}],"mendeley":{"formattedCitation":"(Kemenkes RI, 2021)","plainTextFormattedCitation":"(Kemenkes RI, 2021)","previouslyFormattedCitation":"(Kemenkes RI, 2021)"},"properties":{"noteIndex":0},"schema":"https://github.com/citation-style-language/schema/raw/master/csl-citation.json"}</w:instrText>
      </w:r>
      <w:r w:rsidR="00020A2C" w:rsidRPr="00B30C99">
        <w:rPr>
          <w:rFonts w:asciiTheme="majorBidi" w:hAnsiTheme="majorBidi" w:cstheme="majorBidi"/>
        </w:rPr>
        <w:fldChar w:fldCharType="separate"/>
      </w:r>
      <w:r w:rsidR="00AF4670" w:rsidRPr="00B30C99">
        <w:rPr>
          <w:rFonts w:asciiTheme="majorBidi" w:hAnsiTheme="majorBidi" w:cstheme="majorBidi"/>
          <w:noProof/>
        </w:rPr>
        <w:t>(Kemenkes RI, 2021)</w:t>
      </w:r>
      <w:r w:rsidR="00020A2C" w:rsidRPr="00B30C99">
        <w:rPr>
          <w:rFonts w:asciiTheme="majorBidi" w:hAnsiTheme="majorBidi" w:cstheme="majorBidi"/>
        </w:rPr>
        <w:fldChar w:fldCharType="end"/>
      </w:r>
      <w:r w:rsidR="00B762FA" w:rsidRPr="00B30C99">
        <w:rPr>
          <w:rFonts w:asciiTheme="majorBidi" w:hAnsiTheme="majorBidi" w:cstheme="majorBidi"/>
        </w:rPr>
        <w:t>.</w:t>
      </w:r>
      <w:r w:rsidR="00BB5493">
        <w:rPr>
          <w:rFonts w:asciiTheme="majorBidi" w:hAnsiTheme="majorBidi" w:cstheme="majorBidi"/>
        </w:rPr>
        <w:t xml:space="preserve"> </w:t>
      </w:r>
      <w:r>
        <w:t>Primary healthcare plays a crucial role in DM management in accordance with national guidelines (</w:t>
      </w:r>
      <w:proofErr w:type="spellStart"/>
      <w:r>
        <w:t>Kemenkes</w:t>
      </w:r>
      <w:proofErr w:type="spellEnd"/>
      <w:r>
        <w:t>/</w:t>
      </w:r>
      <w:proofErr w:type="spellStart"/>
      <w:r>
        <w:t>Perkeni</w:t>
      </w:r>
      <w:proofErr w:type="spellEnd"/>
      <w:r>
        <w:t>), which emphasize education, lifestyle modification, nutrition, pharmacotherapy, and monitoring</w:t>
      </w:r>
      <w:r>
        <w:t xml:space="preserve"> </w:t>
      </w:r>
      <w:r w:rsidR="00020A2C" w:rsidRPr="00B30C99">
        <w:rPr>
          <w:rFonts w:asciiTheme="majorBidi" w:hAnsiTheme="majorBidi" w:cstheme="majorBidi"/>
          <w:color w:val="000000"/>
        </w:rPr>
        <w:fldChar w:fldCharType="begin" w:fldLock="1"/>
      </w:r>
      <w:r w:rsidR="00EC477A">
        <w:rPr>
          <w:rFonts w:asciiTheme="majorBidi" w:hAnsiTheme="majorBidi" w:cstheme="majorBidi"/>
          <w:color w:val="000000"/>
        </w:rPr>
        <w:instrText>ADDIN CSL_CITATION {"citationItems":[{"id":"ITEM-1","itemData":{"abstract":"Diabetes melitus (DM) merupakan penyakit multifaktorial yang dapat menimbulkan komplikasi baik akut maupun kronis serta dapat menurunkan kualitas hidup penderitanya. Prevalensi DM di seluruh dunia terus meningkat setiap saat. DM sendiri dibedakan menjadi 4 yaitu DM tipe 1, DM tipe 2, DM tipe lain dan diabetes gestasional. Skrining terhadap DM sangat penting karena dapat berimplikasi pada semakin dini terapi diberikan, yang pada akhirnya menurunkan perkembangan DM. Sangat sulit untuk mendiagnosis DM pada fase awal penyakit karena gejalanya biasanya tidak menunjukkan gejala. Pelayanan kesehatan primer (PHC) merupakan pintu masuk awal bagi pasien dalam sistem pelayanan kesehatan khususnya di Indonesia. Puskesmas lebih bergerak pada bidang kesehatan masyarakat dan merupakan tempat yang strategis dalam melakukan skrining dan diagnosis dini penyakit DM. Skrining DM tergantung pada jenis DM dimana tidak dianjurkan untuk melakukan skrining DM tipe 1, skrining setiap 3 bulan pada orang berisiko tinggi/umur &gt; 45 tahun untuk DM tipe 2, dan skrining pada saat diketahui kehamilan untuk diabetes gestasional. Diagnosis DM di Puskesmas dilakukan sesuai dengan pedoman diagnosis DM yang dikeluarkan oleh Kementerian Kesehatan RI atau Perkeni.","author":[{"dropping-particle":"","family":"Nugraha","given":"Ida Bagus Aditya","non-dropping-particle":"","parse-names":false,"suffix":""},{"dropping-particle":"","family":"Pramana","given":"Gede AbiYoga","non-dropping-particle":"","parse-names":false,"suffix":""},{"dropping-particle":"","family":"Gotera","given":"Wira","non-dropping-particle":"","parse-names":false,"suffix":""}],"container-title":"Ganesha Medicina Journal","id":"ITEM-1","issue":"1","issued":{"date-parts":[["2025"]]},"page":"20-26","title":"Penapisan Dan Diagnosis Diabetes Melitus Pada Pelayanan Kesehatan Primer","type":"article-journal","volume":"5"},"uris":["http://www.mendeley.com/documents/?uuid=45c3cfb1-bbad-49bd-9156-5be89c033e10"]}],"mendeley":{"formattedCitation":"(Nugraha et al., 2025)","plainTextFormattedCitation":"(Nugraha et al., 2025)","previouslyFormattedCitation":"(Nugraha et al., 2025)"},"properties":{"noteIndex":0},"schema":"https://github.com/citation-style-language/schema/raw/master/csl-citation.json"}</w:instrText>
      </w:r>
      <w:r w:rsidR="00020A2C" w:rsidRPr="00B30C99">
        <w:rPr>
          <w:rFonts w:asciiTheme="majorBidi" w:hAnsiTheme="majorBidi" w:cstheme="majorBidi"/>
          <w:color w:val="000000"/>
        </w:rPr>
        <w:fldChar w:fldCharType="separate"/>
      </w:r>
      <w:r w:rsidR="00AF4670" w:rsidRPr="00B30C99">
        <w:rPr>
          <w:rFonts w:asciiTheme="majorBidi" w:hAnsiTheme="majorBidi" w:cstheme="majorBidi"/>
          <w:noProof/>
          <w:color w:val="000000"/>
        </w:rPr>
        <w:t>(Nugraha et al., 2025)</w:t>
      </w:r>
      <w:r w:rsidR="00020A2C" w:rsidRPr="00B30C99">
        <w:rPr>
          <w:rFonts w:asciiTheme="majorBidi" w:hAnsiTheme="majorBidi" w:cstheme="majorBidi"/>
          <w:color w:val="000000"/>
        </w:rPr>
        <w:fldChar w:fldCharType="end"/>
      </w:r>
      <w:r w:rsidR="00B30C99" w:rsidRPr="00B30C99">
        <w:rPr>
          <w:rFonts w:asciiTheme="majorBidi" w:hAnsiTheme="majorBidi" w:cstheme="majorBidi"/>
          <w:color w:val="000000"/>
        </w:rPr>
        <w:t xml:space="preserve">, </w:t>
      </w:r>
      <w:r w:rsidR="00B30C99" w:rsidRPr="00B30C99">
        <w:rPr>
          <w:rFonts w:asciiTheme="majorBidi" w:hAnsiTheme="majorBidi" w:cstheme="majorBidi"/>
          <w:color w:val="000000"/>
        </w:rPr>
        <w:fldChar w:fldCharType="begin" w:fldLock="1"/>
      </w:r>
      <w:r w:rsidR="00EC477A">
        <w:rPr>
          <w:rFonts w:asciiTheme="majorBidi" w:hAnsiTheme="majorBidi" w:cstheme="majorBidi"/>
          <w:color w:val="000000"/>
        </w:rPr>
        <w:instrText>ADDIN CSL_CITATION {"citationItems":[{"id":"ITEM-1","itemData":{"author":[{"dropping-particle":"","family":"PERKENI","given":"","non-dropping-particle":"","parse-names":false,"suffix":""}],"id":"ITEM-1","issued":{"date-parts":[["2021"]]},"publisher-place":"Jakarta","title":"Konsensus Pengelolaan dan Pencegahan Diabetes Melitus Tipe 2 di Indonesia","type":"book"},"uris":["http://www.mendeley.com/documents/?uuid=4995a3eb-b3e6-4b57-957e-acbec107c998"]}],"mendeley":{"formattedCitation":"(PERKENI, 2021)","plainTextFormattedCitation":"(PERKENI, 2021)","previouslyFormattedCitation":"(PERKENI, 2021)"},"properties":{"noteIndex":0},"schema":"https://github.com/citation-style-language/schema/raw/master/csl-citation.json"}</w:instrText>
      </w:r>
      <w:r w:rsidR="00B30C99" w:rsidRPr="00B30C99">
        <w:rPr>
          <w:rFonts w:asciiTheme="majorBidi" w:hAnsiTheme="majorBidi" w:cstheme="majorBidi"/>
          <w:color w:val="000000"/>
        </w:rPr>
        <w:fldChar w:fldCharType="separate"/>
      </w:r>
      <w:r w:rsidR="00B30C99" w:rsidRPr="00B30C99">
        <w:rPr>
          <w:rFonts w:asciiTheme="majorBidi" w:hAnsiTheme="majorBidi" w:cstheme="majorBidi"/>
          <w:noProof/>
          <w:color w:val="000000"/>
        </w:rPr>
        <w:t>(PERKENI, 2021)</w:t>
      </w:r>
      <w:r w:rsidR="00B30C99" w:rsidRPr="00B30C99">
        <w:rPr>
          <w:rFonts w:asciiTheme="majorBidi" w:hAnsiTheme="majorBidi" w:cstheme="majorBidi"/>
          <w:color w:val="000000"/>
        </w:rPr>
        <w:fldChar w:fldCharType="end"/>
      </w:r>
      <w:r w:rsidR="00B30C99" w:rsidRPr="00B30C99">
        <w:rPr>
          <w:rFonts w:asciiTheme="majorBidi" w:hAnsiTheme="majorBidi" w:cstheme="majorBidi"/>
          <w:color w:val="000000"/>
        </w:rPr>
        <w:t xml:space="preserve">, </w:t>
      </w:r>
      <w:r w:rsidR="00B30C99" w:rsidRPr="00B30C99">
        <w:rPr>
          <w:rFonts w:asciiTheme="majorBidi" w:hAnsiTheme="majorBidi" w:cstheme="majorBidi"/>
          <w:color w:val="000000"/>
        </w:rPr>
        <w:fldChar w:fldCharType="begin" w:fldLock="1"/>
      </w:r>
      <w:r w:rsidR="00EC477A">
        <w:rPr>
          <w:rFonts w:asciiTheme="majorBidi" w:hAnsiTheme="majorBidi" w:cstheme="majorBidi"/>
          <w:color w:val="000000"/>
        </w:rPr>
        <w:instrText>ADDIN CSL_CITATION {"citationItems":[{"id":"ITEM-1","itemData":{"DOI":"10.29103/jkkmm.v2i4.9983","abstract":"Pasien perempuan berusia 30 tahun datang dengan keluhan kaki kesemutan yang dirasakan dalam 1 bulan ini dan memberat dalam 2 minggu ini. Pasien juga mengeluhkan gatal-gatal di  seluruh tubuh sejak 2 minggu ini. Pasien merasa jika terjadi luka lama sembuhnya. Pasien merasa sering buang air kecil pada malam hari. Pasien juga merasa sering lapar dan sering haus. Pemerikssaan kadar glukosa darah sewaktu pada pasien didapatkan 353 mg/dl. Perhitungan index massa tubuh didapatkan 21,7 kg/m2 (normal). Data primer diperoleh melalui anamnesis dan pemeriksaan fisik dengan melakukan kunjungan rumah. Penilaian dilakukan berdasarkan diagnosis holistik awal, proses, dan akhir kunjungan. Intervensi yang dilakukan diantaranya adalah edukasi mengenai pentingnya mengonsumsi obat secara teratur untuk mengontrol kadar gula darah dan komplikasi yang dapat terjadi. Pasien juga diedukasi mengenai pola makan, edukasi untuk  melakukan aktivitas fisik dan olahraga.","author":[{"dropping-particle":"","family":"Siregar","given":"Wina Yunida M","non-dropping-particle":"","parse-names":false,"suffix":""},{"dropping-particle":"","family":"Ikhsan","given":"Ridhalul","non-dropping-particle":"","parse-names":false,"suffix":""},{"dropping-particle":"","family":"Ikhsan","given":"Maulana","non-dropping-particle":"","parse-names":false,"suffix":""},{"dropping-particle":"","family":"Dewi","given":"Rahmia","non-dropping-particle":"","parse-names":false,"suffix":""},{"dropping-particle":"","family":"Muna","given":"Zurratul","non-dropping-particle":"","parse-names":false,"suffix":""},{"dropping-particle":"","family":"Zara","given":"Noviana","non-dropping-particle":"","parse-names":false,"suffix":""},{"dropping-particle":"","family":"Debbyousha","given":"Maulina","non-dropping-particle":"","parse-names":false,"suffix":""}],"container-title":"GALENICAL : Jurnal Kedokteran dan Kesehatan Mahasiswa Malikussaleh","id":"ITEM-1","issue":"4","issued":{"date-parts":[["2023"]]},"page":"54","title":"Upaya Pengelolaan Diabetes Mellitus Tipe 2 dengan Pendekatan Pelayanan Kedokteran Keluarga","type":"article-journal","volume":"2"},"uris":["http://www.mendeley.com/documents/?uuid=b22f4b02-c4f6-4b96-b30a-edcbd34a41d9"]}],"mendeley":{"formattedCitation":"(Siregar et al., 2023)","plainTextFormattedCitation":"(Siregar et al., 2023)","previouslyFormattedCitation":"(Siregar et al., 2023)"},"properties":{"noteIndex":0},"schema":"https://github.com/citation-style-language/schema/raw/master/csl-citation.json"}</w:instrText>
      </w:r>
      <w:r w:rsidR="00B30C99" w:rsidRPr="00B30C99">
        <w:rPr>
          <w:rFonts w:asciiTheme="majorBidi" w:hAnsiTheme="majorBidi" w:cstheme="majorBidi"/>
          <w:color w:val="000000"/>
        </w:rPr>
        <w:fldChar w:fldCharType="separate"/>
      </w:r>
      <w:r w:rsidR="00B30C99" w:rsidRPr="00B30C99">
        <w:rPr>
          <w:rFonts w:asciiTheme="majorBidi" w:hAnsiTheme="majorBidi" w:cstheme="majorBidi"/>
          <w:noProof/>
          <w:color w:val="000000"/>
        </w:rPr>
        <w:t>(Siregar et al., 2023)</w:t>
      </w:r>
      <w:r w:rsidR="00B30C99" w:rsidRPr="00B30C99">
        <w:rPr>
          <w:rFonts w:asciiTheme="majorBidi" w:hAnsiTheme="majorBidi" w:cstheme="majorBidi"/>
          <w:color w:val="000000"/>
        </w:rPr>
        <w:fldChar w:fldCharType="end"/>
      </w:r>
      <w:r w:rsidR="00B30C99" w:rsidRPr="00B30C99">
        <w:rPr>
          <w:rFonts w:asciiTheme="majorBidi" w:hAnsiTheme="majorBidi" w:cstheme="majorBidi"/>
          <w:color w:val="000000"/>
        </w:rPr>
        <w:t>.</w:t>
      </w:r>
    </w:p>
    <w:p w14:paraId="3764B722" w14:textId="36CC3F4C" w:rsidR="00B30C99" w:rsidRPr="00B30C99" w:rsidRDefault="008E72D1" w:rsidP="008E72D1">
      <w:pPr>
        <w:pStyle w:val="ListParagraph"/>
        <w:ind w:left="-2" w:firstLineChars="236" w:firstLine="566"/>
        <w:rPr>
          <w:rFonts w:asciiTheme="majorBidi" w:hAnsiTheme="majorBidi" w:cstheme="majorBidi"/>
        </w:rPr>
      </w:pPr>
      <w:proofErr w:type="spellStart"/>
      <w:r>
        <w:t>Prolanis</w:t>
      </w:r>
      <w:proofErr w:type="spellEnd"/>
      <w:r>
        <w:t xml:space="preserve"> (Chronic Disease Management Program) is designed to improve the quality of life of individuals with DM and hypertension through integrated services. Its success indicators include achieving an RPPT value of ≥5% and a minimum participation rate of 75%</w:t>
      </w:r>
      <w:r>
        <w:t xml:space="preserve"> </w:t>
      </w:r>
      <w:r w:rsidR="00020A2C" w:rsidRPr="00B30C99">
        <w:rPr>
          <w:rFonts w:asciiTheme="majorBidi" w:hAnsiTheme="majorBidi" w:cstheme="majorBidi"/>
        </w:rPr>
        <w:fldChar w:fldCharType="begin" w:fldLock="1"/>
      </w:r>
      <w:r w:rsidR="00EC477A">
        <w:rPr>
          <w:rFonts w:asciiTheme="majorBidi" w:hAnsiTheme="majorBidi" w:cstheme="majorBidi"/>
        </w:rPr>
        <w:instrText>ADDIN CSL_CITATION {"citationItems":[{"id":"ITEM-1","itemData":{"abstract":"Seiring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Kata","author":[{"dropping-particle":"","family":"Kemenkes RI","given":"","non-dropping-particle":"","parse-names":false,"suffix":""}],"container-title":"Jaminan Kesehatan Nasional","id":"ITEM-1","issued":{"date-parts":[["2022"]]},"number-of-pages":"1-111","publisher":"Kemenkes RI","publisher-place":"Jakarta","title":"Panduan Layanan Peserta Jaminan Kesehatan Nasional Kartu Indonesia Sehat (JKN-KIS)","type":"book"},"uris":["http://www.mendeley.com/documents/?uuid=7404777e-a5ec-489f-a0ea-ec16996a7721","http://www.mendeley.com/documents/?uuid=10744a79-08e9-4d76-a0ee-34a13bd74dac"]}],"mendeley":{"formattedCitation":"(Kemenkes RI, 2022b)","plainTextFormattedCitation":"(Kemenkes RI, 2022b)","previouslyFormattedCitation":"(Kemenkes RI, 2022b)"},"properties":{"noteIndex":0},"schema":"https://github.com/citation-style-language/schema/raw/master/csl-citation.json"}</w:instrText>
      </w:r>
      <w:r w:rsidR="00020A2C" w:rsidRPr="00B30C99">
        <w:rPr>
          <w:rFonts w:asciiTheme="majorBidi" w:hAnsiTheme="majorBidi" w:cstheme="majorBidi"/>
        </w:rPr>
        <w:fldChar w:fldCharType="separate"/>
      </w:r>
      <w:r w:rsidR="00AF4670" w:rsidRPr="00B30C99">
        <w:rPr>
          <w:rFonts w:asciiTheme="majorBidi" w:hAnsiTheme="majorBidi" w:cstheme="majorBidi"/>
          <w:noProof/>
        </w:rPr>
        <w:t>(Kemenkes RI, 2022b)</w:t>
      </w:r>
      <w:r w:rsidR="00020A2C" w:rsidRPr="00B30C99">
        <w:rPr>
          <w:rFonts w:asciiTheme="majorBidi" w:hAnsiTheme="majorBidi" w:cstheme="majorBidi"/>
        </w:rPr>
        <w:fldChar w:fldCharType="end"/>
      </w:r>
      <w:r w:rsidR="00020A2C" w:rsidRPr="00B30C99">
        <w:rPr>
          <w:rFonts w:asciiTheme="majorBidi" w:hAnsiTheme="majorBidi" w:cstheme="majorBidi"/>
        </w:rPr>
        <w:t>.</w:t>
      </w:r>
      <w:r w:rsidR="00B30C99" w:rsidRPr="00B30C99">
        <w:rPr>
          <w:rFonts w:asciiTheme="majorBidi" w:hAnsiTheme="majorBidi" w:cstheme="majorBidi"/>
        </w:rPr>
        <w:t xml:space="preserve"> </w:t>
      </w:r>
      <w:r>
        <w:t xml:space="preserve">The core components of </w:t>
      </w:r>
      <w:proofErr w:type="spellStart"/>
      <w:r>
        <w:t>Prolanis</w:t>
      </w:r>
      <w:proofErr w:type="spellEnd"/>
      <w:r>
        <w:t xml:space="preserve"> include education, TNM monitoring, physical activity, and pharmacological therapy</w:t>
      </w:r>
      <w:r>
        <w:t xml:space="preserve"> </w:t>
      </w:r>
      <w:r w:rsidR="00020A2C" w:rsidRPr="00B30C99">
        <w:rPr>
          <w:rFonts w:asciiTheme="majorBidi" w:hAnsiTheme="majorBidi" w:cstheme="majorBidi"/>
        </w:rPr>
        <w:fldChar w:fldCharType="begin" w:fldLock="1"/>
      </w:r>
      <w:r w:rsidR="00EC477A">
        <w:rPr>
          <w:rFonts w:asciiTheme="majorBidi" w:hAnsiTheme="majorBidi" w:cstheme="majorBidi"/>
        </w:rPr>
        <w:instrText>ADDIN CSL_CITATION {"citationItems":[{"id":"ITEM-1","itemData":{"author":[{"dropping-particle":"","family":"Handayani","given":"Nur Septia","non-dropping-particle":"","parse-names":false,"suffix":""},{"dropping-particle":"","family":"Retrialisca","given":"Fitri","non-dropping-particle":"","parse-names":false,"suffix":""},{"dropping-particle":"","family":"Purwanti","given":"Endah","non-dropping-particle":"","parse-names":false,"suffix":""},{"dropping-particle":"","family":"Qomari","given":"Yusuf Maulana","non-dropping-particle":"","parse-names":false,"suffix":""},{"dropping-particle":"","family":"Ferrari","given":"Rifky Mahdiyah","non-dropping-particle":"","parse-names":false,"suffix":""},{"dropping-particle":"","family":"Wijianto","given":"Buyung","non-dropping-particle":"","parse-names":false,"suffix":""}],"container-title":"Jurnal Layanan Masyarakat","id":"ITEM-1","issue":"1","issued":{"date-parts":[["2025"]]},"page":"63-73","title":"Optimalisasi Manajemen Diri Pencegahan dan Pengendalian Diabetes Melitus Melalui Praktik Pemeriksaan Mandiri dan Aplikasi Diary DM","type":"article-journal","volume":"9"},"uris":["http://www.mendeley.com/documents/?uuid=f8ce1aad-0d81-48f8-9a8d-b2277f97f068"]}],"mendeley":{"formattedCitation":"(Handayani et al., 2025)","plainTextFormattedCitation":"(Handayani et al., 2025)","previouslyFormattedCitation":"(Handayani et al., 2025)"},"properties":{"noteIndex":0},"schema":"https://github.com/citation-style-language/schema/raw/master/csl-citation.json"}</w:instrText>
      </w:r>
      <w:r w:rsidR="00020A2C" w:rsidRPr="00B30C99">
        <w:rPr>
          <w:rFonts w:asciiTheme="majorBidi" w:hAnsiTheme="majorBidi" w:cstheme="majorBidi"/>
        </w:rPr>
        <w:fldChar w:fldCharType="separate"/>
      </w:r>
      <w:r w:rsidR="00AF4670" w:rsidRPr="00B30C99">
        <w:rPr>
          <w:rFonts w:asciiTheme="majorBidi" w:hAnsiTheme="majorBidi" w:cstheme="majorBidi"/>
          <w:noProof/>
        </w:rPr>
        <w:t>(Handayani et al., 2025)</w:t>
      </w:r>
      <w:r w:rsidR="00020A2C" w:rsidRPr="00B30C99">
        <w:rPr>
          <w:rFonts w:asciiTheme="majorBidi" w:hAnsiTheme="majorBidi" w:cstheme="majorBidi"/>
        </w:rPr>
        <w:fldChar w:fldCharType="end"/>
      </w:r>
      <w:r w:rsidR="00B30C99" w:rsidRPr="00B30C99">
        <w:rPr>
          <w:rFonts w:asciiTheme="majorBidi" w:hAnsiTheme="majorBidi" w:cstheme="majorBidi"/>
        </w:rPr>
        <w:t xml:space="preserve">. </w:t>
      </w:r>
      <w:r>
        <w:t>Effective diabetes management requires a holistic and individualized approach</w:t>
      </w:r>
      <w:r>
        <w:t xml:space="preserve"> </w:t>
      </w:r>
      <w:r w:rsidR="00020A2C" w:rsidRPr="00B30C99">
        <w:rPr>
          <w:rFonts w:asciiTheme="majorBidi" w:hAnsiTheme="majorBidi" w:cstheme="majorBidi"/>
        </w:rPr>
        <w:fldChar w:fldCharType="begin" w:fldLock="1"/>
      </w:r>
      <w:r w:rsidR="00EC477A">
        <w:rPr>
          <w:rFonts w:asciiTheme="majorBidi" w:hAnsiTheme="majorBidi" w:cstheme="majorBidi"/>
        </w:rPr>
        <w:instrText>ADDIN CSL_CITATION {"citationItems":[{"id":"ITEM-1","itemData":{"DOI":"10.20885/bikkm.vol2.iss2.art8","abstract":"Latar Belakang: Diabetes mellitus tipe 2 merupakan salah satu penyakit yang paling umum ditemukan di masyarakat. Peran dokter keluarga tidak hanya sebatas pemngobatan, tetapi juga menangani masalah-masalah yang dapat berdampak pada pengobatan dan progresifitas penyakit pasien. Laporan ini mempresentasikan penilaian pasien diabetes dengan pendekatan peran dokter keluarga.\r Presentasi kasus: Seorang perempuan berusia 57 tahun mendatangi puskesmas untuk melakukan kontrol rutin diabetes. Hasil pemeriksaan tanda vital menunjukkan tekanan darah 130/80 mmHg, denyut nadi 85x/menit, dan kecepatan respirasi 20x/menit. Berat badan pasien 56 kg dengan tinggi badan 150 cm (IMT=24.8 kg/m2 (overweight)). Pasien kemudian didiagnosis Diabetes mellitus tipe 2, Meniere disease, dan Gastritis. Sebagai dokter keluarga bertugas memberikan promosi kesehatan terkait penyakit diabetes melitus tipe II untuk mencegah komplikasi dan perburukan prognosis. Perencanaan lebih lanjut diperlukan dengan rujukan ke tenaga kesehatan sekunder atau dokter spesialis bila pasien mengalami perburukan kondisi.\r Pembahasan: Tatalaksana diabetes melitus tipe 2 meliputi tatalaksana medikamentosa dan non medikamentosa yang dimulai dengan menerapkan pola hidup sehat dengan intervensi farmakologis bila terapi tanpa medikamentosa tidak tercapai. Pada pasien dengan komorbid, terdapat beberapa target yang perlu dicapai seperti perubahan gaya hidup, penurunan berat badan, hingga farmakologis yang intensif untuk mencegah komplikasi yang mengakibatkan kerusakan organ penting.\r Simpulan: Sebagai dokter keluarga diperlukan pemahaman tidak hanya secara permasalahan medis namun juga yang berkaitan dengan berbagai fakotr yang mempengaruhi keberhasilan pengobatan pasien.","author":[{"dropping-particle":"","family":"Pratama","given":"Yanasta Yudo","non-dropping-particle":"","parse-names":false,"suffix":""},{"dropping-particle":"","family":"Senjarani","given":"Baiq Bening","non-dropping-particle":"","parse-names":false,"suffix":""},{"dropping-particle":"","family":"Annisa","given":"Mutiara","non-dropping-particle":"","parse-names":false,"suffix":""},{"dropping-particle":"","family":"Luthfi Adnan","given":"Muhammad","non-dropping-particle":"","parse-names":false,"suffix":""}],"container-title":"Berkala Ilmiah Kedokteran dan Kesehatan Masyarakat (Scientific Periodical Journal Of Medicine And Public Health)","id":"ITEM-1","issue":"2","issued":{"date-parts":[["2024"]]},"page":"164-173","title":"Manajemen Pasien Diabetes Berdasarkan Pendekatan Holistik: Sebuah Laporan Kasus","type":"article-journal","volume":"2"},"uris":["http://www.mendeley.com/documents/?uuid=ef860f6f-47e7-4aca-8585-87270e98135c"]}],"mendeley":{"formattedCitation":"(Pratama et al., 2024)","plainTextFormattedCitation":"(Pratama et al., 2024)","previouslyFormattedCitation":"(Pratama et al., 2024)"},"properties":{"noteIndex":0},"schema":"https://github.com/citation-style-language/schema/raw/master/csl-citation.json"}</w:instrText>
      </w:r>
      <w:r w:rsidR="00020A2C" w:rsidRPr="00B30C99">
        <w:rPr>
          <w:rFonts w:asciiTheme="majorBidi" w:hAnsiTheme="majorBidi" w:cstheme="majorBidi"/>
        </w:rPr>
        <w:fldChar w:fldCharType="separate"/>
      </w:r>
      <w:r w:rsidR="00AF4670" w:rsidRPr="00B30C99">
        <w:rPr>
          <w:rFonts w:asciiTheme="majorBidi" w:hAnsiTheme="majorBidi" w:cstheme="majorBidi"/>
          <w:noProof/>
        </w:rPr>
        <w:t>(Pratama et al., 2024)</w:t>
      </w:r>
      <w:r w:rsidR="00020A2C" w:rsidRPr="00B30C99">
        <w:rPr>
          <w:rFonts w:asciiTheme="majorBidi" w:hAnsiTheme="majorBidi" w:cstheme="majorBidi"/>
        </w:rPr>
        <w:fldChar w:fldCharType="end"/>
      </w:r>
      <w:r>
        <w:rPr>
          <w:rFonts w:asciiTheme="majorBidi" w:hAnsiTheme="majorBidi" w:cstheme="majorBidi"/>
        </w:rPr>
        <w:t xml:space="preserve">. </w:t>
      </w:r>
      <w:r>
        <w:t>The implementation of Diabetes Self-Management Education (DSME) forms the foundation for community-based healthcare programs</w:t>
      </w:r>
      <w:r w:rsidR="00B30C99" w:rsidRPr="00B30C99">
        <w:rPr>
          <w:rFonts w:asciiTheme="majorBidi" w:hAnsiTheme="majorBidi" w:cstheme="majorBidi"/>
        </w:rPr>
        <w:t xml:space="preserve"> </w:t>
      </w:r>
      <w:r w:rsidR="00020A2C" w:rsidRPr="00B30C99">
        <w:rPr>
          <w:rFonts w:asciiTheme="majorBidi" w:hAnsiTheme="majorBidi" w:cstheme="majorBidi"/>
        </w:rPr>
        <w:fldChar w:fldCharType="begin" w:fldLock="1"/>
      </w:r>
      <w:r w:rsidR="00EC477A">
        <w:rPr>
          <w:rFonts w:asciiTheme="majorBidi" w:hAnsiTheme="majorBidi" w:cstheme="majorBidi"/>
        </w:rPr>
        <w:instrText>ADDIN CSL_CITATION {"citationItems":[{"id":"ITEM-1","itemData":{"DOI":"https://doi.org/10.21776/ub.jik.2021.009.02.2","ISSN":"2088-6012","author":[{"dropping-particle":"","family":"Kartika","given":"Annisa Wuri","non-dropping-particle":"","parse-names":false,"suffix":""}],"container-title":"Journal of Nursing Science","id":"ITEM-1","issue":"2","issued":{"date-parts":[["2021"]]},"page":"151-157","title":"Diabetes Self-Management Education (DSME) untuk Meningkatkan Manajemen Perawatan Diri Kelompok Diabetesi Diabetes Self-Management Education (DSME) Intervention to Improve Self-Care Management of Diabetes Mellitus Patients","type":"article-journal","volume":"9"},"uris":["http://www.mendeley.com/documents/?uuid=75719598-b62e-46dc-abe4-a90006cd8a04"]}],"mendeley":{"formattedCitation":"(Kartika, 2021)","plainTextFormattedCitation":"(Kartika, 2021)","previouslyFormattedCitation":"(Kartika, 2021)"},"properties":{"noteIndex":0},"schema":"https://github.com/citation-style-language/schema/raw/master/csl-citation.json"}</w:instrText>
      </w:r>
      <w:r w:rsidR="00020A2C" w:rsidRPr="00B30C99">
        <w:rPr>
          <w:rFonts w:asciiTheme="majorBidi" w:hAnsiTheme="majorBidi" w:cstheme="majorBidi"/>
        </w:rPr>
        <w:fldChar w:fldCharType="separate"/>
      </w:r>
      <w:r w:rsidR="00AF4670" w:rsidRPr="00B30C99">
        <w:rPr>
          <w:rFonts w:asciiTheme="majorBidi" w:hAnsiTheme="majorBidi" w:cstheme="majorBidi"/>
          <w:noProof/>
        </w:rPr>
        <w:t>(Kartika, 2021)</w:t>
      </w:r>
      <w:r w:rsidR="00020A2C" w:rsidRPr="00B30C99">
        <w:rPr>
          <w:rFonts w:asciiTheme="majorBidi" w:hAnsiTheme="majorBidi" w:cstheme="majorBidi"/>
        </w:rPr>
        <w:fldChar w:fldCharType="end"/>
      </w:r>
      <w:r w:rsidR="00B30C99" w:rsidRPr="00B30C99">
        <w:rPr>
          <w:rFonts w:asciiTheme="majorBidi" w:hAnsiTheme="majorBidi" w:cstheme="majorBidi"/>
        </w:rPr>
        <w:t xml:space="preserve">. </w:t>
      </w:r>
      <w:proofErr w:type="spellStart"/>
      <w:r>
        <w:t>Prolanis</w:t>
      </w:r>
      <w:proofErr w:type="spellEnd"/>
      <w:r>
        <w:t xml:space="preserve"> has been shown to be effective in managing DM within single BPJS operational areas</w:t>
      </w:r>
      <w:r>
        <w:t xml:space="preserve"> </w:t>
      </w:r>
      <w:r w:rsidR="00020A2C" w:rsidRPr="00B30C99">
        <w:rPr>
          <w:rFonts w:asciiTheme="majorBidi" w:hAnsiTheme="majorBidi" w:cstheme="majorBidi"/>
        </w:rPr>
        <w:fldChar w:fldCharType="begin" w:fldLock="1"/>
      </w:r>
      <w:r w:rsidR="00EC477A">
        <w:rPr>
          <w:rFonts w:asciiTheme="majorBidi" w:hAnsiTheme="majorBidi" w:cstheme="majorBidi"/>
        </w:rPr>
        <w:instrText>ADDIN CSL_CITATION {"citationItems":[{"id":"ITEM-1","itemData":{"author":[{"dropping-particle":"","family":"Sitompul","given":"Ester M Suzanne","non-dropping-particle":"","parse-names":false,"suffix":""},{"dropping-particle":"","family":"As-Shidieq","given":"Fircaus H","non-dropping-particle":"","parse-names":false,"suffix":""}],"container-title":"Jurnal Jaminan Kesehatan Nasional","id":"ITEM-1","issue":"2","issued":{"date-parts":[["2024"]]},"page":"251-268","title":"Effectiveness of Diabetes Mellitus Type 2 Management in Prolanis Participants at the BPJS Kesehatan Sibolga","type":"article-journal","volume":"4"},"uris":["http://www.mendeley.com/documents/?uuid=f2cd27f1-ae32-420f-b9fe-9e72e01d2dd8"]}],"mendeley":{"formattedCitation":"(Sitompul &amp; As-Shidieq, 2024)","plainTextFormattedCitation":"(Sitompul &amp; As-Shidieq, 2024)","previouslyFormattedCitation":"(Sitompul &amp; As-Shidieq, 2024)"},"properties":{"noteIndex":0},"schema":"https://github.com/citation-style-language/schema/raw/master/csl-citation.json"}</w:instrText>
      </w:r>
      <w:r w:rsidR="00020A2C" w:rsidRPr="00B30C99">
        <w:rPr>
          <w:rFonts w:asciiTheme="majorBidi" w:hAnsiTheme="majorBidi" w:cstheme="majorBidi"/>
        </w:rPr>
        <w:fldChar w:fldCharType="separate"/>
      </w:r>
      <w:r w:rsidR="00AF4670" w:rsidRPr="00B30C99">
        <w:rPr>
          <w:rFonts w:asciiTheme="majorBidi" w:hAnsiTheme="majorBidi" w:cstheme="majorBidi"/>
          <w:noProof/>
        </w:rPr>
        <w:t>(Sitompul &amp; As-Shidieq, 2024)</w:t>
      </w:r>
      <w:r w:rsidR="00020A2C" w:rsidRPr="00B30C99">
        <w:rPr>
          <w:rFonts w:asciiTheme="majorBidi" w:hAnsiTheme="majorBidi" w:cstheme="majorBidi"/>
        </w:rPr>
        <w:fldChar w:fldCharType="end"/>
      </w:r>
      <w:r w:rsidR="00B30C99" w:rsidRPr="00B30C99">
        <w:rPr>
          <w:rFonts w:asciiTheme="majorBidi" w:hAnsiTheme="majorBidi" w:cstheme="majorBidi"/>
        </w:rPr>
        <w:t xml:space="preserve">. </w:t>
      </w:r>
    </w:p>
    <w:p w14:paraId="11FF0DA6" w14:textId="7D02FE2F" w:rsidR="008E72D1" w:rsidRDefault="008E72D1" w:rsidP="008E72D1">
      <w:pPr>
        <w:pStyle w:val="ListParagraph"/>
        <w:ind w:left="-2" w:firstLineChars="236" w:firstLine="566"/>
        <w:rPr>
          <w:rFonts w:asciiTheme="majorBidi" w:hAnsiTheme="majorBidi" w:cstheme="majorBidi"/>
        </w:rPr>
      </w:pPr>
      <w:r>
        <w:t xml:space="preserve">Previous studies have shown varied results regarding the utilization of </w:t>
      </w:r>
      <w:proofErr w:type="spellStart"/>
      <w:r>
        <w:t>Prolanis</w:t>
      </w:r>
      <w:proofErr w:type="spellEnd"/>
      <w:r>
        <w:t>. Influencing factors include family support, healthcare workers’ perceptions, perceived service needs, and patient characteristics such as age, knowledge, and occupation</w:t>
      </w:r>
      <w:r>
        <w:t xml:space="preserve"> </w:t>
      </w:r>
      <w:r w:rsidR="00020A2C" w:rsidRPr="00B30C99">
        <w:rPr>
          <w:rStyle w:val="Emphasis"/>
          <w:rFonts w:asciiTheme="majorBidi" w:hAnsiTheme="majorBidi" w:cstheme="majorBidi"/>
        </w:rPr>
        <w:fldChar w:fldCharType="begin" w:fldLock="1"/>
      </w:r>
      <w:r w:rsidR="00EC477A">
        <w:rPr>
          <w:rStyle w:val="Emphasis"/>
          <w:rFonts w:asciiTheme="majorBidi" w:hAnsiTheme="majorBidi" w:cstheme="majorBidi"/>
        </w:rPr>
        <w:instrText>ADDIN CSL_CITATION {"citationItems":[{"id":"ITEM-1","itemData":{"DOI":"https://doi.org/10.33024/mahesa.v4i10.15753","author":[{"dropping-particle":"","family":"Nasution","given":"Savira Medinah","non-dropping-particle":"","parse-names":false,"suffix":""},{"dropping-particle":"","family":"Nasution","given":"Siti Khadijah","non-dropping-particle":"","parse-names":false,"suffix":""},{"dropping-particle":"","family":"Zulfendri","given":"","non-dropping-particle":"","parse-names":false,"suffix":""}],"container-title":"Mahesa: Malahayati Health Student Journal","id":"ITEM-1","issue":"10","issued":{"date-parts":[["2024"]]},"page":"4569-4581","title":"Hubungan Dukungan Keluarga Dan Peran Tenaga Kesehatan Dengan Pemanfataan Prolanis Pada Penderita Diabetes Melitus Di Wilayah Kerja Puskesmas Helvetia","type":"article-journal","volume":"4"},"uris":["http://www.mendeley.com/documents/?uuid=b9b1926d-2fe9-4f9f-8e74-fbc5adbae9ab"]}],"mendeley":{"formattedCitation":"(Nasution et al., 2024)","plainTextFormattedCitation":"(Nasution et al., 2024)","previouslyFormattedCitation":"(Nasution et al., 2024)"},"properties":{"noteIndex":0},"schema":"https://github.com/citation-style-language/schema/raw/master/csl-citation.json"}</w:instrText>
      </w:r>
      <w:r w:rsidR="00020A2C" w:rsidRPr="00B30C99">
        <w:rPr>
          <w:rStyle w:val="Emphasis"/>
          <w:rFonts w:asciiTheme="majorBidi" w:hAnsiTheme="majorBidi" w:cstheme="majorBidi"/>
        </w:rPr>
        <w:fldChar w:fldCharType="separate"/>
      </w:r>
      <w:r w:rsidR="00AF4670" w:rsidRPr="00B30C99">
        <w:rPr>
          <w:rStyle w:val="Emphasis"/>
          <w:rFonts w:asciiTheme="majorBidi" w:hAnsiTheme="majorBidi" w:cstheme="majorBidi"/>
          <w:i w:val="0"/>
          <w:noProof/>
        </w:rPr>
        <w:t>(Nasution et al., 2024)</w:t>
      </w:r>
      <w:r w:rsidR="00020A2C" w:rsidRPr="00B30C99">
        <w:rPr>
          <w:rStyle w:val="Emphasis"/>
          <w:rFonts w:asciiTheme="majorBidi" w:hAnsiTheme="majorBidi" w:cstheme="majorBidi"/>
        </w:rPr>
        <w:fldChar w:fldCharType="end"/>
      </w:r>
      <w:r w:rsidR="00B30C99" w:rsidRPr="00B30C99">
        <w:rPr>
          <w:rStyle w:val="Emphasis"/>
          <w:rFonts w:asciiTheme="majorBidi" w:hAnsiTheme="majorBidi" w:cstheme="majorBidi"/>
        </w:rPr>
        <w:t xml:space="preserve">, </w:t>
      </w:r>
      <w:r w:rsidR="00020A2C" w:rsidRPr="00B30C99">
        <w:rPr>
          <w:rFonts w:asciiTheme="majorBidi" w:hAnsiTheme="majorBidi" w:cstheme="majorBidi"/>
        </w:rPr>
        <w:fldChar w:fldCharType="begin" w:fldLock="1"/>
      </w:r>
      <w:r w:rsidR="00EC477A">
        <w:rPr>
          <w:rFonts w:asciiTheme="majorBidi" w:hAnsiTheme="majorBidi" w:cstheme="majorBidi"/>
        </w:rPr>
        <w:instrText>ADDIN CSL_CITATION {"citationItems":[{"id":"ITEM-1","itemData":{"DOI":"https://doi.org/10.15294/higeia.v7i4.68109","author":[{"dropping-particle":"","family":"Sabrina","given":"Legal Yuniar","non-dropping-particle":"","parse-names":false,"suffix":""},{"dropping-particle":"","family":"Rahayu","given":"Sri Ratna","non-dropping-particle":"","parse-names":false,"suffix":""}],"container-title":"Higeia Journal Of Public Health Research And Development","id":"ITEM-1","issue":"4","issued":{"date-parts":[["2023"]]},"page":"610-624","title":"Determinan Pemanfaatan Program Pengelolaan Penyakit Kronis (Prolanis)","type":"article-journal","volume":"7"},"uris":["http://www.mendeley.com/documents/?uuid=311a086f-5cb3-4dc5-83b6-f0d9be59e410"]}],"mendeley":{"formattedCitation":"(Sabrina &amp; Rahayu, 2023)","plainTextFormattedCitation":"(Sabrina &amp; Rahayu, 2023)","previouslyFormattedCitation":"(Sabrina &amp; Rahayu, 2023)"},"properties":{"noteIndex":0},"schema":"https://github.com/citation-style-language/schema/raw/master/csl-citation.json"}</w:instrText>
      </w:r>
      <w:r w:rsidR="00020A2C" w:rsidRPr="00B30C99">
        <w:rPr>
          <w:rFonts w:asciiTheme="majorBidi" w:hAnsiTheme="majorBidi" w:cstheme="majorBidi"/>
        </w:rPr>
        <w:fldChar w:fldCharType="separate"/>
      </w:r>
      <w:r w:rsidR="00AF4670" w:rsidRPr="00B30C99">
        <w:rPr>
          <w:rFonts w:asciiTheme="majorBidi" w:hAnsiTheme="majorBidi" w:cstheme="majorBidi"/>
          <w:noProof/>
        </w:rPr>
        <w:t>(Sabrina &amp; Rahayu, 2023)</w:t>
      </w:r>
      <w:r w:rsidR="00020A2C" w:rsidRPr="00B30C99">
        <w:rPr>
          <w:rFonts w:asciiTheme="majorBidi" w:hAnsiTheme="majorBidi" w:cstheme="majorBidi"/>
        </w:rPr>
        <w:fldChar w:fldCharType="end"/>
      </w:r>
      <w:r w:rsidR="00B30C99" w:rsidRPr="00B30C99">
        <w:rPr>
          <w:rFonts w:asciiTheme="majorBidi" w:hAnsiTheme="majorBidi" w:cstheme="majorBidi"/>
        </w:rPr>
        <w:t xml:space="preserve">, </w:t>
      </w:r>
      <w:r w:rsidR="00020A2C" w:rsidRPr="00B30C99">
        <w:rPr>
          <w:rFonts w:asciiTheme="majorBidi" w:hAnsiTheme="majorBidi" w:cstheme="majorBidi"/>
        </w:rPr>
        <w:fldChar w:fldCharType="begin" w:fldLock="1"/>
      </w:r>
      <w:r w:rsidR="00EC477A">
        <w:rPr>
          <w:rFonts w:asciiTheme="majorBidi" w:hAnsiTheme="majorBidi" w:cstheme="majorBidi"/>
        </w:rPr>
        <w:instrText>ADDIN CSL_CITATION {"citationItems":[{"id":"ITEM-1","itemData":{"DOI":"https://doi.org/10.33366/jc.v12i2.5746","author":[{"dropping-particle":"","family":"Cahyaningrum","given":"Ika","non-dropping-particle":"","parse-names":false,"suffix":""},{"dropping-particle":"","family":"Rosdiana","given":"Yanti","non-dropping-particle":"","parse-names":false,"suffix":""},{"dropping-particle":"","family":"Pajojang","given":"Arifen Leihu","non-dropping-particle":"","parse-names":false,"suffix":""}],"container-title":"Care: Jurnal Ilmiah Ilmu Kesehatan","id":"ITEM-1","issue":"2","issued":{"date-parts":[["2024"]]},"page":"195-204","title":"Factors Influencing Active Participation in the Chronic Disease Management Program ( Prolanis )","type":"article-journal","volume":"12"},"uris":["http://www.mendeley.com/documents/?uuid=f512a32b-9ca4-4f90-821c-6062a60d75ea"]}],"mendeley":{"formattedCitation":"(Cahyaningrum et al., 2024)","plainTextFormattedCitation":"(Cahyaningrum et al., 2024)","previouslyFormattedCitation":"(Cahyaningrum et al., 2024)"},"properties":{"noteIndex":0},"schema":"https://github.com/citation-style-language/schema/raw/master/csl-citation.json"}</w:instrText>
      </w:r>
      <w:r w:rsidR="00020A2C" w:rsidRPr="00B30C99">
        <w:rPr>
          <w:rFonts w:asciiTheme="majorBidi" w:hAnsiTheme="majorBidi" w:cstheme="majorBidi"/>
        </w:rPr>
        <w:fldChar w:fldCharType="separate"/>
      </w:r>
      <w:r w:rsidR="00AF4670" w:rsidRPr="00B30C99">
        <w:rPr>
          <w:rFonts w:asciiTheme="majorBidi" w:hAnsiTheme="majorBidi" w:cstheme="majorBidi"/>
          <w:noProof/>
        </w:rPr>
        <w:t>(Cahyaningrum et al., 2024)</w:t>
      </w:r>
      <w:r w:rsidR="00020A2C" w:rsidRPr="00B30C99">
        <w:rPr>
          <w:rFonts w:asciiTheme="majorBidi" w:hAnsiTheme="majorBidi" w:cstheme="majorBidi"/>
        </w:rPr>
        <w:fldChar w:fldCharType="end"/>
      </w:r>
      <w:r w:rsidR="00B30C99" w:rsidRPr="00B30C99">
        <w:rPr>
          <w:rFonts w:asciiTheme="majorBidi" w:hAnsiTheme="majorBidi" w:cstheme="majorBidi"/>
        </w:rPr>
        <w:t xml:space="preserve">, </w:t>
      </w:r>
      <w:r w:rsidR="00020A2C" w:rsidRPr="00B30C99">
        <w:rPr>
          <w:rFonts w:asciiTheme="majorBidi" w:hAnsiTheme="majorBidi" w:cstheme="majorBidi"/>
        </w:rPr>
        <w:fldChar w:fldCharType="begin" w:fldLock="1"/>
      </w:r>
      <w:r w:rsidR="00EC477A">
        <w:rPr>
          <w:rFonts w:asciiTheme="majorBidi" w:hAnsiTheme="majorBidi" w:cstheme="majorBidi"/>
        </w:rPr>
        <w:instrText>ADDIN CSL_CITATION {"citationItems":[{"id":"ITEM-1","itemData":{"DOI":"https://doi.org/10.70248/jophs.v2i2.2189","author":[{"dropping-particle":"","family":"Azhari","given":"M Rizki","non-dropping-particle":"","parse-names":false,"suffix":""},{"dropping-particle":"V","family":"Li","given":"Priska","non-dropping-particle":"","parse-names":false,"suffix":""},{"dropping-particle":"","family":"Firmansyah","given":"F","non-dropping-particle":"","parse-names":false,"suffix":""}],"container-title":"Journal of Public Health Science (JoPHS)","id":"ITEM-1","issue":"2","issued":{"date-parts":[["2025"]]},"page":"154-165","title":"The Analysis of Health Workers' Support and Perceived Health Services Needs Factors to Improve The Use Of The Chronic Disease Management Program (Prolanis) In Diabetic Patients In Kamonji Public Health Center, Palu City","type":"article-journal","volume":"2"},"uris":["http://www.mendeley.com/documents/?uuid=cc90abb3-d191-4489-b695-39438b8572a5"]}],"mendeley":{"formattedCitation":"(Azhari et al., 2025)","plainTextFormattedCitation":"(Azhari et al., 2025)","previouslyFormattedCitation":"(Azhari et al., 2025)"},"properties":{"noteIndex":0},"schema":"https://github.com/citation-style-language/schema/raw/master/csl-citation.json"}</w:instrText>
      </w:r>
      <w:r w:rsidR="00020A2C" w:rsidRPr="00B30C99">
        <w:rPr>
          <w:rFonts w:asciiTheme="majorBidi" w:hAnsiTheme="majorBidi" w:cstheme="majorBidi"/>
        </w:rPr>
        <w:fldChar w:fldCharType="separate"/>
      </w:r>
      <w:r w:rsidR="00AF4670" w:rsidRPr="00B30C99">
        <w:rPr>
          <w:rFonts w:asciiTheme="majorBidi" w:hAnsiTheme="majorBidi" w:cstheme="majorBidi"/>
          <w:noProof/>
        </w:rPr>
        <w:t>(Azhari et al., 2025)</w:t>
      </w:r>
      <w:r w:rsidR="00020A2C" w:rsidRPr="00B30C99">
        <w:rPr>
          <w:rFonts w:asciiTheme="majorBidi" w:hAnsiTheme="majorBidi" w:cstheme="majorBidi"/>
        </w:rPr>
        <w:fldChar w:fldCharType="end"/>
      </w:r>
      <w:r w:rsidR="00B30C99" w:rsidRPr="00B30C99">
        <w:rPr>
          <w:rFonts w:asciiTheme="majorBidi" w:hAnsiTheme="majorBidi" w:cstheme="majorBidi"/>
        </w:rPr>
        <w:t xml:space="preserve">, </w:t>
      </w:r>
      <w:r w:rsidR="00020A2C" w:rsidRPr="00B30C99">
        <w:rPr>
          <w:rFonts w:asciiTheme="majorBidi" w:hAnsiTheme="majorBidi" w:cstheme="majorBidi"/>
        </w:rPr>
        <w:fldChar w:fldCharType="begin" w:fldLock="1"/>
      </w:r>
      <w:r w:rsidR="00EC477A">
        <w:rPr>
          <w:rFonts w:asciiTheme="majorBidi" w:hAnsiTheme="majorBidi" w:cstheme="majorBidi"/>
        </w:rPr>
        <w:instrText>ADDIN CSL_CITATION {"citationItems":[{"id":"ITEM-1","itemData":{"author":[{"dropping-particle":"","family":"Darmayanti","given":"Osaria","non-dropping-particle":"","parse-names":false,"suffix":""},{"dropping-particle":"","family":"Darmawan","given":"","non-dropping-particle":"","parse-names":false,"suffix":""},{"dropping-particle":"","family":"Kusumawardani","given":"Eva Flourentina","non-dropping-particle":"","parse-names":false,"suffix":""},{"dropping-particle":"","family":"Safrizal","given":"","non-dropping-particle":"","parse-names":false,"suffix":""},{"dropping-particle":"","family":"Siregar","given":"Siti Maisyaroh F","non-dropping-particle":"","parse-names":false,"suffix":""}],"container-title":"An Idea Health Journal","id":"ITEM-1","issue":"03","issued":{"date-parts":[["2025"]]},"page":"225-233","title":"Utilization of the Chronic Disease Management Program (Prolanis) at Suak Ribee Primary Health Center, Indonesia","type":"article-journal","volume":"5"},"uris":["http://www.mendeley.com/documents/?uuid=0c8f46da-8178-4223-8c4c-260c615eb040"]}],"mendeley":{"formattedCitation":"(Darmayanti et al., 2025)","plainTextFormattedCitation":"(Darmayanti et al., 2025)","previouslyFormattedCitation":"(Darmayanti et al., 2025)"},"properties":{"noteIndex":0},"schema":"https://github.com/citation-style-language/schema/raw/master/csl-citation.json"}</w:instrText>
      </w:r>
      <w:r w:rsidR="00020A2C" w:rsidRPr="00B30C99">
        <w:rPr>
          <w:rFonts w:asciiTheme="majorBidi" w:hAnsiTheme="majorBidi" w:cstheme="majorBidi"/>
        </w:rPr>
        <w:fldChar w:fldCharType="separate"/>
      </w:r>
      <w:r w:rsidR="00AF4670" w:rsidRPr="00B30C99">
        <w:rPr>
          <w:rFonts w:asciiTheme="majorBidi" w:hAnsiTheme="majorBidi" w:cstheme="majorBidi"/>
          <w:noProof/>
        </w:rPr>
        <w:t>(Darmayanti et al., 2025)</w:t>
      </w:r>
      <w:r w:rsidR="00020A2C" w:rsidRPr="00B30C99">
        <w:rPr>
          <w:rFonts w:asciiTheme="majorBidi" w:hAnsiTheme="majorBidi" w:cstheme="majorBidi"/>
        </w:rPr>
        <w:fldChar w:fldCharType="end"/>
      </w:r>
      <w:r w:rsidR="00B30C99" w:rsidRPr="00B30C99">
        <w:rPr>
          <w:rFonts w:asciiTheme="majorBidi" w:hAnsiTheme="majorBidi" w:cstheme="majorBidi"/>
        </w:rPr>
        <w:t xml:space="preserve">. </w:t>
      </w:r>
      <w:r>
        <w:t xml:space="preserve">These determinants are often analyzed using Andersen’s Behavioral Model of Health Service Use, which categorizes influencing factors into predisposing, enabling, and need factors </w:t>
      </w:r>
      <w:r w:rsidR="00020A2C" w:rsidRPr="00B30C99">
        <w:rPr>
          <w:rFonts w:asciiTheme="majorBidi" w:hAnsiTheme="majorBidi" w:cstheme="majorBidi"/>
        </w:rPr>
        <w:fldChar w:fldCharType="begin" w:fldLock="1"/>
      </w:r>
      <w:r w:rsidR="00EC477A">
        <w:rPr>
          <w:rFonts w:asciiTheme="majorBidi" w:hAnsiTheme="majorBidi" w:cstheme="majorBidi"/>
        </w:rPr>
        <w:instrText>ADDIN CSL_CITATION {"citationItems":[{"id":"ITEM-1","itemData":{"DOI":"https://doi.org/10.31004/jkt.v4i4.16890","author":[{"dropping-particle":"","family":"Hamidah","given":"Laura Zahra","non-dropping-particle":"","parse-names":false,"suffix":""},{"dropping-particle":"","family":"Budiarto","given":"Wasis","non-dropping-particle":"","parse-names":false,"suffix":""}],"container-title":"Jurnal Kesehatan Tambusai","id":"ITEM-1","issue":"4","issued":{"date-parts":[["2023"]]},"page":"5853-5864","title":"Faktor Individu Yang Berhubungan Dengan Pemanfaatan Prolanis: Scoping Review","type":"article-journal","volume":"4"},"uris":["http://www.mendeley.com/documents/?uuid=9c48b665-9ff6-460d-886c-4a3ed872febe"]}],"mendeley":{"formattedCitation":"(Hamidah &amp; Budiarto, 2023)","plainTextFormattedCitation":"(Hamidah &amp; Budiarto, 2023)","previouslyFormattedCitation":"(Hamidah &amp; Budiarto, 2023)"},"properties":{"noteIndex":0},"schema":"https://github.com/citation-style-language/schema/raw/master/csl-citation.json"}</w:instrText>
      </w:r>
      <w:r w:rsidR="00020A2C" w:rsidRPr="00B30C99">
        <w:rPr>
          <w:rFonts w:asciiTheme="majorBidi" w:hAnsiTheme="majorBidi" w:cstheme="majorBidi"/>
        </w:rPr>
        <w:fldChar w:fldCharType="separate"/>
      </w:r>
      <w:r w:rsidR="00AF4670" w:rsidRPr="00B30C99">
        <w:rPr>
          <w:rFonts w:asciiTheme="majorBidi" w:hAnsiTheme="majorBidi" w:cstheme="majorBidi"/>
          <w:noProof/>
        </w:rPr>
        <w:t>(Hamidah &amp; Budiarto, 2023)</w:t>
      </w:r>
      <w:r w:rsidR="00020A2C" w:rsidRPr="00B30C99">
        <w:rPr>
          <w:rFonts w:asciiTheme="majorBidi" w:hAnsiTheme="majorBidi" w:cstheme="majorBidi"/>
        </w:rPr>
        <w:fldChar w:fldCharType="end"/>
      </w:r>
      <w:r w:rsidR="00B30C99" w:rsidRPr="00B30C99">
        <w:rPr>
          <w:rFonts w:asciiTheme="majorBidi" w:hAnsiTheme="majorBidi" w:cstheme="majorBidi"/>
        </w:rPr>
        <w:t>.</w:t>
      </w:r>
      <w:r>
        <w:rPr>
          <w:rFonts w:asciiTheme="majorBidi" w:hAnsiTheme="majorBidi" w:cstheme="majorBidi"/>
        </w:rPr>
        <w:t xml:space="preserve"> </w:t>
      </w:r>
      <w:r>
        <w:t xml:space="preserve">Based on these conditions, the present </w:t>
      </w:r>
      <w:r>
        <w:lastRenderedPageBreak/>
        <w:t xml:space="preserve">study aims to analyze the factors associated with the utilization of </w:t>
      </w:r>
      <w:proofErr w:type="spellStart"/>
      <w:r>
        <w:t>Prolanis</w:t>
      </w:r>
      <w:proofErr w:type="spellEnd"/>
      <w:r>
        <w:t xml:space="preserve"> among patients with diabetes mellitus in </w:t>
      </w:r>
      <w:proofErr w:type="spellStart"/>
      <w:r>
        <w:t>Demak</w:t>
      </w:r>
      <w:proofErr w:type="spellEnd"/>
      <w:r>
        <w:t xml:space="preserve"> Regency.</w:t>
      </w:r>
    </w:p>
    <w:p w14:paraId="6913E5B6" w14:textId="77777777" w:rsidR="008E72D1" w:rsidRPr="00B30C99" w:rsidRDefault="008E72D1" w:rsidP="00BB5493">
      <w:pPr>
        <w:pStyle w:val="ListParagraph"/>
        <w:ind w:left="-2" w:firstLineChars="236" w:firstLine="566"/>
        <w:rPr>
          <w:rFonts w:asciiTheme="majorBidi" w:hAnsiTheme="majorBidi" w:cstheme="majorBidi"/>
        </w:rPr>
      </w:pPr>
    </w:p>
    <w:p w14:paraId="5E6B2B2C" w14:textId="3476BA7A" w:rsidR="005852D4" w:rsidRDefault="002678EE">
      <w:pPr>
        <w:pBdr>
          <w:top w:val="nil"/>
          <w:left w:val="nil"/>
          <w:bottom w:val="nil"/>
          <w:right w:val="nil"/>
          <w:between w:val="nil"/>
        </w:pBdr>
        <w:spacing w:after="0" w:line="360" w:lineRule="auto"/>
        <w:ind w:left="1" w:hanging="3"/>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METHODS</w:t>
      </w:r>
    </w:p>
    <w:p w14:paraId="50442355" w14:textId="77777777" w:rsidR="00E21A57" w:rsidRDefault="00E21A57" w:rsidP="00E21A57">
      <w:pPr>
        <w:pStyle w:val="ListParagraph"/>
        <w:ind w:left="-2" w:firstLineChars="236" w:firstLine="566"/>
        <w:textDirection w:val="lrTb"/>
        <w:rPr>
          <w:rFonts w:eastAsia="Times New Roman" w:cs="Times New Roman"/>
          <w:position w:val="0"/>
          <w:szCs w:val="24"/>
          <w:lang w:val="en-ID" w:eastAsia="en-ID"/>
        </w:rPr>
      </w:pPr>
      <w:r w:rsidRPr="00E21A57">
        <w:rPr>
          <w:rFonts w:eastAsia="Times New Roman" w:cs="Times New Roman"/>
          <w:position w:val="0"/>
          <w:szCs w:val="24"/>
          <w:lang w:val="en-ID" w:eastAsia="en-ID"/>
        </w:rPr>
        <w:t xml:space="preserve">This study employed a quantitative research design with a cross-sectional approach. The population consisted of all </w:t>
      </w:r>
      <w:proofErr w:type="spellStart"/>
      <w:r w:rsidRPr="00E21A57">
        <w:rPr>
          <w:rFonts w:eastAsia="Times New Roman" w:cs="Times New Roman"/>
          <w:position w:val="0"/>
          <w:szCs w:val="24"/>
          <w:lang w:val="en-ID" w:eastAsia="en-ID"/>
        </w:rPr>
        <w:t>Prolanis</w:t>
      </w:r>
      <w:proofErr w:type="spellEnd"/>
      <w:r w:rsidRPr="00E21A57">
        <w:rPr>
          <w:rFonts w:eastAsia="Times New Roman" w:cs="Times New Roman"/>
          <w:position w:val="0"/>
          <w:szCs w:val="24"/>
          <w:lang w:val="en-ID" w:eastAsia="en-ID"/>
        </w:rPr>
        <w:t xml:space="preserve"> participants diagnosed with Diabetes Mellitus in 2024 across community health </w:t>
      </w:r>
      <w:proofErr w:type="spellStart"/>
      <w:r w:rsidRPr="00E21A57">
        <w:rPr>
          <w:rFonts w:eastAsia="Times New Roman" w:cs="Times New Roman"/>
          <w:position w:val="0"/>
          <w:szCs w:val="24"/>
          <w:lang w:val="en-ID" w:eastAsia="en-ID"/>
        </w:rPr>
        <w:t>centers</w:t>
      </w:r>
      <w:proofErr w:type="spellEnd"/>
      <w:r w:rsidRPr="00E21A57">
        <w:rPr>
          <w:rFonts w:eastAsia="Times New Roman" w:cs="Times New Roman"/>
          <w:position w:val="0"/>
          <w:szCs w:val="24"/>
          <w:lang w:val="en-ID" w:eastAsia="en-ID"/>
        </w:rPr>
        <w:t xml:space="preserve"> (</w:t>
      </w:r>
      <w:proofErr w:type="spellStart"/>
      <w:r w:rsidRPr="00E21A57">
        <w:rPr>
          <w:rFonts w:eastAsia="Times New Roman" w:cs="Times New Roman"/>
          <w:position w:val="0"/>
          <w:szCs w:val="24"/>
          <w:lang w:val="en-ID" w:eastAsia="en-ID"/>
        </w:rPr>
        <w:t>Puskesmas</w:t>
      </w:r>
      <w:proofErr w:type="spellEnd"/>
      <w:r w:rsidRPr="00E21A57">
        <w:rPr>
          <w:rFonts w:eastAsia="Times New Roman" w:cs="Times New Roman"/>
          <w:position w:val="0"/>
          <w:szCs w:val="24"/>
          <w:lang w:val="en-ID" w:eastAsia="en-ID"/>
        </w:rPr>
        <w:t xml:space="preserve">) in </w:t>
      </w:r>
      <w:proofErr w:type="spellStart"/>
      <w:r w:rsidRPr="00E21A57">
        <w:rPr>
          <w:rFonts w:eastAsia="Times New Roman" w:cs="Times New Roman"/>
          <w:position w:val="0"/>
          <w:szCs w:val="24"/>
          <w:lang w:val="en-ID" w:eastAsia="en-ID"/>
        </w:rPr>
        <w:t>Demak</w:t>
      </w:r>
      <w:proofErr w:type="spellEnd"/>
      <w:r w:rsidRPr="00E21A57">
        <w:rPr>
          <w:rFonts w:eastAsia="Times New Roman" w:cs="Times New Roman"/>
          <w:position w:val="0"/>
          <w:szCs w:val="24"/>
          <w:lang w:val="en-ID" w:eastAsia="en-ID"/>
        </w:rPr>
        <w:t xml:space="preserve"> Regency, </w:t>
      </w:r>
      <w:proofErr w:type="spellStart"/>
      <w:r w:rsidRPr="00E21A57">
        <w:rPr>
          <w:rFonts w:eastAsia="Times New Roman" w:cs="Times New Roman"/>
          <w:position w:val="0"/>
          <w:szCs w:val="24"/>
          <w:lang w:val="en-ID" w:eastAsia="en-ID"/>
        </w:rPr>
        <w:t>totaling</w:t>
      </w:r>
      <w:proofErr w:type="spellEnd"/>
      <w:r w:rsidRPr="00E21A57">
        <w:rPr>
          <w:rFonts w:eastAsia="Times New Roman" w:cs="Times New Roman"/>
          <w:position w:val="0"/>
          <w:szCs w:val="24"/>
          <w:lang w:val="en-ID" w:eastAsia="en-ID"/>
        </w:rPr>
        <w:t xml:space="preserve"> 2,478 participants, distributed as follows: </w:t>
      </w:r>
      <w:proofErr w:type="spellStart"/>
      <w:r w:rsidRPr="00E21A57">
        <w:rPr>
          <w:rFonts w:eastAsia="Times New Roman" w:cs="Times New Roman"/>
          <w:position w:val="0"/>
          <w:szCs w:val="24"/>
          <w:lang w:val="en-ID" w:eastAsia="en-ID"/>
        </w:rPr>
        <w:t>Karanganyar</w:t>
      </w:r>
      <w:proofErr w:type="spellEnd"/>
      <w:r w:rsidRPr="00E21A57">
        <w:rPr>
          <w:rFonts w:eastAsia="Times New Roman" w:cs="Times New Roman"/>
          <w:position w:val="0"/>
          <w:szCs w:val="24"/>
          <w:lang w:val="en-ID" w:eastAsia="en-ID"/>
        </w:rPr>
        <w:t xml:space="preserve"> I (746), </w:t>
      </w:r>
      <w:proofErr w:type="spellStart"/>
      <w:r w:rsidRPr="00E21A57">
        <w:rPr>
          <w:rFonts w:eastAsia="Times New Roman" w:cs="Times New Roman"/>
          <w:position w:val="0"/>
          <w:szCs w:val="24"/>
          <w:lang w:val="en-ID" w:eastAsia="en-ID"/>
        </w:rPr>
        <w:t>Demak</w:t>
      </w:r>
      <w:proofErr w:type="spellEnd"/>
      <w:r w:rsidRPr="00E21A57">
        <w:rPr>
          <w:rFonts w:eastAsia="Times New Roman" w:cs="Times New Roman"/>
          <w:position w:val="0"/>
          <w:szCs w:val="24"/>
          <w:lang w:val="en-ID" w:eastAsia="en-ID"/>
        </w:rPr>
        <w:t xml:space="preserve"> III (516), Gajah II (479), and </w:t>
      </w:r>
      <w:proofErr w:type="spellStart"/>
      <w:r w:rsidRPr="00E21A57">
        <w:rPr>
          <w:rFonts w:eastAsia="Times New Roman" w:cs="Times New Roman"/>
          <w:position w:val="0"/>
          <w:szCs w:val="24"/>
          <w:lang w:val="en-ID" w:eastAsia="en-ID"/>
        </w:rPr>
        <w:t>Mijen</w:t>
      </w:r>
      <w:proofErr w:type="spellEnd"/>
      <w:r w:rsidRPr="00E21A57">
        <w:rPr>
          <w:rFonts w:eastAsia="Times New Roman" w:cs="Times New Roman"/>
          <w:position w:val="0"/>
          <w:szCs w:val="24"/>
          <w:lang w:val="en-ID" w:eastAsia="en-ID"/>
        </w:rPr>
        <w:t xml:space="preserve"> II (737). The sampling technique used was </w:t>
      </w:r>
      <w:r w:rsidRPr="00E21A57">
        <w:rPr>
          <w:rFonts w:eastAsia="Times New Roman" w:cs="Times New Roman"/>
          <w:i/>
          <w:iCs/>
          <w:position w:val="0"/>
          <w:szCs w:val="24"/>
          <w:lang w:val="en-ID" w:eastAsia="en-ID"/>
        </w:rPr>
        <w:t>Proportionate Stratified Random Sampling</w:t>
      </w:r>
      <w:r w:rsidRPr="00E21A57">
        <w:rPr>
          <w:rFonts w:eastAsia="Times New Roman" w:cs="Times New Roman"/>
          <w:position w:val="0"/>
          <w:szCs w:val="24"/>
          <w:lang w:val="en-ID" w:eastAsia="en-ID"/>
        </w:rPr>
        <w:t xml:space="preserve">, and the sample size was determined using the </w:t>
      </w:r>
      <w:proofErr w:type="spellStart"/>
      <w:r w:rsidRPr="00E21A57">
        <w:rPr>
          <w:rFonts w:eastAsia="Times New Roman" w:cs="Times New Roman"/>
          <w:position w:val="0"/>
          <w:szCs w:val="24"/>
          <w:lang w:val="en-ID" w:eastAsia="en-ID"/>
        </w:rPr>
        <w:t>Lemeshow</w:t>
      </w:r>
      <w:proofErr w:type="spellEnd"/>
      <w:r w:rsidRPr="00E21A57">
        <w:rPr>
          <w:rFonts w:eastAsia="Times New Roman" w:cs="Times New Roman"/>
          <w:position w:val="0"/>
          <w:szCs w:val="24"/>
          <w:lang w:val="en-ID" w:eastAsia="en-ID"/>
        </w:rPr>
        <w:t xml:space="preserve"> formula, resulting in a total sample of 120 participants. The proportional distribution of the sample across strata was: </w:t>
      </w:r>
      <w:proofErr w:type="spellStart"/>
      <w:r w:rsidRPr="00E21A57">
        <w:rPr>
          <w:rFonts w:eastAsia="Times New Roman" w:cs="Times New Roman"/>
          <w:position w:val="0"/>
          <w:szCs w:val="24"/>
          <w:lang w:val="en-ID" w:eastAsia="en-ID"/>
        </w:rPr>
        <w:t>Karanganyar</w:t>
      </w:r>
      <w:proofErr w:type="spellEnd"/>
      <w:r w:rsidRPr="00E21A57">
        <w:rPr>
          <w:rFonts w:eastAsia="Times New Roman" w:cs="Times New Roman"/>
          <w:position w:val="0"/>
          <w:szCs w:val="24"/>
          <w:lang w:val="en-ID" w:eastAsia="en-ID"/>
        </w:rPr>
        <w:t xml:space="preserve"> I (36), </w:t>
      </w:r>
      <w:proofErr w:type="spellStart"/>
      <w:r w:rsidRPr="00E21A57">
        <w:rPr>
          <w:rFonts w:eastAsia="Times New Roman" w:cs="Times New Roman"/>
          <w:position w:val="0"/>
          <w:szCs w:val="24"/>
          <w:lang w:val="en-ID" w:eastAsia="en-ID"/>
        </w:rPr>
        <w:t>Demak</w:t>
      </w:r>
      <w:proofErr w:type="spellEnd"/>
      <w:r w:rsidRPr="00E21A57">
        <w:rPr>
          <w:rFonts w:eastAsia="Times New Roman" w:cs="Times New Roman"/>
          <w:position w:val="0"/>
          <w:szCs w:val="24"/>
          <w:lang w:val="en-ID" w:eastAsia="en-ID"/>
        </w:rPr>
        <w:t xml:space="preserve"> III (25), Gajah II (23), and </w:t>
      </w:r>
      <w:proofErr w:type="spellStart"/>
      <w:r w:rsidRPr="00E21A57">
        <w:rPr>
          <w:rFonts w:eastAsia="Times New Roman" w:cs="Times New Roman"/>
          <w:position w:val="0"/>
          <w:szCs w:val="24"/>
          <w:lang w:val="en-ID" w:eastAsia="en-ID"/>
        </w:rPr>
        <w:t>Mijen</w:t>
      </w:r>
      <w:proofErr w:type="spellEnd"/>
      <w:r w:rsidRPr="00E21A57">
        <w:rPr>
          <w:rFonts w:eastAsia="Times New Roman" w:cs="Times New Roman"/>
          <w:position w:val="0"/>
          <w:szCs w:val="24"/>
          <w:lang w:val="en-ID" w:eastAsia="en-ID"/>
        </w:rPr>
        <w:t xml:space="preserve"> II (36). Sample selection was based on inclusion criteria, namely </w:t>
      </w:r>
      <w:proofErr w:type="spellStart"/>
      <w:r w:rsidRPr="00E21A57">
        <w:rPr>
          <w:rFonts w:eastAsia="Times New Roman" w:cs="Times New Roman"/>
          <w:position w:val="0"/>
          <w:szCs w:val="24"/>
          <w:lang w:val="en-ID" w:eastAsia="en-ID"/>
        </w:rPr>
        <w:t>Prolanis</w:t>
      </w:r>
      <w:proofErr w:type="spellEnd"/>
      <w:r w:rsidRPr="00E21A57">
        <w:rPr>
          <w:rFonts w:eastAsia="Times New Roman" w:cs="Times New Roman"/>
          <w:position w:val="0"/>
          <w:szCs w:val="24"/>
          <w:lang w:val="en-ID" w:eastAsia="en-ID"/>
        </w:rPr>
        <w:t xml:space="preserve"> participants with a DM diagnosis in 2024 and willingness to participate as respondents.</w:t>
      </w:r>
    </w:p>
    <w:p w14:paraId="517A2AA6" w14:textId="3C98F2CB" w:rsidR="00E21A57" w:rsidRPr="00E21A57" w:rsidRDefault="00E21A57" w:rsidP="00E21A57">
      <w:pPr>
        <w:pStyle w:val="ListParagraph"/>
        <w:ind w:left="-2" w:firstLineChars="236" w:firstLine="566"/>
        <w:textDirection w:val="lrTb"/>
        <w:rPr>
          <w:rFonts w:eastAsia="Times New Roman" w:cs="Times New Roman"/>
          <w:position w:val="0"/>
          <w:szCs w:val="24"/>
          <w:lang w:val="en-ID" w:eastAsia="en-ID"/>
        </w:rPr>
      </w:pPr>
      <w:r w:rsidRPr="00E21A57">
        <w:rPr>
          <w:rFonts w:eastAsia="Times New Roman" w:cs="Times New Roman"/>
          <w:position w:val="0"/>
          <w:szCs w:val="24"/>
          <w:lang w:val="en-ID" w:eastAsia="en-ID"/>
        </w:rPr>
        <w:t xml:space="preserve">The research instrument consisted of a questionnaire comprising respondent characteristics and all study variables. Validity testing (30 respondents, </w:t>
      </w:r>
      <w:r w:rsidRPr="00E21A57">
        <w:rPr>
          <w:rFonts w:eastAsia="Times New Roman" w:cs="Times New Roman"/>
          <w:i/>
          <w:iCs/>
          <w:position w:val="0"/>
          <w:szCs w:val="24"/>
          <w:lang w:val="en-ID" w:eastAsia="en-ID"/>
        </w:rPr>
        <w:t>r</w:t>
      </w:r>
      <w:r w:rsidRPr="00E21A57">
        <w:rPr>
          <w:rFonts w:eastAsia="Times New Roman" w:cs="Times New Roman"/>
          <w:position w:val="0"/>
          <w:szCs w:val="24"/>
          <w:lang w:val="en-ID" w:eastAsia="en-ID"/>
        </w:rPr>
        <w:t xml:space="preserve"> table = 0.361) yielded </w:t>
      </w:r>
      <w:r w:rsidRPr="00E21A57">
        <w:rPr>
          <w:rFonts w:eastAsia="Times New Roman" w:cs="Times New Roman"/>
          <w:i/>
          <w:iCs/>
          <w:position w:val="0"/>
          <w:szCs w:val="24"/>
          <w:lang w:val="en-ID" w:eastAsia="en-ID"/>
        </w:rPr>
        <w:t>r</w:t>
      </w:r>
      <w:r w:rsidRPr="00E21A57">
        <w:rPr>
          <w:rFonts w:eastAsia="Times New Roman" w:cs="Times New Roman"/>
          <w:position w:val="0"/>
          <w:szCs w:val="24"/>
          <w:lang w:val="en-ID" w:eastAsia="en-ID"/>
        </w:rPr>
        <w:t xml:space="preserve"> values as follows: knowledge (0.415–0.739), family support (0.423–0.826), healthcare provider support (0.427–0.788), healthcare service access (0.565–0.883), and perceived need (0.563–0.843). All items across these variables were deemed valid (</w:t>
      </w:r>
      <w:r w:rsidRPr="00E21A57">
        <w:rPr>
          <w:rFonts w:eastAsia="Times New Roman" w:cs="Times New Roman"/>
          <w:i/>
          <w:iCs/>
          <w:position w:val="0"/>
          <w:szCs w:val="24"/>
          <w:lang w:val="en-ID" w:eastAsia="en-ID"/>
        </w:rPr>
        <w:t>r</w:t>
      </w:r>
      <w:r w:rsidRPr="00E21A57">
        <w:rPr>
          <w:rFonts w:eastAsia="Times New Roman" w:cs="Times New Roman"/>
          <w:position w:val="0"/>
          <w:szCs w:val="24"/>
          <w:lang w:val="en-ID" w:eastAsia="en-ID"/>
        </w:rPr>
        <w:t xml:space="preserve"> &gt; 0.361). Reliability testing produced Cronbach’s Alpha values indicating reliable instruments: knowledge (0.859), family support (0.910), healthcare provider support (0.906), service access (0.953), and perceived need (0.919), all exceeding the threshold of 0.6.</w:t>
      </w:r>
      <w:r>
        <w:rPr>
          <w:rFonts w:eastAsia="Times New Roman" w:cs="Times New Roman"/>
          <w:position w:val="0"/>
          <w:szCs w:val="24"/>
          <w:lang w:val="en-ID" w:eastAsia="en-ID"/>
        </w:rPr>
        <w:t xml:space="preserve"> </w:t>
      </w:r>
      <w:r w:rsidRPr="00E21A57">
        <w:rPr>
          <w:rFonts w:eastAsia="Times New Roman" w:cs="Times New Roman"/>
          <w:position w:val="0"/>
          <w:szCs w:val="24"/>
          <w:lang w:val="en-ID" w:eastAsia="en-ID"/>
        </w:rPr>
        <w:t>Data collection was conducted directly by distributing questionnaires to selected respondents, followed by data processing procedures including editing, coding, data entry, and cleaning. Data analysis consisted of univariate analysis (frequency and percentage distribution), bivariate analysis (Chi-square test), and multivariate analysis (logistic regression).</w:t>
      </w:r>
    </w:p>
    <w:p w14:paraId="2BA062B7" w14:textId="77777777" w:rsidR="001D3DC3" w:rsidRPr="00020A2C" w:rsidRDefault="001D3DC3" w:rsidP="001D3DC3">
      <w:pPr>
        <w:pStyle w:val="ListParagraph"/>
        <w:ind w:left="-2" w:firstLineChars="236" w:firstLine="566"/>
        <w:textDirection w:val="lrTb"/>
        <w:rPr>
          <w:rFonts w:asciiTheme="majorBidi" w:hAnsiTheme="majorBidi" w:cstheme="majorBidi"/>
          <w:szCs w:val="24"/>
        </w:rPr>
      </w:pPr>
    </w:p>
    <w:p w14:paraId="0E628646" w14:textId="5B310153" w:rsidR="005852D4" w:rsidRDefault="002678EE">
      <w:pPr>
        <w:pBdr>
          <w:top w:val="nil"/>
          <w:left w:val="nil"/>
          <w:bottom w:val="nil"/>
          <w:right w:val="nil"/>
          <w:between w:val="nil"/>
        </w:pBdr>
        <w:spacing w:after="0" w:line="360" w:lineRule="auto"/>
        <w:ind w:left="1" w:hanging="3"/>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8"/>
          <w:szCs w:val="28"/>
        </w:rPr>
        <w:t>RESULTS</w:t>
      </w:r>
    </w:p>
    <w:p w14:paraId="1A702CE4" w14:textId="3624DF34" w:rsidR="00E21A57" w:rsidRPr="00E21A57" w:rsidRDefault="00E21A57" w:rsidP="00E21A57">
      <w:pPr>
        <w:pStyle w:val="Heading2"/>
        <w:keepNext w:val="0"/>
        <w:keepLines w:val="0"/>
        <w:widowControl w:val="0"/>
        <w:numPr>
          <w:ilvl w:val="0"/>
          <w:numId w:val="2"/>
        </w:numPr>
        <w:spacing w:before="0" w:after="0" w:line="360" w:lineRule="auto"/>
        <w:ind w:left="282" w:hangingChars="118" w:hanging="284"/>
        <w:jc w:val="both"/>
        <w:rPr>
          <w:rFonts w:asciiTheme="majorBidi" w:hAnsiTheme="majorBidi" w:cstheme="majorBidi"/>
          <w:iCs/>
          <w:color w:val="000000" w:themeColor="text1"/>
          <w:sz w:val="24"/>
          <w:szCs w:val="24"/>
        </w:rPr>
      </w:pPr>
      <w:r w:rsidRPr="00E21A57">
        <w:rPr>
          <w:rFonts w:asciiTheme="majorBidi" w:hAnsiTheme="majorBidi" w:cstheme="majorBidi"/>
          <w:iCs/>
          <w:color w:val="000000" w:themeColor="text1"/>
          <w:sz w:val="24"/>
          <w:szCs w:val="24"/>
        </w:rPr>
        <w:t>Respondent Characteristics</w:t>
      </w:r>
    </w:p>
    <w:p w14:paraId="0F722B2D" w14:textId="7414DC8D" w:rsidR="00E21A57" w:rsidRDefault="00E21A57" w:rsidP="001D3DC3">
      <w:pPr>
        <w:pStyle w:val="ListParagraph"/>
        <w:spacing w:line="240" w:lineRule="auto"/>
        <w:ind w:left="0" w:hanging="2"/>
        <w:jc w:val="center"/>
      </w:pPr>
      <w:r w:rsidRPr="00E21A57">
        <w:rPr>
          <w:b/>
          <w:bCs/>
        </w:rPr>
        <w:t>Table 1</w:t>
      </w:r>
      <w:r>
        <w:t>. Distribution of Respondent Characteristics, 2025 (n = 120)</w:t>
      </w:r>
    </w:p>
    <w:tbl>
      <w:tblPr>
        <w:tblStyle w:val="LightShading1"/>
        <w:tblW w:w="0" w:type="auto"/>
        <w:tblInd w:w="1701" w:type="dxa"/>
        <w:tblLook w:val="04A0" w:firstRow="1" w:lastRow="0" w:firstColumn="1" w:lastColumn="0" w:noHBand="0" w:noVBand="1"/>
      </w:tblPr>
      <w:tblGrid>
        <w:gridCol w:w="1843"/>
        <w:gridCol w:w="2131"/>
        <w:gridCol w:w="1119"/>
        <w:gridCol w:w="1046"/>
      </w:tblGrid>
      <w:tr w:rsidR="00E21A57" w:rsidRPr="00E21A57" w14:paraId="50FDFE8A" w14:textId="77777777" w:rsidTr="00E21A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74" w:type="dxa"/>
            <w:gridSpan w:val="2"/>
            <w:tcBorders>
              <w:bottom w:val="single" w:sz="4" w:space="0" w:color="auto"/>
            </w:tcBorders>
            <w:shd w:val="clear" w:color="auto" w:fill="auto"/>
          </w:tcPr>
          <w:p w14:paraId="22D87A07" w14:textId="10DCB76E" w:rsidR="00E21A57" w:rsidRPr="00E21A57" w:rsidRDefault="00E21A57" w:rsidP="00E21A57">
            <w:pPr>
              <w:suppressAutoHyphens w:val="0"/>
              <w:ind w:leftChars="0" w:left="0" w:firstLineChars="0" w:firstLine="0"/>
              <w:jc w:val="center"/>
              <w:textDirection w:val="lrTb"/>
              <w:textAlignment w:val="auto"/>
              <w:outlineLvl w:val="9"/>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Variable</w:t>
            </w:r>
          </w:p>
        </w:tc>
        <w:tc>
          <w:tcPr>
            <w:tcW w:w="1119" w:type="dxa"/>
            <w:tcBorders>
              <w:bottom w:val="single" w:sz="4" w:space="0" w:color="auto"/>
            </w:tcBorders>
            <w:shd w:val="clear" w:color="auto" w:fill="auto"/>
            <w:hideMark/>
          </w:tcPr>
          <w:p w14:paraId="65CE19BC" w14:textId="77777777" w:rsidR="00E21A57" w:rsidRPr="00E21A57" w:rsidRDefault="00E21A57" w:rsidP="00E21A57">
            <w:pPr>
              <w:suppressAutoHyphens w:val="0"/>
              <w:ind w:leftChars="0" w:left="0" w:firstLineChars="0" w:firstLine="0"/>
              <w:jc w:val="center"/>
              <w:textDirection w:val="lrTb"/>
              <w:textAlignment w:val="auto"/>
              <w:outlineLvl w:val="9"/>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f</w:t>
            </w:r>
          </w:p>
        </w:tc>
        <w:tc>
          <w:tcPr>
            <w:tcW w:w="1046" w:type="dxa"/>
            <w:tcBorders>
              <w:bottom w:val="single" w:sz="4" w:space="0" w:color="auto"/>
            </w:tcBorders>
            <w:shd w:val="clear" w:color="auto" w:fill="auto"/>
            <w:hideMark/>
          </w:tcPr>
          <w:p w14:paraId="2EBE2E2B" w14:textId="77777777" w:rsidR="00E21A57" w:rsidRPr="00E21A57" w:rsidRDefault="00E21A57" w:rsidP="00E21A57">
            <w:pPr>
              <w:suppressAutoHyphens w:val="0"/>
              <w:ind w:leftChars="0" w:left="0" w:firstLineChars="0" w:firstLine="0"/>
              <w:jc w:val="center"/>
              <w:textDirection w:val="lrTb"/>
              <w:textAlignment w:val="auto"/>
              <w:outlineLvl w:val="9"/>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w:t>
            </w:r>
          </w:p>
        </w:tc>
      </w:tr>
      <w:tr w:rsidR="00E21A57" w:rsidRPr="00E21A57" w14:paraId="44E43D98" w14:textId="77777777" w:rsidTr="00E21A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auto"/>
              <w:bottom w:val="nil"/>
            </w:tcBorders>
            <w:shd w:val="clear" w:color="auto" w:fill="auto"/>
          </w:tcPr>
          <w:p w14:paraId="755B2818" w14:textId="21CA8286" w:rsidR="00E21A57" w:rsidRPr="00E21A57" w:rsidRDefault="00E21A57" w:rsidP="00E21A57">
            <w:pPr>
              <w:suppressAutoHyphens w:val="0"/>
              <w:ind w:leftChars="0" w:left="0" w:firstLineChars="0" w:firstLine="0"/>
              <w:textDirection w:val="lrTb"/>
              <w:textAlignment w:val="auto"/>
              <w:outlineLvl w:val="9"/>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b w:val="0"/>
                <w:bCs w:val="0"/>
                <w:position w:val="0"/>
                <w:sz w:val="20"/>
                <w:szCs w:val="20"/>
                <w:lang w:val="en-ID" w:eastAsia="en-ID"/>
              </w:rPr>
              <w:t>Age</w:t>
            </w:r>
          </w:p>
        </w:tc>
        <w:tc>
          <w:tcPr>
            <w:tcW w:w="2127" w:type="dxa"/>
            <w:tcBorders>
              <w:top w:val="single" w:sz="4" w:space="0" w:color="auto"/>
              <w:bottom w:val="nil"/>
            </w:tcBorders>
            <w:shd w:val="clear" w:color="auto" w:fill="auto"/>
            <w:hideMark/>
          </w:tcPr>
          <w:p w14:paraId="4E35C5E5" w14:textId="56AE3CB1" w:rsidR="00E21A57" w:rsidRPr="00E21A57" w:rsidRDefault="00E21A57" w:rsidP="00E21A57">
            <w:pPr>
              <w:suppressAutoHyphens w:val="0"/>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45–59 years</w:t>
            </w:r>
          </w:p>
        </w:tc>
        <w:tc>
          <w:tcPr>
            <w:tcW w:w="1119" w:type="dxa"/>
            <w:tcBorders>
              <w:top w:val="single" w:sz="4" w:space="0" w:color="auto"/>
              <w:bottom w:val="nil"/>
            </w:tcBorders>
            <w:shd w:val="clear" w:color="auto" w:fill="auto"/>
            <w:hideMark/>
          </w:tcPr>
          <w:p w14:paraId="7FF5C6BE" w14:textId="77777777" w:rsidR="00E21A57" w:rsidRPr="00E21A57" w:rsidRDefault="00E21A57" w:rsidP="00E21A57">
            <w:pPr>
              <w:suppressAutoHyphens w:val="0"/>
              <w:ind w:leftChars="0" w:left="0"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56</w:t>
            </w:r>
          </w:p>
        </w:tc>
        <w:tc>
          <w:tcPr>
            <w:tcW w:w="1046" w:type="dxa"/>
            <w:tcBorders>
              <w:top w:val="single" w:sz="4" w:space="0" w:color="auto"/>
              <w:bottom w:val="nil"/>
            </w:tcBorders>
            <w:shd w:val="clear" w:color="auto" w:fill="auto"/>
            <w:hideMark/>
          </w:tcPr>
          <w:p w14:paraId="12D65E16" w14:textId="77777777" w:rsidR="00E21A57" w:rsidRPr="00E21A57" w:rsidRDefault="00E21A57" w:rsidP="00E21A57">
            <w:pPr>
              <w:suppressAutoHyphens w:val="0"/>
              <w:ind w:leftChars="0" w:left="0"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46.7</w:t>
            </w:r>
          </w:p>
        </w:tc>
      </w:tr>
      <w:tr w:rsidR="00E21A57" w:rsidRPr="00E21A57" w14:paraId="2AF9297D" w14:textId="77777777" w:rsidTr="00E21A57">
        <w:tc>
          <w:tcPr>
            <w:cnfStyle w:val="001000000000" w:firstRow="0" w:lastRow="0" w:firstColumn="1" w:lastColumn="0" w:oddVBand="0" w:evenVBand="0" w:oddHBand="0" w:evenHBand="0" w:firstRowFirstColumn="0" w:firstRowLastColumn="0" w:lastRowFirstColumn="0" w:lastRowLastColumn="0"/>
            <w:tcW w:w="1843" w:type="dxa"/>
            <w:tcBorders>
              <w:top w:val="nil"/>
              <w:bottom w:val="single" w:sz="4" w:space="0" w:color="auto"/>
            </w:tcBorders>
            <w:shd w:val="clear" w:color="auto" w:fill="auto"/>
          </w:tcPr>
          <w:p w14:paraId="2BBA3F55" w14:textId="77777777" w:rsidR="00E21A57" w:rsidRPr="00E21A57" w:rsidRDefault="00E21A57" w:rsidP="00E21A57">
            <w:pPr>
              <w:suppressAutoHyphens w:val="0"/>
              <w:ind w:leftChars="0" w:left="0" w:firstLineChars="0" w:firstLine="0"/>
              <w:textDirection w:val="lrTb"/>
              <w:textAlignment w:val="auto"/>
              <w:outlineLvl w:val="9"/>
              <w:rPr>
                <w:rFonts w:asciiTheme="majorBidi" w:eastAsia="Times New Roman" w:hAnsiTheme="majorBidi" w:cstheme="majorBidi"/>
                <w:position w:val="0"/>
                <w:sz w:val="20"/>
                <w:szCs w:val="20"/>
                <w:lang w:val="en-ID" w:eastAsia="en-ID"/>
              </w:rPr>
            </w:pPr>
          </w:p>
        </w:tc>
        <w:tc>
          <w:tcPr>
            <w:tcW w:w="2127" w:type="dxa"/>
            <w:tcBorders>
              <w:top w:val="nil"/>
              <w:bottom w:val="single" w:sz="4" w:space="0" w:color="auto"/>
            </w:tcBorders>
            <w:shd w:val="clear" w:color="auto" w:fill="auto"/>
            <w:hideMark/>
          </w:tcPr>
          <w:p w14:paraId="031BD4A0" w14:textId="451E0533" w:rsidR="00E21A57" w:rsidRPr="00E21A57" w:rsidRDefault="00E21A57" w:rsidP="00E21A57">
            <w:pPr>
              <w:suppressAutoHyphens w:val="0"/>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 60 years</w:t>
            </w:r>
          </w:p>
        </w:tc>
        <w:tc>
          <w:tcPr>
            <w:tcW w:w="1119" w:type="dxa"/>
            <w:tcBorders>
              <w:top w:val="nil"/>
              <w:bottom w:val="single" w:sz="4" w:space="0" w:color="auto"/>
            </w:tcBorders>
            <w:shd w:val="clear" w:color="auto" w:fill="auto"/>
            <w:hideMark/>
          </w:tcPr>
          <w:p w14:paraId="5DB8C0E2" w14:textId="77777777" w:rsidR="00E21A57" w:rsidRPr="00E21A57" w:rsidRDefault="00E21A57" w:rsidP="00E21A57">
            <w:pPr>
              <w:suppressAutoHyphens w:val="0"/>
              <w:ind w:leftChars="0" w:left="0"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64</w:t>
            </w:r>
          </w:p>
        </w:tc>
        <w:tc>
          <w:tcPr>
            <w:tcW w:w="1046" w:type="dxa"/>
            <w:tcBorders>
              <w:top w:val="nil"/>
              <w:bottom w:val="single" w:sz="4" w:space="0" w:color="auto"/>
            </w:tcBorders>
            <w:shd w:val="clear" w:color="auto" w:fill="auto"/>
            <w:hideMark/>
          </w:tcPr>
          <w:p w14:paraId="13CC983D" w14:textId="77777777" w:rsidR="00E21A57" w:rsidRPr="00E21A57" w:rsidRDefault="00E21A57" w:rsidP="00E21A57">
            <w:pPr>
              <w:suppressAutoHyphens w:val="0"/>
              <w:ind w:leftChars="0" w:left="0"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53.3</w:t>
            </w:r>
          </w:p>
        </w:tc>
      </w:tr>
      <w:tr w:rsidR="00E21A57" w:rsidRPr="00E21A57" w14:paraId="1BBBD230" w14:textId="77777777" w:rsidTr="00E21A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tcPr>
          <w:p w14:paraId="29A9E37A" w14:textId="2B458C7B" w:rsidR="00E21A57" w:rsidRPr="00E21A57" w:rsidRDefault="00E21A57" w:rsidP="00E21A57">
            <w:pPr>
              <w:suppressAutoHyphens w:val="0"/>
              <w:ind w:leftChars="0" w:left="0" w:firstLineChars="0" w:firstLine="0"/>
              <w:textDirection w:val="lrTb"/>
              <w:textAlignment w:val="auto"/>
              <w:outlineLvl w:val="9"/>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b w:val="0"/>
                <w:bCs w:val="0"/>
                <w:position w:val="0"/>
                <w:sz w:val="20"/>
                <w:szCs w:val="20"/>
                <w:lang w:val="en-ID" w:eastAsia="en-ID"/>
              </w:rPr>
              <w:t>Sex</w:t>
            </w:r>
          </w:p>
        </w:tc>
        <w:tc>
          <w:tcPr>
            <w:tcW w:w="2127" w:type="dxa"/>
            <w:shd w:val="clear" w:color="auto" w:fill="auto"/>
            <w:hideMark/>
          </w:tcPr>
          <w:p w14:paraId="23054DA2" w14:textId="4F812D0B" w:rsidR="00E21A57" w:rsidRPr="00E21A57" w:rsidRDefault="00E21A57" w:rsidP="00E21A57">
            <w:pPr>
              <w:suppressAutoHyphens w:val="0"/>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Female</w:t>
            </w:r>
          </w:p>
        </w:tc>
        <w:tc>
          <w:tcPr>
            <w:tcW w:w="1119" w:type="dxa"/>
            <w:shd w:val="clear" w:color="auto" w:fill="auto"/>
            <w:hideMark/>
          </w:tcPr>
          <w:p w14:paraId="1D7FF474" w14:textId="77777777" w:rsidR="00E21A57" w:rsidRPr="00E21A57" w:rsidRDefault="00E21A57" w:rsidP="00E21A57">
            <w:pPr>
              <w:suppressAutoHyphens w:val="0"/>
              <w:ind w:leftChars="0" w:left="0"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100</w:t>
            </w:r>
          </w:p>
        </w:tc>
        <w:tc>
          <w:tcPr>
            <w:tcW w:w="1046" w:type="dxa"/>
            <w:shd w:val="clear" w:color="auto" w:fill="auto"/>
            <w:hideMark/>
          </w:tcPr>
          <w:p w14:paraId="50D1CD3F" w14:textId="77777777" w:rsidR="00E21A57" w:rsidRPr="00E21A57" w:rsidRDefault="00E21A57" w:rsidP="00E21A57">
            <w:pPr>
              <w:suppressAutoHyphens w:val="0"/>
              <w:ind w:leftChars="0" w:left="0"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83.3</w:t>
            </w:r>
          </w:p>
        </w:tc>
      </w:tr>
      <w:tr w:rsidR="00E21A57" w:rsidRPr="00E21A57" w14:paraId="13E14DC5" w14:textId="77777777" w:rsidTr="00E21A57">
        <w:tc>
          <w:tcPr>
            <w:cnfStyle w:val="001000000000" w:firstRow="0" w:lastRow="0" w:firstColumn="1" w:lastColumn="0" w:oddVBand="0" w:evenVBand="0" w:oddHBand="0" w:evenHBand="0" w:firstRowFirstColumn="0" w:firstRowLastColumn="0" w:lastRowFirstColumn="0" w:lastRowLastColumn="0"/>
            <w:tcW w:w="1843" w:type="dxa"/>
            <w:shd w:val="clear" w:color="auto" w:fill="auto"/>
          </w:tcPr>
          <w:p w14:paraId="11FE8760" w14:textId="77777777" w:rsidR="00E21A57" w:rsidRPr="00E21A57" w:rsidRDefault="00E21A57" w:rsidP="00E21A57">
            <w:pPr>
              <w:suppressAutoHyphens w:val="0"/>
              <w:ind w:leftChars="0" w:left="0" w:firstLineChars="0" w:firstLine="0"/>
              <w:textDirection w:val="lrTb"/>
              <w:textAlignment w:val="auto"/>
              <w:outlineLvl w:val="9"/>
              <w:rPr>
                <w:rFonts w:asciiTheme="majorBidi" w:eastAsia="Times New Roman" w:hAnsiTheme="majorBidi" w:cstheme="majorBidi"/>
                <w:position w:val="0"/>
                <w:sz w:val="20"/>
                <w:szCs w:val="20"/>
                <w:lang w:val="en-ID" w:eastAsia="en-ID"/>
              </w:rPr>
            </w:pPr>
          </w:p>
        </w:tc>
        <w:tc>
          <w:tcPr>
            <w:tcW w:w="2127" w:type="dxa"/>
            <w:shd w:val="clear" w:color="auto" w:fill="auto"/>
            <w:hideMark/>
          </w:tcPr>
          <w:p w14:paraId="0F7B4F49" w14:textId="7588890C" w:rsidR="00E21A57" w:rsidRPr="00E21A57" w:rsidRDefault="00E21A57" w:rsidP="00E21A57">
            <w:pPr>
              <w:suppressAutoHyphens w:val="0"/>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Male</w:t>
            </w:r>
          </w:p>
        </w:tc>
        <w:tc>
          <w:tcPr>
            <w:tcW w:w="1119" w:type="dxa"/>
            <w:shd w:val="clear" w:color="auto" w:fill="auto"/>
            <w:hideMark/>
          </w:tcPr>
          <w:p w14:paraId="089D60D1" w14:textId="77777777" w:rsidR="00E21A57" w:rsidRPr="00E21A57" w:rsidRDefault="00E21A57" w:rsidP="00E21A57">
            <w:pPr>
              <w:suppressAutoHyphens w:val="0"/>
              <w:ind w:leftChars="0" w:left="0"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20</w:t>
            </w:r>
          </w:p>
        </w:tc>
        <w:tc>
          <w:tcPr>
            <w:tcW w:w="1046" w:type="dxa"/>
            <w:shd w:val="clear" w:color="auto" w:fill="auto"/>
            <w:hideMark/>
          </w:tcPr>
          <w:p w14:paraId="1897D55F" w14:textId="77777777" w:rsidR="00E21A57" w:rsidRPr="00E21A57" w:rsidRDefault="00E21A57" w:rsidP="00E21A57">
            <w:pPr>
              <w:suppressAutoHyphens w:val="0"/>
              <w:ind w:leftChars="0" w:left="0"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16.7</w:t>
            </w:r>
          </w:p>
        </w:tc>
      </w:tr>
      <w:tr w:rsidR="00E21A57" w:rsidRPr="00E21A57" w14:paraId="3E6E923B" w14:textId="77777777" w:rsidTr="00E21A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tcPr>
          <w:p w14:paraId="3599BB06" w14:textId="3EE056EF" w:rsidR="00E21A57" w:rsidRPr="00E21A57" w:rsidRDefault="00E21A57" w:rsidP="00E21A57">
            <w:pPr>
              <w:suppressAutoHyphens w:val="0"/>
              <w:ind w:leftChars="0" w:left="0" w:firstLineChars="0" w:firstLine="0"/>
              <w:textDirection w:val="lrTb"/>
              <w:textAlignment w:val="auto"/>
              <w:outlineLvl w:val="9"/>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b w:val="0"/>
                <w:bCs w:val="0"/>
                <w:position w:val="0"/>
                <w:sz w:val="20"/>
                <w:szCs w:val="20"/>
                <w:lang w:val="en-ID" w:eastAsia="en-ID"/>
              </w:rPr>
              <w:lastRenderedPageBreak/>
              <w:t>Education Level</w:t>
            </w:r>
          </w:p>
        </w:tc>
        <w:tc>
          <w:tcPr>
            <w:tcW w:w="2127" w:type="dxa"/>
            <w:shd w:val="clear" w:color="auto" w:fill="auto"/>
            <w:hideMark/>
          </w:tcPr>
          <w:p w14:paraId="5C367E40" w14:textId="794A61E0" w:rsidR="00E21A57" w:rsidRPr="00E21A57" w:rsidRDefault="00E21A57" w:rsidP="00E21A57">
            <w:pPr>
              <w:suppressAutoHyphens w:val="0"/>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Elementary School</w:t>
            </w:r>
          </w:p>
        </w:tc>
        <w:tc>
          <w:tcPr>
            <w:tcW w:w="1119" w:type="dxa"/>
            <w:shd w:val="clear" w:color="auto" w:fill="auto"/>
            <w:hideMark/>
          </w:tcPr>
          <w:p w14:paraId="31963A50" w14:textId="77777777" w:rsidR="00E21A57" w:rsidRPr="00E21A57" w:rsidRDefault="00E21A57" w:rsidP="00E21A57">
            <w:pPr>
              <w:suppressAutoHyphens w:val="0"/>
              <w:ind w:leftChars="0" w:left="0"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46</w:t>
            </w:r>
          </w:p>
        </w:tc>
        <w:tc>
          <w:tcPr>
            <w:tcW w:w="1046" w:type="dxa"/>
            <w:shd w:val="clear" w:color="auto" w:fill="auto"/>
            <w:hideMark/>
          </w:tcPr>
          <w:p w14:paraId="6B47D977" w14:textId="77777777" w:rsidR="00E21A57" w:rsidRPr="00E21A57" w:rsidRDefault="00E21A57" w:rsidP="00E21A57">
            <w:pPr>
              <w:suppressAutoHyphens w:val="0"/>
              <w:ind w:leftChars="0" w:left="0"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38.3</w:t>
            </w:r>
          </w:p>
        </w:tc>
      </w:tr>
      <w:tr w:rsidR="00E21A57" w:rsidRPr="00E21A57" w14:paraId="2FB06022" w14:textId="77777777" w:rsidTr="00E21A57">
        <w:tc>
          <w:tcPr>
            <w:cnfStyle w:val="001000000000" w:firstRow="0" w:lastRow="0" w:firstColumn="1" w:lastColumn="0" w:oddVBand="0" w:evenVBand="0" w:oddHBand="0" w:evenHBand="0" w:firstRowFirstColumn="0" w:firstRowLastColumn="0" w:lastRowFirstColumn="0" w:lastRowLastColumn="0"/>
            <w:tcW w:w="1843" w:type="dxa"/>
            <w:shd w:val="clear" w:color="auto" w:fill="auto"/>
          </w:tcPr>
          <w:p w14:paraId="0FC2CD5C" w14:textId="77777777" w:rsidR="00E21A57" w:rsidRPr="00E21A57" w:rsidRDefault="00E21A57" w:rsidP="00E21A57">
            <w:pPr>
              <w:suppressAutoHyphens w:val="0"/>
              <w:ind w:leftChars="0" w:left="0" w:firstLineChars="0" w:firstLine="0"/>
              <w:textDirection w:val="lrTb"/>
              <w:textAlignment w:val="auto"/>
              <w:outlineLvl w:val="9"/>
              <w:rPr>
                <w:rFonts w:asciiTheme="majorBidi" w:eastAsia="Times New Roman" w:hAnsiTheme="majorBidi" w:cstheme="majorBidi"/>
                <w:position w:val="0"/>
                <w:sz w:val="20"/>
                <w:szCs w:val="20"/>
                <w:lang w:val="en-ID" w:eastAsia="en-ID"/>
              </w:rPr>
            </w:pPr>
          </w:p>
        </w:tc>
        <w:tc>
          <w:tcPr>
            <w:tcW w:w="2127" w:type="dxa"/>
            <w:shd w:val="clear" w:color="auto" w:fill="auto"/>
            <w:hideMark/>
          </w:tcPr>
          <w:p w14:paraId="32ECBFC5" w14:textId="65A89757" w:rsidR="00E21A57" w:rsidRPr="00E21A57" w:rsidRDefault="00E21A57" w:rsidP="00E21A57">
            <w:pPr>
              <w:suppressAutoHyphens w:val="0"/>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Junior High School</w:t>
            </w:r>
          </w:p>
        </w:tc>
        <w:tc>
          <w:tcPr>
            <w:tcW w:w="1119" w:type="dxa"/>
            <w:shd w:val="clear" w:color="auto" w:fill="auto"/>
            <w:hideMark/>
          </w:tcPr>
          <w:p w14:paraId="3F85B658" w14:textId="77777777" w:rsidR="00E21A57" w:rsidRPr="00E21A57" w:rsidRDefault="00E21A57" w:rsidP="00E21A57">
            <w:pPr>
              <w:suppressAutoHyphens w:val="0"/>
              <w:ind w:leftChars="0" w:left="0"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39</w:t>
            </w:r>
          </w:p>
        </w:tc>
        <w:tc>
          <w:tcPr>
            <w:tcW w:w="1046" w:type="dxa"/>
            <w:shd w:val="clear" w:color="auto" w:fill="auto"/>
            <w:hideMark/>
          </w:tcPr>
          <w:p w14:paraId="07B11647" w14:textId="77777777" w:rsidR="00E21A57" w:rsidRPr="00E21A57" w:rsidRDefault="00E21A57" w:rsidP="00E21A57">
            <w:pPr>
              <w:suppressAutoHyphens w:val="0"/>
              <w:ind w:leftChars="0" w:left="0"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32.5</w:t>
            </w:r>
          </w:p>
        </w:tc>
      </w:tr>
      <w:tr w:rsidR="00E21A57" w:rsidRPr="00E21A57" w14:paraId="05D2AB8A" w14:textId="77777777" w:rsidTr="00E21A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bottom w:val="nil"/>
            </w:tcBorders>
            <w:shd w:val="clear" w:color="auto" w:fill="auto"/>
          </w:tcPr>
          <w:p w14:paraId="06208EA1" w14:textId="77777777" w:rsidR="00E21A57" w:rsidRPr="00E21A57" w:rsidRDefault="00E21A57" w:rsidP="00E21A57">
            <w:pPr>
              <w:suppressAutoHyphens w:val="0"/>
              <w:ind w:leftChars="0" w:left="0" w:firstLineChars="0" w:firstLine="0"/>
              <w:textDirection w:val="lrTb"/>
              <w:textAlignment w:val="auto"/>
              <w:outlineLvl w:val="9"/>
              <w:rPr>
                <w:rFonts w:asciiTheme="majorBidi" w:eastAsia="Times New Roman" w:hAnsiTheme="majorBidi" w:cstheme="majorBidi"/>
                <w:position w:val="0"/>
                <w:sz w:val="20"/>
                <w:szCs w:val="20"/>
                <w:lang w:val="en-ID" w:eastAsia="en-ID"/>
              </w:rPr>
            </w:pPr>
          </w:p>
        </w:tc>
        <w:tc>
          <w:tcPr>
            <w:tcW w:w="2127" w:type="dxa"/>
            <w:tcBorders>
              <w:bottom w:val="nil"/>
            </w:tcBorders>
            <w:shd w:val="clear" w:color="auto" w:fill="auto"/>
            <w:hideMark/>
          </w:tcPr>
          <w:p w14:paraId="1C64D6FD" w14:textId="3F4CF35A" w:rsidR="00E21A57" w:rsidRPr="00E21A57" w:rsidRDefault="00E21A57" w:rsidP="00E21A57">
            <w:pPr>
              <w:suppressAutoHyphens w:val="0"/>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Senior High School</w:t>
            </w:r>
          </w:p>
        </w:tc>
        <w:tc>
          <w:tcPr>
            <w:tcW w:w="1119" w:type="dxa"/>
            <w:tcBorders>
              <w:bottom w:val="nil"/>
            </w:tcBorders>
            <w:shd w:val="clear" w:color="auto" w:fill="auto"/>
            <w:hideMark/>
          </w:tcPr>
          <w:p w14:paraId="63986B32" w14:textId="77777777" w:rsidR="00E21A57" w:rsidRPr="00E21A57" w:rsidRDefault="00E21A57" w:rsidP="00E21A57">
            <w:pPr>
              <w:suppressAutoHyphens w:val="0"/>
              <w:ind w:leftChars="0" w:left="0"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30</w:t>
            </w:r>
          </w:p>
        </w:tc>
        <w:tc>
          <w:tcPr>
            <w:tcW w:w="1046" w:type="dxa"/>
            <w:tcBorders>
              <w:bottom w:val="nil"/>
            </w:tcBorders>
            <w:shd w:val="clear" w:color="auto" w:fill="auto"/>
            <w:hideMark/>
          </w:tcPr>
          <w:p w14:paraId="69553B59" w14:textId="77777777" w:rsidR="00E21A57" w:rsidRPr="00E21A57" w:rsidRDefault="00E21A57" w:rsidP="00E21A57">
            <w:pPr>
              <w:suppressAutoHyphens w:val="0"/>
              <w:ind w:leftChars="0" w:left="0"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25.0</w:t>
            </w:r>
          </w:p>
        </w:tc>
      </w:tr>
      <w:tr w:rsidR="00E21A57" w:rsidRPr="00E21A57" w14:paraId="00838540" w14:textId="77777777" w:rsidTr="00E21A57">
        <w:tc>
          <w:tcPr>
            <w:cnfStyle w:val="001000000000" w:firstRow="0" w:lastRow="0" w:firstColumn="1" w:lastColumn="0" w:oddVBand="0" w:evenVBand="0" w:oddHBand="0" w:evenHBand="0" w:firstRowFirstColumn="0" w:firstRowLastColumn="0" w:lastRowFirstColumn="0" w:lastRowLastColumn="0"/>
            <w:tcW w:w="1843" w:type="dxa"/>
            <w:tcBorders>
              <w:top w:val="nil"/>
              <w:bottom w:val="single" w:sz="4" w:space="0" w:color="auto"/>
            </w:tcBorders>
            <w:shd w:val="clear" w:color="auto" w:fill="auto"/>
          </w:tcPr>
          <w:p w14:paraId="37391233" w14:textId="77777777" w:rsidR="00E21A57" w:rsidRPr="00E21A57" w:rsidRDefault="00E21A57" w:rsidP="00E21A57">
            <w:pPr>
              <w:suppressAutoHyphens w:val="0"/>
              <w:ind w:leftChars="0" w:left="0" w:firstLineChars="0" w:firstLine="0"/>
              <w:textDirection w:val="lrTb"/>
              <w:textAlignment w:val="auto"/>
              <w:outlineLvl w:val="9"/>
              <w:rPr>
                <w:rFonts w:asciiTheme="majorBidi" w:eastAsia="Times New Roman" w:hAnsiTheme="majorBidi" w:cstheme="majorBidi"/>
                <w:position w:val="0"/>
                <w:sz w:val="20"/>
                <w:szCs w:val="20"/>
                <w:lang w:val="en-ID" w:eastAsia="en-ID"/>
              </w:rPr>
            </w:pPr>
          </w:p>
        </w:tc>
        <w:tc>
          <w:tcPr>
            <w:tcW w:w="2127" w:type="dxa"/>
            <w:tcBorders>
              <w:top w:val="nil"/>
              <w:bottom w:val="single" w:sz="4" w:space="0" w:color="auto"/>
            </w:tcBorders>
            <w:shd w:val="clear" w:color="auto" w:fill="auto"/>
            <w:hideMark/>
          </w:tcPr>
          <w:p w14:paraId="7E0B7750" w14:textId="2A0C5C2E" w:rsidR="00E21A57" w:rsidRPr="00E21A57" w:rsidRDefault="00E21A57" w:rsidP="00E21A57">
            <w:pPr>
              <w:suppressAutoHyphens w:val="0"/>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Higher Education</w:t>
            </w:r>
          </w:p>
        </w:tc>
        <w:tc>
          <w:tcPr>
            <w:tcW w:w="1119" w:type="dxa"/>
            <w:tcBorders>
              <w:top w:val="nil"/>
              <w:bottom w:val="single" w:sz="4" w:space="0" w:color="auto"/>
            </w:tcBorders>
            <w:shd w:val="clear" w:color="auto" w:fill="auto"/>
            <w:hideMark/>
          </w:tcPr>
          <w:p w14:paraId="18ED4262" w14:textId="77777777" w:rsidR="00E21A57" w:rsidRPr="00E21A57" w:rsidRDefault="00E21A57" w:rsidP="00E21A57">
            <w:pPr>
              <w:suppressAutoHyphens w:val="0"/>
              <w:ind w:leftChars="0" w:left="0"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5</w:t>
            </w:r>
          </w:p>
        </w:tc>
        <w:tc>
          <w:tcPr>
            <w:tcW w:w="1046" w:type="dxa"/>
            <w:tcBorders>
              <w:top w:val="nil"/>
              <w:bottom w:val="single" w:sz="4" w:space="0" w:color="auto"/>
            </w:tcBorders>
            <w:shd w:val="clear" w:color="auto" w:fill="auto"/>
            <w:hideMark/>
          </w:tcPr>
          <w:p w14:paraId="61186910" w14:textId="77777777" w:rsidR="00E21A57" w:rsidRPr="00E21A57" w:rsidRDefault="00E21A57" w:rsidP="00E21A57">
            <w:pPr>
              <w:suppressAutoHyphens w:val="0"/>
              <w:ind w:leftChars="0" w:left="0"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4.2</w:t>
            </w:r>
          </w:p>
        </w:tc>
      </w:tr>
      <w:tr w:rsidR="00E21A57" w:rsidRPr="00E21A57" w14:paraId="7FA17030" w14:textId="77777777" w:rsidTr="00E21A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auto"/>
            </w:tcBorders>
            <w:shd w:val="clear" w:color="auto" w:fill="auto"/>
          </w:tcPr>
          <w:p w14:paraId="1C0D5BE4" w14:textId="6A7357FE" w:rsidR="00E21A57" w:rsidRPr="00E21A57" w:rsidRDefault="00E21A57" w:rsidP="00E21A57">
            <w:pPr>
              <w:suppressAutoHyphens w:val="0"/>
              <w:ind w:leftChars="0" w:left="0" w:firstLineChars="0" w:firstLine="0"/>
              <w:textDirection w:val="lrTb"/>
              <w:textAlignment w:val="auto"/>
              <w:outlineLvl w:val="9"/>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b w:val="0"/>
                <w:bCs w:val="0"/>
                <w:position w:val="0"/>
                <w:sz w:val="20"/>
                <w:szCs w:val="20"/>
                <w:lang w:val="en-ID" w:eastAsia="en-ID"/>
              </w:rPr>
              <w:t>Occupation</w:t>
            </w:r>
          </w:p>
        </w:tc>
        <w:tc>
          <w:tcPr>
            <w:tcW w:w="2127" w:type="dxa"/>
            <w:tcBorders>
              <w:top w:val="single" w:sz="4" w:space="0" w:color="auto"/>
            </w:tcBorders>
            <w:shd w:val="clear" w:color="auto" w:fill="auto"/>
            <w:hideMark/>
          </w:tcPr>
          <w:p w14:paraId="1345C130" w14:textId="11DE6675" w:rsidR="00E21A57" w:rsidRPr="00E21A57" w:rsidRDefault="00E21A57" w:rsidP="00E21A57">
            <w:pPr>
              <w:suppressAutoHyphens w:val="0"/>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Unemployed</w:t>
            </w:r>
          </w:p>
        </w:tc>
        <w:tc>
          <w:tcPr>
            <w:tcW w:w="1119" w:type="dxa"/>
            <w:tcBorders>
              <w:top w:val="single" w:sz="4" w:space="0" w:color="auto"/>
            </w:tcBorders>
            <w:shd w:val="clear" w:color="auto" w:fill="auto"/>
            <w:hideMark/>
          </w:tcPr>
          <w:p w14:paraId="7610FEC3" w14:textId="77777777" w:rsidR="00E21A57" w:rsidRPr="00E21A57" w:rsidRDefault="00E21A57" w:rsidP="00E21A57">
            <w:pPr>
              <w:suppressAutoHyphens w:val="0"/>
              <w:ind w:leftChars="0" w:left="0"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52</w:t>
            </w:r>
          </w:p>
        </w:tc>
        <w:tc>
          <w:tcPr>
            <w:tcW w:w="1046" w:type="dxa"/>
            <w:tcBorders>
              <w:top w:val="single" w:sz="4" w:space="0" w:color="auto"/>
            </w:tcBorders>
            <w:shd w:val="clear" w:color="auto" w:fill="auto"/>
            <w:hideMark/>
          </w:tcPr>
          <w:p w14:paraId="050A851E" w14:textId="77777777" w:rsidR="00E21A57" w:rsidRPr="00E21A57" w:rsidRDefault="00E21A57" w:rsidP="00E21A57">
            <w:pPr>
              <w:suppressAutoHyphens w:val="0"/>
              <w:ind w:leftChars="0" w:left="0"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43.3</w:t>
            </w:r>
          </w:p>
        </w:tc>
      </w:tr>
      <w:tr w:rsidR="00E21A57" w:rsidRPr="00E21A57" w14:paraId="26C48544" w14:textId="77777777" w:rsidTr="00E21A57">
        <w:tc>
          <w:tcPr>
            <w:cnfStyle w:val="001000000000" w:firstRow="0" w:lastRow="0" w:firstColumn="1" w:lastColumn="0" w:oddVBand="0" w:evenVBand="0" w:oddHBand="0" w:evenHBand="0" w:firstRowFirstColumn="0" w:firstRowLastColumn="0" w:lastRowFirstColumn="0" w:lastRowLastColumn="0"/>
            <w:tcW w:w="1843" w:type="dxa"/>
            <w:shd w:val="clear" w:color="auto" w:fill="auto"/>
          </w:tcPr>
          <w:p w14:paraId="38E3CDD1" w14:textId="77777777" w:rsidR="00E21A57" w:rsidRPr="00E21A57" w:rsidRDefault="00E21A57" w:rsidP="00E21A57">
            <w:pPr>
              <w:suppressAutoHyphens w:val="0"/>
              <w:ind w:leftChars="0" w:left="0" w:firstLineChars="0" w:firstLine="0"/>
              <w:textDirection w:val="lrTb"/>
              <w:textAlignment w:val="auto"/>
              <w:outlineLvl w:val="9"/>
              <w:rPr>
                <w:rFonts w:asciiTheme="majorBidi" w:eastAsia="Times New Roman" w:hAnsiTheme="majorBidi" w:cstheme="majorBidi"/>
                <w:position w:val="0"/>
                <w:sz w:val="20"/>
                <w:szCs w:val="20"/>
                <w:lang w:val="en-ID" w:eastAsia="en-ID"/>
              </w:rPr>
            </w:pPr>
          </w:p>
        </w:tc>
        <w:tc>
          <w:tcPr>
            <w:tcW w:w="2127" w:type="dxa"/>
            <w:shd w:val="clear" w:color="auto" w:fill="auto"/>
            <w:hideMark/>
          </w:tcPr>
          <w:p w14:paraId="6F59ECA7" w14:textId="478AF4F2" w:rsidR="00E21A57" w:rsidRPr="00E21A57" w:rsidRDefault="00E21A57" w:rsidP="00E21A57">
            <w:pPr>
              <w:suppressAutoHyphens w:val="0"/>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Housewife</w:t>
            </w:r>
          </w:p>
        </w:tc>
        <w:tc>
          <w:tcPr>
            <w:tcW w:w="1119" w:type="dxa"/>
            <w:shd w:val="clear" w:color="auto" w:fill="auto"/>
            <w:hideMark/>
          </w:tcPr>
          <w:p w14:paraId="67D8AF63" w14:textId="77777777" w:rsidR="00E21A57" w:rsidRPr="00E21A57" w:rsidRDefault="00E21A57" w:rsidP="00E21A57">
            <w:pPr>
              <w:suppressAutoHyphens w:val="0"/>
              <w:ind w:leftChars="0" w:left="0"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30</w:t>
            </w:r>
          </w:p>
        </w:tc>
        <w:tc>
          <w:tcPr>
            <w:tcW w:w="1046" w:type="dxa"/>
            <w:shd w:val="clear" w:color="auto" w:fill="auto"/>
            <w:hideMark/>
          </w:tcPr>
          <w:p w14:paraId="7ECD5861" w14:textId="77777777" w:rsidR="00E21A57" w:rsidRPr="00E21A57" w:rsidRDefault="00E21A57" w:rsidP="00E21A57">
            <w:pPr>
              <w:suppressAutoHyphens w:val="0"/>
              <w:ind w:leftChars="0" w:left="0"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25.0</w:t>
            </w:r>
          </w:p>
        </w:tc>
      </w:tr>
      <w:tr w:rsidR="00E21A57" w:rsidRPr="00E21A57" w14:paraId="2E19FB2D" w14:textId="77777777" w:rsidTr="00E21A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shd w:val="clear" w:color="auto" w:fill="auto"/>
          </w:tcPr>
          <w:p w14:paraId="54FAC2CE" w14:textId="77777777" w:rsidR="00E21A57" w:rsidRPr="00E21A57" w:rsidRDefault="00E21A57" w:rsidP="00E21A57">
            <w:pPr>
              <w:suppressAutoHyphens w:val="0"/>
              <w:ind w:leftChars="0" w:left="0" w:firstLineChars="0" w:firstLine="0"/>
              <w:textDirection w:val="lrTb"/>
              <w:textAlignment w:val="auto"/>
              <w:outlineLvl w:val="9"/>
              <w:rPr>
                <w:rFonts w:asciiTheme="majorBidi" w:eastAsia="Times New Roman" w:hAnsiTheme="majorBidi" w:cstheme="majorBidi"/>
                <w:position w:val="0"/>
                <w:sz w:val="20"/>
                <w:szCs w:val="20"/>
                <w:lang w:val="en-ID" w:eastAsia="en-ID"/>
              </w:rPr>
            </w:pPr>
          </w:p>
        </w:tc>
        <w:tc>
          <w:tcPr>
            <w:tcW w:w="2127" w:type="dxa"/>
            <w:shd w:val="clear" w:color="auto" w:fill="auto"/>
            <w:hideMark/>
          </w:tcPr>
          <w:p w14:paraId="5C393747" w14:textId="165BA5F7" w:rsidR="00E21A57" w:rsidRPr="00E21A57" w:rsidRDefault="00E21A57" w:rsidP="00E21A57">
            <w:pPr>
              <w:suppressAutoHyphens w:val="0"/>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proofErr w:type="spellStart"/>
            <w:r w:rsidRPr="00E21A57">
              <w:rPr>
                <w:rFonts w:asciiTheme="majorBidi" w:eastAsia="Times New Roman" w:hAnsiTheme="majorBidi" w:cstheme="majorBidi"/>
                <w:position w:val="0"/>
                <w:sz w:val="20"/>
                <w:szCs w:val="20"/>
                <w:lang w:val="en-ID" w:eastAsia="en-ID"/>
              </w:rPr>
              <w:t>Laborer</w:t>
            </w:r>
            <w:proofErr w:type="spellEnd"/>
          </w:p>
        </w:tc>
        <w:tc>
          <w:tcPr>
            <w:tcW w:w="1119" w:type="dxa"/>
            <w:shd w:val="clear" w:color="auto" w:fill="auto"/>
            <w:hideMark/>
          </w:tcPr>
          <w:p w14:paraId="1A0A73C4" w14:textId="77777777" w:rsidR="00E21A57" w:rsidRPr="00E21A57" w:rsidRDefault="00E21A57" w:rsidP="00E21A57">
            <w:pPr>
              <w:suppressAutoHyphens w:val="0"/>
              <w:ind w:leftChars="0" w:left="0"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10</w:t>
            </w:r>
          </w:p>
        </w:tc>
        <w:tc>
          <w:tcPr>
            <w:tcW w:w="1046" w:type="dxa"/>
            <w:shd w:val="clear" w:color="auto" w:fill="auto"/>
            <w:hideMark/>
          </w:tcPr>
          <w:p w14:paraId="1E07D8EF" w14:textId="77777777" w:rsidR="00E21A57" w:rsidRPr="00E21A57" w:rsidRDefault="00E21A57" w:rsidP="00E21A57">
            <w:pPr>
              <w:suppressAutoHyphens w:val="0"/>
              <w:ind w:leftChars="0" w:left="0"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8.3</w:t>
            </w:r>
          </w:p>
        </w:tc>
      </w:tr>
      <w:tr w:rsidR="00E21A57" w:rsidRPr="00E21A57" w14:paraId="3CC1A61A" w14:textId="77777777" w:rsidTr="00E21A57">
        <w:tc>
          <w:tcPr>
            <w:cnfStyle w:val="001000000000" w:firstRow="0" w:lastRow="0" w:firstColumn="1" w:lastColumn="0" w:oddVBand="0" w:evenVBand="0" w:oddHBand="0" w:evenHBand="0" w:firstRowFirstColumn="0" w:firstRowLastColumn="0" w:lastRowFirstColumn="0" w:lastRowLastColumn="0"/>
            <w:tcW w:w="1843" w:type="dxa"/>
            <w:shd w:val="clear" w:color="auto" w:fill="auto"/>
          </w:tcPr>
          <w:p w14:paraId="110196AD" w14:textId="77777777" w:rsidR="00E21A57" w:rsidRPr="00E21A57" w:rsidRDefault="00E21A57" w:rsidP="00E21A57">
            <w:pPr>
              <w:suppressAutoHyphens w:val="0"/>
              <w:ind w:leftChars="0" w:left="0" w:firstLineChars="0" w:firstLine="0"/>
              <w:textDirection w:val="lrTb"/>
              <w:textAlignment w:val="auto"/>
              <w:outlineLvl w:val="9"/>
              <w:rPr>
                <w:rFonts w:asciiTheme="majorBidi" w:eastAsia="Times New Roman" w:hAnsiTheme="majorBidi" w:cstheme="majorBidi"/>
                <w:position w:val="0"/>
                <w:sz w:val="20"/>
                <w:szCs w:val="20"/>
                <w:lang w:val="en-ID" w:eastAsia="en-ID"/>
              </w:rPr>
            </w:pPr>
          </w:p>
        </w:tc>
        <w:tc>
          <w:tcPr>
            <w:tcW w:w="2127" w:type="dxa"/>
            <w:shd w:val="clear" w:color="auto" w:fill="auto"/>
            <w:hideMark/>
          </w:tcPr>
          <w:p w14:paraId="35C5C996" w14:textId="33103D04" w:rsidR="00E21A57" w:rsidRPr="00E21A57" w:rsidRDefault="00E21A57" w:rsidP="00E21A57">
            <w:pPr>
              <w:suppressAutoHyphens w:val="0"/>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Private Employee</w:t>
            </w:r>
          </w:p>
        </w:tc>
        <w:tc>
          <w:tcPr>
            <w:tcW w:w="1119" w:type="dxa"/>
            <w:shd w:val="clear" w:color="auto" w:fill="auto"/>
            <w:hideMark/>
          </w:tcPr>
          <w:p w14:paraId="7FD349F8" w14:textId="77777777" w:rsidR="00E21A57" w:rsidRPr="00E21A57" w:rsidRDefault="00E21A57" w:rsidP="00E21A57">
            <w:pPr>
              <w:suppressAutoHyphens w:val="0"/>
              <w:ind w:leftChars="0" w:left="0"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11</w:t>
            </w:r>
          </w:p>
        </w:tc>
        <w:tc>
          <w:tcPr>
            <w:tcW w:w="1046" w:type="dxa"/>
            <w:shd w:val="clear" w:color="auto" w:fill="auto"/>
            <w:hideMark/>
          </w:tcPr>
          <w:p w14:paraId="67C99E0F" w14:textId="77777777" w:rsidR="00E21A57" w:rsidRPr="00E21A57" w:rsidRDefault="00E21A57" w:rsidP="00E21A57">
            <w:pPr>
              <w:suppressAutoHyphens w:val="0"/>
              <w:ind w:leftChars="0" w:left="0"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9.2</w:t>
            </w:r>
          </w:p>
        </w:tc>
      </w:tr>
      <w:tr w:rsidR="00E21A57" w:rsidRPr="00E21A57" w14:paraId="7C3AA932" w14:textId="77777777" w:rsidTr="00E21A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bottom w:val="nil"/>
            </w:tcBorders>
            <w:shd w:val="clear" w:color="auto" w:fill="auto"/>
          </w:tcPr>
          <w:p w14:paraId="24CF9CF6" w14:textId="77777777" w:rsidR="00E21A57" w:rsidRPr="00E21A57" w:rsidRDefault="00E21A57" w:rsidP="00E21A57">
            <w:pPr>
              <w:suppressAutoHyphens w:val="0"/>
              <w:ind w:leftChars="0" w:left="0" w:firstLineChars="0" w:firstLine="0"/>
              <w:textDirection w:val="lrTb"/>
              <w:textAlignment w:val="auto"/>
              <w:outlineLvl w:val="9"/>
              <w:rPr>
                <w:rFonts w:asciiTheme="majorBidi" w:eastAsia="Times New Roman" w:hAnsiTheme="majorBidi" w:cstheme="majorBidi"/>
                <w:position w:val="0"/>
                <w:sz w:val="20"/>
                <w:szCs w:val="20"/>
                <w:lang w:val="en-ID" w:eastAsia="en-ID"/>
              </w:rPr>
            </w:pPr>
          </w:p>
        </w:tc>
        <w:tc>
          <w:tcPr>
            <w:tcW w:w="2127" w:type="dxa"/>
            <w:tcBorders>
              <w:bottom w:val="nil"/>
            </w:tcBorders>
            <w:shd w:val="clear" w:color="auto" w:fill="auto"/>
            <w:hideMark/>
          </w:tcPr>
          <w:p w14:paraId="6C0E0890" w14:textId="04FE249F" w:rsidR="00E21A57" w:rsidRPr="00E21A57" w:rsidRDefault="00E21A57" w:rsidP="00E21A57">
            <w:pPr>
              <w:suppressAutoHyphens w:val="0"/>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Entrepreneur</w:t>
            </w:r>
          </w:p>
        </w:tc>
        <w:tc>
          <w:tcPr>
            <w:tcW w:w="1119" w:type="dxa"/>
            <w:tcBorders>
              <w:bottom w:val="nil"/>
            </w:tcBorders>
            <w:shd w:val="clear" w:color="auto" w:fill="auto"/>
            <w:hideMark/>
          </w:tcPr>
          <w:p w14:paraId="716B6356" w14:textId="77777777" w:rsidR="00E21A57" w:rsidRPr="00E21A57" w:rsidRDefault="00E21A57" w:rsidP="00E21A57">
            <w:pPr>
              <w:suppressAutoHyphens w:val="0"/>
              <w:ind w:leftChars="0" w:left="0"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13</w:t>
            </w:r>
          </w:p>
        </w:tc>
        <w:tc>
          <w:tcPr>
            <w:tcW w:w="1046" w:type="dxa"/>
            <w:tcBorders>
              <w:bottom w:val="nil"/>
            </w:tcBorders>
            <w:shd w:val="clear" w:color="auto" w:fill="auto"/>
            <w:hideMark/>
          </w:tcPr>
          <w:p w14:paraId="3FCED127" w14:textId="77777777" w:rsidR="00E21A57" w:rsidRPr="00E21A57" w:rsidRDefault="00E21A57" w:rsidP="00E21A57">
            <w:pPr>
              <w:suppressAutoHyphens w:val="0"/>
              <w:ind w:leftChars="0" w:left="0"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10.8</w:t>
            </w:r>
          </w:p>
        </w:tc>
      </w:tr>
      <w:tr w:rsidR="00E21A57" w:rsidRPr="00E21A57" w14:paraId="156C0B2B" w14:textId="77777777" w:rsidTr="00E21A57">
        <w:tc>
          <w:tcPr>
            <w:cnfStyle w:val="001000000000" w:firstRow="0" w:lastRow="0" w:firstColumn="1" w:lastColumn="0" w:oddVBand="0" w:evenVBand="0" w:oddHBand="0" w:evenHBand="0" w:firstRowFirstColumn="0" w:firstRowLastColumn="0" w:lastRowFirstColumn="0" w:lastRowLastColumn="0"/>
            <w:tcW w:w="1843" w:type="dxa"/>
            <w:tcBorders>
              <w:top w:val="nil"/>
              <w:bottom w:val="single" w:sz="4" w:space="0" w:color="auto"/>
            </w:tcBorders>
            <w:shd w:val="clear" w:color="auto" w:fill="auto"/>
          </w:tcPr>
          <w:p w14:paraId="6E47FC40" w14:textId="77777777" w:rsidR="00E21A57" w:rsidRPr="00E21A57" w:rsidRDefault="00E21A57" w:rsidP="00E21A57">
            <w:pPr>
              <w:suppressAutoHyphens w:val="0"/>
              <w:ind w:leftChars="0" w:left="0" w:firstLineChars="0" w:firstLine="0"/>
              <w:textDirection w:val="lrTb"/>
              <w:textAlignment w:val="auto"/>
              <w:outlineLvl w:val="9"/>
              <w:rPr>
                <w:rFonts w:asciiTheme="majorBidi" w:eastAsia="Times New Roman" w:hAnsiTheme="majorBidi" w:cstheme="majorBidi"/>
                <w:position w:val="0"/>
                <w:sz w:val="20"/>
                <w:szCs w:val="20"/>
                <w:lang w:val="en-ID" w:eastAsia="en-ID"/>
              </w:rPr>
            </w:pPr>
          </w:p>
        </w:tc>
        <w:tc>
          <w:tcPr>
            <w:tcW w:w="2127" w:type="dxa"/>
            <w:tcBorders>
              <w:top w:val="nil"/>
              <w:bottom w:val="single" w:sz="4" w:space="0" w:color="auto"/>
            </w:tcBorders>
            <w:shd w:val="clear" w:color="auto" w:fill="auto"/>
            <w:hideMark/>
          </w:tcPr>
          <w:p w14:paraId="7179CFCF" w14:textId="4BC561DB" w:rsidR="00E21A57" w:rsidRPr="00E21A57" w:rsidRDefault="00E21A57" w:rsidP="00E21A57">
            <w:pPr>
              <w:suppressAutoHyphens w:val="0"/>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Civil Servant (ASN)</w:t>
            </w:r>
          </w:p>
        </w:tc>
        <w:tc>
          <w:tcPr>
            <w:tcW w:w="1119" w:type="dxa"/>
            <w:tcBorders>
              <w:top w:val="nil"/>
              <w:bottom w:val="single" w:sz="4" w:space="0" w:color="auto"/>
            </w:tcBorders>
            <w:shd w:val="clear" w:color="auto" w:fill="auto"/>
            <w:hideMark/>
          </w:tcPr>
          <w:p w14:paraId="692620B9" w14:textId="77777777" w:rsidR="00E21A57" w:rsidRPr="00E21A57" w:rsidRDefault="00E21A57" w:rsidP="00E21A57">
            <w:pPr>
              <w:suppressAutoHyphens w:val="0"/>
              <w:ind w:leftChars="0" w:left="0"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4</w:t>
            </w:r>
          </w:p>
        </w:tc>
        <w:tc>
          <w:tcPr>
            <w:tcW w:w="1046" w:type="dxa"/>
            <w:tcBorders>
              <w:top w:val="nil"/>
              <w:bottom w:val="single" w:sz="4" w:space="0" w:color="auto"/>
            </w:tcBorders>
            <w:shd w:val="clear" w:color="auto" w:fill="auto"/>
            <w:hideMark/>
          </w:tcPr>
          <w:p w14:paraId="76C24207" w14:textId="77777777" w:rsidR="00E21A57" w:rsidRPr="00E21A57" w:rsidRDefault="00E21A57" w:rsidP="00E21A57">
            <w:pPr>
              <w:suppressAutoHyphens w:val="0"/>
              <w:ind w:leftChars="0" w:left="0"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3.3</w:t>
            </w:r>
          </w:p>
        </w:tc>
      </w:tr>
      <w:tr w:rsidR="00E21A57" w:rsidRPr="00E21A57" w14:paraId="4A680047" w14:textId="77777777" w:rsidTr="00E21A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auto"/>
              <w:bottom w:val="nil"/>
            </w:tcBorders>
            <w:shd w:val="clear" w:color="auto" w:fill="auto"/>
          </w:tcPr>
          <w:p w14:paraId="320F6EA6" w14:textId="48501EE3" w:rsidR="00E21A57" w:rsidRPr="00E21A57" w:rsidRDefault="00E21A57" w:rsidP="00E21A57">
            <w:pPr>
              <w:suppressAutoHyphens w:val="0"/>
              <w:ind w:leftChars="0" w:left="0" w:firstLineChars="0" w:firstLine="0"/>
              <w:textDirection w:val="lrTb"/>
              <w:textAlignment w:val="auto"/>
              <w:outlineLvl w:val="9"/>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b w:val="0"/>
                <w:bCs w:val="0"/>
                <w:position w:val="0"/>
                <w:sz w:val="20"/>
                <w:szCs w:val="20"/>
                <w:lang w:val="en-ID" w:eastAsia="en-ID"/>
              </w:rPr>
              <w:t>Duration of Illness</w:t>
            </w:r>
          </w:p>
        </w:tc>
        <w:tc>
          <w:tcPr>
            <w:tcW w:w="2127" w:type="dxa"/>
            <w:tcBorders>
              <w:top w:val="single" w:sz="4" w:space="0" w:color="auto"/>
              <w:bottom w:val="nil"/>
            </w:tcBorders>
            <w:shd w:val="clear" w:color="auto" w:fill="auto"/>
            <w:hideMark/>
          </w:tcPr>
          <w:p w14:paraId="358465D4" w14:textId="69385B32" w:rsidR="00E21A57" w:rsidRPr="00E21A57" w:rsidRDefault="00E21A57" w:rsidP="00E21A57">
            <w:pPr>
              <w:suppressAutoHyphens w:val="0"/>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 3 years</w:t>
            </w:r>
          </w:p>
        </w:tc>
        <w:tc>
          <w:tcPr>
            <w:tcW w:w="1119" w:type="dxa"/>
            <w:tcBorders>
              <w:top w:val="single" w:sz="4" w:space="0" w:color="auto"/>
              <w:bottom w:val="nil"/>
            </w:tcBorders>
            <w:shd w:val="clear" w:color="auto" w:fill="auto"/>
            <w:hideMark/>
          </w:tcPr>
          <w:p w14:paraId="3343503B" w14:textId="77777777" w:rsidR="00E21A57" w:rsidRPr="00E21A57" w:rsidRDefault="00E21A57" w:rsidP="00E21A57">
            <w:pPr>
              <w:suppressAutoHyphens w:val="0"/>
              <w:ind w:leftChars="0" w:left="0"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30</w:t>
            </w:r>
          </w:p>
        </w:tc>
        <w:tc>
          <w:tcPr>
            <w:tcW w:w="1046" w:type="dxa"/>
            <w:tcBorders>
              <w:top w:val="single" w:sz="4" w:space="0" w:color="auto"/>
              <w:bottom w:val="nil"/>
            </w:tcBorders>
            <w:shd w:val="clear" w:color="auto" w:fill="auto"/>
            <w:hideMark/>
          </w:tcPr>
          <w:p w14:paraId="3869B596" w14:textId="77777777" w:rsidR="00E21A57" w:rsidRPr="00E21A57" w:rsidRDefault="00E21A57" w:rsidP="00E21A57">
            <w:pPr>
              <w:suppressAutoHyphens w:val="0"/>
              <w:ind w:leftChars="0" w:left="0"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25.0</w:t>
            </w:r>
          </w:p>
        </w:tc>
      </w:tr>
      <w:tr w:rsidR="00E21A57" w:rsidRPr="00E21A57" w14:paraId="46768568" w14:textId="77777777" w:rsidTr="00E21A57">
        <w:tc>
          <w:tcPr>
            <w:cnfStyle w:val="001000000000" w:firstRow="0" w:lastRow="0" w:firstColumn="1" w:lastColumn="0" w:oddVBand="0" w:evenVBand="0" w:oddHBand="0" w:evenHBand="0" w:firstRowFirstColumn="0" w:firstRowLastColumn="0" w:lastRowFirstColumn="0" w:lastRowLastColumn="0"/>
            <w:tcW w:w="1843" w:type="dxa"/>
            <w:tcBorders>
              <w:top w:val="nil"/>
              <w:bottom w:val="single" w:sz="4" w:space="0" w:color="auto"/>
            </w:tcBorders>
            <w:shd w:val="clear" w:color="auto" w:fill="auto"/>
          </w:tcPr>
          <w:p w14:paraId="51C55A82" w14:textId="77777777" w:rsidR="00E21A57" w:rsidRPr="00E21A57" w:rsidRDefault="00E21A57" w:rsidP="00E21A57">
            <w:pPr>
              <w:suppressAutoHyphens w:val="0"/>
              <w:ind w:leftChars="0" w:left="0" w:firstLineChars="0" w:firstLine="0"/>
              <w:textDirection w:val="lrTb"/>
              <w:textAlignment w:val="auto"/>
              <w:outlineLvl w:val="9"/>
              <w:rPr>
                <w:rFonts w:asciiTheme="majorBidi" w:eastAsia="Times New Roman" w:hAnsiTheme="majorBidi" w:cstheme="majorBidi"/>
                <w:position w:val="0"/>
                <w:sz w:val="20"/>
                <w:szCs w:val="20"/>
                <w:lang w:val="en-ID" w:eastAsia="en-ID"/>
              </w:rPr>
            </w:pPr>
          </w:p>
        </w:tc>
        <w:tc>
          <w:tcPr>
            <w:tcW w:w="2127" w:type="dxa"/>
            <w:tcBorders>
              <w:top w:val="nil"/>
              <w:bottom w:val="single" w:sz="4" w:space="0" w:color="auto"/>
            </w:tcBorders>
            <w:shd w:val="clear" w:color="auto" w:fill="auto"/>
            <w:hideMark/>
          </w:tcPr>
          <w:p w14:paraId="12DF73E5" w14:textId="151495D9" w:rsidR="00E21A57" w:rsidRPr="00E21A57" w:rsidRDefault="00E21A57" w:rsidP="00E21A57">
            <w:pPr>
              <w:suppressAutoHyphens w:val="0"/>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&gt; 3 years</w:t>
            </w:r>
          </w:p>
        </w:tc>
        <w:tc>
          <w:tcPr>
            <w:tcW w:w="1119" w:type="dxa"/>
            <w:tcBorders>
              <w:top w:val="nil"/>
              <w:bottom w:val="single" w:sz="4" w:space="0" w:color="auto"/>
            </w:tcBorders>
            <w:shd w:val="clear" w:color="auto" w:fill="auto"/>
            <w:hideMark/>
          </w:tcPr>
          <w:p w14:paraId="216DD257" w14:textId="77777777" w:rsidR="00E21A57" w:rsidRPr="00E21A57" w:rsidRDefault="00E21A57" w:rsidP="00E21A57">
            <w:pPr>
              <w:suppressAutoHyphens w:val="0"/>
              <w:ind w:leftChars="0" w:left="0"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90</w:t>
            </w:r>
          </w:p>
        </w:tc>
        <w:tc>
          <w:tcPr>
            <w:tcW w:w="1046" w:type="dxa"/>
            <w:tcBorders>
              <w:top w:val="nil"/>
              <w:bottom w:val="single" w:sz="4" w:space="0" w:color="auto"/>
            </w:tcBorders>
            <w:shd w:val="clear" w:color="auto" w:fill="auto"/>
            <w:hideMark/>
          </w:tcPr>
          <w:p w14:paraId="0D2B0549" w14:textId="77777777" w:rsidR="00E21A57" w:rsidRPr="00E21A57" w:rsidRDefault="00E21A57" w:rsidP="00E21A57">
            <w:pPr>
              <w:suppressAutoHyphens w:val="0"/>
              <w:ind w:leftChars="0" w:left="0"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75.0</w:t>
            </w:r>
          </w:p>
        </w:tc>
      </w:tr>
      <w:tr w:rsidR="00E21A57" w:rsidRPr="00E21A57" w14:paraId="0314A9B2" w14:textId="77777777" w:rsidTr="00E21A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auto"/>
            </w:tcBorders>
            <w:shd w:val="clear" w:color="auto" w:fill="auto"/>
          </w:tcPr>
          <w:p w14:paraId="4E0E9D27" w14:textId="77777777" w:rsidR="00E21A57" w:rsidRPr="00E21A57" w:rsidRDefault="00E21A57" w:rsidP="00E21A57">
            <w:pPr>
              <w:suppressAutoHyphens w:val="0"/>
              <w:ind w:leftChars="0" w:left="0" w:firstLineChars="0" w:firstLine="0"/>
              <w:textDirection w:val="lrTb"/>
              <w:textAlignment w:val="auto"/>
              <w:outlineLvl w:val="9"/>
              <w:rPr>
                <w:rFonts w:asciiTheme="majorBidi" w:eastAsia="Times New Roman" w:hAnsiTheme="majorBidi" w:cstheme="majorBidi"/>
                <w:position w:val="0"/>
                <w:sz w:val="20"/>
                <w:szCs w:val="20"/>
                <w:lang w:val="en-ID" w:eastAsia="en-ID"/>
              </w:rPr>
            </w:pPr>
          </w:p>
        </w:tc>
        <w:tc>
          <w:tcPr>
            <w:tcW w:w="2127" w:type="dxa"/>
            <w:tcBorders>
              <w:top w:val="single" w:sz="4" w:space="0" w:color="auto"/>
            </w:tcBorders>
            <w:shd w:val="clear" w:color="auto" w:fill="auto"/>
            <w:hideMark/>
          </w:tcPr>
          <w:p w14:paraId="4BE8AFFC" w14:textId="1B2DFB4E" w:rsidR="00E21A57" w:rsidRPr="00E21A57" w:rsidRDefault="00E21A57" w:rsidP="00E21A57">
            <w:pPr>
              <w:suppressAutoHyphens w:val="0"/>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position w:val="0"/>
                <w:sz w:val="20"/>
                <w:szCs w:val="20"/>
                <w:lang w:val="en-ID" w:eastAsia="en-ID"/>
              </w:rPr>
            </w:pPr>
            <w:r w:rsidRPr="00E21A57">
              <w:rPr>
                <w:rFonts w:asciiTheme="majorBidi" w:eastAsia="Times New Roman" w:hAnsiTheme="majorBidi" w:cstheme="majorBidi"/>
                <w:b/>
                <w:bCs/>
                <w:position w:val="0"/>
                <w:sz w:val="20"/>
                <w:szCs w:val="20"/>
                <w:lang w:val="en-ID" w:eastAsia="en-ID"/>
              </w:rPr>
              <w:t>Total</w:t>
            </w:r>
          </w:p>
        </w:tc>
        <w:tc>
          <w:tcPr>
            <w:tcW w:w="1119" w:type="dxa"/>
            <w:tcBorders>
              <w:top w:val="single" w:sz="4" w:space="0" w:color="auto"/>
            </w:tcBorders>
            <w:shd w:val="clear" w:color="auto" w:fill="auto"/>
            <w:hideMark/>
          </w:tcPr>
          <w:p w14:paraId="38B44225" w14:textId="77777777" w:rsidR="00E21A57" w:rsidRPr="00E21A57" w:rsidRDefault="00E21A57" w:rsidP="00E21A57">
            <w:pPr>
              <w:suppressAutoHyphens w:val="0"/>
              <w:ind w:leftChars="0" w:left="0"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position w:val="0"/>
                <w:sz w:val="20"/>
                <w:szCs w:val="20"/>
                <w:lang w:val="en-ID" w:eastAsia="en-ID"/>
              </w:rPr>
            </w:pPr>
            <w:r w:rsidRPr="00E21A57">
              <w:rPr>
                <w:rFonts w:asciiTheme="majorBidi" w:eastAsia="Times New Roman" w:hAnsiTheme="majorBidi" w:cstheme="majorBidi"/>
                <w:b/>
                <w:bCs/>
                <w:position w:val="0"/>
                <w:sz w:val="20"/>
                <w:szCs w:val="20"/>
                <w:lang w:val="en-ID" w:eastAsia="en-ID"/>
              </w:rPr>
              <w:t>120</w:t>
            </w:r>
          </w:p>
        </w:tc>
        <w:tc>
          <w:tcPr>
            <w:tcW w:w="1046" w:type="dxa"/>
            <w:tcBorders>
              <w:top w:val="single" w:sz="4" w:space="0" w:color="auto"/>
            </w:tcBorders>
            <w:shd w:val="clear" w:color="auto" w:fill="auto"/>
            <w:hideMark/>
          </w:tcPr>
          <w:p w14:paraId="765A58FC" w14:textId="77777777" w:rsidR="00E21A57" w:rsidRPr="00E21A57" w:rsidRDefault="00E21A57" w:rsidP="00E21A57">
            <w:pPr>
              <w:suppressAutoHyphens w:val="0"/>
              <w:ind w:leftChars="0" w:left="0"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position w:val="0"/>
                <w:sz w:val="20"/>
                <w:szCs w:val="20"/>
                <w:lang w:val="en-ID" w:eastAsia="en-ID"/>
              </w:rPr>
            </w:pPr>
            <w:r w:rsidRPr="00E21A57">
              <w:rPr>
                <w:rFonts w:asciiTheme="majorBidi" w:eastAsia="Times New Roman" w:hAnsiTheme="majorBidi" w:cstheme="majorBidi"/>
                <w:b/>
                <w:bCs/>
                <w:position w:val="0"/>
                <w:sz w:val="20"/>
                <w:szCs w:val="20"/>
                <w:lang w:val="en-ID" w:eastAsia="en-ID"/>
              </w:rPr>
              <w:t>100.0</w:t>
            </w:r>
          </w:p>
        </w:tc>
      </w:tr>
    </w:tbl>
    <w:p w14:paraId="2B4D3A10" w14:textId="77777777" w:rsidR="00020A2C" w:rsidRPr="001D3DC3" w:rsidRDefault="00020A2C" w:rsidP="001D3DC3">
      <w:pPr>
        <w:spacing w:after="0" w:line="360" w:lineRule="auto"/>
        <w:ind w:left="0" w:hanging="2"/>
        <w:jc w:val="both"/>
        <w:rPr>
          <w:rFonts w:asciiTheme="majorBidi" w:eastAsia="Times New Roman" w:hAnsiTheme="majorBidi" w:cstheme="majorBidi"/>
          <w:color w:val="000000" w:themeColor="text1"/>
          <w:sz w:val="24"/>
          <w:szCs w:val="24"/>
          <w:lang w:eastAsia="en-ID"/>
        </w:rPr>
      </w:pPr>
    </w:p>
    <w:p w14:paraId="36EDC5F0" w14:textId="05B62ECB" w:rsidR="00E21A57" w:rsidRPr="001D3DC3" w:rsidRDefault="00E21A57" w:rsidP="001D3DC3">
      <w:pPr>
        <w:pStyle w:val="ListParagraph"/>
        <w:ind w:left="-2" w:firstLineChars="236" w:firstLine="566"/>
        <w:rPr>
          <w:rFonts w:asciiTheme="majorBidi" w:eastAsia="Times New Roman" w:hAnsiTheme="majorBidi" w:cstheme="majorBidi"/>
          <w:szCs w:val="24"/>
          <w:lang w:eastAsia="en-ID"/>
        </w:rPr>
      </w:pPr>
      <w:r>
        <w:t xml:space="preserve">This study involved 120 </w:t>
      </w:r>
      <w:proofErr w:type="spellStart"/>
      <w:r>
        <w:t>Prolanis</w:t>
      </w:r>
      <w:proofErr w:type="spellEnd"/>
      <w:r>
        <w:t xml:space="preserve"> participants diagnosed with Diabetes Mellitus in </w:t>
      </w:r>
      <w:proofErr w:type="spellStart"/>
      <w:r>
        <w:t>Demak</w:t>
      </w:r>
      <w:proofErr w:type="spellEnd"/>
      <w:r>
        <w:t xml:space="preserve"> District in 2025. The majority of respondents were older adults, with most aged ≥60 years (64 respondents, 53.3%), and the mean age was 60.41 years. Most respondents were female (100 respondents, 83.3%), and the majority had an elementary school education (46 respondents, 38.3%). Most respondents were unemployed (43.3%). In terms of disease duration, most had been living with diabetes for more than three years (75.0%).</w:t>
      </w:r>
    </w:p>
    <w:p w14:paraId="05E6B78D" w14:textId="469B8B91" w:rsidR="00020A2C" w:rsidRPr="001D3DC3" w:rsidRDefault="00020A2C" w:rsidP="00BB5493">
      <w:pPr>
        <w:spacing w:after="0" w:line="360" w:lineRule="auto"/>
        <w:ind w:leftChars="0" w:left="0" w:firstLineChars="0" w:firstLine="0"/>
        <w:rPr>
          <w:rFonts w:asciiTheme="majorBidi" w:hAnsiTheme="majorBidi" w:cstheme="majorBidi"/>
          <w:color w:val="000000" w:themeColor="text1"/>
          <w:sz w:val="24"/>
          <w:szCs w:val="24"/>
        </w:rPr>
      </w:pPr>
    </w:p>
    <w:p w14:paraId="41681623" w14:textId="38B5B4F2" w:rsidR="00E21A57" w:rsidRPr="00E21A57" w:rsidRDefault="00E21A57" w:rsidP="00E21A57">
      <w:pPr>
        <w:pStyle w:val="Heading2"/>
        <w:keepNext w:val="0"/>
        <w:keepLines w:val="0"/>
        <w:widowControl w:val="0"/>
        <w:numPr>
          <w:ilvl w:val="0"/>
          <w:numId w:val="2"/>
        </w:numPr>
        <w:spacing w:before="0" w:after="0" w:line="360" w:lineRule="auto"/>
        <w:ind w:left="282" w:hangingChars="118" w:hanging="284"/>
        <w:jc w:val="both"/>
        <w:rPr>
          <w:rFonts w:asciiTheme="majorBidi" w:hAnsiTheme="majorBidi" w:cstheme="majorBidi"/>
          <w:iCs/>
          <w:color w:val="000000" w:themeColor="text1"/>
          <w:sz w:val="24"/>
          <w:szCs w:val="24"/>
        </w:rPr>
      </w:pPr>
      <w:r w:rsidRPr="00E21A57">
        <w:rPr>
          <w:rFonts w:asciiTheme="majorBidi" w:hAnsiTheme="majorBidi" w:cstheme="majorBidi"/>
          <w:iCs/>
          <w:color w:val="000000" w:themeColor="text1"/>
          <w:sz w:val="24"/>
          <w:szCs w:val="24"/>
        </w:rPr>
        <w:t>Overview of Research Variable</w:t>
      </w:r>
      <w:r w:rsidRPr="00E21A57">
        <w:rPr>
          <w:rFonts w:asciiTheme="majorBidi" w:hAnsiTheme="majorBidi" w:cstheme="majorBidi"/>
          <w:iCs/>
          <w:color w:val="000000" w:themeColor="text1"/>
          <w:sz w:val="24"/>
          <w:szCs w:val="24"/>
        </w:rPr>
        <w:t>s</w:t>
      </w:r>
    </w:p>
    <w:p w14:paraId="5107CAF6" w14:textId="0BE41B3A" w:rsidR="00E21A57" w:rsidRDefault="00E21A57" w:rsidP="00E21A57">
      <w:pPr>
        <w:pStyle w:val="ListParagraph"/>
        <w:spacing w:line="240" w:lineRule="auto"/>
        <w:ind w:leftChars="128" w:left="284" w:right="-188" w:hanging="2"/>
        <w:jc w:val="center"/>
      </w:pPr>
      <w:r>
        <w:t>Table 2. Frequency Distribution of Factors Related to the Utilization of the Chronic Disease Management Program (</w:t>
      </w:r>
      <w:proofErr w:type="spellStart"/>
      <w:r>
        <w:t>Prolanis</w:t>
      </w:r>
      <w:proofErr w:type="spellEnd"/>
      <w:r>
        <w:t>) among Diabetes Mellitus Patients, 2025 (n = 120)</w:t>
      </w:r>
    </w:p>
    <w:tbl>
      <w:tblPr>
        <w:tblStyle w:val="LightShading1"/>
        <w:tblW w:w="0" w:type="auto"/>
        <w:tblInd w:w="1134" w:type="dxa"/>
        <w:tblLook w:val="04A0" w:firstRow="1" w:lastRow="0" w:firstColumn="1" w:lastColumn="0" w:noHBand="0" w:noVBand="1"/>
      </w:tblPr>
      <w:tblGrid>
        <w:gridCol w:w="2094"/>
        <w:gridCol w:w="1444"/>
        <w:gridCol w:w="516"/>
        <w:gridCol w:w="666"/>
        <w:gridCol w:w="2116"/>
      </w:tblGrid>
      <w:tr w:rsidR="00E21A57" w:rsidRPr="00E21A57" w14:paraId="2AEC194B" w14:textId="77777777" w:rsidTr="00E21A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5B749BCB" w14:textId="77777777" w:rsidR="00E21A57" w:rsidRPr="00E21A57" w:rsidRDefault="00E21A57" w:rsidP="00E21A57">
            <w:pPr>
              <w:suppressAutoHyphens w:val="0"/>
              <w:ind w:leftChars="0" w:left="0" w:firstLineChars="0" w:firstLine="0"/>
              <w:jc w:val="center"/>
              <w:textDirection w:val="lrTb"/>
              <w:textAlignment w:val="auto"/>
              <w:outlineLvl w:val="9"/>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Variable</w:t>
            </w:r>
          </w:p>
        </w:tc>
        <w:tc>
          <w:tcPr>
            <w:tcW w:w="0" w:type="auto"/>
            <w:shd w:val="clear" w:color="auto" w:fill="auto"/>
            <w:hideMark/>
          </w:tcPr>
          <w:p w14:paraId="2389B3AF" w14:textId="77777777" w:rsidR="00E21A57" w:rsidRPr="00E21A57" w:rsidRDefault="00E21A57" w:rsidP="00E21A57">
            <w:pPr>
              <w:suppressAutoHyphens w:val="0"/>
              <w:ind w:leftChars="0" w:left="0" w:firstLineChars="0" w:firstLine="0"/>
              <w:jc w:val="center"/>
              <w:textDirection w:val="lrTb"/>
              <w:textAlignment w:val="auto"/>
              <w:outlineLvl w:val="9"/>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Category</w:t>
            </w:r>
          </w:p>
        </w:tc>
        <w:tc>
          <w:tcPr>
            <w:tcW w:w="0" w:type="auto"/>
            <w:shd w:val="clear" w:color="auto" w:fill="auto"/>
            <w:hideMark/>
          </w:tcPr>
          <w:p w14:paraId="74BEFA7E" w14:textId="77777777" w:rsidR="00E21A57" w:rsidRPr="00E21A57" w:rsidRDefault="00E21A57" w:rsidP="00E21A57">
            <w:pPr>
              <w:suppressAutoHyphens w:val="0"/>
              <w:ind w:leftChars="0" w:left="0" w:firstLineChars="0" w:firstLine="0"/>
              <w:jc w:val="center"/>
              <w:textDirection w:val="lrTb"/>
              <w:textAlignment w:val="auto"/>
              <w:outlineLvl w:val="9"/>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f</w:t>
            </w:r>
          </w:p>
        </w:tc>
        <w:tc>
          <w:tcPr>
            <w:tcW w:w="0" w:type="auto"/>
            <w:shd w:val="clear" w:color="auto" w:fill="auto"/>
            <w:hideMark/>
          </w:tcPr>
          <w:p w14:paraId="5D9C9D45" w14:textId="77777777" w:rsidR="00E21A57" w:rsidRPr="00E21A57" w:rsidRDefault="00E21A57" w:rsidP="00E21A57">
            <w:pPr>
              <w:suppressAutoHyphens w:val="0"/>
              <w:ind w:leftChars="0" w:left="0" w:firstLineChars="0" w:firstLine="0"/>
              <w:jc w:val="center"/>
              <w:textDirection w:val="lrTb"/>
              <w:textAlignment w:val="auto"/>
              <w:outlineLvl w:val="9"/>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w:t>
            </w:r>
          </w:p>
        </w:tc>
        <w:tc>
          <w:tcPr>
            <w:tcW w:w="0" w:type="auto"/>
            <w:shd w:val="clear" w:color="auto" w:fill="auto"/>
            <w:hideMark/>
          </w:tcPr>
          <w:p w14:paraId="5C4A56AD" w14:textId="77777777" w:rsidR="00E21A57" w:rsidRPr="00E21A57" w:rsidRDefault="00E21A57" w:rsidP="00E21A57">
            <w:pPr>
              <w:suppressAutoHyphens w:val="0"/>
              <w:ind w:leftChars="0" w:left="0" w:firstLineChars="0" w:firstLine="0"/>
              <w:jc w:val="center"/>
              <w:textDirection w:val="lrTb"/>
              <w:textAlignment w:val="auto"/>
              <w:outlineLvl w:val="9"/>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Kolmogorov–Smirnov</w:t>
            </w:r>
          </w:p>
        </w:tc>
      </w:tr>
      <w:tr w:rsidR="00E21A57" w:rsidRPr="00E21A57" w14:paraId="0768E7EA" w14:textId="77777777" w:rsidTr="00E21A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3E93220C" w14:textId="77777777" w:rsidR="00E21A57" w:rsidRPr="00E21A57" w:rsidRDefault="00E21A57" w:rsidP="00E21A57">
            <w:pPr>
              <w:suppressAutoHyphens w:val="0"/>
              <w:ind w:leftChars="0" w:left="0" w:firstLineChars="0" w:firstLine="0"/>
              <w:textDirection w:val="lrTb"/>
              <w:textAlignment w:val="auto"/>
              <w:outlineLvl w:val="9"/>
              <w:rPr>
                <w:rFonts w:asciiTheme="majorBidi" w:eastAsia="Times New Roman" w:hAnsiTheme="majorBidi" w:cstheme="majorBidi"/>
                <w:b w:val="0"/>
                <w:bCs w:val="0"/>
                <w:position w:val="0"/>
                <w:sz w:val="20"/>
                <w:szCs w:val="20"/>
                <w:lang w:val="en-ID" w:eastAsia="en-ID"/>
              </w:rPr>
            </w:pPr>
            <w:r w:rsidRPr="00E21A57">
              <w:rPr>
                <w:rFonts w:asciiTheme="majorBidi" w:eastAsia="Times New Roman" w:hAnsiTheme="majorBidi" w:cstheme="majorBidi"/>
                <w:b w:val="0"/>
                <w:bCs w:val="0"/>
                <w:position w:val="0"/>
                <w:sz w:val="20"/>
                <w:szCs w:val="20"/>
                <w:lang w:val="en-ID" w:eastAsia="en-ID"/>
              </w:rPr>
              <w:t>Knowledge</w:t>
            </w:r>
          </w:p>
        </w:tc>
        <w:tc>
          <w:tcPr>
            <w:tcW w:w="0" w:type="auto"/>
            <w:shd w:val="clear" w:color="auto" w:fill="auto"/>
            <w:hideMark/>
          </w:tcPr>
          <w:p w14:paraId="2D8DEAFF" w14:textId="77777777" w:rsidR="00E21A57" w:rsidRPr="00E21A57" w:rsidRDefault="00E21A57" w:rsidP="00E21A57">
            <w:pPr>
              <w:suppressAutoHyphens w:val="0"/>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Poor</w:t>
            </w:r>
          </w:p>
        </w:tc>
        <w:tc>
          <w:tcPr>
            <w:tcW w:w="0" w:type="auto"/>
            <w:shd w:val="clear" w:color="auto" w:fill="auto"/>
            <w:hideMark/>
          </w:tcPr>
          <w:p w14:paraId="387CFACD" w14:textId="77777777" w:rsidR="00E21A57" w:rsidRPr="00E21A57" w:rsidRDefault="00E21A57" w:rsidP="00E21A57">
            <w:pPr>
              <w:suppressAutoHyphens w:val="0"/>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45</w:t>
            </w:r>
          </w:p>
        </w:tc>
        <w:tc>
          <w:tcPr>
            <w:tcW w:w="0" w:type="auto"/>
            <w:shd w:val="clear" w:color="auto" w:fill="auto"/>
            <w:hideMark/>
          </w:tcPr>
          <w:p w14:paraId="2DAE4CDC" w14:textId="77777777" w:rsidR="00E21A57" w:rsidRPr="00E21A57" w:rsidRDefault="00E21A57" w:rsidP="00E21A57">
            <w:pPr>
              <w:suppressAutoHyphens w:val="0"/>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37.5</w:t>
            </w:r>
          </w:p>
        </w:tc>
        <w:tc>
          <w:tcPr>
            <w:tcW w:w="0" w:type="auto"/>
            <w:shd w:val="clear" w:color="auto" w:fill="auto"/>
            <w:hideMark/>
          </w:tcPr>
          <w:p w14:paraId="12C76B37" w14:textId="77777777" w:rsidR="00E21A57" w:rsidRPr="00E21A57" w:rsidRDefault="00E21A57" w:rsidP="00E21A57">
            <w:pPr>
              <w:suppressAutoHyphens w:val="0"/>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0.000</w:t>
            </w:r>
          </w:p>
        </w:tc>
      </w:tr>
      <w:tr w:rsidR="00E21A57" w:rsidRPr="00E21A57" w14:paraId="13966405" w14:textId="77777777" w:rsidTr="00E21A57">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5E95A1B2" w14:textId="77777777" w:rsidR="00E21A57" w:rsidRPr="00E21A57" w:rsidRDefault="00E21A57" w:rsidP="00E21A57">
            <w:pPr>
              <w:suppressAutoHyphens w:val="0"/>
              <w:ind w:leftChars="0" w:left="0" w:firstLineChars="0" w:firstLine="0"/>
              <w:textDirection w:val="lrTb"/>
              <w:textAlignment w:val="auto"/>
              <w:outlineLvl w:val="9"/>
              <w:rPr>
                <w:rFonts w:asciiTheme="majorBidi" w:eastAsia="Times New Roman" w:hAnsiTheme="majorBidi" w:cstheme="majorBidi"/>
                <w:b w:val="0"/>
                <w:bCs w:val="0"/>
                <w:position w:val="0"/>
                <w:sz w:val="20"/>
                <w:szCs w:val="20"/>
                <w:lang w:val="en-ID" w:eastAsia="en-ID"/>
              </w:rPr>
            </w:pPr>
          </w:p>
        </w:tc>
        <w:tc>
          <w:tcPr>
            <w:tcW w:w="0" w:type="auto"/>
            <w:shd w:val="clear" w:color="auto" w:fill="auto"/>
            <w:hideMark/>
          </w:tcPr>
          <w:p w14:paraId="2D691184" w14:textId="77777777" w:rsidR="00E21A57" w:rsidRPr="00E21A57" w:rsidRDefault="00E21A57" w:rsidP="00E21A57">
            <w:pPr>
              <w:suppressAutoHyphens w:val="0"/>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Good</w:t>
            </w:r>
          </w:p>
        </w:tc>
        <w:tc>
          <w:tcPr>
            <w:tcW w:w="0" w:type="auto"/>
            <w:shd w:val="clear" w:color="auto" w:fill="auto"/>
            <w:hideMark/>
          </w:tcPr>
          <w:p w14:paraId="32D1C55A" w14:textId="77777777" w:rsidR="00E21A57" w:rsidRPr="00E21A57" w:rsidRDefault="00E21A57" w:rsidP="00E21A57">
            <w:pPr>
              <w:suppressAutoHyphens w:val="0"/>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75</w:t>
            </w:r>
          </w:p>
        </w:tc>
        <w:tc>
          <w:tcPr>
            <w:tcW w:w="0" w:type="auto"/>
            <w:shd w:val="clear" w:color="auto" w:fill="auto"/>
            <w:hideMark/>
          </w:tcPr>
          <w:p w14:paraId="348CE3B7" w14:textId="77777777" w:rsidR="00E21A57" w:rsidRPr="00E21A57" w:rsidRDefault="00E21A57" w:rsidP="00E21A57">
            <w:pPr>
              <w:suppressAutoHyphens w:val="0"/>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62.5</w:t>
            </w:r>
          </w:p>
        </w:tc>
        <w:tc>
          <w:tcPr>
            <w:tcW w:w="0" w:type="auto"/>
            <w:shd w:val="clear" w:color="auto" w:fill="auto"/>
            <w:hideMark/>
          </w:tcPr>
          <w:p w14:paraId="1C08AB0A" w14:textId="77777777" w:rsidR="00E21A57" w:rsidRPr="00E21A57" w:rsidRDefault="00E21A57" w:rsidP="00E21A57">
            <w:pPr>
              <w:suppressAutoHyphens w:val="0"/>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p>
        </w:tc>
      </w:tr>
      <w:tr w:rsidR="00E21A57" w:rsidRPr="00E21A57" w14:paraId="07699BCA" w14:textId="77777777" w:rsidTr="00E21A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0B87CEF0" w14:textId="77777777" w:rsidR="00E21A57" w:rsidRPr="00E21A57" w:rsidRDefault="00E21A57" w:rsidP="00E21A57">
            <w:pPr>
              <w:suppressAutoHyphens w:val="0"/>
              <w:ind w:leftChars="0" w:left="0" w:firstLineChars="0" w:firstLine="0"/>
              <w:textDirection w:val="lrTb"/>
              <w:textAlignment w:val="auto"/>
              <w:outlineLvl w:val="9"/>
              <w:rPr>
                <w:rFonts w:asciiTheme="majorBidi" w:eastAsia="Times New Roman" w:hAnsiTheme="majorBidi" w:cstheme="majorBidi"/>
                <w:b w:val="0"/>
                <w:bCs w:val="0"/>
                <w:position w:val="0"/>
                <w:sz w:val="20"/>
                <w:szCs w:val="20"/>
                <w:lang w:val="en-ID" w:eastAsia="en-ID"/>
              </w:rPr>
            </w:pPr>
            <w:r w:rsidRPr="00E21A57">
              <w:rPr>
                <w:rFonts w:asciiTheme="majorBidi" w:eastAsia="Times New Roman" w:hAnsiTheme="majorBidi" w:cstheme="majorBidi"/>
                <w:b w:val="0"/>
                <w:bCs w:val="0"/>
                <w:position w:val="0"/>
                <w:sz w:val="20"/>
                <w:szCs w:val="20"/>
                <w:lang w:val="en-ID" w:eastAsia="en-ID"/>
              </w:rPr>
              <w:t>Family Support</w:t>
            </w:r>
          </w:p>
        </w:tc>
        <w:tc>
          <w:tcPr>
            <w:tcW w:w="0" w:type="auto"/>
            <w:shd w:val="clear" w:color="auto" w:fill="auto"/>
            <w:hideMark/>
          </w:tcPr>
          <w:p w14:paraId="741A8CB9" w14:textId="77777777" w:rsidR="00E21A57" w:rsidRPr="00E21A57" w:rsidRDefault="00E21A57" w:rsidP="00E21A57">
            <w:pPr>
              <w:suppressAutoHyphens w:val="0"/>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Not Supportive</w:t>
            </w:r>
          </w:p>
        </w:tc>
        <w:tc>
          <w:tcPr>
            <w:tcW w:w="0" w:type="auto"/>
            <w:shd w:val="clear" w:color="auto" w:fill="auto"/>
            <w:hideMark/>
          </w:tcPr>
          <w:p w14:paraId="3995969C" w14:textId="77777777" w:rsidR="00E21A57" w:rsidRPr="00E21A57" w:rsidRDefault="00E21A57" w:rsidP="00E21A57">
            <w:pPr>
              <w:suppressAutoHyphens w:val="0"/>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50</w:t>
            </w:r>
          </w:p>
        </w:tc>
        <w:tc>
          <w:tcPr>
            <w:tcW w:w="0" w:type="auto"/>
            <w:shd w:val="clear" w:color="auto" w:fill="auto"/>
            <w:hideMark/>
          </w:tcPr>
          <w:p w14:paraId="3ABFACD3" w14:textId="77777777" w:rsidR="00E21A57" w:rsidRPr="00E21A57" w:rsidRDefault="00E21A57" w:rsidP="00E21A57">
            <w:pPr>
              <w:suppressAutoHyphens w:val="0"/>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41.7</w:t>
            </w:r>
          </w:p>
        </w:tc>
        <w:tc>
          <w:tcPr>
            <w:tcW w:w="0" w:type="auto"/>
            <w:shd w:val="clear" w:color="auto" w:fill="auto"/>
            <w:hideMark/>
          </w:tcPr>
          <w:p w14:paraId="6655DF6F" w14:textId="77777777" w:rsidR="00E21A57" w:rsidRPr="00E21A57" w:rsidRDefault="00E21A57" w:rsidP="00E21A57">
            <w:pPr>
              <w:suppressAutoHyphens w:val="0"/>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0.000</w:t>
            </w:r>
          </w:p>
        </w:tc>
      </w:tr>
      <w:tr w:rsidR="00E21A57" w:rsidRPr="00E21A57" w14:paraId="51879EA0" w14:textId="77777777" w:rsidTr="00E21A57">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798A4E86" w14:textId="77777777" w:rsidR="00E21A57" w:rsidRPr="00E21A57" w:rsidRDefault="00E21A57" w:rsidP="00E21A57">
            <w:pPr>
              <w:suppressAutoHyphens w:val="0"/>
              <w:ind w:leftChars="0" w:left="0" w:firstLineChars="0" w:firstLine="0"/>
              <w:textDirection w:val="lrTb"/>
              <w:textAlignment w:val="auto"/>
              <w:outlineLvl w:val="9"/>
              <w:rPr>
                <w:rFonts w:asciiTheme="majorBidi" w:eastAsia="Times New Roman" w:hAnsiTheme="majorBidi" w:cstheme="majorBidi"/>
                <w:b w:val="0"/>
                <w:bCs w:val="0"/>
                <w:position w:val="0"/>
                <w:sz w:val="20"/>
                <w:szCs w:val="20"/>
                <w:lang w:val="en-ID" w:eastAsia="en-ID"/>
              </w:rPr>
            </w:pPr>
          </w:p>
        </w:tc>
        <w:tc>
          <w:tcPr>
            <w:tcW w:w="0" w:type="auto"/>
            <w:shd w:val="clear" w:color="auto" w:fill="auto"/>
            <w:hideMark/>
          </w:tcPr>
          <w:p w14:paraId="49F36915" w14:textId="77777777" w:rsidR="00E21A57" w:rsidRPr="00E21A57" w:rsidRDefault="00E21A57" w:rsidP="00E21A57">
            <w:pPr>
              <w:suppressAutoHyphens w:val="0"/>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Supportive</w:t>
            </w:r>
          </w:p>
        </w:tc>
        <w:tc>
          <w:tcPr>
            <w:tcW w:w="0" w:type="auto"/>
            <w:shd w:val="clear" w:color="auto" w:fill="auto"/>
            <w:hideMark/>
          </w:tcPr>
          <w:p w14:paraId="1A1334F4" w14:textId="77777777" w:rsidR="00E21A57" w:rsidRPr="00E21A57" w:rsidRDefault="00E21A57" w:rsidP="00E21A57">
            <w:pPr>
              <w:suppressAutoHyphens w:val="0"/>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70</w:t>
            </w:r>
          </w:p>
        </w:tc>
        <w:tc>
          <w:tcPr>
            <w:tcW w:w="0" w:type="auto"/>
            <w:shd w:val="clear" w:color="auto" w:fill="auto"/>
            <w:hideMark/>
          </w:tcPr>
          <w:p w14:paraId="6DE344D0" w14:textId="77777777" w:rsidR="00E21A57" w:rsidRPr="00E21A57" w:rsidRDefault="00E21A57" w:rsidP="00E21A57">
            <w:pPr>
              <w:suppressAutoHyphens w:val="0"/>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58.3</w:t>
            </w:r>
          </w:p>
        </w:tc>
        <w:tc>
          <w:tcPr>
            <w:tcW w:w="0" w:type="auto"/>
            <w:shd w:val="clear" w:color="auto" w:fill="auto"/>
            <w:hideMark/>
          </w:tcPr>
          <w:p w14:paraId="42D3C70A" w14:textId="77777777" w:rsidR="00E21A57" w:rsidRPr="00E21A57" w:rsidRDefault="00E21A57" w:rsidP="00E21A57">
            <w:pPr>
              <w:suppressAutoHyphens w:val="0"/>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p>
        </w:tc>
      </w:tr>
      <w:tr w:rsidR="00E21A57" w:rsidRPr="00E21A57" w14:paraId="12CBAFCC" w14:textId="77777777" w:rsidTr="00E21A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5ADD51B7" w14:textId="77777777" w:rsidR="00E21A57" w:rsidRPr="00E21A57" w:rsidRDefault="00E21A57" w:rsidP="00E21A57">
            <w:pPr>
              <w:suppressAutoHyphens w:val="0"/>
              <w:ind w:leftChars="0" w:left="0" w:firstLineChars="0" w:firstLine="0"/>
              <w:textDirection w:val="lrTb"/>
              <w:textAlignment w:val="auto"/>
              <w:outlineLvl w:val="9"/>
              <w:rPr>
                <w:rFonts w:asciiTheme="majorBidi" w:eastAsia="Times New Roman" w:hAnsiTheme="majorBidi" w:cstheme="majorBidi"/>
                <w:b w:val="0"/>
                <w:bCs w:val="0"/>
                <w:position w:val="0"/>
                <w:sz w:val="20"/>
                <w:szCs w:val="20"/>
                <w:lang w:val="en-ID" w:eastAsia="en-ID"/>
              </w:rPr>
            </w:pPr>
            <w:r w:rsidRPr="00E21A57">
              <w:rPr>
                <w:rFonts w:asciiTheme="majorBidi" w:eastAsia="Times New Roman" w:hAnsiTheme="majorBidi" w:cstheme="majorBidi"/>
                <w:b w:val="0"/>
                <w:bCs w:val="0"/>
                <w:position w:val="0"/>
                <w:sz w:val="20"/>
                <w:szCs w:val="20"/>
                <w:lang w:val="en-ID" w:eastAsia="en-ID"/>
              </w:rPr>
              <w:t>Health Worker Support</w:t>
            </w:r>
          </w:p>
        </w:tc>
        <w:tc>
          <w:tcPr>
            <w:tcW w:w="0" w:type="auto"/>
            <w:shd w:val="clear" w:color="auto" w:fill="auto"/>
            <w:hideMark/>
          </w:tcPr>
          <w:p w14:paraId="7794C167" w14:textId="77777777" w:rsidR="00E21A57" w:rsidRPr="00E21A57" w:rsidRDefault="00E21A57" w:rsidP="00E21A57">
            <w:pPr>
              <w:suppressAutoHyphens w:val="0"/>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Not Supportive</w:t>
            </w:r>
          </w:p>
        </w:tc>
        <w:tc>
          <w:tcPr>
            <w:tcW w:w="0" w:type="auto"/>
            <w:shd w:val="clear" w:color="auto" w:fill="auto"/>
            <w:hideMark/>
          </w:tcPr>
          <w:p w14:paraId="20CC8A26" w14:textId="77777777" w:rsidR="00E21A57" w:rsidRPr="00E21A57" w:rsidRDefault="00E21A57" w:rsidP="00E21A57">
            <w:pPr>
              <w:suppressAutoHyphens w:val="0"/>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60</w:t>
            </w:r>
          </w:p>
        </w:tc>
        <w:tc>
          <w:tcPr>
            <w:tcW w:w="0" w:type="auto"/>
            <w:shd w:val="clear" w:color="auto" w:fill="auto"/>
            <w:hideMark/>
          </w:tcPr>
          <w:p w14:paraId="61DCA5D9" w14:textId="77777777" w:rsidR="00E21A57" w:rsidRPr="00E21A57" w:rsidRDefault="00E21A57" w:rsidP="00E21A57">
            <w:pPr>
              <w:suppressAutoHyphens w:val="0"/>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50.0</w:t>
            </w:r>
          </w:p>
        </w:tc>
        <w:tc>
          <w:tcPr>
            <w:tcW w:w="0" w:type="auto"/>
            <w:shd w:val="clear" w:color="auto" w:fill="auto"/>
            <w:hideMark/>
          </w:tcPr>
          <w:p w14:paraId="68D37210" w14:textId="77777777" w:rsidR="00E21A57" w:rsidRPr="00E21A57" w:rsidRDefault="00E21A57" w:rsidP="00E21A57">
            <w:pPr>
              <w:suppressAutoHyphens w:val="0"/>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0.000</w:t>
            </w:r>
          </w:p>
        </w:tc>
      </w:tr>
      <w:tr w:rsidR="00E21A57" w:rsidRPr="00E21A57" w14:paraId="1FF6D639" w14:textId="77777777" w:rsidTr="00E21A57">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2B23F2BD" w14:textId="77777777" w:rsidR="00E21A57" w:rsidRPr="00E21A57" w:rsidRDefault="00E21A57" w:rsidP="00E21A57">
            <w:pPr>
              <w:suppressAutoHyphens w:val="0"/>
              <w:ind w:leftChars="0" w:left="0" w:firstLineChars="0" w:firstLine="0"/>
              <w:textDirection w:val="lrTb"/>
              <w:textAlignment w:val="auto"/>
              <w:outlineLvl w:val="9"/>
              <w:rPr>
                <w:rFonts w:asciiTheme="majorBidi" w:eastAsia="Times New Roman" w:hAnsiTheme="majorBidi" w:cstheme="majorBidi"/>
                <w:b w:val="0"/>
                <w:bCs w:val="0"/>
                <w:position w:val="0"/>
                <w:sz w:val="20"/>
                <w:szCs w:val="20"/>
                <w:lang w:val="en-ID" w:eastAsia="en-ID"/>
              </w:rPr>
            </w:pPr>
          </w:p>
        </w:tc>
        <w:tc>
          <w:tcPr>
            <w:tcW w:w="0" w:type="auto"/>
            <w:shd w:val="clear" w:color="auto" w:fill="auto"/>
            <w:hideMark/>
          </w:tcPr>
          <w:p w14:paraId="1D23F708" w14:textId="77777777" w:rsidR="00E21A57" w:rsidRPr="00E21A57" w:rsidRDefault="00E21A57" w:rsidP="00E21A57">
            <w:pPr>
              <w:suppressAutoHyphens w:val="0"/>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Supportive</w:t>
            </w:r>
          </w:p>
        </w:tc>
        <w:tc>
          <w:tcPr>
            <w:tcW w:w="0" w:type="auto"/>
            <w:shd w:val="clear" w:color="auto" w:fill="auto"/>
            <w:hideMark/>
          </w:tcPr>
          <w:p w14:paraId="07C8B47E" w14:textId="77777777" w:rsidR="00E21A57" w:rsidRPr="00E21A57" w:rsidRDefault="00E21A57" w:rsidP="00E21A57">
            <w:pPr>
              <w:suppressAutoHyphens w:val="0"/>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60</w:t>
            </w:r>
          </w:p>
        </w:tc>
        <w:tc>
          <w:tcPr>
            <w:tcW w:w="0" w:type="auto"/>
            <w:shd w:val="clear" w:color="auto" w:fill="auto"/>
            <w:hideMark/>
          </w:tcPr>
          <w:p w14:paraId="39C0FD4C" w14:textId="77777777" w:rsidR="00E21A57" w:rsidRPr="00E21A57" w:rsidRDefault="00E21A57" w:rsidP="00E21A57">
            <w:pPr>
              <w:suppressAutoHyphens w:val="0"/>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50.0</w:t>
            </w:r>
          </w:p>
        </w:tc>
        <w:tc>
          <w:tcPr>
            <w:tcW w:w="0" w:type="auto"/>
            <w:shd w:val="clear" w:color="auto" w:fill="auto"/>
            <w:hideMark/>
          </w:tcPr>
          <w:p w14:paraId="3BC216F0" w14:textId="77777777" w:rsidR="00E21A57" w:rsidRPr="00E21A57" w:rsidRDefault="00E21A57" w:rsidP="00E21A57">
            <w:pPr>
              <w:suppressAutoHyphens w:val="0"/>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p>
        </w:tc>
      </w:tr>
      <w:tr w:rsidR="00E21A57" w:rsidRPr="00E21A57" w14:paraId="1D90DEA1" w14:textId="77777777" w:rsidTr="00E21A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5B8504CC" w14:textId="77777777" w:rsidR="00E21A57" w:rsidRPr="00E21A57" w:rsidRDefault="00E21A57" w:rsidP="00E21A57">
            <w:pPr>
              <w:suppressAutoHyphens w:val="0"/>
              <w:ind w:leftChars="0" w:left="0" w:firstLineChars="0" w:firstLine="0"/>
              <w:textDirection w:val="lrTb"/>
              <w:textAlignment w:val="auto"/>
              <w:outlineLvl w:val="9"/>
              <w:rPr>
                <w:rFonts w:asciiTheme="majorBidi" w:eastAsia="Times New Roman" w:hAnsiTheme="majorBidi" w:cstheme="majorBidi"/>
                <w:b w:val="0"/>
                <w:bCs w:val="0"/>
                <w:position w:val="0"/>
                <w:sz w:val="20"/>
                <w:szCs w:val="20"/>
                <w:lang w:val="en-ID" w:eastAsia="en-ID"/>
              </w:rPr>
            </w:pPr>
            <w:r w:rsidRPr="00E21A57">
              <w:rPr>
                <w:rFonts w:asciiTheme="majorBidi" w:eastAsia="Times New Roman" w:hAnsiTheme="majorBidi" w:cstheme="majorBidi"/>
                <w:b w:val="0"/>
                <w:bCs w:val="0"/>
                <w:position w:val="0"/>
                <w:sz w:val="20"/>
                <w:szCs w:val="20"/>
                <w:lang w:val="en-ID" w:eastAsia="en-ID"/>
              </w:rPr>
              <w:t>Service Access</w:t>
            </w:r>
          </w:p>
        </w:tc>
        <w:tc>
          <w:tcPr>
            <w:tcW w:w="0" w:type="auto"/>
            <w:shd w:val="clear" w:color="auto" w:fill="auto"/>
            <w:hideMark/>
          </w:tcPr>
          <w:p w14:paraId="1915F9E0" w14:textId="77777777" w:rsidR="00E21A57" w:rsidRPr="00E21A57" w:rsidRDefault="00E21A57" w:rsidP="00E21A57">
            <w:pPr>
              <w:suppressAutoHyphens w:val="0"/>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Difficult</w:t>
            </w:r>
          </w:p>
        </w:tc>
        <w:tc>
          <w:tcPr>
            <w:tcW w:w="0" w:type="auto"/>
            <w:shd w:val="clear" w:color="auto" w:fill="auto"/>
            <w:hideMark/>
          </w:tcPr>
          <w:p w14:paraId="7B1FD233" w14:textId="77777777" w:rsidR="00E21A57" w:rsidRPr="00E21A57" w:rsidRDefault="00E21A57" w:rsidP="00E21A57">
            <w:pPr>
              <w:suppressAutoHyphens w:val="0"/>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69</w:t>
            </w:r>
          </w:p>
        </w:tc>
        <w:tc>
          <w:tcPr>
            <w:tcW w:w="0" w:type="auto"/>
            <w:shd w:val="clear" w:color="auto" w:fill="auto"/>
            <w:hideMark/>
          </w:tcPr>
          <w:p w14:paraId="0ECFE7D7" w14:textId="77777777" w:rsidR="00E21A57" w:rsidRPr="00E21A57" w:rsidRDefault="00E21A57" w:rsidP="00E21A57">
            <w:pPr>
              <w:suppressAutoHyphens w:val="0"/>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57.5</w:t>
            </w:r>
          </w:p>
        </w:tc>
        <w:tc>
          <w:tcPr>
            <w:tcW w:w="0" w:type="auto"/>
            <w:shd w:val="clear" w:color="auto" w:fill="auto"/>
            <w:hideMark/>
          </w:tcPr>
          <w:p w14:paraId="58FDD994" w14:textId="77777777" w:rsidR="00E21A57" w:rsidRPr="00E21A57" w:rsidRDefault="00E21A57" w:rsidP="00E21A57">
            <w:pPr>
              <w:suppressAutoHyphens w:val="0"/>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0.000</w:t>
            </w:r>
          </w:p>
        </w:tc>
      </w:tr>
      <w:tr w:rsidR="00E21A57" w:rsidRPr="00E21A57" w14:paraId="5DEDC78D" w14:textId="77777777" w:rsidTr="00E21A57">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59B9947D" w14:textId="77777777" w:rsidR="00E21A57" w:rsidRPr="00E21A57" w:rsidRDefault="00E21A57" w:rsidP="00E21A57">
            <w:pPr>
              <w:suppressAutoHyphens w:val="0"/>
              <w:ind w:leftChars="0" w:left="0" w:firstLineChars="0" w:firstLine="0"/>
              <w:textDirection w:val="lrTb"/>
              <w:textAlignment w:val="auto"/>
              <w:outlineLvl w:val="9"/>
              <w:rPr>
                <w:rFonts w:asciiTheme="majorBidi" w:eastAsia="Times New Roman" w:hAnsiTheme="majorBidi" w:cstheme="majorBidi"/>
                <w:b w:val="0"/>
                <w:bCs w:val="0"/>
                <w:position w:val="0"/>
                <w:sz w:val="20"/>
                <w:szCs w:val="20"/>
                <w:lang w:val="en-ID" w:eastAsia="en-ID"/>
              </w:rPr>
            </w:pPr>
          </w:p>
        </w:tc>
        <w:tc>
          <w:tcPr>
            <w:tcW w:w="0" w:type="auto"/>
            <w:shd w:val="clear" w:color="auto" w:fill="auto"/>
            <w:hideMark/>
          </w:tcPr>
          <w:p w14:paraId="3F825C9F" w14:textId="77777777" w:rsidR="00E21A57" w:rsidRPr="00E21A57" w:rsidRDefault="00E21A57" w:rsidP="00E21A57">
            <w:pPr>
              <w:suppressAutoHyphens w:val="0"/>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Easy</w:t>
            </w:r>
          </w:p>
        </w:tc>
        <w:tc>
          <w:tcPr>
            <w:tcW w:w="0" w:type="auto"/>
            <w:shd w:val="clear" w:color="auto" w:fill="auto"/>
            <w:hideMark/>
          </w:tcPr>
          <w:p w14:paraId="0728181B" w14:textId="77777777" w:rsidR="00E21A57" w:rsidRPr="00E21A57" w:rsidRDefault="00E21A57" w:rsidP="00E21A57">
            <w:pPr>
              <w:suppressAutoHyphens w:val="0"/>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51</w:t>
            </w:r>
          </w:p>
        </w:tc>
        <w:tc>
          <w:tcPr>
            <w:tcW w:w="0" w:type="auto"/>
            <w:shd w:val="clear" w:color="auto" w:fill="auto"/>
            <w:hideMark/>
          </w:tcPr>
          <w:p w14:paraId="28317D35" w14:textId="77777777" w:rsidR="00E21A57" w:rsidRPr="00E21A57" w:rsidRDefault="00E21A57" w:rsidP="00E21A57">
            <w:pPr>
              <w:suppressAutoHyphens w:val="0"/>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42.5</w:t>
            </w:r>
          </w:p>
        </w:tc>
        <w:tc>
          <w:tcPr>
            <w:tcW w:w="0" w:type="auto"/>
            <w:shd w:val="clear" w:color="auto" w:fill="auto"/>
            <w:hideMark/>
          </w:tcPr>
          <w:p w14:paraId="0D9D12FA" w14:textId="77777777" w:rsidR="00E21A57" w:rsidRPr="00E21A57" w:rsidRDefault="00E21A57" w:rsidP="00E21A57">
            <w:pPr>
              <w:suppressAutoHyphens w:val="0"/>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p>
        </w:tc>
      </w:tr>
      <w:tr w:rsidR="00E21A57" w:rsidRPr="00E21A57" w14:paraId="45D84B5D" w14:textId="77777777" w:rsidTr="00E21A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060D580C" w14:textId="77777777" w:rsidR="00E21A57" w:rsidRPr="00E21A57" w:rsidRDefault="00E21A57" w:rsidP="00E21A57">
            <w:pPr>
              <w:suppressAutoHyphens w:val="0"/>
              <w:ind w:leftChars="0" w:left="0" w:firstLineChars="0" w:firstLine="0"/>
              <w:textDirection w:val="lrTb"/>
              <w:textAlignment w:val="auto"/>
              <w:outlineLvl w:val="9"/>
              <w:rPr>
                <w:rFonts w:asciiTheme="majorBidi" w:eastAsia="Times New Roman" w:hAnsiTheme="majorBidi" w:cstheme="majorBidi"/>
                <w:b w:val="0"/>
                <w:bCs w:val="0"/>
                <w:position w:val="0"/>
                <w:sz w:val="20"/>
                <w:szCs w:val="20"/>
                <w:lang w:val="en-ID" w:eastAsia="en-ID"/>
              </w:rPr>
            </w:pPr>
            <w:r w:rsidRPr="00E21A57">
              <w:rPr>
                <w:rFonts w:asciiTheme="majorBidi" w:eastAsia="Times New Roman" w:hAnsiTheme="majorBidi" w:cstheme="majorBidi"/>
                <w:b w:val="0"/>
                <w:bCs w:val="0"/>
                <w:position w:val="0"/>
                <w:sz w:val="20"/>
                <w:szCs w:val="20"/>
                <w:lang w:val="en-ID" w:eastAsia="en-ID"/>
              </w:rPr>
              <w:t>Perceived Needs</w:t>
            </w:r>
          </w:p>
        </w:tc>
        <w:tc>
          <w:tcPr>
            <w:tcW w:w="0" w:type="auto"/>
            <w:shd w:val="clear" w:color="auto" w:fill="auto"/>
            <w:hideMark/>
          </w:tcPr>
          <w:p w14:paraId="48F78672" w14:textId="77777777" w:rsidR="00E21A57" w:rsidRPr="00E21A57" w:rsidRDefault="00E21A57" w:rsidP="00E21A57">
            <w:pPr>
              <w:suppressAutoHyphens w:val="0"/>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Not Needed</w:t>
            </w:r>
          </w:p>
        </w:tc>
        <w:tc>
          <w:tcPr>
            <w:tcW w:w="0" w:type="auto"/>
            <w:shd w:val="clear" w:color="auto" w:fill="auto"/>
            <w:hideMark/>
          </w:tcPr>
          <w:p w14:paraId="5AEDA532" w14:textId="77777777" w:rsidR="00E21A57" w:rsidRPr="00E21A57" w:rsidRDefault="00E21A57" w:rsidP="00E21A57">
            <w:pPr>
              <w:suppressAutoHyphens w:val="0"/>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50</w:t>
            </w:r>
          </w:p>
        </w:tc>
        <w:tc>
          <w:tcPr>
            <w:tcW w:w="0" w:type="auto"/>
            <w:shd w:val="clear" w:color="auto" w:fill="auto"/>
            <w:hideMark/>
          </w:tcPr>
          <w:p w14:paraId="69E74A93" w14:textId="77777777" w:rsidR="00E21A57" w:rsidRPr="00E21A57" w:rsidRDefault="00E21A57" w:rsidP="00E21A57">
            <w:pPr>
              <w:suppressAutoHyphens w:val="0"/>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41.7</w:t>
            </w:r>
          </w:p>
        </w:tc>
        <w:tc>
          <w:tcPr>
            <w:tcW w:w="0" w:type="auto"/>
            <w:shd w:val="clear" w:color="auto" w:fill="auto"/>
            <w:hideMark/>
          </w:tcPr>
          <w:p w14:paraId="6924DA51" w14:textId="77777777" w:rsidR="00E21A57" w:rsidRPr="00E21A57" w:rsidRDefault="00E21A57" w:rsidP="00E21A57">
            <w:pPr>
              <w:suppressAutoHyphens w:val="0"/>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0.000</w:t>
            </w:r>
          </w:p>
        </w:tc>
      </w:tr>
      <w:tr w:rsidR="00E21A57" w:rsidRPr="00E21A57" w14:paraId="2E105FCF" w14:textId="77777777" w:rsidTr="00E21A57">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15D004E1" w14:textId="77777777" w:rsidR="00E21A57" w:rsidRPr="00E21A57" w:rsidRDefault="00E21A57" w:rsidP="00E21A57">
            <w:pPr>
              <w:suppressAutoHyphens w:val="0"/>
              <w:ind w:leftChars="0" w:left="0" w:firstLineChars="0" w:firstLine="0"/>
              <w:textDirection w:val="lrTb"/>
              <w:textAlignment w:val="auto"/>
              <w:outlineLvl w:val="9"/>
              <w:rPr>
                <w:rFonts w:asciiTheme="majorBidi" w:eastAsia="Times New Roman" w:hAnsiTheme="majorBidi" w:cstheme="majorBidi"/>
                <w:b w:val="0"/>
                <w:bCs w:val="0"/>
                <w:position w:val="0"/>
                <w:sz w:val="20"/>
                <w:szCs w:val="20"/>
                <w:lang w:val="en-ID" w:eastAsia="en-ID"/>
              </w:rPr>
            </w:pPr>
          </w:p>
        </w:tc>
        <w:tc>
          <w:tcPr>
            <w:tcW w:w="0" w:type="auto"/>
            <w:shd w:val="clear" w:color="auto" w:fill="auto"/>
            <w:hideMark/>
          </w:tcPr>
          <w:p w14:paraId="6857FA43" w14:textId="77777777" w:rsidR="00E21A57" w:rsidRPr="00E21A57" w:rsidRDefault="00E21A57" w:rsidP="00E21A57">
            <w:pPr>
              <w:suppressAutoHyphens w:val="0"/>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Needed</w:t>
            </w:r>
          </w:p>
        </w:tc>
        <w:tc>
          <w:tcPr>
            <w:tcW w:w="0" w:type="auto"/>
            <w:shd w:val="clear" w:color="auto" w:fill="auto"/>
            <w:hideMark/>
          </w:tcPr>
          <w:p w14:paraId="1228C3F8" w14:textId="77777777" w:rsidR="00E21A57" w:rsidRPr="00E21A57" w:rsidRDefault="00E21A57" w:rsidP="00E21A57">
            <w:pPr>
              <w:suppressAutoHyphens w:val="0"/>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70</w:t>
            </w:r>
          </w:p>
        </w:tc>
        <w:tc>
          <w:tcPr>
            <w:tcW w:w="0" w:type="auto"/>
            <w:shd w:val="clear" w:color="auto" w:fill="auto"/>
            <w:hideMark/>
          </w:tcPr>
          <w:p w14:paraId="40F2BC96" w14:textId="77777777" w:rsidR="00E21A57" w:rsidRPr="00E21A57" w:rsidRDefault="00E21A57" w:rsidP="00E21A57">
            <w:pPr>
              <w:suppressAutoHyphens w:val="0"/>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58.3</w:t>
            </w:r>
          </w:p>
        </w:tc>
        <w:tc>
          <w:tcPr>
            <w:tcW w:w="0" w:type="auto"/>
            <w:shd w:val="clear" w:color="auto" w:fill="auto"/>
            <w:hideMark/>
          </w:tcPr>
          <w:p w14:paraId="3B39A8E0" w14:textId="77777777" w:rsidR="00E21A57" w:rsidRPr="00E21A57" w:rsidRDefault="00E21A57" w:rsidP="00E21A57">
            <w:pPr>
              <w:suppressAutoHyphens w:val="0"/>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p>
        </w:tc>
      </w:tr>
      <w:tr w:rsidR="00E21A57" w:rsidRPr="00E21A57" w14:paraId="329F909D" w14:textId="77777777" w:rsidTr="00E21A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45385826" w14:textId="77777777" w:rsidR="00E21A57" w:rsidRPr="00E21A57" w:rsidRDefault="00E21A57" w:rsidP="00E21A57">
            <w:pPr>
              <w:suppressAutoHyphens w:val="0"/>
              <w:ind w:leftChars="0" w:left="0" w:firstLineChars="0" w:firstLine="0"/>
              <w:textDirection w:val="lrTb"/>
              <w:textAlignment w:val="auto"/>
              <w:outlineLvl w:val="9"/>
              <w:rPr>
                <w:rFonts w:asciiTheme="majorBidi" w:eastAsia="Times New Roman" w:hAnsiTheme="majorBidi" w:cstheme="majorBidi"/>
                <w:b w:val="0"/>
                <w:bCs w:val="0"/>
                <w:position w:val="0"/>
                <w:sz w:val="20"/>
                <w:szCs w:val="20"/>
                <w:lang w:val="en-ID" w:eastAsia="en-ID"/>
              </w:rPr>
            </w:pPr>
            <w:proofErr w:type="spellStart"/>
            <w:r w:rsidRPr="00E21A57">
              <w:rPr>
                <w:rFonts w:asciiTheme="majorBidi" w:eastAsia="Times New Roman" w:hAnsiTheme="majorBidi" w:cstheme="majorBidi"/>
                <w:b w:val="0"/>
                <w:bCs w:val="0"/>
                <w:position w:val="0"/>
                <w:sz w:val="20"/>
                <w:szCs w:val="20"/>
                <w:lang w:val="en-ID" w:eastAsia="en-ID"/>
              </w:rPr>
              <w:t>Prolanis</w:t>
            </w:r>
            <w:proofErr w:type="spellEnd"/>
            <w:r w:rsidRPr="00E21A57">
              <w:rPr>
                <w:rFonts w:asciiTheme="majorBidi" w:eastAsia="Times New Roman" w:hAnsiTheme="majorBidi" w:cstheme="majorBidi"/>
                <w:b w:val="0"/>
                <w:bCs w:val="0"/>
                <w:position w:val="0"/>
                <w:sz w:val="20"/>
                <w:szCs w:val="20"/>
                <w:lang w:val="en-ID" w:eastAsia="en-ID"/>
              </w:rPr>
              <w:t xml:space="preserve"> Utilization</w:t>
            </w:r>
          </w:p>
        </w:tc>
        <w:tc>
          <w:tcPr>
            <w:tcW w:w="0" w:type="auto"/>
            <w:shd w:val="clear" w:color="auto" w:fill="auto"/>
            <w:hideMark/>
          </w:tcPr>
          <w:p w14:paraId="1D9A7C61" w14:textId="77777777" w:rsidR="00E21A57" w:rsidRPr="00E21A57" w:rsidRDefault="00E21A57" w:rsidP="00E21A57">
            <w:pPr>
              <w:suppressAutoHyphens w:val="0"/>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Low</w:t>
            </w:r>
          </w:p>
        </w:tc>
        <w:tc>
          <w:tcPr>
            <w:tcW w:w="0" w:type="auto"/>
            <w:shd w:val="clear" w:color="auto" w:fill="auto"/>
            <w:hideMark/>
          </w:tcPr>
          <w:p w14:paraId="4AA24F28" w14:textId="77777777" w:rsidR="00E21A57" w:rsidRPr="00E21A57" w:rsidRDefault="00E21A57" w:rsidP="00E21A57">
            <w:pPr>
              <w:suppressAutoHyphens w:val="0"/>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84</w:t>
            </w:r>
          </w:p>
        </w:tc>
        <w:tc>
          <w:tcPr>
            <w:tcW w:w="0" w:type="auto"/>
            <w:shd w:val="clear" w:color="auto" w:fill="auto"/>
            <w:hideMark/>
          </w:tcPr>
          <w:p w14:paraId="4FC39B08" w14:textId="77777777" w:rsidR="00E21A57" w:rsidRPr="00E21A57" w:rsidRDefault="00E21A57" w:rsidP="00E21A57">
            <w:pPr>
              <w:suppressAutoHyphens w:val="0"/>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70.0</w:t>
            </w:r>
          </w:p>
        </w:tc>
        <w:tc>
          <w:tcPr>
            <w:tcW w:w="0" w:type="auto"/>
            <w:shd w:val="clear" w:color="auto" w:fill="auto"/>
            <w:hideMark/>
          </w:tcPr>
          <w:p w14:paraId="1E1F5228" w14:textId="77777777" w:rsidR="00E21A57" w:rsidRPr="00E21A57" w:rsidRDefault="00E21A57" w:rsidP="00E21A57">
            <w:pPr>
              <w:suppressAutoHyphens w:val="0"/>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w:t>
            </w:r>
          </w:p>
        </w:tc>
      </w:tr>
      <w:tr w:rsidR="00E21A57" w:rsidRPr="00E21A57" w14:paraId="6E7C2EFD" w14:textId="77777777" w:rsidTr="00E21A57">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2E7BA6D6" w14:textId="77777777" w:rsidR="00E21A57" w:rsidRPr="00E21A57" w:rsidRDefault="00E21A57" w:rsidP="00E21A57">
            <w:pPr>
              <w:suppressAutoHyphens w:val="0"/>
              <w:ind w:leftChars="0" w:left="0" w:firstLineChars="0" w:firstLine="0"/>
              <w:textDirection w:val="lrTb"/>
              <w:textAlignment w:val="auto"/>
              <w:outlineLvl w:val="9"/>
              <w:rPr>
                <w:rFonts w:asciiTheme="majorBidi" w:eastAsia="Times New Roman" w:hAnsiTheme="majorBidi" w:cstheme="majorBidi"/>
                <w:b w:val="0"/>
                <w:bCs w:val="0"/>
                <w:position w:val="0"/>
                <w:sz w:val="20"/>
                <w:szCs w:val="20"/>
                <w:lang w:val="en-ID" w:eastAsia="en-ID"/>
              </w:rPr>
            </w:pPr>
          </w:p>
        </w:tc>
        <w:tc>
          <w:tcPr>
            <w:tcW w:w="0" w:type="auto"/>
            <w:shd w:val="clear" w:color="auto" w:fill="auto"/>
            <w:hideMark/>
          </w:tcPr>
          <w:p w14:paraId="58BC2460" w14:textId="77777777" w:rsidR="00E21A57" w:rsidRPr="00E21A57" w:rsidRDefault="00E21A57" w:rsidP="00E21A57">
            <w:pPr>
              <w:suppressAutoHyphens w:val="0"/>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High</w:t>
            </w:r>
          </w:p>
        </w:tc>
        <w:tc>
          <w:tcPr>
            <w:tcW w:w="0" w:type="auto"/>
            <w:shd w:val="clear" w:color="auto" w:fill="auto"/>
            <w:hideMark/>
          </w:tcPr>
          <w:p w14:paraId="44CC5F66" w14:textId="77777777" w:rsidR="00E21A57" w:rsidRPr="00E21A57" w:rsidRDefault="00E21A57" w:rsidP="00E21A57">
            <w:pPr>
              <w:suppressAutoHyphens w:val="0"/>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36</w:t>
            </w:r>
          </w:p>
        </w:tc>
        <w:tc>
          <w:tcPr>
            <w:tcW w:w="0" w:type="auto"/>
            <w:shd w:val="clear" w:color="auto" w:fill="auto"/>
            <w:hideMark/>
          </w:tcPr>
          <w:p w14:paraId="6F74B4CD" w14:textId="77777777" w:rsidR="00E21A57" w:rsidRPr="00E21A57" w:rsidRDefault="00E21A57" w:rsidP="00E21A57">
            <w:pPr>
              <w:suppressAutoHyphens w:val="0"/>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30.0</w:t>
            </w:r>
          </w:p>
        </w:tc>
        <w:tc>
          <w:tcPr>
            <w:tcW w:w="0" w:type="auto"/>
            <w:shd w:val="clear" w:color="auto" w:fill="auto"/>
            <w:hideMark/>
          </w:tcPr>
          <w:p w14:paraId="6B491A20" w14:textId="77777777" w:rsidR="00E21A57" w:rsidRPr="00E21A57" w:rsidRDefault="00E21A57" w:rsidP="00E21A57">
            <w:pPr>
              <w:suppressAutoHyphens w:val="0"/>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w:t>
            </w:r>
          </w:p>
        </w:tc>
      </w:tr>
      <w:tr w:rsidR="00E21A57" w:rsidRPr="00E21A57" w14:paraId="144FCDA5" w14:textId="77777777" w:rsidTr="00667F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shd w:val="clear" w:color="auto" w:fill="auto"/>
            <w:hideMark/>
          </w:tcPr>
          <w:p w14:paraId="49BF95EC" w14:textId="6A8D382D" w:rsidR="00E21A57" w:rsidRPr="00E21A57" w:rsidRDefault="00E21A57" w:rsidP="00E21A57">
            <w:pPr>
              <w:suppressAutoHyphens w:val="0"/>
              <w:ind w:leftChars="0" w:left="0" w:firstLineChars="0" w:firstLine="0"/>
              <w:jc w:val="center"/>
              <w:textDirection w:val="lrTb"/>
              <w:textAlignment w:val="auto"/>
              <w:outlineLvl w:val="9"/>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Total</w:t>
            </w:r>
          </w:p>
        </w:tc>
        <w:tc>
          <w:tcPr>
            <w:tcW w:w="0" w:type="auto"/>
            <w:shd w:val="clear" w:color="auto" w:fill="auto"/>
            <w:hideMark/>
          </w:tcPr>
          <w:p w14:paraId="55E7525A" w14:textId="77777777" w:rsidR="00E21A57" w:rsidRPr="00E21A57" w:rsidRDefault="00E21A57" w:rsidP="00E21A57">
            <w:pPr>
              <w:suppressAutoHyphens w:val="0"/>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120</w:t>
            </w:r>
          </w:p>
        </w:tc>
        <w:tc>
          <w:tcPr>
            <w:tcW w:w="0" w:type="auto"/>
            <w:shd w:val="clear" w:color="auto" w:fill="auto"/>
            <w:hideMark/>
          </w:tcPr>
          <w:p w14:paraId="264F3BCF" w14:textId="77777777" w:rsidR="00E21A57" w:rsidRPr="00E21A57" w:rsidRDefault="00E21A57" w:rsidP="00E21A57">
            <w:pPr>
              <w:suppressAutoHyphens w:val="0"/>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100.0</w:t>
            </w:r>
          </w:p>
        </w:tc>
        <w:tc>
          <w:tcPr>
            <w:tcW w:w="0" w:type="auto"/>
            <w:shd w:val="clear" w:color="auto" w:fill="auto"/>
            <w:hideMark/>
          </w:tcPr>
          <w:p w14:paraId="48B64A5E" w14:textId="77777777" w:rsidR="00E21A57" w:rsidRPr="00E21A57" w:rsidRDefault="00E21A57" w:rsidP="00E21A57">
            <w:pPr>
              <w:suppressAutoHyphens w:val="0"/>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E21A57">
              <w:rPr>
                <w:rFonts w:asciiTheme="majorBidi" w:eastAsia="Times New Roman" w:hAnsiTheme="majorBidi" w:cstheme="majorBidi"/>
                <w:position w:val="0"/>
                <w:sz w:val="20"/>
                <w:szCs w:val="20"/>
                <w:lang w:val="en-ID" w:eastAsia="en-ID"/>
              </w:rPr>
              <w:t>—</w:t>
            </w:r>
          </w:p>
        </w:tc>
      </w:tr>
    </w:tbl>
    <w:p w14:paraId="12BAF0E6" w14:textId="77777777" w:rsidR="00E21A57" w:rsidRDefault="00E21A57" w:rsidP="00F248B6">
      <w:pPr>
        <w:pStyle w:val="ListParagraph"/>
        <w:widowControl w:val="0"/>
        <w:ind w:leftChars="129" w:left="284" w:firstLineChars="236" w:firstLine="566"/>
      </w:pPr>
    </w:p>
    <w:p w14:paraId="1EE988CD" w14:textId="46B1168D" w:rsidR="00E21A57" w:rsidRDefault="00E21A57" w:rsidP="00F248B6">
      <w:pPr>
        <w:pStyle w:val="ListParagraph"/>
        <w:widowControl w:val="0"/>
        <w:ind w:leftChars="129" w:left="284" w:firstLineChars="236" w:firstLine="566"/>
        <w:rPr>
          <w:rFonts w:asciiTheme="majorBidi" w:hAnsiTheme="majorBidi" w:cstheme="majorBidi"/>
          <w:color w:val="000000" w:themeColor="text1"/>
          <w:szCs w:val="24"/>
        </w:rPr>
      </w:pPr>
      <w:r>
        <w:t xml:space="preserve">The findings show that 75 respondents (62.5%) had good knowledge regarding the utilization of </w:t>
      </w:r>
      <w:proofErr w:type="spellStart"/>
      <w:r>
        <w:t>Prolanis</w:t>
      </w:r>
      <w:proofErr w:type="spellEnd"/>
      <w:r>
        <w:t xml:space="preserve">, while 45 respondents (37.5%) had poor knowledge. A total of 70 respondents (58.3%) received family support, whereas 50 respondents (41.7%) did not. Health worker support was equally distributed, with 60 respondents (50%) reporting supportive health workers and 60 respondents (50%) reporting the opposite. In terms of service access, 69 respondents (57.5%) reported having difficult access, while 51 (42.5%) </w:t>
      </w:r>
      <w:r>
        <w:lastRenderedPageBreak/>
        <w:t xml:space="preserve">had easy access. Most respondents (70 respondents, 58.3%) perceived a need for </w:t>
      </w:r>
      <w:proofErr w:type="spellStart"/>
      <w:r>
        <w:t>Prolanis</w:t>
      </w:r>
      <w:proofErr w:type="spellEnd"/>
      <w:r>
        <w:t xml:space="preserve">, while 50 respondents (41.7%) did not. Regarding </w:t>
      </w:r>
      <w:proofErr w:type="spellStart"/>
      <w:r>
        <w:t>Prolanis</w:t>
      </w:r>
      <w:proofErr w:type="spellEnd"/>
      <w:r>
        <w:t xml:space="preserve"> utilization, the majority fell into the low-utilization category (84 respondents, 70%), while 36 respondents (30%) had high utilization.</w:t>
      </w:r>
    </w:p>
    <w:p w14:paraId="7AF95A04" w14:textId="77777777" w:rsidR="00BB5493" w:rsidRPr="001D3DC3" w:rsidRDefault="00BB5493" w:rsidP="001D3DC3">
      <w:pPr>
        <w:pStyle w:val="ListParagraph"/>
        <w:widowControl w:val="0"/>
        <w:ind w:left="0" w:hanging="2"/>
        <w:rPr>
          <w:rFonts w:asciiTheme="majorBidi" w:hAnsiTheme="majorBidi" w:cstheme="majorBidi"/>
          <w:color w:val="000000" w:themeColor="text1"/>
          <w:szCs w:val="24"/>
        </w:rPr>
      </w:pPr>
    </w:p>
    <w:p w14:paraId="1B0D568E" w14:textId="5F6454BE" w:rsidR="00020A2C" w:rsidRPr="001D3DC3" w:rsidRDefault="00E21A57" w:rsidP="002678EE">
      <w:pPr>
        <w:pStyle w:val="Heading2"/>
        <w:keepNext w:val="0"/>
        <w:keepLines w:val="0"/>
        <w:widowControl w:val="0"/>
        <w:numPr>
          <w:ilvl w:val="0"/>
          <w:numId w:val="2"/>
        </w:numPr>
        <w:spacing w:before="0" w:after="0" w:line="360" w:lineRule="auto"/>
        <w:ind w:left="282" w:hangingChars="118" w:hanging="284"/>
        <w:jc w:val="both"/>
        <w:rPr>
          <w:rFonts w:asciiTheme="majorBidi" w:hAnsiTheme="majorBidi" w:cstheme="majorBidi"/>
          <w:iCs/>
          <w:color w:val="000000" w:themeColor="text1"/>
          <w:sz w:val="24"/>
          <w:szCs w:val="24"/>
        </w:rPr>
      </w:pPr>
      <w:r w:rsidRPr="00E21A57">
        <w:rPr>
          <w:rFonts w:asciiTheme="majorBidi" w:hAnsiTheme="majorBidi" w:cstheme="majorBidi"/>
          <w:iCs/>
          <w:color w:val="000000" w:themeColor="text1"/>
          <w:sz w:val="24"/>
          <w:szCs w:val="24"/>
        </w:rPr>
        <w:t>Relationships Among Research Variables</w:t>
      </w:r>
    </w:p>
    <w:p w14:paraId="422BEB2B" w14:textId="59394A57" w:rsidR="00E21A57" w:rsidRDefault="00E21A57" w:rsidP="00F248B6">
      <w:pPr>
        <w:pStyle w:val="ListParagraph"/>
        <w:spacing w:line="240" w:lineRule="auto"/>
        <w:ind w:leftChars="128" w:left="284" w:hanging="2"/>
        <w:jc w:val="center"/>
        <w:rPr>
          <w:rFonts w:asciiTheme="majorBidi" w:hAnsiTheme="majorBidi" w:cstheme="majorBidi"/>
          <w:color w:val="000000" w:themeColor="text1"/>
          <w:szCs w:val="24"/>
        </w:rPr>
      </w:pPr>
      <w:r>
        <w:t>Table 3. Analysis of Factors Associated with the Utilization of the Chronic Disease Management Program (</w:t>
      </w:r>
      <w:proofErr w:type="spellStart"/>
      <w:r>
        <w:t>Prolanis</w:t>
      </w:r>
      <w:proofErr w:type="spellEnd"/>
      <w:r>
        <w:t>) among Diabetes Mellitus Patients, 2025 (n = 120)</w:t>
      </w:r>
    </w:p>
    <w:tbl>
      <w:tblPr>
        <w:tblStyle w:val="LightShading1"/>
        <w:tblW w:w="8341" w:type="dxa"/>
        <w:tblInd w:w="426" w:type="dxa"/>
        <w:tblLook w:val="04A0" w:firstRow="1" w:lastRow="0" w:firstColumn="1" w:lastColumn="0" w:noHBand="0" w:noVBand="1"/>
      </w:tblPr>
      <w:tblGrid>
        <w:gridCol w:w="1560"/>
        <w:gridCol w:w="1417"/>
        <w:gridCol w:w="1134"/>
        <w:gridCol w:w="1134"/>
        <w:gridCol w:w="1134"/>
        <w:gridCol w:w="818"/>
        <w:gridCol w:w="1144"/>
      </w:tblGrid>
      <w:tr w:rsidR="00DC28CF" w:rsidRPr="00DC28CF" w14:paraId="7B4DEA62" w14:textId="77777777" w:rsidTr="00DC28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gridSpan w:val="2"/>
            <w:vMerge w:val="restart"/>
            <w:shd w:val="clear" w:color="auto" w:fill="auto"/>
            <w:vAlign w:val="center"/>
          </w:tcPr>
          <w:p w14:paraId="2E1CAD36" w14:textId="46314218" w:rsidR="00DC28CF" w:rsidRPr="00DC28CF" w:rsidRDefault="00DC28CF" w:rsidP="00DC28CF">
            <w:pPr>
              <w:suppressAutoHyphens w:val="0"/>
              <w:ind w:leftChars="0" w:left="0" w:firstLineChars="0" w:firstLine="0"/>
              <w:jc w:val="center"/>
              <w:textDirection w:val="lrTb"/>
              <w:textAlignment w:val="auto"/>
              <w:outlineLvl w:val="9"/>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Variable</w:t>
            </w:r>
          </w:p>
        </w:tc>
        <w:tc>
          <w:tcPr>
            <w:tcW w:w="2268" w:type="dxa"/>
            <w:gridSpan w:val="2"/>
            <w:shd w:val="clear" w:color="auto" w:fill="auto"/>
            <w:vAlign w:val="center"/>
            <w:hideMark/>
          </w:tcPr>
          <w:p w14:paraId="7DA07FFF" w14:textId="3C26B9BE" w:rsidR="00DC28CF" w:rsidRPr="00DC28CF" w:rsidRDefault="00DC28CF" w:rsidP="00DC28CF">
            <w:pPr>
              <w:suppressAutoHyphens w:val="0"/>
              <w:ind w:leftChars="0" w:left="0" w:firstLineChars="0" w:firstLine="0"/>
              <w:jc w:val="center"/>
              <w:textDirection w:val="lrTb"/>
              <w:textAlignment w:val="auto"/>
              <w:outlineLvl w:val="9"/>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proofErr w:type="spellStart"/>
            <w:r w:rsidRPr="00DC28CF">
              <w:rPr>
                <w:rFonts w:asciiTheme="majorBidi" w:eastAsia="Times New Roman" w:hAnsiTheme="majorBidi" w:cstheme="majorBidi"/>
                <w:position w:val="0"/>
                <w:sz w:val="20"/>
                <w:szCs w:val="20"/>
                <w:lang w:val="en-ID" w:eastAsia="en-ID"/>
              </w:rPr>
              <w:t>Prolanis</w:t>
            </w:r>
            <w:proofErr w:type="spellEnd"/>
            <w:r w:rsidRPr="00DC28CF">
              <w:rPr>
                <w:rFonts w:asciiTheme="majorBidi" w:eastAsia="Times New Roman" w:hAnsiTheme="majorBidi" w:cstheme="majorBidi"/>
                <w:position w:val="0"/>
                <w:sz w:val="20"/>
                <w:szCs w:val="20"/>
                <w:lang w:val="en-ID" w:eastAsia="en-ID"/>
              </w:rPr>
              <w:t xml:space="preserve"> Utilization</w:t>
            </w:r>
          </w:p>
        </w:tc>
        <w:tc>
          <w:tcPr>
            <w:tcW w:w="1134" w:type="dxa"/>
            <w:shd w:val="clear" w:color="auto" w:fill="auto"/>
            <w:vAlign w:val="center"/>
            <w:hideMark/>
          </w:tcPr>
          <w:p w14:paraId="115B5007" w14:textId="77777777" w:rsidR="00DC28CF" w:rsidRPr="00DC28CF" w:rsidRDefault="00DC28CF" w:rsidP="00DC28CF">
            <w:pPr>
              <w:suppressAutoHyphens w:val="0"/>
              <w:ind w:leftChars="0" w:left="0" w:firstLineChars="0" w:firstLine="0"/>
              <w:jc w:val="center"/>
              <w:textDirection w:val="lrTb"/>
              <w:textAlignment w:val="auto"/>
              <w:outlineLvl w:val="9"/>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Total</w:t>
            </w:r>
          </w:p>
        </w:tc>
        <w:tc>
          <w:tcPr>
            <w:tcW w:w="0" w:type="auto"/>
            <w:vMerge w:val="restart"/>
            <w:shd w:val="clear" w:color="auto" w:fill="auto"/>
            <w:vAlign w:val="center"/>
            <w:hideMark/>
          </w:tcPr>
          <w:p w14:paraId="7719CFB7" w14:textId="77777777" w:rsidR="00DC28CF" w:rsidRPr="00DC28CF" w:rsidRDefault="00DC28CF" w:rsidP="00DC28CF">
            <w:pPr>
              <w:suppressAutoHyphens w:val="0"/>
              <w:ind w:leftChars="0" w:left="-106" w:right="-118" w:firstLineChars="0" w:firstLine="0"/>
              <w:jc w:val="center"/>
              <w:textDirection w:val="lrTb"/>
              <w:textAlignment w:val="auto"/>
              <w:outlineLvl w:val="9"/>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p-value</w:t>
            </w:r>
          </w:p>
        </w:tc>
        <w:tc>
          <w:tcPr>
            <w:tcW w:w="1144" w:type="dxa"/>
            <w:vMerge w:val="restart"/>
            <w:shd w:val="clear" w:color="auto" w:fill="auto"/>
            <w:vAlign w:val="center"/>
            <w:hideMark/>
          </w:tcPr>
          <w:p w14:paraId="3442A202" w14:textId="77777777" w:rsidR="00DC28CF" w:rsidRPr="00DC28CF" w:rsidRDefault="00DC28CF" w:rsidP="00DC28CF">
            <w:pPr>
              <w:suppressAutoHyphens w:val="0"/>
              <w:ind w:leftChars="0" w:left="-106" w:right="-118" w:firstLineChars="0" w:firstLine="0"/>
              <w:jc w:val="center"/>
              <w:textDirection w:val="lrTb"/>
              <w:textAlignment w:val="auto"/>
              <w:outlineLvl w:val="9"/>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OR (95% CI)</w:t>
            </w:r>
          </w:p>
        </w:tc>
      </w:tr>
      <w:tr w:rsidR="00DC28CF" w:rsidRPr="00DC28CF" w14:paraId="5B9CB472" w14:textId="77777777" w:rsidTr="00DC28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7" w:type="dxa"/>
            <w:gridSpan w:val="2"/>
            <w:vMerge/>
            <w:tcBorders>
              <w:bottom w:val="single" w:sz="4" w:space="0" w:color="auto"/>
            </w:tcBorders>
            <w:shd w:val="clear" w:color="auto" w:fill="auto"/>
            <w:vAlign w:val="center"/>
          </w:tcPr>
          <w:p w14:paraId="7725B2A0" w14:textId="1A15341F" w:rsidR="00DC28CF" w:rsidRPr="00DC28CF" w:rsidRDefault="00DC28CF" w:rsidP="00DC28CF">
            <w:pPr>
              <w:suppressAutoHyphens w:val="0"/>
              <w:ind w:leftChars="0" w:left="0" w:firstLineChars="0" w:firstLine="0"/>
              <w:jc w:val="center"/>
              <w:textDirection w:val="lrTb"/>
              <w:textAlignment w:val="auto"/>
              <w:outlineLvl w:val="9"/>
              <w:rPr>
                <w:rFonts w:asciiTheme="majorBidi" w:eastAsia="Times New Roman" w:hAnsiTheme="majorBidi" w:cstheme="majorBidi"/>
                <w:position w:val="0"/>
                <w:sz w:val="20"/>
                <w:szCs w:val="20"/>
                <w:lang w:val="en-ID" w:eastAsia="en-ID"/>
              </w:rPr>
            </w:pPr>
          </w:p>
        </w:tc>
        <w:tc>
          <w:tcPr>
            <w:tcW w:w="1134" w:type="dxa"/>
            <w:tcBorders>
              <w:bottom w:val="single" w:sz="4" w:space="0" w:color="auto"/>
            </w:tcBorders>
            <w:shd w:val="clear" w:color="auto" w:fill="auto"/>
            <w:vAlign w:val="center"/>
            <w:hideMark/>
          </w:tcPr>
          <w:p w14:paraId="7C429C3B" w14:textId="77777777" w:rsidR="00DC28CF" w:rsidRPr="00DC28CF" w:rsidRDefault="00DC28CF" w:rsidP="00DC28CF">
            <w:pPr>
              <w:suppressAutoHyphens w:val="0"/>
              <w:ind w:leftChars="0" w:left="-113" w:right="-108"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position w:val="0"/>
                <w:sz w:val="20"/>
                <w:szCs w:val="20"/>
                <w:lang w:val="en-ID" w:eastAsia="en-ID"/>
              </w:rPr>
            </w:pPr>
            <w:r w:rsidRPr="00DC28CF">
              <w:rPr>
                <w:rFonts w:asciiTheme="majorBidi" w:eastAsia="Times New Roman" w:hAnsiTheme="majorBidi" w:cstheme="majorBidi"/>
                <w:b/>
                <w:bCs/>
                <w:position w:val="0"/>
                <w:sz w:val="20"/>
                <w:szCs w:val="20"/>
                <w:lang w:val="en-ID" w:eastAsia="en-ID"/>
              </w:rPr>
              <w:t>Low (f / %)</w:t>
            </w:r>
          </w:p>
        </w:tc>
        <w:tc>
          <w:tcPr>
            <w:tcW w:w="1134" w:type="dxa"/>
            <w:tcBorders>
              <w:bottom w:val="single" w:sz="4" w:space="0" w:color="auto"/>
            </w:tcBorders>
            <w:shd w:val="clear" w:color="auto" w:fill="auto"/>
            <w:vAlign w:val="center"/>
            <w:hideMark/>
          </w:tcPr>
          <w:p w14:paraId="22708A3B" w14:textId="77777777" w:rsidR="00DC28CF" w:rsidRPr="00DC28CF" w:rsidRDefault="00DC28CF" w:rsidP="00DC28CF">
            <w:pPr>
              <w:suppressAutoHyphens w:val="0"/>
              <w:ind w:leftChars="0" w:left="-113" w:right="-108"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position w:val="0"/>
                <w:sz w:val="20"/>
                <w:szCs w:val="20"/>
                <w:lang w:val="en-ID" w:eastAsia="en-ID"/>
              </w:rPr>
            </w:pPr>
            <w:r w:rsidRPr="00DC28CF">
              <w:rPr>
                <w:rFonts w:asciiTheme="majorBidi" w:eastAsia="Times New Roman" w:hAnsiTheme="majorBidi" w:cstheme="majorBidi"/>
                <w:b/>
                <w:bCs/>
                <w:position w:val="0"/>
                <w:sz w:val="20"/>
                <w:szCs w:val="20"/>
                <w:lang w:val="en-ID" w:eastAsia="en-ID"/>
              </w:rPr>
              <w:t>High (f / %)</w:t>
            </w:r>
          </w:p>
        </w:tc>
        <w:tc>
          <w:tcPr>
            <w:tcW w:w="1134" w:type="dxa"/>
            <w:tcBorders>
              <w:bottom w:val="single" w:sz="4" w:space="0" w:color="auto"/>
            </w:tcBorders>
            <w:shd w:val="clear" w:color="auto" w:fill="auto"/>
            <w:vAlign w:val="center"/>
            <w:hideMark/>
          </w:tcPr>
          <w:p w14:paraId="5273CA95" w14:textId="77777777" w:rsidR="00DC28CF" w:rsidRPr="00DC28CF" w:rsidRDefault="00DC28CF" w:rsidP="00DC28CF">
            <w:pPr>
              <w:suppressAutoHyphens w:val="0"/>
              <w:ind w:leftChars="0" w:left="-113" w:right="-108"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position w:val="0"/>
                <w:sz w:val="20"/>
                <w:szCs w:val="20"/>
                <w:lang w:val="en-ID" w:eastAsia="en-ID"/>
              </w:rPr>
            </w:pPr>
            <w:r w:rsidRPr="00DC28CF">
              <w:rPr>
                <w:rFonts w:asciiTheme="majorBidi" w:eastAsia="Times New Roman" w:hAnsiTheme="majorBidi" w:cstheme="majorBidi"/>
                <w:b/>
                <w:bCs/>
                <w:position w:val="0"/>
                <w:sz w:val="20"/>
                <w:szCs w:val="20"/>
                <w:lang w:val="en-ID" w:eastAsia="en-ID"/>
              </w:rPr>
              <w:t>(f / %)</w:t>
            </w:r>
          </w:p>
        </w:tc>
        <w:tc>
          <w:tcPr>
            <w:tcW w:w="0" w:type="auto"/>
            <w:vMerge/>
            <w:tcBorders>
              <w:bottom w:val="single" w:sz="4" w:space="0" w:color="auto"/>
            </w:tcBorders>
            <w:shd w:val="clear" w:color="auto" w:fill="auto"/>
            <w:vAlign w:val="center"/>
            <w:hideMark/>
          </w:tcPr>
          <w:p w14:paraId="3F2F851B" w14:textId="77777777" w:rsidR="00DC28CF" w:rsidRPr="00DC28CF" w:rsidRDefault="00DC28CF" w:rsidP="00DC28CF">
            <w:pPr>
              <w:suppressAutoHyphens w:val="0"/>
              <w:ind w:leftChars="0" w:left="-106" w:right="-118"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position w:val="0"/>
                <w:sz w:val="20"/>
                <w:szCs w:val="20"/>
                <w:lang w:val="en-ID" w:eastAsia="en-ID"/>
              </w:rPr>
            </w:pPr>
          </w:p>
        </w:tc>
        <w:tc>
          <w:tcPr>
            <w:tcW w:w="1144" w:type="dxa"/>
            <w:vMerge/>
            <w:tcBorders>
              <w:bottom w:val="single" w:sz="4" w:space="0" w:color="auto"/>
            </w:tcBorders>
            <w:shd w:val="clear" w:color="auto" w:fill="auto"/>
            <w:vAlign w:val="center"/>
            <w:hideMark/>
          </w:tcPr>
          <w:p w14:paraId="1D122185" w14:textId="77777777" w:rsidR="00DC28CF" w:rsidRPr="00DC28CF" w:rsidRDefault="00DC28CF" w:rsidP="00DC28CF">
            <w:pPr>
              <w:suppressAutoHyphens w:val="0"/>
              <w:ind w:leftChars="0" w:left="-106" w:right="-118"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position w:val="0"/>
                <w:sz w:val="20"/>
                <w:szCs w:val="20"/>
                <w:lang w:val="en-ID" w:eastAsia="en-ID"/>
              </w:rPr>
            </w:pPr>
          </w:p>
        </w:tc>
      </w:tr>
      <w:tr w:rsidR="00DC28CF" w:rsidRPr="00DC28CF" w14:paraId="2B67230F" w14:textId="77777777" w:rsidTr="00DC28CF">
        <w:trPr>
          <w:trHeight w:val="53"/>
        </w:trPr>
        <w:tc>
          <w:tcPr>
            <w:cnfStyle w:val="001000000000" w:firstRow="0" w:lastRow="0" w:firstColumn="1" w:lastColumn="0" w:oddVBand="0" w:evenVBand="0" w:oddHBand="0" w:evenHBand="0" w:firstRowFirstColumn="0" w:firstRowLastColumn="0" w:lastRowFirstColumn="0" w:lastRowLastColumn="0"/>
            <w:tcW w:w="1560" w:type="dxa"/>
            <w:vMerge w:val="restart"/>
            <w:tcBorders>
              <w:top w:val="single" w:sz="4" w:space="0" w:color="auto"/>
              <w:bottom w:val="nil"/>
            </w:tcBorders>
            <w:shd w:val="clear" w:color="auto" w:fill="auto"/>
          </w:tcPr>
          <w:p w14:paraId="7DEC3B09" w14:textId="77C046B0" w:rsidR="00DC28CF" w:rsidRPr="00DC28CF" w:rsidRDefault="00DC28CF" w:rsidP="00DC28CF">
            <w:pPr>
              <w:suppressAutoHyphens w:val="0"/>
              <w:ind w:leftChars="0" w:left="0" w:right="-110" w:firstLineChars="0" w:firstLine="0"/>
              <w:textDirection w:val="lrTb"/>
              <w:textAlignment w:val="auto"/>
              <w:outlineLvl w:val="9"/>
              <w:rPr>
                <w:rFonts w:asciiTheme="majorBidi" w:eastAsia="Times New Roman" w:hAnsiTheme="majorBidi" w:cstheme="majorBidi"/>
                <w:b w:val="0"/>
                <w:bCs w:val="0"/>
                <w:position w:val="0"/>
                <w:sz w:val="20"/>
                <w:szCs w:val="20"/>
                <w:lang w:val="en-ID" w:eastAsia="en-ID"/>
              </w:rPr>
            </w:pPr>
            <w:r w:rsidRPr="00DC28CF">
              <w:rPr>
                <w:rFonts w:asciiTheme="majorBidi" w:eastAsia="Times New Roman" w:hAnsiTheme="majorBidi" w:cstheme="majorBidi"/>
                <w:b w:val="0"/>
                <w:bCs w:val="0"/>
                <w:position w:val="0"/>
                <w:sz w:val="20"/>
                <w:szCs w:val="20"/>
                <w:lang w:val="en-ID" w:eastAsia="en-ID"/>
              </w:rPr>
              <w:t>Knowledge</w:t>
            </w:r>
          </w:p>
        </w:tc>
        <w:tc>
          <w:tcPr>
            <w:tcW w:w="1417" w:type="dxa"/>
            <w:tcBorders>
              <w:top w:val="single" w:sz="4" w:space="0" w:color="auto"/>
              <w:bottom w:val="nil"/>
            </w:tcBorders>
            <w:shd w:val="clear" w:color="auto" w:fill="auto"/>
            <w:hideMark/>
          </w:tcPr>
          <w:p w14:paraId="7BF855A9" w14:textId="2E42EE4F" w:rsidR="00DC28CF" w:rsidRPr="00DC28CF" w:rsidRDefault="00DC28CF" w:rsidP="00DC28CF">
            <w:pPr>
              <w:suppressAutoHyphens w:val="0"/>
              <w:ind w:leftChars="0" w:left="0" w:right="-107"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Poor</w:t>
            </w:r>
          </w:p>
        </w:tc>
        <w:tc>
          <w:tcPr>
            <w:tcW w:w="1134" w:type="dxa"/>
            <w:tcBorders>
              <w:top w:val="single" w:sz="4" w:space="0" w:color="auto"/>
              <w:bottom w:val="nil"/>
            </w:tcBorders>
            <w:shd w:val="clear" w:color="auto" w:fill="auto"/>
            <w:hideMark/>
          </w:tcPr>
          <w:p w14:paraId="00FB3B32" w14:textId="77777777" w:rsidR="00DC28CF" w:rsidRPr="00DC28CF" w:rsidRDefault="00DC28CF" w:rsidP="00DC28CF">
            <w:pPr>
              <w:suppressAutoHyphens w:val="0"/>
              <w:ind w:leftChars="0" w:left="-113" w:right="-108"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44 (97.8%)</w:t>
            </w:r>
          </w:p>
        </w:tc>
        <w:tc>
          <w:tcPr>
            <w:tcW w:w="1134" w:type="dxa"/>
            <w:tcBorders>
              <w:top w:val="single" w:sz="4" w:space="0" w:color="auto"/>
              <w:bottom w:val="nil"/>
            </w:tcBorders>
            <w:shd w:val="clear" w:color="auto" w:fill="auto"/>
            <w:hideMark/>
          </w:tcPr>
          <w:p w14:paraId="411A97F3" w14:textId="77777777" w:rsidR="00DC28CF" w:rsidRPr="00DC28CF" w:rsidRDefault="00DC28CF" w:rsidP="00DC28CF">
            <w:pPr>
              <w:suppressAutoHyphens w:val="0"/>
              <w:ind w:leftChars="0" w:left="-113" w:right="-108"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1 (2.2%)</w:t>
            </w:r>
          </w:p>
        </w:tc>
        <w:tc>
          <w:tcPr>
            <w:tcW w:w="1134" w:type="dxa"/>
            <w:tcBorders>
              <w:top w:val="single" w:sz="4" w:space="0" w:color="auto"/>
              <w:bottom w:val="nil"/>
            </w:tcBorders>
            <w:shd w:val="clear" w:color="auto" w:fill="auto"/>
            <w:hideMark/>
          </w:tcPr>
          <w:p w14:paraId="34441441" w14:textId="77777777" w:rsidR="00DC28CF" w:rsidRPr="00DC28CF" w:rsidRDefault="00DC28CF" w:rsidP="00DC28CF">
            <w:pPr>
              <w:suppressAutoHyphens w:val="0"/>
              <w:ind w:leftChars="0" w:left="-113" w:right="-108"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45 (100.0%)</w:t>
            </w:r>
          </w:p>
        </w:tc>
        <w:tc>
          <w:tcPr>
            <w:tcW w:w="0" w:type="auto"/>
            <w:vMerge w:val="restart"/>
            <w:tcBorders>
              <w:top w:val="single" w:sz="4" w:space="0" w:color="auto"/>
            </w:tcBorders>
            <w:shd w:val="clear" w:color="auto" w:fill="auto"/>
            <w:hideMark/>
          </w:tcPr>
          <w:p w14:paraId="32C9D1CA" w14:textId="6B7D6FAB" w:rsidR="00DC28CF" w:rsidRPr="00DC28CF" w:rsidRDefault="00DC28CF" w:rsidP="00DC28CF">
            <w:pPr>
              <w:suppressAutoHyphens w:val="0"/>
              <w:ind w:leftChars="0" w:left="-106" w:right="-118"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0.000*</w:t>
            </w:r>
          </w:p>
        </w:tc>
        <w:tc>
          <w:tcPr>
            <w:tcW w:w="1144" w:type="dxa"/>
            <w:vMerge w:val="restart"/>
            <w:tcBorders>
              <w:top w:val="single" w:sz="4" w:space="0" w:color="auto"/>
              <w:bottom w:val="nil"/>
            </w:tcBorders>
            <w:shd w:val="clear" w:color="auto" w:fill="auto"/>
            <w:hideMark/>
          </w:tcPr>
          <w:p w14:paraId="2E427418" w14:textId="77777777" w:rsidR="00DC28CF" w:rsidRDefault="00DC28CF" w:rsidP="00DC28CF">
            <w:pPr>
              <w:suppressAutoHyphens w:val="0"/>
              <w:ind w:leftChars="0" w:left="-106" w:right="-118"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38.5</w:t>
            </w:r>
          </w:p>
          <w:p w14:paraId="0381F380" w14:textId="478AAE03" w:rsidR="00DC28CF" w:rsidRPr="00DC28CF" w:rsidRDefault="00DC28CF" w:rsidP="00DC28CF">
            <w:pPr>
              <w:suppressAutoHyphens w:val="0"/>
              <w:ind w:leftChars="0" w:left="-106" w:right="-118"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(5.0–294.12)</w:t>
            </w:r>
          </w:p>
        </w:tc>
      </w:tr>
      <w:tr w:rsidR="00DC28CF" w:rsidRPr="00DC28CF" w14:paraId="1F81A332" w14:textId="77777777" w:rsidTr="00DC28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Merge/>
            <w:tcBorders>
              <w:top w:val="nil"/>
              <w:bottom w:val="single" w:sz="4" w:space="0" w:color="auto"/>
            </w:tcBorders>
            <w:shd w:val="clear" w:color="auto" w:fill="auto"/>
          </w:tcPr>
          <w:p w14:paraId="5C5812E9" w14:textId="77777777" w:rsidR="00DC28CF" w:rsidRPr="00DC28CF" w:rsidRDefault="00DC28CF" w:rsidP="00DC28CF">
            <w:pPr>
              <w:suppressAutoHyphens w:val="0"/>
              <w:ind w:leftChars="0" w:left="0" w:right="-110" w:firstLineChars="0" w:firstLine="0"/>
              <w:textDirection w:val="lrTb"/>
              <w:textAlignment w:val="auto"/>
              <w:outlineLvl w:val="9"/>
              <w:rPr>
                <w:rFonts w:asciiTheme="majorBidi" w:eastAsia="Times New Roman" w:hAnsiTheme="majorBidi" w:cstheme="majorBidi"/>
                <w:b w:val="0"/>
                <w:bCs w:val="0"/>
                <w:position w:val="0"/>
                <w:sz w:val="20"/>
                <w:szCs w:val="20"/>
                <w:lang w:val="en-ID" w:eastAsia="en-ID"/>
              </w:rPr>
            </w:pPr>
          </w:p>
        </w:tc>
        <w:tc>
          <w:tcPr>
            <w:tcW w:w="1417" w:type="dxa"/>
            <w:tcBorders>
              <w:top w:val="nil"/>
              <w:bottom w:val="single" w:sz="4" w:space="0" w:color="auto"/>
            </w:tcBorders>
            <w:shd w:val="clear" w:color="auto" w:fill="auto"/>
            <w:hideMark/>
          </w:tcPr>
          <w:p w14:paraId="2EB8BAB6" w14:textId="03E6C2E4" w:rsidR="00DC28CF" w:rsidRPr="00DC28CF" w:rsidRDefault="00DC28CF" w:rsidP="00DC28CF">
            <w:pPr>
              <w:suppressAutoHyphens w:val="0"/>
              <w:ind w:leftChars="0" w:left="0" w:right="-107"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Good</w:t>
            </w:r>
          </w:p>
        </w:tc>
        <w:tc>
          <w:tcPr>
            <w:tcW w:w="1134" w:type="dxa"/>
            <w:tcBorders>
              <w:top w:val="nil"/>
              <w:bottom w:val="single" w:sz="4" w:space="0" w:color="auto"/>
            </w:tcBorders>
            <w:shd w:val="clear" w:color="auto" w:fill="auto"/>
            <w:hideMark/>
          </w:tcPr>
          <w:p w14:paraId="7FDF9DCC" w14:textId="77777777" w:rsidR="00DC28CF" w:rsidRPr="00DC28CF" w:rsidRDefault="00DC28CF" w:rsidP="00DC28CF">
            <w:pPr>
              <w:suppressAutoHyphens w:val="0"/>
              <w:ind w:leftChars="0" w:left="-113" w:right="-108"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40 (53.3%)</w:t>
            </w:r>
          </w:p>
        </w:tc>
        <w:tc>
          <w:tcPr>
            <w:tcW w:w="1134" w:type="dxa"/>
            <w:tcBorders>
              <w:top w:val="nil"/>
              <w:bottom w:val="single" w:sz="4" w:space="0" w:color="auto"/>
            </w:tcBorders>
            <w:shd w:val="clear" w:color="auto" w:fill="auto"/>
            <w:hideMark/>
          </w:tcPr>
          <w:p w14:paraId="40B59877" w14:textId="77777777" w:rsidR="00DC28CF" w:rsidRPr="00DC28CF" w:rsidRDefault="00DC28CF" w:rsidP="00DC28CF">
            <w:pPr>
              <w:suppressAutoHyphens w:val="0"/>
              <w:ind w:leftChars="0" w:left="-113" w:right="-108"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35 (46.7%)</w:t>
            </w:r>
          </w:p>
        </w:tc>
        <w:tc>
          <w:tcPr>
            <w:tcW w:w="1134" w:type="dxa"/>
            <w:tcBorders>
              <w:top w:val="nil"/>
              <w:bottom w:val="single" w:sz="4" w:space="0" w:color="auto"/>
            </w:tcBorders>
            <w:shd w:val="clear" w:color="auto" w:fill="auto"/>
            <w:hideMark/>
          </w:tcPr>
          <w:p w14:paraId="11A6E2BA" w14:textId="77777777" w:rsidR="00DC28CF" w:rsidRPr="00DC28CF" w:rsidRDefault="00DC28CF" w:rsidP="00DC28CF">
            <w:pPr>
              <w:suppressAutoHyphens w:val="0"/>
              <w:ind w:leftChars="0" w:left="-113" w:right="-108"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75 (100.0%)</w:t>
            </w:r>
          </w:p>
        </w:tc>
        <w:tc>
          <w:tcPr>
            <w:tcW w:w="0" w:type="auto"/>
            <w:vMerge/>
            <w:tcBorders>
              <w:bottom w:val="single" w:sz="4" w:space="0" w:color="auto"/>
            </w:tcBorders>
            <w:shd w:val="clear" w:color="auto" w:fill="auto"/>
            <w:hideMark/>
          </w:tcPr>
          <w:p w14:paraId="4A54B6B6" w14:textId="77777777" w:rsidR="00DC28CF" w:rsidRPr="00DC28CF" w:rsidRDefault="00DC28CF" w:rsidP="00DC28CF">
            <w:pPr>
              <w:suppressAutoHyphens w:val="0"/>
              <w:ind w:leftChars="0" w:left="-106" w:right="-118"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p>
        </w:tc>
        <w:tc>
          <w:tcPr>
            <w:tcW w:w="1144" w:type="dxa"/>
            <w:vMerge/>
            <w:tcBorders>
              <w:top w:val="nil"/>
              <w:bottom w:val="single" w:sz="4" w:space="0" w:color="auto"/>
            </w:tcBorders>
            <w:shd w:val="clear" w:color="auto" w:fill="auto"/>
            <w:hideMark/>
          </w:tcPr>
          <w:p w14:paraId="2EF24659" w14:textId="77777777" w:rsidR="00DC28CF" w:rsidRPr="00DC28CF" w:rsidRDefault="00DC28CF" w:rsidP="00DC28CF">
            <w:pPr>
              <w:suppressAutoHyphens w:val="0"/>
              <w:ind w:leftChars="0" w:left="-106" w:right="-118"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p>
        </w:tc>
      </w:tr>
      <w:tr w:rsidR="00DC28CF" w:rsidRPr="00DC28CF" w14:paraId="1175D939" w14:textId="77777777" w:rsidTr="00DC28CF">
        <w:tc>
          <w:tcPr>
            <w:cnfStyle w:val="001000000000" w:firstRow="0" w:lastRow="0" w:firstColumn="1" w:lastColumn="0" w:oddVBand="0" w:evenVBand="0" w:oddHBand="0" w:evenHBand="0" w:firstRowFirstColumn="0" w:firstRowLastColumn="0" w:lastRowFirstColumn="0" w:lastRowLastColumn="0"/>
            <w:tcW w:w="1560" w:type="dxa"/>
            <w:vMerge w:val="restart"/>
            <w:tcBorders>
              <w:top w:val="single" w:sz="4" w:space="0" w:color="auto"/>
              <w:bottom w:val="nil"/>
            </w:tcBorders>
            <w:shd w:val="clear" w:color="auto" w:fill="auto"/>
          </w:tcPr>
          <w:p w14:paraId="21640609" w14:textId="6CA543AC" w:rsidR="00DC28CF" w:rsidRPr="00DC28CF" w:rsidRDefault="00DC28CF" w:rsidP="00DC28CF">
            <w:pPr>
              <w:suppressAutoHyphens w:val="0"/>
              <w:ind w:leftChars="0" w:left="0" w:right="-110" w:firstLineChars="0" w:firstLine="0"/>
              <w:textDirection w:val="lrTb"/>
              <w:textAlignment w:val="auto"/>
              <w:outlineLvl w:val="9"/>
              <w:rPr>
                <w:rFonts w:asciiTheme="majorBidi" w:eastAsia="Times New Roman" w:hAnsiTheme="majorBidi" w:cstheme="majorBidi"/>
                <w:b w:val="0"/>
                <w:bCs w:val="0"/>
                <w:position w:val="0"/>
                <w:sz w:val="20"/>
                <w:szCs w:val="20"/>
                <w:lang w:val="en-ID" w:eastAsia="en-ID"/>
              </w:rPr>
            </w:pPr>
            <w:r w:rsidRPr="00DC28CF">
              <w:rPr>
                <w:rFonts w:asciiTheme="majorBidi" w:eastAsia="Times New Roman" w:hAnsiTheme="majorBidi" w:cstheme="majorBidi"/>
                <w:b w:val="0"/>
                <w:bCs w:val="0"/>
                <w:position w:val="0"/>
                <w:sz w:val="20"/>
                <w:szCs w:val="20"/>
                <w:lang w:val="en-ID" w:eastAsia="en-ID"/>
              </w:rPr>
              <w:t>Family Support</w:t>
            </w:r>
          </w:p>
        </w:tc>
        <w:tc>
          <w:tcPr>
            <w:tcW w:w="1417" w:type="dxa"/>
            <w:tcBorders>
              <w:top w:val="single" w:sz="4" w:space="0" w:color="auto"/>
              <w:bottom w:val="nil"/>
            </w:tcBorders>
            <w:shd w:val="clear" w:color="auto" w:fill="auto"/>
            <w:hideMark/>
          </w:tcPr>
          <w:p w14:paraId="12B2566E" w14:textId="19E0837F" w:rsidR="00DC28CF" w:rsidRPr="00DC28CF" w:rsidRDefault="00DC28CF" w:rsidP="00DC28CF">
            <w:pPr>
              <w:suppressAutoHyphens w:val="0"/>
              <w:ind w:leftChars="0" w:left="0" w:right="-107"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Not Supportive</w:t>
            </w:r>
          </w:p>
        </w:tc>
        <w:tc>
          <w:tcPr>
            <w:tcW w:w="1134" w:type="dxa"/>
            <w:tcBorders>
              <w:top w:val="single" w:sz="4" w:space="0" w:color="auto"/>
              <w:bottom w:val="nil"/>
            </w:tcBorders>
            <w:shd w:val="clear" w:color="auto" w:fill="auto"/>
            <w:hideMark/>
          </w:tcPr>
          <w:p w14:paraId="5EAA850A" w14:textId="77777777" w:rsidR="00DC28CF" w:rsidRPr="00DC28CF" w:rsidRDefault="00DC28CF" w:rsidP="00DC28CF">
            <w:pPr>
              <w:suppressAutoHyphens w:val="0"/>
              <w:ind w:leftChars="0" w:left="-113" w:right="-108"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49 (98.0%)</w:t>
            </w:r>
          </w:p>
        </w:tc>
        <w:tc>
          <w:tcPr>
            <w:tcW w:w="1134" w:type="dxa"/>
            <w:tcBorders>
              <w:top w:val="single" w:sz="4" w:space="0" w:color="auto"/>
              <w:bottom w:val="nil"/>
            </w:tcBorders>
            <w:shd w:val="clear" w:color="auto" w:fill="auto"/>
            <w:hideMark/>
          </w:tcPr>
          <w:p w14:paraId="4EBEAA9F" w14:textId="77777777" w:rsidR="00DC28CF" w:rsidRPr="00DC28CF" w:rsidRDefault="00DC28CF" w:rsidP="00DC28CF">
            <w:pPr>
              <w:suppressAutoHyphens w:val="0"/>
              <w:ind w:leftChars="0" w:left="-113" w:right="-108"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1 (2.0%)</w:t>
            </w:r>
          </w:p>
        </w:tc>
        <w:tc>
          <w:tcPr>
            <w:tcW w:w="1134" w:type="dxa"/>
            <w:tcBorders>
              <w:top w:val="single" w:sz="4" w:space="0" w:color="auto"/>
              <w:bottom w:val="nil"/>
            </w:tcBorders>
            <w:shd w:val="clear" w:color="auto" w:fill="auto"/>
            <w:hideMark/>
          </w:tcPr>
          <w:p w14:paraId="03A47560" w14:textId="77777777" w:rsidR="00DC28CF" w:rsidRPr="00DC28CF" w:rsidRDefault="00DC28CF" w:rsidP="00DC28CF">
            <w:pPr>
              <w:suppressAutoHyphens w:val="0"/>
              <w:ind w:leftChars="0" w:left="-113" w:right="-108"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50 (100.0%)</w:t>
            </w:r>
          </w:p>
        </w:tc>
        <w:tc>
          <w:tcPr>
            <w:tcW w:w="0" w:type="auto"/>
            <w:vMerge w:val="restart"/>
            <w:tcBorders>
              <w:top w:val="single" w:sz="4" w:space="0" w:color="auto"/>
              <w:bottom w:val="nil"/>
            </w:tcBorders>
            <w:shd w:val="clear" w:color="auto" w:fill="auto"/>
            <w:hideMark/>
          </w:tcPr>
          <w:p w14:paraId="57378EA8" w14:textId="25C4A27D" w:rsidR="00DC28CF" w:rsidRPr="00DC28CF" w:rsidRDefault="00DC28CF" w:rsidP="00DC28CF">
            <w:pPr>
              <w:suppressAutoHyphens w:val="0"/>
              <w:ind w:leftChars="0" w:left="-106" w:right="-118"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0.000*</w:t>
            </w:r>
          </w:p>
        </w:tc>
        <w:tc>
          <w:tcPr>
            <w:tcW w:w="1144" w:type="dxa"/>
            <w:vMerge w:val="restart"/>
            <w:tcBorders>
              <w:top w:val="single" w:sz="4" w:space="0" w:color="auto"/>
              <w:bottom w:val="nil"/>
            </w:tcBorders>
            <w:shd w:val="clear" w:color="auto" w:fill="auto"/>
            <w:hideMark/>
          </w:tcPr>
          <w:p w14:paraId="1F772AAF" w14:textId="77777777" w:rsidR="00DC28CF" w:rsidRDefault="00DC28CF" w:rsidP="00DC28CF">
            <w:pPr>
              <w:suppressAutoHyphens w:val="0"/>
              <w:ind w:leftChars="0" w:left="-106" w:right="-118"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49</w:t>
            </w:r>
          </w:p>
          <w:p w14:paraId="0968B85F" w14:textId="30C8B93D" w:rsidR="00DC28CF" w:rsidRPr="00DC28CF" w:rsidRDefault="00DC28CF" w:rsidP="00DC28CF">
            <w:pPr>
              <w:suppressAutoHyphens w:val="0"/>
              <w:ind w:leftChars="0" w:left="-106" w:right="-118"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(6.4–374.78)</w:t>
            </w:r>
          </w:p>
        </w:tc>
      </w:tr>
      <w:tr w:rsidR="00DC28CF" w:rsidRPr="00DC28CF" w14:paraId="1B89BBB7" w14:textId="77777777" w:rsidTr="00DC28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Merge/>
            <w:tcBorders>
              <w:top w:val="nil"/>
              <w:bottom w:val="single" w:sz="4" w:space="0" w:color="auto"/>
            </w:tcBorders>
            <w:shd w:val="clear" w:color="auto" w:fill="auto"/>
          </w:tcPr>
          <w:p w14:paraId="0ED1A543" w14:textId="77777777" w:rsidR="00DC28CF" w:rsidRPr="00DC28CF" w:rsidRDefault="00DC28CF" w:rsidP="00DC28CF">
            <w:pPr>
              <w:suppressAutoHyphens w:val="0"/>
              <w:ind w:leftChars="0" w:left="0" w:right="-110" w:firstLineChars="0" w:firstLine="0"/>
              <w:textDirection w:val="lrTb"/>
              <w:textAlignment w:val="auto"/>
              <w:outlineLvl w:val="9"/>
              <w:rPr>
                <w:rFonts w:asciiTheme="majorBidi" w:eastAsia="Times New Roman" w:hAnsiTheme="majorBidi" w:cstheme="majorBidi"/>
                <w:b w:val="0"/>
                <w:bCs w:val="0"/>
                <w:position w:val="0"/>
                <w:sz w:val="20"/>
                <w:szCs w:val="20"/>
                <w:lang w:val="en-ID" w:eastAsia="en-ID"/>
              </w:rPr>
            </w:pPr>
          </w:p>
        </w:tc>
        <w:tc>
          <w:tcPr>
            <w:tcW w:w="1417" w:type="dxa"/>
            <w:tcBorders>
              <w:top w:val="nil"/>
              <w:bottom w:val="single" w:sz="4" w:space="0" w:color="auto"/>
            </w:tcBorders>
            <w:shd w:val="clear" w:color="auto" w:fill="auto"/>
            <w:hideMark/>
          </w:tcPr>
          <w:p w14:paraId="711B28D6" w14:textId="7E87335F" w:rsidR="00DC28CF" w:rsidRPr="00DC28CF" w:rsidRDefault="00DC28CF" w:rsidP="00DC28CF">
            <w:pPr>
              <w:suppressAutoHyphens w:val="0"/>
              <w:ind w:leftChars="0" w:left="0" w:right="-107"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Supportive</w:t>
            </w:r>
          </w:p>
        </w:tc>
        <w:tc>
          <w:tcPr>
            <w:tcW w:w="1134" w:type="dxa"/>
            <w:tcBorders>
              <w:top w:val="nil"/>
              <w:bottom w:val="single" w:sz="4" w:space="0" w:color="auto"/>
            </w:tcBorders>
            <w:shd w:val="clear" w:color="auto" w:fill="auto"/>
            <w:hideMark/>
          </w:tcPr>
          <w:p w14:paraId="39FA7E5F" w14:textId="77777777" w:rsidR="00DC28CF" w:rsidRPr="00DC28CF" w:rsidRDefault="00DC28CF" w:rsidP="00DC28CF">
            <w:pPr>
              <w:suppressAutoHyphens w:val="0"/>
              <w:ind w:leftChars="0" w:left="-113" w:right="-108"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35 (50.0%)</w:t>
            </w:r>
          </w:p>
        </w:tc>
        <w:tc>
          <w:tcPr>
            <w:tcW w:w="1134" w:type="dxa"/>
            <w:tcBorders>
              <w:top w:val="nil"/>
              <w:bottom w:val="single" w:sz="4" w:space="0" w:color="auto"/>
            </w:tcBorders>
            <w:shd w:val="clear" w:color="auto" w:fill="auto"/>
            <w:hideMark/>
          </w:tcPr>
          <w:p w14:paraId="59CEDA40" w14:textId="77777777" w:rsidR="00DC28CF" w:rsidRPr="00DC28CF" w:rsidRDefault="00DC28CF" w:rsidP="00DC28CF">
            <w:pPr>
              <w:suppressAutoHyphens w:val="0"/>
              <w:ind w:leftChars="0" w:left="-113" w:right="-108"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35 (50.0%)</w:t>
            </w:r>
          </w:p>
        </w:tc>
        <w:tc>
          <w:tcPr>
            <w:tcW w:w="1134" w:type="dxa"/>
            <w:tcBorders>
              <w:top w:val="nil"/>
              <w:bottom w:val="single" w:sz="4" w:space="0" w:color="auto"/>
            </w:tcBorders>
            <w:shd w:val="clear" w:color="auto" w:fill="auto"/>
            <w:hideMark/>
          </w:tcPr>
          <w:p w14:paraId="6F97BDFC" w14:textId="77777777" w:rsidR="00DC28CF" w:rsidRPr="00DC28CF" w:rsidRDefault="00DC28CF" w:rsidP="00DC28CF">
            <w:pPr>
              <w:suppressAutoHyphens w:val="0"/>
              <w:ind w:leftChars="0" w:left="-113" w:right="-108"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70 (100.0%)</w:t>
            </w:r>
          </w:p>
        </w:tc>
        <w:tc>
          <w:tcPr>
            <w:tcW w:w="0" w:type="auto"/>
            <w:vMerge/>
            <w:tcBorders>
              <w:top w:val="nil"/>
              <w:bottom w:val="single" w:sz="4" w:space="0" w:color="auto"/>
            </w:tcBorders>
            <w:shd w:val="clear" w:color="auto" w:fill="auto"/>
            <w:hideMark/>
          </w:tcPr>
          <w:p w14:paraId="2B606C9A" w14:textId="77777777" w:rsidR="00DC28CF" w:rsidRPr="00DC28CF" w:rsidRDefault="00DC28CF" w:rsidP="00DC28CF">
            <w:pPr>
              <w:suppressAutoHyphens w:val="0"/>
              <w:ind w:leftChars="0" w:left="-106" w:right="-118"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p>
        </w:tc>
        <w:tc>
          <w:tcPr>
            <w:tcW w:w="1144" w:type="dxa"/>
            <w:vMerge/>
            <w:tcBorders>
              <w:top w:val="nil"/>
              <w:bottom w:val="single" w:sz="4" w:space="0" w:color="auto"/>
            </w:tcBorders>
            <w:shd w:val="clear" w:color="auto" w:fill="auto"/>
            <w:hideMark/>
          </w:tcPr>
          <w:p w14:paraId="2D3313C2" w14:textId="77777777" w:rsidR="00DC28CF" w:rsidRPr="00DC28CF" w:rsidRDefault="00DC28CF" w:rsidP="00DC28CF">
            <w:pPr>
              <w:suppressAutoHyphens w:val="0"/>
              <w:ind w:leftChars="0" w:left="-106" w:right="-118"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p>
        </w:tc>
      </w:tr>
      <w:tr w:rsidR="00DC28CF" w:rsidRPr="00DC28CF" w14:paraId="14704893" w14:textId="77777777" w:rsidTr="00DC28CF">
        <w:tc>
          <w:tcPr>
            <w:cnfStyle w:val="001000000000" w:firstRow="0" w:lastRow="0" w:firstColumn="1" w:lastColumn="0" w:oddVBand="0" w:evenVBand="0" w:oddHBand="0" w:evenHBand="0" w:firstRowFirstColumn="0" w:firstRowLastColumn="0" w:lastRowFirstColumn="0" w:lastRowLastColumn="0"/>
            <w:tcW w:w="1560" w:type="dxa"/>
            <w:vMerge w:val="restart"/>
            <w:tcBorders>
              <w:top w:val="single" w:sz="4" w:space="0" w:color="auto"/>
              <w:bottom w:val="nil"/>
            </w:tcBorders>
            <w:shd w:val="clear" w:color="auto" w:fill="auto"/>
          </w:tcPr>
          <w:p w14:paraId="3A662A6C" w14:textId="62BF7ABA" w:rsidR="00DC28CF" w:rsidRPr="00DC28CF" w:rsidRDefault="00DC28CF" w:rsidP="00DC28CF">
            <w:pPr>
              <w:suppressAutoHyphens w:val="0"/>
              <w:ind w:leftChars="0" w:left="0" w:right="-110" w:firstLineChars="0" w:firstLine="0"/>
              <w:textDirection w:val="lrTb"/>
              <w:textAlignment w:val="auto"/>
              <w:outlineLvl w:val="9"/>
              <w:rPr>
                <w:rFonts w:asciiTheme="majorBidi" w:eastAsia="Times New Roman" w:hAnsiTheme="majorBidi" w:cstheme="majorBidi"/>
                <w:b w:val="0"/>
                <w:bCs w:val="0"/>
                <w:position w:val="0"/>
                <w:sz w:val="20"/>
                <w:szCs w:val="20"/>
                <w:lang w:val="en-ID" w:eastAsia="en-ID"/>
              </w:rPr>
            </w:pPr>
            <w:r w:rsidRPr="00DC28CF">
              <w:rPr>
                <w:rFonts w:asciiTheme="majorBidi" w:eastAsia="Times New Roman" w:hAnsiTheme="majorBidi" w:cstheme="majorBidi"/>
                <w:b w:val="0"/>
                <w:bCs w:val="0"/>
                <w:position w:val="0"/>
                <w:sz w:val="20"/>
                <w:szCs w:val="20"/>
                <w:lang w:val="en-ID" w:eastAsia="en-ID"/>
              </w:rPr>
              <w:t>Healthcare Worker Support</w:t>
            </w:r>
          </w:p>
        </w:tc>
        <w:tc>
          <w:tcPr>
            <w:tcW w:w="1417" w:type="dxa"/>
            <w:tcBorders>
              <w:top w:val="single" w:sz="4" w:space="0" w:color="auto"/>
              <w:bottom w:val="nil"/>
            </w:tcBorders>
            <w:shd w:val="clear" w:color="auto" w:fill="auto"/>
            <w:hideMark/>
          </w:tcPr>
          <w:p w14:paraId="55DF400C" w14:textId="32E02AF5" w:rsidR="00DC28CF" w:rsidRPr="00DC28CF" w:rsidRDefault="00DC28CF" w:rsidP="00DC28CF">
            <w:pPr>
              <w:suppressAutoHyphens w:val="0"/>
              <w:ind w:leftChars="0" w:left="0" w:right="-107"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Not Supportive</w:t>
            </w:r>
          </w:p>
        </w:tc>
        <w:tc>
          <w:tcPr>
            <w:tcW w:w="1134" w:type="dxa"/>
            <w:tcBorders>
              <w:top w:val="single" w:sz="4" w:space="0" w:color="auto"/>
              <w:bottom w:val="nil"/>
            </w:tcBorders>
            <w:shd w:val="clear" w:color="auto" w:fill="auto"/>
            <w:hideMark/>
          </w:tcPr>
          <w:p w14:paraId="70A90178" w14:textId="77777777" w:rsidR="00DC28CF" w:rsidRPr="00DC28CF" w:rsidRDefault="00DC28CF" w:rsidP="00DC28CF">
            <w:pPr>
              <w:suppressAutoHyphens w:val="0"/>
              <w:ind w:leftChars="0" w:left="-113" w:right="-108"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57 (95.0%)</w:t>
            </w:r>
          </w:p>
        </w:tc>
        <w:tc>
          <w:tcPr>
            <w:tcW w:w="1134" w:type="dxa"/>
            <w:tcBorders>
              <w:top w:val="single" w:sz="4" w:space="0" w:color="auto"/>
              <w:bottom w:val="nil"/>
            </w:tcBorders>
            <w:shd w:val="clear" w:color="auto" w:fill="auto"/>
            <w:hideMark/>
          </w:tcPr>
          <w:p w14:paraId="1EAA5520" w14:textId="77777777" w:rsidR="00DC28CF" w:rsidRPr="00DC28CF" w:rsidRDefault="00DC28CF" w:rsidP="00DC28CF">
            <w:pPr>
              <w:suppressAutoHyphens w:val="0"/>
              <w:ind w:leftChars="0" w:left="-113" w:right="-108"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3 (5.0%)</w:t>
            </w:r>
          </w:p>
        </w:tc>
        <w:tc>
          <w:tcPr>
            <w:tcW w:w="1134" w:type="dxa"/>
            <w:tcBorders>
              <w:top w:val="single" w:sz="4" w:space="0" w:color="auto"/>
              <w:bottom w:val="nil"/>
            </w:tcBorders>
            <w:shd w:val="clear" w:color="auto" w:fill="auto"/>
            <w:hideMark/>
          </w:tcPr>
          <w:p w14:paraId="07908246" w14:textId="77777777" w:rsidR="00DC28CF" w:rsidRPr="00DC28CF" w:rsidRDefault="00DC28CF" w:rsidP="00DC28CF">
            <w:pPr>
              <w:suppressAutoHyphens w:val="0"/>
              <w:ind w:leftChars="0" w:left="-113" w:right="-108"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60 (100.0%)</w:t>
            </w:r>
          </w:p>
        </w:tc>
        <w:tc>
          <w:tcPr>
            <w:tcW w:w="0" w:type="auto"/>
            <w:vMerge w:val="restart"/>
            <w:tcBorders>
              <w:top w:val="single" w:sz="4" w:space="0" w:color="auto"/>
              <w:bottom w:val="nil"/>
            </w:tcBorders>
            <w:shd w:val="clear" w:color="auto" w:fill="auto"/>
            <w:hideMark/>
          </w:tcPr>
          <w:p w14:paraId="4DE25C25" w14:textId="2EAD38F8" w:rsidR="00DC28CF" w:rsidRPr="00DC28CF" w:rsidRDefault="00DC28CF" w:rsidP="00DC28CF">
            <w:pPr>
              <w:suppressAutoHyphens w:val="0"/>
              <w:ind w:leftChars="0" w:left="-106" w:right="-118"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0.000</w:t>
            </w:r>
            <w:r>
              <w:rPr>
                <w:rFonts w:asciiTheme="majorBidi" w:eastAsia="Times New Roman" w:hAnsiTheme="majorBidi" w:cstheme="majorBidi"/>
                <w:position w:val="0"/>
                <w:sz w:val="20"/>
                <w:szCs w:val="20"/>
                <w:lang w:val="en-ID" w:eastAsia="en-ID"/>
              </w:rPr>
              <w:t>*</w:t>
            </w:r>
          </w:p>
        </w:tc>
        <w:tc>
          <w:tcPr>
            <w:tcW w:w="1144" w:type="dxa"/>
            <w:vMerge w:val="restart"/>
            <w:tcBorders>
              <w:top w:val="single" w:sz="4" w:space="0" w:color="auto"/>
              <w:bottom w:val="nil"/>
            </w:tcBorders>
            <w:shd w:val="clear" w:color="auto" w:fill="auto"/>
            <w:hideMark/>
          </w:tcPr>
          <w:p w14:paraId="24D36844" w14:textId="77777777" w:rsidR="00DC28CF" w:rsidRDefault="00DC28CF" w:rsidP="00DC28CF">
            <w:pPr>
              <w:suppressAutoHyphens w:val="0"/>
              <w:ind w:leftChars="0" w:left="-106" w:right="-118"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23.2</w:t>
            </w:r>
          </w:p>
          <w:p w14:paraId="7FF5D16D" w14:textId="6512FF27" w:rsidR="00DC28CF" w:rsidRPr="00DC28CF" w:rsidRDefault="00DC28CF" w:rsidP="00DC28CF">
            <w:pPr>
              <w:suppressAutoHyphens w:val="0"/>
              <w:ind w:leftChars="0" w:left="-106" w:right="-118"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(6.5–82.4)</w:t>
            </w:r>
          </w:p>
        </w:tc>
      </w:tr>
      <w:tr w:rsidR="00DC28CF" w:rsidRPr="00DC28CF" w14:paraId="7AFCCE3E" w14:textId="77777777" w:rsidTr="00DC28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Merge/>
            <w:tcBorders>
              <w:top w:val="nil"/>
              <w:bottom w:val="single" w:sz="4" w:space="0" w:color="auto"/>
            </w:tcBorders>
            <w:shd w:val="clear" w:color="auto" w:fill="auto"/>
          </w:tcPr>
          <w:p w14:paraId="5D737461" w14:textId="77777777" w:rsidR="00DC28CF" w:rsidRPr="00DC28CF" w:rsidRDefault="00DC28CF" w:rsidP="00DC28CF">
            <w:pPr>
              <w:suppressAutoHyphens w:val="0"/>
              <w:ind w:leftChars="0" w:left="0" w:right="-110" w:firstLineChars="0" w:firstLine="0"/>
              <w:textDirection w:val="lrTb"/>
              <w:textAlignment w:val="auto"/>
              <w:outlineLvl w:val="9"/>
              <w:rPr>
                <w:rFonts w:asciiTheme="majorBidi" w:eastAsia="Times New Roman" w:hAnsiTheme="majorBidi" w:cstheme="majorBidi"/>
                <w:b w:val="0"/>
                <w:bCs w:val="0"/>
                <w:position w:val="0"/>
                <w:sz w:val="20"/>
                <w:szCs w:val="20"/>
                <w:lang w:val="en-ID" w:eastAsia="en-ID"/>
              </w:rPr>
            </w:pPr>
          </w:p>
        </w:tc>
        <w:tc>
          <w:tcPr>
            <w:tcW w:w="1417" w:type="dxa"/>
            <w:tcBorders>
              <w:top w:val="nil"/>
              <w:bottom w:val="single" w:sz="4" w:space="0" w:color="auto"/>
            </w:tcBorders>
            <w:shd w:val="clear" w:color="auto" w:fill="auto"/>
            <w:hideMark/>
          </w:tcPr>
          <w:p w14:paraId="329CDA30" w14:textId="1A10CE01" w:rsidR="00DC28CF" w:rsidRPr="00DC28CF" w:rsidRDefault="00DC28CF" w:rsidP="00DC28CF">
            <w:pPr>
              <w:suppressAutoHyphens w:val="0"/>
              <w:ind w:leftChars="0" w:left="0" w:right="-107"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Supportive</w:t>
            </w:r>
          </w:p>
        </w:tc>
        <w:tc>
          <w:tcPr>
            <w:tcW w:w="1134" w:type="dxa"/>
            <w:tcBorders>
              <w:top w:val="nil"/>
              <w:bottom w:val="single" w:sz="4" w:space="0" w:color="auto"/>
            </w:tcBorders>
            <w:shd w:val="clear" w:color="auto" w:fill="auto"/>
            <w:hideMark/>
          </w:tcPr>
          <w:p w14:paraId="466B3269" w14:textId="77777777" w:rsidR="00DC28CF" w:rsidRPr="00DC28CF" w:rsidRDefault="00DC28CF" w:rsidP="00DC28CF">
            <w:pPr>
              <w:suppressAutoHyphens w:val="0"/>
              <w:ind w:leftChars="0" w:left="-113" w:right="-108"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27 (45.0%)</w:t>
            </w:r>
          </w:p>
        </w:tc>
        <w:tc>
          <w:tcPr>
            <w:tcW w:w="1134" w:type="dxa"/>
            <w:tcBorders>
              <w:top w:val="nil"/>
              <w:bottom w:val="single" w:sz="4" w:space="0" w:color="auto"/>
            </w:tcBorders>
            <w:shd w:val="clear" w:color="auto" w:fill="auto"/>
            <w:hideMark/>
          </w:tcPr>
          <w:p w14:paraId="1979D138" w14:textId="77777777" w:rsidR="00DC28CF" w:rsidRPr="00DC28CF" w:rsidRDefault="00DC28CF" w:rsidP="00DC28CF">
            <w:pPr>
              <w:suppressAutoHyphens w:val="0"/>
              <w:ind w:leftChars="0" w:left="-113" w:right="-108"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33 (55.0%)</w:t>
            </w:r>
          </w:p>
        </w:tc>
        <w:tc>
          <w:tcPr>
            <w:tcW w:w="1134" w:type="dxa"/>
            <w:tcBorders>
              <w:top w:val="nil"/>
              <w:bottom w:val="single" w:sz="4" w:space="0" w:color="auto"/>
            </w:tcBorders>
            <w:shd w:val="clear" w:color="auto" w:fill="auto"/>
            <w:hideMark/>
          </w:tcPr>
          <w:p w14:paraId="715C1A79" w14:textId="77777777" w:rsidR="00DC28CF" w:rsidRPr="00DC28CF" w:rsidRDefault="00DC28CF" w:rsidP="00DC28CF">
            <w:pPr>
              <w:suppressAutoHyphens w:val="0"/>
              <w:ind w:leftChars="0" w:left="-113" w:right="-108"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60 (100.0%)</w:t>
            </w:r>
          </w:p>
        </w:tc>
        <w:tc>
          <w:tcPr>
            <w:tcW w:w="0" w:type="auto"/>
            <w:vMerge/>
            <w:tcBorders>
              <w:top w:val="nil"/>
              <w:bottom w:val="single" w:sz="4" w:space="0" w:color="auto"/>
            </w:tcBorders>
            <w:shd w:val="clear" w:color="auto" w:fill="auto"/>
            <w:hideMark/>
          </w:tcPr>
          <w:p w14:paraId="75707895" w14:textId="77777777" w:rsidR="00DC28CF" w:rsidRPr="00DC28CF" w:rsidRDefault="00DC28CF" w:rsidP="00DC28CF">
            <w:pPr>
              <w:suppressAutoHyphens w:val="0"/>
              <w:ind w:leftChars="0" w:left="-106" w:right="-118"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p>
        </w:tc>
        <w:tc>
          <w:tcPr>
            <w:tcW w:w="1144" w:type="dxa"/>
            <w:vMerge/>
            <w:tcBorders>
              <w:top w:val="nil"/>
              <w:bottom w:val="single" w:sz="4" w:space="0" w:color="auto"/>
            </w:tcBorders>
            <w:shd w:val="clear" w:color="auto" w:fill="auto"/>
            <w:hideMark/>
          </w:tcPr>
          <w:p w14:paraId="76CEEA3B" w14:textId="77777777" w:rsidR="00DC28CF" w:rsidRPr="00DC28CF" w:rsidRDefault="00DC28CF" w:rsidP="00DC28CF">
            <w:pPr>
              <w:suppressAutoHyphens w:val="0"/>
              <w:ind w:leftChars="0" w:left="-106" w:right="-118"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p>
        </w:tc>
      </w:tr>
      <w:tr w:rsidR="00DC28CF" w:rsidRPr="00DC28CF" w14:paraId="3BE0204B" w14:textId="77777777" w:rsidTr="00DC28CF">
        <w:tc>
          <w:tcPr>
            <w:cnfStyle w:val="001000000000" w:firstRow="0" w:lastRow="0" w:firstColumn="1" w:lastColumn="0" w:oddVBand="0" w:evenVBand="0" w:oddHBand="0" w:evenHBand="0" w:firstRowFirstColumn="0" w:firstRowLastColumn="0" w:lastRowFirstColumn="0" w:lastRowLastColumn="0"/>
            <w:tcW w:w="1560" w:type="dxa"/>
            <w:vMerge w:val="restart"/>
            <w:tcBorders>
              <w:top w:val="single" w:sz="4" w:space="0" w:color="auto"/>
              <w:bottom w:val="nil"/>
            </w:tcBorders>
            <w:shd w:val="clear" w:color="auto" w:fill="auto"/>
          </w:tcPr>
          <w:p w14:paraId="36FF37C4" w14:textId="5F319897" w:rsidR="00DC28CF" w:rsidRPr="00DC28CF" w:rsidRDefault="00DC28CF" w:rsidP="00DC28CF">
            <w:pPr>
              <w:suppressAutoHyphens w:val="0"/>
              <w:ind w:leftChars="0" w:left="0" w:right="-110" w:firstLineChars="0" w:firstLine="0"/>
              <w:textDirection w:val="lrTb"/>
              <w:textAlignment w:val="auto"/>
              <w:outlineLvl w:val="9"/>
              <w:rPr>
                <w:rFonts w:asciiTheme="majorBidi" w:eastAsia="Times New Roman" w:hAnsiTheme="majorBidi" w:cstheme="majorBidi"/>
                <w:b w:val="0"/>
                <w:bCs w:val="0"/>
                <w:position w:val="0"/>
                <w:sz w:val="20"/>
                <w:szCs w:val="20"/>
                <w:lang w:val="en-ID" w:eastAsia="en-ID"/>
              </w:rPr>
            </w:pPr>
            <w:r w:rsidRPr="00DC28CF">
              <w:rPr>
                <w:rFonts w:asciiTheme="majorBidi" w:eastAsia="Times New Roman" w:hAnsiTheme="majorBidi" w:cstheme="majorBidi"/>
                <w:b w:val="0"/>
                <w:bCs w:val="0"/>
                <w:position w:val="0"/>
                <w:sz w:val="20"/>
                <w:szCs w:val="20"/>
                <w:lang w:val="en-ID" w:eastAsia="en-ID"/>
              </w:rPr>
              <w:t>Access to Health Services</w:t>
            </w:r>
          </w:p>
        </w:tc>
        <w:tc>
          <w:tcPr>
            <w:tcW w:w="1417" w:type="dxa"/>
            <w:tcBorders>
              <w:top w:val="single" w:sz="4" w:space="0" w:color="auto"/>
              <w:bottom w:val="nil"/>
            </w:tcBorders>
            <w:shd w:val="clear" w:color="auto" w:fill="auto"/>
            <w:hideMark/>
          </w:tcPr>
          <w:p w14:paraId="545827BE" w14:textId="68B47882" w:rsidR="00DC28CF" w:rsidRPr="00DC28CF" w:rsidRDefault="00DC28CF" w:rsidP="00DC28CF">
            <w:pPr>
              <w:suppressAutoHyphens w:val="0"/>
              <w:ind w:leftChars="0" w:left="0" w:right="-107"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Difficult</w:t>
            </w:r>
          </w:p>
        </w:tc>
        <w:tc>
          <w:tcPr>
            <w:tcW w:w="1134" w:type="dxa"/>
            <w:tcBorders>
              <w:top w:val="single" w:sz="4" w:space="0" w:color="auto"/>
              <w:bottom w:val="nil"/>
            </w:tcBorders>
            <w:shd w:val="clear" w:color="auto" w:fill="auto"/>
            <w:hideMark/>
          </w:tcPr>
          <w:p w14:paraId="54F98BB9" w14:textId="77777777" w:rsidR="00DC28CF" w:rsidRPr="00DC28CF" w:rsidRDefault="00DC28CF" w:rsidP="00DC28CF">
            <w:pPr>
              <w:suppressAutoHyphens w:val="0"/>
              <w:ind w:leftChars="0" w:left="-113" w:right="-108"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59 (85.5%)</w:t>
            </w:r>
          </w:p>
        </w:tc>
        <w:tc>
          <w:tcPr>
            <w:tcW w:w="1134" w:type="dxa"/>
            <w:tcBorders>
              <w:top w:val="single" w:sz="4" w:space="0" w:color="auto"/>
              <w:bottom w:val="nil"/>
            </w:tcBorders>
            <w:shd w:val="clear" w:color="auto" w:fill="auto"/>
            <w:hideMark/>
          </w:tcPr>
          <w:p w14:paraId="04722109" w14:textId="77777777" w:rsidR="00DC28CF" w:rsidRPr="00DC28CF" w:rsidRDefault="00DC28CF" w:rsidP="00DC28CF">
            <w:pPr>
              <w:suppressAutoHyphens w:val="0"/>
              <w:ind w:leftChars="0" w:left="-113" w:right="-108"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10 (14.5%)</w:t>
            </w:r>
          </w:p>
        </w:tc>
        <w:tc>
          <w:tcPr>
            <w:tcW w:w="1134" w:type="dxa"/>
            <w:tcBorders>
              <w:top w:val="single" w:sz="4" w:space="0" w:color="auto"/>
              <w:bottom w:val="nil"/>
            </w:tcBorders>
            <w:shd w:val="clear" w:color="auto" w:fill="auto"/>
            <w:hideMark/>
          </w:tcPr>
          <w:p w14:paraId="296A0E2B" w14:textId="77777777" w:rsidR="00DC28CF" w:rsidRPr="00DC28CF" w:rsidRDefault="00DC28CF" w:rsidP="00DC28CF">
            <w:pPr>
              <w:suppressAutoHyphens w:val="0"/>
              <w:ind w:leftChars="0" w:left="-113" w:right="-108"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69 (100.0%)</w:t>
            </w:r>
          </w:p>
        </w:tc>
        <w:tc>
          <w:tcPr>
            <w:tcW w:w="0" w:type="auto"/>
            <w:vMerge w:val="restart"/>
            <w:tcBorders>
              <w:top w:val="single" w:sz="4" w:space="0" w:color="auto"/>
            </w:tcBorders>
            <w:shd w:val="clear" w:color="auto" w:fill="auto"/>
            <w:hideMark/>
          </w:tcPr>
          <w:p w14:paraId="64AE4E6D" w14:textId="7E030EB8" w:rsidR="00DC28CF" w:rsidRPr="00DC28CF" w:rsidRDefault="00DC28CF" w:rsidP="00DC28CF">
            <w:pPr>
              <w:suppressAutoHyphens w:val="0"/>
              <w:ind w:leftChars="0" w:left="-106" w:right="-118"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0.000</w:t>
            </w:r>
            <w:r>
              <w:rPr>
                <w:rFonts w:asciiTheme="majorBidi" w:eastAsia="Times New Roman" w:hAnsiTheme="majorBidi" w:cstheme="majorBidi"/>
                <w:position w:val="0"/>
                <w:sz w:val="20"/>
                <w:szCs w:val="20"/>
                <w:lang w:val="en-ID" w:eastAsia="en-ID"/>
              </w:rPr>
              <w:t>*</w:t>
            </w:r>
          </w:p>
        </w:tc>
        <w:tc>
          <w:tcPr>
            <w:tcW w:w="1144" w:type="dxa"/>
            <w:vMerge w:val="restart"/>
            <w:tcBorders>
              <w:top w:val="single" w:sz="4" w:space="0" w:color="auto"/>
            </w:tcBorders>
            <w:shd w:val="clear" w:color="auto" w:fill="auto"/>
            <w:hideMark/>
          </w:tcPr>
          <w:p w14:paraId="524B21D8" w14:textId="77777777" w:rsidR="00DC28CF" w:rsidRDefault="00DC28CF" w:rsidP="00DC28CF">
            <w:pPr>
              <w:suppressAutoHyphens w:val="0"/>
              <w:ind w:leftChars="0" w:left="-106" w:right="-118"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6.1</w:t>
            </w:r>
          </w:p>
          <w:p w14:paraId="0E039E64" w14:textId="1171B576" w:rsidR="00DC28CF" w:rsidRPr="00DC28CF" w:rsidRDefault="00DC28CF" w:rsidP="00DC28CF">
            <w:pPr>
              <w:suppressAutoHyphens w:val="0"/>
              <w:ind w:leftChars="0" w:left="-106" w:right="-118"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(2.5–14.5)</w:t>
            </w:r>
          </w:p>
        </w:tc>
      </w:tr>
      <w:tr w:rsidR="00DC28CF" w:rsidRPr="00DC28CF" w14:paraId="5D56E6C0" w14:textId="77777777" w:rsidTr="00DC28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Merge/>
            <w:tcBorders>
              <w:top w:val="nil"/>
              <w:bottom w:val="single" w:sz="4" w:space="0" w:color="auto"/>
            </w:tcBorders>
            <w:shd w:val="clear" w:color="auto" w:fill="auto"/>
          </w:tcPr>
          <w:p w14:paraId="6070E052" w14:textId="77777777" w:rsidR="00DC28CF" w:rsidRPr="00DC28CF" w:rsidRDefault="00DC28CF" w:rsidP="00DC28CF">
            <w:pPr>
              <w:suppressAutoHyphens w:val="0"/>
              <w:ind w:leftChars="0" w:left="0" w:right="-110" w:firstLineChars="0" w:firstLine="0"/>
              <w:textDirection w:val="lrTb"/>
              <w:textAlignment w:val="auto"/>
              <w:outlineLvl w:val="9"/>
              <w:rPr>
                <w:rFonts w:asciiTheme="majorBidi" w:eastAsia="Times New Roman" w:hAnsiTheme="majorBidi" w:cstheme="majorBidi"/>
                <w:b w:val="0"/>
                <w:bCs w:val="0"/>
                <w:position w:val="0"/>
                <w:sz w:val="20"/>
                <w:szCs w:val="20"/>
                <w:lang w:val="en-ID" w:eastAsia="en-ID"/>
              </w:rPr>
            </w:pPr>
          </w:p>
        </w:tc>
        <w:tc>
          <w:tcPr>
            <w:tcW w:w="1417" w:type="dxa"/>
            <w:tcBorders>
              <w:top w:val="nil"/>
              <w:bottom w:val="single" w:sz="4" w:space="0" w:color="auto"/>
            </w:tcBorders>
            <w:shd w:val="clear" w:color="auto" w:fill="auto"/>
            <w:hideMark/>
          </w:tcPr>
          <w:p w14:paraId="2043BF68" w14:textId="3F42F97E" w:rsidR="00DC28CF" w:rsidRPr="00DC28CF" w:rsidRDefault="00DC28CF" w:rsidP="00DC28CF">
            <w:pPr>
              <w:suppressAutoHyphens w:val="0"/>
              <w:ind w:leftChars="0" w:left="0" w:right="-107"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Easy</w:t>
            </w:r>
          </w:p>
        </w:tc>
        <w:tc>
          <w:tcPr>
            <w:tcW w:w="1134" w:type="dxa"/>
            <w:tcBorders>
              <w:top w:val="nil"/>
              <w:bottom w:val="single" w:sz="4" w:space="0" w:color="auto"/>
            </w:tcBorders>
            <w:shd w:val="clear" w:color="auto" w:fill="auto"/>
            <w:hideMark/>
          </w:tcPr>
          <w:p w14:paraId="6212AA4F" w14:textId="77777777" w:rsidR="00DC28CF" w:rsidRPr="00DC28CF" w:rsidRDefault="00DC28CF" w:rsidP="00DC28CF">
            <w:pPr>
              <w:suppressAutoHyphens w:val="0"/>
              <w:ind w:leftChars="0" w:left="-113" w:right="-108"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25 (49.0%)</w:t>
            </w:r>
          </w:p>
        </w:tc>
        <w:tc>
          <w:tcPr>
            <w:tcW w:w="1134" w:type="dxa"/>
            <w:tcBorders>
              <w:top w:val="nil"/>
              <w:bottom w:val="single" w:sz="4" w:space="0" w:color="auto"/>
            </w:tcBorders>
            <w:shd w:val="clear" w:color="auto" w:fill="auto"/>
            <w:hideMark/>
          </w:tcPr>
          <w:p w14:paraId="011C7504" w14:textId="77777777" w:rsidR="00DC28CF" w:rsidRPr="00DC28CF" w:rsidRDefault="00DC28CF" w:rsidP="00DC28CF">
            <w:pPr>
              <w:suppressAutoHyphens w:val="0"/>
              <w:ind w:leftChars="0" w:left="-113" w:right="-108"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26 (51.0%)</w:t>
            </w:r>
          </w:p>
        </w:tc>
        <w:tc>
          <w:tcPr>
            <w:tcW w:w="1134" w:type="dxa"/>
            <w:tcBorders>
              <w:top w:val="nil"/>
              <w:bottom w:val="single" w:sz="4" w:space="0" w:color="auto"/>
            </w:tcBorders>
            <w:shd w:val="clear" w:color="auto" w:fill="auto"/>
            <w:hideMark/>
          </w:tcPr>
          <w:p w14:paraId="3BC1C58A" w14:textId="77777777" w:rsidR="00DC28CF" w:rsidRPr="00DC28CF" w:rsidRDefault="00DC28CF" w:rsidP="00DC28CF">
            <w:pPr>
              <w:suppressAutoHyphens w:val="0"/>
              <w:ind w:leftChars="0" w:left="-113" w:right="-108"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51 (100.0%)</w:t>
            </w:r>
          </w:p>
        </w:tc>
        <w:tc>
          <w:tcPr>
            <w:tcW w:w="0" w:type="auto"/>
            <w:vMerge/>
            <w:tcBorders>
              <w:bottom w:val="single" w:sz="4" w:space="0" w:color="auto"/>
            </w:tcBorders>
            <w:shd w:val="clear" w:color="auto" w:fill="auto"/>
            <w:hideMark/>
          </w:tcPr>
          <w:p w14:paraId="13C4039F" w14:textId="77777777" w:rsidR="00DC28CF" w:rsidRPr="00DC28CF" w:rsidRDefault="00DC28CF" w:rsidP="00DC28CF">
            <w:pPr>
              <w:suppressAutoHyphens w:val="0"/>
              <w:ind w:leftChars="0" w:left="-106" w:right="-118"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p>
        </w:tc>
        <w:tc>
          <w:tcPr>
            <w:tcW w:w="1144" w:type="dxa"/>
            <w:vMerge/>
            <w:tcBorders>
              <w:bottom w:val="single" w:sz="4" w:space="0" w:color="auto"/>
            </w:tcBorders>
            <w:shd w:val="clear" w:color="auto" w:fill="auto"/>
            <w:hideMark/>
          </w:tcPr>
          <w:p w14:paraId="61CBAA73" w14:textId="77777777" w:rsidR="00DC28CF" w:rsidRPr="00DC28CF" w:rsidRDefault="00DC28CF" w:rsidP="00DC28CF">
            <w:pPr>
              <w:suppressAutoHyphens w:val="0"/>
              <w:ind w:leftChars="0" w:left="-106" w:right="-118"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p>
        </w:tc>
      </w:tr>
      <w:tr w:rsidR="00DC28CF" w:rsidRPr="00DC28CF" w14:paraId="47B2A3EE" w14:textId="77777777" w:rsidTr="00DC28CF">
        <w:tc>
          <w:tcPr>
            <w:cnfStyle w:val="001000000000" w:firstRow="0" w:lastRow="0" w:firstColumn="1" w:lastColumn="0" w:oddVBand="0" w:evenVBand="0" w:oddHBand="0" w:evenHBand="0" w:firstRowFirstColumn="0" w:firstRowLastColumn="0" w:lastRowFirstColumn="0" w:lastRowLastColumn="0"/>
            <w:tcW w:w="1560" w:type="dxa"/>
            <w:vMerge w:val="restart"/>
            <w:tcBorders>
              <w:top w:val="single" w:sz="4" w:space="0" w:color="auto"/>
              <w:bottom w:val="nil"/>
            </w:tcBorders>
            <w:shd w:val="clear" w:color="auto" w:fill="auto"/>
          </w:tcPr>
          <w:p w14:paraId="3CA46EF6" w14:textId="0996B85A" w:rsidR="00DC28CF" w:rsidRPr="00DC28CF" w:rsidRDefault="00DC28CF" w:rsidP="00DC28CF">
            <w:pPr>
              <w:suppressAutoHyphens w:val="0"/>
              <w:ind w:leftChars="0" w:left="0" w:right="-110" w:firstLineChars="0" w:firstLine="0"/>
              <w:textDirection w:val="lrTb"/>
              <w:textAlignment w:val="auto"/>
              <w:outlineLvl w:val="9"/>
              <w:rPr>
                <w:rFonts w:asciiTheme="majorBidi" w:eastAsia="Times New Roman" w:hAnsiTheme="majorBidi" w:cstheme="majorBidi"/>
                <w:b w:val="0"/>
                <w:bCs w:val="0"/>
                <w:position w:val="0"/>
                <w:sz w:val="20"/>
                <w:szCs w:val="20"/>
                <w:lang w:val="en-ID" w:eastAsia="en-ID"/>
              </w:rPr>
            </w:pPr>
            <w:r w:rsidRPr="00DC28CF">
              <w:rPr>
                <w:rFonts w:asciiTheme="majorBidi" w:eastAsia="Times New Roman" w:hAnsiTheme="majorBidi" w:cstheme="majorBidi"/>
                <w:b w:val="0"/>
                <w:bCs w:val="0"/>
                <w:position w:val="0"/>
                <w:sz w:val="20"/>
                <w:szCs w:val="20"/>
                <w:lang w:val="en-ID" w:eastAsia="en-ID"/>
              </w:rPr>
              <w:t>Perceived Need</w:t>
            </w:r>
          </w:p>
        </w:tc>
        <w:tc>
          <w:tcPr>
            <w:tcW w:w="1417" w:type="dxa"/>
            <w:tcBorders>
              <w:top w:val="single" w:sz="4" w:space="0" w:color="auto"/>
              <w:bottom w:val="nil"/>
            </w:tcBorders>
            <w:shd w:val="clear" w:color="auto" w:fill="auto"/>
            <w:hideMark/>
          </w:tcPr>
          <w:p w14:paraId="38D101F4" w14:textId="0D9322D6" w:rsidR="00DC28CF" w:rsidRPr="00DC28CF" w:rsidRDefault="00DC28CF" w:rsidP="00DC28CF">
            <w:pPr>
              <w:suppressAutoHyphens w:val="0"/>
              <w:ind w:leftChars="0" w:left="0" w:right="-107"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Not Needed</w:t>
            </w:r>
          </w:p>
        </w:tc>
        <w:tc>
          <w:tcPr>
            <w:tcW w:w="1134" w:type="dxa"/>
            <w:tcBorders>
              <w:top w:val="single" w:sz="4" w:space="0" w:color="auto"/>
              <w:bottom w:val="nil"/>
            </w:tcBorders>
            <w:shd w:val="clear" w:color="auto" w:fill="auto"/>
            <w:hideMark/>
          </w:tcPr>
          <w:p w14:paraId="4544C4DB" w14:textId="77777777" w:rsidR="00DC28CF" w:rsidRPr="00DC28CF" w:rsidRDefault="00DC28CF" w:rsidP="00DC28CF">
            <w:pPr>
              <w:suppressAutoHyphens w:val="0"/>
              <w:ind w:leftChars="0" w:left="-113" w:right="-108"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48 (96.0%)</w:t>
            </w:r>
          </w:p>
        </w:tc>
        <w:tc>
          <w:tcPr>
            <w:tcW w:w="1134" w:type="dxa"/>
            <w:tcBorders>
              <w:top w:val="single" w:sz="4" w:space="0" w:color="auto"/>
              <w:bottom w:val="nil"/>
            </w:tcBorders>
            <w:shd w:val="clear" w:color="auto" w:fill="auto"/>
            <w:hideMark/>
          </w:tcPr>
          <w:p w14:paraId="7A40EFE1" w14:textId="77777777" w:rsidR="00DC28CF" w:rsidRPr="00DC28CF" w:rsidRDefault="00DC28CF" w:rsidP="00DC28CF">
            <w:pPr>
              <w:suppressAutoHyphens w:val="0"/>
              <w:ind w:leftChars="0" w:left="-113" w:right="-108"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2 (4.0%)</w:t>
            </w:r>
          </w:p>
        </w:tc>
        <w:tc>
          <w:tcPr>
            <w:tcW w:w="1134" w:type="dxa"/>
            <w:tcBorders>
              <w:top w:val="single" w:sz="4" w:space="0" w:color="auto"/>
              <w:bottom w:val="nil"/>
            </w:tcBorders>
            <w:shd w:val="clear" w:color="auto" w:fill="auto"/>
            <w:hideMark/>
          </w:tcPr>
          <w:p w14:paraId="283F8147" w14:textId="77777777" w:rsidR="00DC28CF" w:rsidRPr="00DC28CF" w:rsidRDefault="00DC28CF" w:rsidP="00DC28CF">
            <w:pPr>
              <w:suppressAutoHyphens w:val="0"/>
              <w:ind w:leftChars="0" w:left="-113" w:right="-108"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50 (100.0%)</w:t>
            </w:r>
          </w:p>
        </w:tc>
        <w:tc>
          <w:tcPr>
            <w:tcW w:w="0" w:type="auto"/>
            <w:vMerge w:val="restart"/>
            <w:tcBorders>
              <w:top w:val="single" w:sz="4" w:space="0" w:color="auto"/>
              <w:bottom w:val="nil"/>
            </w:tcBorders>
            <w:shd w:val="clear" w:color="auto" w:fill="auto"/>
            <w:hideMark/>
          </w:tcPr>
          <w:p w14:paraId="274F420F" w14:textId="5658AE4A" w:rsidR="00DC28CF" w:rsidRPr="00DC28CF" w:rsidRDefault="00DC28CF" w:rsidP="00DC28CF">
            <w:pPr>
              <w:suppressAutoHyphens w:val="0"/>
              <w:ind w:leftChars="0" w:left="-106" w:right="-118"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0.000</w:t>
            </w:r>
            <w:r>
              <w:rPr>
                <w:rFonts w:asciiTheme="majorBidi" w:eastAsia="Times New Roman" w:hAnsiTheme="majorBidi" w:cstheme="majorBidi"/>
                <w:position w:val="0"/>
                <w:sz w:val="20"/>
                <w:szCs w:val="20"/>
                <w:lang w:val="en-ID" w:eastAsia="en-ID"/>
              </w:rPr>
              <w:t>*</w:t>
            </w:r>
          </w:p>
        </w:tc>
        <w:tc>
          <w:tcPr>
            <w:tcW w:w="1144" w:type="dxa"/>
            <w:vMerge w:val="restart"/>
            <w:tcBorders>
              <w:top w:val="single" w:sz="4" w:space="0" w:color="auto"/>
              <w:bottom w:val="nil"/>
            </w:tcBorders>
            <w:shd w:val="clear" w:color="auto" w:fill="auto"/>
            <w:hideMark/>
          </w:tcPr>
          <w:p w14:paraId="2C01D4F2" w14:textId="77777777" w:rsidR="00DC28CF" w:rsidRDefault="00DC28CF" w:rsidP="00DC28CF">
            <w:pPr>
              <w:suppressAutoHyphens w:val="0"/>
              <w:ind w:leftChars="0" w:left="-106" w:right="-118"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22.6</w:t>
            </w:r>
          </w:p>
          <w:p w14:paraId="26A5F4F2" w14:textId="5D5323C6" w:rsidR="00DC28CF" w:rsidRPr="00DC28CF" w:rsidRDefault="00DC28CF" w:rsidP="00DC28CF">
            <w:pPr>
              <w:suppressAutoHyphens w:val="0"/>
              <w:ind w:leftChars="0" w:left="-106" w:right="-118"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(5.1–100.5)</w:t>
            </w:r>
          </w:p>
        </w:tc>
      </w:tr>
      <w:tr w:rsidR="00DC28CF" w:rsidRPr="00DC28CF" w14:paraId="04D91656" w14:textId="77777777" w:rsidTr="00DC28C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vMerge/>
            <w:tcBorders>
              <w:top w:val="nil"/>
              <w:bottom w:val="single" w:sz="4" w:space="0" w:color="auto"/>
            </w:tcBorders>
            <w:shd w:val="clear" w:color="auto" w:fill="auto"/>
          </w:tcPr>
          <w:p w14:paraId="73030BE3" w14:textId="77777777" w:rsidR="00DC28CF" w:rsidRPr="00DC28CF" w:rsidRDefault="00DC28CF" w:rsidP="00DC28CF">
            <w:pPr>
              <w:suppressAutoHyphens w:val="0"/>
              <w:ind w:leftChars="0" w:left="0" w:firstLineChars="0" w:firstLine="0"/>
              <w:textDirection w:val="lrTb"/>
              <w:textAlignment w:val="auto"/>
              <w:outlineLvl w:val="9"/>
              <w:rPr>
                <w:rFonts w:asciiTheme="majorBidi" w:eastAsia="Times New Roman" w:hAnsiTheme="majorBidi" w:cstheme="majorBidi"/>
                <w:b w:val="0"/>
                <w:bCs w:val="0"/>
                <w:position w:val="0"/>
                <w:sz w:val="20"/>
                <w:szCs w:val="20"/>
                <w:lang w:val="en-ID" w:eastAsia="en-ID"/>
              </w:rPr>
            </w:pPr>
          </w:p>
        </w:tc>
        <w:tc>
          <w:tcPr>
            <w:tcW w:w="1417" w:type="dxa"/>
            <w:tcBorders>
              <w:top w:val="nil"/>
              <w:bottom w:val="single" w:sz="4" w:space="0" w:color="auto"/>
            </w:tcBorders>
            <w:shd w:val="clear" w:color="auto" w:fill="auto"/>
            <w:hideMark/>
          </w:tcPr>
          <w:p w14:paraId="2B47CE42" w14:textId="446A8DB5" w:rsidR="00DC28CF" w:rsidRPr="00DC28CF" w:rsidRDefault="00DC28CF" w:rsidP="00DC28CF">
            <w:pPr>
              <w:suppressAutoHyphens w:val="0"/>
              <w:ind w:leftChars="0" w:left="0" w:right="-107"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Needed</w:t>
            </w:r>
          </w:p>
        </w:tc>
        <w:tc>
          <w:tcPr>
            <w:tcW w:w="1134" w:type="dxa"/>
            <w:tcBorders>
              <w:top w:val="nil"/>
              <w:bottom w:val="single" w:sz="4" w:space="0" w:color="auto"/>
            </w:tcBorders>
            <w:shd w:val="clear" w:color="auto" w:fill="auto"/>
            <w:hideMark/>
          </w:tcPr>
          <w:p w14:paraId="7CC089EC" w14:textId="77777777" w:rsidR="00DC28CF" w:rsidRPr="00DC28CF" w:rsidRDefault="00DC28CF" w:rsidP="00DC28CF">
            <w:pPr>
              <w:suppressAutoHyphens w:val="0"/>
              <w:ind w:leftChars="0" w:left="-113" w:right="-108"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36 (51.4%)</w:t>
            </w:r>
          </w:p>
        </w:tc>
        <w:tc>
          <w:tcPr>
            <w:tcW w:w="1134" w:type="dxa"/>
            <w:tcBorders>
              <w:top w:val="nil"/>
              <w:bottom w:val="single" w:sz="4" w:space="0" w:color="auto"/>
            </w:tcBorders>
            <w:shd w:val="clear" w:color="auto" w:fill="auto"/>
            <w:hideMark/>
          </w:tcPr>
          <w:p w14:paraId="01781BAC" w14:textId="77777777" w:rsidR="00DC28CF" w:rsidRPr="00DC28CF" w:rsidRDefault="00DC28CF" w:rsidP="00DC28CF">
            <w:pPr>
              <w:suppressAutoHyphens w:val="0"/>
              <w:ind w:leftChars="0" w:left="-113" w:right="-108"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34 (48.6%)</w:t>
            </w:r>
          </w:p>
        </w:tc>
        <w:tc>
          <w:tcPr>
            <w:tcW w:w="1134" w:type="dxa"/>
            <w:tcBorders>
              <w:top w:val="nil"/>
              <w:bottom w:val="single" w:sz="4" w:space="0" w:color="auto"/>
            </w:tcBorders>
            <w:shd w:val="clear" w:color="auto" w:fill="auto"/>
            <w:hideMark/>
          </w:tcPr>
          <w:p w14:paraId="77CA4F8D" w14:textId="77777777" w:rsidR="00DC28CF" w:rsidRPr="00DC28CF" w:rsidRDefault="00DC28CF" w:rsidP="00DC28CF">
            <w:pPr>
              <w:suppressAutoHyphens w:val="0"/>
              <w:ind w:leftChars="0" w:left="-113" w:right="-108" w:firstLineChars="0" w:firstLine="0"/>
              <w:jc w:val="center"/>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70 (100.0%)</w:t>
            </w:r>
          </w:p>
        </w:tc>
        <w:tc>
          <w:tcPr>
            <w:tcW w:w="0" w:type="auto"/>
            <w:vMerge/>
            <w:tcBorders>
              <w:top w:val="nil"/>
              <w:bottom w:val="single" w:sz="4" w:space="0" w:color="auto"/>
            </w:tcBorders>
            <w:shd w:val="clear" w:color="auto" w:fill="auto"/>
            <w:hideMark/>
          </w:tcPr>
          <w:p w14:paraId="275ACBA9" w14:textId="77777777" w:rsidR="00DC28CF" w:rsidRPr="00DC28CF" w:rsidRDefault="00DC28CF" w:rsidP="00DC28CF">
            <w:pPr>
              <w:suppressAutoHyphens w:val="0"/>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p>
        </w:tc>
        <w:tc>
          <w:tcPr>
            <w:tcW w:w="1144" w:type="dxa"/>
            <w:vMerge/>
            <w:tcBorders>
              <w:top w:val="nil"/>
              <w:bottom w:val="single" w:sz="4" w:space="0" w:color="auto"/>
            </w:tcBorders>
            <w:shd w:val="clear" w:color="auto" w:fill="auto"/>
            <w:hideMark/>
          </w:tcPr>
          <w:p w14:paraId="6143E5F0" w14:textId="77777777" w:rsidR="00DC28CF" w:rsidRPr="00DC28CF" w:rsidRDefault="00DC28CF" w:rsidP="00DC28CF">
            <w:pPr>
              <w:suppressAutoHyphens w:val="0"/>
              <w:ind w:leftChars="0" w:left="0" w:firstLineChars="0" w:firstLine="0"/>
              <w:textDirection w:val="lrTb"/>
              <w:textAlignment w:val="auto"/>
              <w:outlineLvl w:val="9"/>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position w:val="0"/>
                <w:sz w:val="20"/>
                <w:szCs w:val="20"/>
                <w:lang w:val="en-ID" w:eastAsia="en-ID"/>
              </w:rPr>
            </w:pPr>
          </w:p>
        </w:tc>
      </w:tr>
      <w:tr w:rsidR="00DC28CF" w:rsidRPr="00DC28CF" w14:paraId="2C0262ED" w14:textId="77777777" w:rsidTr="00DC28CF">
        <w:tc>
          <w:tcPr>
            <w:cnfStyle w:val="001000000000" w:firstRow="0" w:lastRow="0" w:firstColumn="1" w:lastColumn="0" w:oddVBand="0" w:evenVBand="0" w:oddHBand="0" w:evenHBand="0" w:firstRowFirstColumn="0" w:firstRowLastColumn="0" w:lastRowFirstColumn="0" w:lastRowLastColumn="0"/>
            <w:tcW w:w="2977" w:type="dxa"/>
            <w:gridSpan w:val="2"/>
            <w:tcBorders>
              <w:top w:val="single" w:sz="4" w:space="0" w:color="auto"/>
            </w:tcBorders>
            <w:shd w:val="clear" w:color="auto" w:fill="auto"/>
          </w:tcPr>
          <w:p w14:paraId="173A952C" w14:textId="56EBF6EE" w:rsidR="00DC28CF" w:rsidRPr="00DC28CF" w:rsidRDefault="00DC28CF" w:rsidP="00DC28CF">
            <w:pPr>
              <w:suppressAutoHyphens w:val="0"/>
              <w:ind w:leftChars="0" w:left="0" w:firstLineChars="0" w:firstLine="0"/>
              <w:textDirection w:val="lrTb"/>
              <w:textAlignment w:val="auto"/>
              <w:outlineLvl w:val="9"/>
              <w:rPr>
                <w:rFonts w:asciiTheme="majorBidi" w:eastAsia="Times New Roman" w:hAnsiTheme="majorBidi" w:cstheme="majorBidi"/>
                <w:position w:val="0"/>
                <w:sz w:val="20"/>
                <w:szCs w:val="20"/>
                <w:lang w:val="en-ID" w:eastAsia="en-ID"/>
              </w:rPr>
            </w:pPr>
            <w:r w:rsidRPr="00DC28CF">
              <w:rPr>
                <w:rFonts w:asciiTheme="majorBidi" w:eastAsia="Times New Roman" w:hAnsiTheme="majorBidi" w:cstheme="majorBidi"/>
                <w:position w:val="0"/>
                <w:sz w:val="20"/>
                <w:szCs w:val="20"/>
                <w:lang w:val="en-ID" w:eastAsia="en-ID"/>
              </w:rPr>
              <w:t>Total</w:t>
            </w:r>
          </w:p>
        </w:tc>
        <w:tc>
          <w:tcPr>
            <w:tcW w:w="1134" w:type="dxa"/>
            <w:tcBorders>
              <w:top w:val="single" w:sz="4" w:space="0" w:color="auto"/>
            </w:tcBorders>
            <w:shd w:val="clear" w:color="auto" w:fill="auto"/>
            <w:hideMark/>
          </w:tcPr>
          <w:p w14:paraId="3D7967BD" w14:textId="77777777" w:rsidR="00DC28CF" w:rsidRPr="00DC28CF" w:rsidRDefault="00DC28CF" w:rsidP="00DC28CF">
            <w:pPr>
              <w:suppressAutoHyphens w:val="0"/>
              <w:ind w:leftChars="0" w:left="-113" w:right="-107"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position w:val="0"/>
                <w:sz w:val="20"/>
                <w:szCs w:val="20"/>
                <w:lang w:val="en-ID" w:eastAsia="en-ID"/>
              </w:rPr>
            </w:pPr>
            <w:r w:rsidRPr="00DC28CF">
              <w:rPr>
                <w:rFonts w:asciiTheme="majorBidi" w:eastAsia="Times New Roman" w:hAnsiTheme="majorBidi" w:cstheme="majorBidi"/>
                <w:b/>
                <w:bCs/>
                <w:position w:val="0"/>
                <w:sz w:val="20"/>
                <w:szCs w:val="20"/>
                <w:lang w:val="en-ID" w:eastAsia="en-ID"/>
              </w:rPr>
              <w:t>84 (70.0%)</w:t>
            </w:r>
          </w:p>
        </w:tc>
        <w:tc>
          <w:tcPr>
            <w:tcW w:w="1134" w:type="dxa"/>
            <w:tcBorders>
              <w:top w:val="single" w:sz="4" w:space="0" w:color="auto"/>
            </w:tcBorders>
            <w:shd w:val="clear" w:color="auto" w:fill="auto"/>
            <w:hideMark/>
          </w:tcPr>
          <w:p w14:paraId="758DA4AF" w14:textId="77777777" w:rsidR="00DC28CF" w:rsidRPr="00DC28CF" w:rsidRDefault="00DC28CF" w:rsidP="00DC28CF">
            <w:pPr>
              <w:suppressAutoHyphens w:val="0"/>
              <w:ind w:leftChars="0" w:left="-113" w:right="-107"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position w:val="0"/>
                <w:sz w:val="20"/>
                <w:szCs w:val="20"/>
                <w:lang w:val="en-ID" w:eastAsia="en-ID"/>
              </w:rPr>
            </w:pPr>
            <w:r w:rsidRPr="00DC28CF">
              <w:rPr>
                <w:rFonts w:asciiTheme="majorBidi" w:eastAsia="Times New Roman" w:hAnsiTheme="majorBidi" w:cstheme="majorBidi"/>
                <w:b/>
                <w:bCs/>
                <w:position w:val="0"/>
                <w:sz w:val="20"/>
                <w:szCs w:val="20"/>
                <w:lang w:val="en-ID" w:eastAsia="en-ID"/>
              </w:rPr>
              <w:t>36 (30.0%)</w:t>
            </w:r>
          </w:p>
        </w:tc>
        <w:tc>
          <w:tcPr>
            <w:tcW w:w="1134" w:type="dxa"/>
            <w:tcBorders>
              <w:top w:val="single" w:sz="4" w:space="0" w:color="auto"/>
            </w:tcBorders>
            <w:shd w:val="clear" w:color="auto" w:fill="auto"/>
            <w:hideMark/>
          </w:tcPr>
          <w:p w14:paraId="55F3C469" w14:textId="77777777" w:rsidR="00DC28CF" w:rsidRPr="00DC28CF" w:rsidRDefault="00DC28CF" w:rsidP="00DC28CF">
            <w:pPr>
              <w:suppressAutoHyphens w:val="0"/>
              <w:ind w:leftChars="0" w:left="-113" w:right="-107" w:firstLineChars="0" w:firstLine="0"/>
              <w:jc w:val="center"/>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position w:val="0"/>
                <w:sz w:val="20"/>
                <w:szCs w:val="20"/>
                <w:lang w:val="en-ID" w:eastAsia="en-ID"/>
              </w:rPr>
            </w:pPr>
            <w:r w:rsidRPr="00DC28CF">
              <w:rPr>
                <w:rFonts w:asciiTheme="majorBidi" w:eastAsia="Times New Roman" w:hAnsiTheme="majorBidi" w:cstheme="majorBidi"/>
                <w:b/>
                <w:bCs/>
                <w:position w:val="0"/>
                <w:sz w:val="20"/>
                <w:szCs w:val="20"/>
                <w:lang w:val="en-ID" w:eastAsia="en-ID"/>
              </w:rPr>
              <w:t>120 (100.0%)</w:t>
            </w:r>
          </w:p>
        </w:tc>
        <w:tc>
          <w:tcPr>
            <w:tcW w:w="0" w:type="auto"/>
            <w:tcBorders>
              <w:top w:val="single" w:sz="4" w:space="0" w:color="auto"/>
            </w:tcBorders>
            <w:shd w:val="clear" w:color="auto" w:fill="auto"/>
            <w:hideMark/>
          </w:tcPr>
          <w:p w14:paraId="03C2CD49" w14:textId="77777777" w:rsidR="00DC28CF" w:rsidRPr="00DC28CF" w:rsidRDefault="00DC28CF" w:rsidP="00DC28CF">
            <w:pPr>
              <w:suppressAutoHyphens w:val="0"/>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position w:val="0"/>
                <w:sz w:val="20"/>
                <w:szCs w:val="20"/>
                <w:lang w:val="en-ID" w:eastAsia="en-ID"/>
              </w:rPr>
            </w:pPr>
          </w:p>
        </w:tc>
        <w:tc>
          <w:tcPr>
            <w:tcW w:w="1144" w:type="dxa"/>
            <w:tcBorders>
              <w:top w:val="single" w:sz="4" w:space="0" w:color="auto"/>
            </w:tcBorders>
            <w:shd w:val="clear" w:color="auto" w:fill="auto"/>
            <w:hideMark/>
          </w:tcPr>
          <w:p w14:paraId="634A1487" w14:textId="77777777" w:rsidR="00DC28CF" w:rsidRPr="00DC28CF" w:rsidRDefault="00DC28CF" w:rsidP="00DC28CF">
            <w:pPr>
              <w:suppressAutoHyphens w:val="0"/>
              <w:ind w:leftChars="0" w:left="0" w:firstLineChars="0" w:firstLine="0"/>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position w:val="0"/>
                <w:sz w:val="20"/>
                <w:szCs w:val="20"/>
                <w:lang w:val="en-ID" w:eastAsia="en-ID"/>
              </w:rPr>
            </w:pPr>
          </w:p>
        </w:tc>
      </w:tr>
    </w:tbl>
    <w:p w14:paraId="46DA0908" w14:textId="77777777" w:rsidR="00F248B6" w:rsidRPr="00B72BEA" w:rsidRDefault="00F248B6" w:rsidP="00B72BEA">
      <w:pPr>
        <w:pStyle w:val="ListParagraph"/>
        <w:widowControl w:val="0"/>
        <w:spacing w:line="240" w:lineRule="auto"/>
        <w:ind w:leftChars="192" w:left="424" w:hanging="2"/>
        <w:rPr>
          <w:rFonts w:asciiTheme="majorBidi" w:eastAsia="Times New Roman" w:hAnsiTheme="majorBidi" w:cstheme="majorBidi"/>
          <w:color w:val="000000" w:themeColor="text1"/>
          <w:sz w:val="20"/>
          <w:szCs w:val="20"/>
          <w:lang w:val="en-ID" w:eastAsia="en-ID"/>
        </w:rPr>
      </w:pPr>
      <w:r w:rsidRPr="00B72BEA">
        <w:rPr>
          <w:rFonts w:asciiTheme="majorBidi" w:eastAsia="Times New Roman" w:hAnsiTheme="majorBidi" w:cstheme="majorBidi"/>
          <w:color w:val="000000" w:themeColor="text1"/>
          <w:sz w:val="20"/>
          <w:szCs w:val="20"/>
          <w:lang w:val="en-ID" w:eastAsia="en-ID"/>
        </w:rPr>
        <w:t>*Fisher’s Exact</w:t>
      </w:r>
    </w:p>
    <w:p w14:paraId="402B7096" w14:textId="77777777" w:rsidR="00BB5493" w:rsidRDefault="00BB5493" w:rsidP="00874F44">
      <w:pPr>
        <w:pStyle w:val="ListParagraph"/>
        <w:widowControl w:val="0"/>
        <w:ind w:leftChars="129" w:left="284" w:firstLineChars="236" w:firstLine="566"/>
        <w:rPr>
          <w:rFonts w:eastAsia="Times New Roman" w:cs="Times New Roman"/>
          <w:position w:val="0"/>
          <w:szCs w:val="24"/>
          <w:lang w:val="en-ID" w:eastAsia="en-ID"/>
        </w:rPr>
      </w:pPr>
    </w:p>
    <w:p w14:paraId="5CD51B53" w14:textId="24A668B3" w:rsidR="00DC28CF" w:rsidRPr="00DC28CF" w:rsidRDefault="00DC28CF" w:rsidP="00DC28CF">
      <w:pPr>
        <w:pStyle w:val="ListParagraph"/>
        <w:widowControl w:val="0"/>
        <w:ind w:leftChars="129" w:left="284" w:firstLineChars="236" w:firstLine="566"/>
        <w:rPr>
          <w:rFonts w:eastAsia="Times New Roman" w:cs="Times New Roman"/>
          <w:position w:val="0"/>
          <w:szCs w:val="24"/>
          <w:lang w:val="en-ID" w:eastAsia="en-ID"/>
        </w:rPr>
      </w:pPr>
      <w:r w:rsidRPr="00DC28CF">
        <w:rPr>
          <w:rFonts w:eastAsia="Times New Roman" w:cs="Times New Roman"/>
          <w:position w:val="0"/>
          <w:szCs w:val="24"/>
          <w:lang w:val="en-ID" w:eastAsia="en-ID"/>
        </w:rPr>
        <w:t xml:space="preserve">The analysis shows that all variables had a significant relationship with the utilization of </w:t>
      </w:r>
      <w:proofErr w:type="spellStart"/>
      <w:r w:rsidRPr="00DC28CF">
        <w:rPr>
          <w:rFonts w:eastAsia="Times New Roman" w:cs="Times New Roman"/>
          <w:position w:val="0"/>
          <w:szCs w:val="24"/>
          <w:lang w:val="en-ID" w:eastAsia="en-ID"/>
        </w:rPr>
        <w:t>Prolanis</w:t>
      </w:r>
      <w:proofErr w:type="spellEnd"/>
      <w:r w:rsidRPr="00DC28CF">
        <w:rPr>
          <w:rFonts w:eastAsia="Times New Roman" w:cs="Times New Roman"/>
          <w:position w:val="0"/>
          <w:szCs w:val="24"/>
          <w:lang w:val="en-ID" w:eastAsia="en-ID"/>
        </w:rPr>
        <w:t xml:space="preserve"> among diabetes mellitus patients (p &lt; 0.05). Patients with poor knowledge were 38.5 times more likely to have low </w:t>
      </w:r>
      <w:proofErr w:type="spellStart"/>
      <w:r w:rsidRPr="00DC28CF">
        <w:rPr>
          <w:rFonts w:eastAsia="Times New Roman" w:cs="Times New Roman"/>
          <w:position w:val="0"/>
          <w:szCs w:val="24"/>
          <w:lang w:val="en-ID" w:eastAsia="en-ID"/>
        </w:rPr>
        <w:t>Prolanis</w:t>
      </w:r>
      <w:proofErr w:type="spellEnd"/>
      <w:r w:rsidRPr="00DC28CF">
        <w:rPr>
          <w:rFonts w:eastAsia="Times New Roman" w:cs="Times New Roman"/>
          <w:position w:val="0"/>
          <w:szCs w:val="24"/>
          <w:lang w:val="en-ID" w:eastAsia="en-ID"/>
        </w:rPr>
        <w:t xml:space="preserve"> utilization compared to those with good knowledge. Lack of family support increased the likelihood of low utilization by up to 49 times. Patients who did not receive support from health workers were 23.2 times more likely to underutilize the program. Limited access to health services also had an impact, with patients having difficult access being 6.1 times more likely to have low utilization compared to those with easy access. Patients who perceived </w:t>
      </w:r>
      <w:proofErr w:type="spellStart"/>
      <w:r w:rsidRPr="00DC28CF">
        <w:rPr>
          <w:rFonts w:eastAsia="Times New Roman" w:cs="Times New Roman"/>
          <w:position w:val="0"/>
          <w:szCs w:val="24"/>
          <w:lang w:val="en-ID" w:eastAsia="en-ID"/>
        </w:rPr>
        <w:t>Prolanis</w:t>
      </w:r>
      <w:proofErr w:type="spellEnd"/>
      <w:r w:rsidRPr="00DC28CF">
        <w:rPr>
          <w:rFonts w:eastAsia="Times New Roman" w:cs="Times New Roman"/>
          <w:position w:val="0"/>
          <w:szCs w:val="24"/>
          <w:lang w:val="en-ID" w:eastAsia="en-ID"/>
        </w:rPr>
        <w:t xml:space="preserve"> as unnecessary were 22.6 times more likely not to utilize the program. These findings underscore that knowledge, social support, access to services, and perceived need are essential factors in enhancing </w:t>
      </w:r>
      <w:proofErr w:type="spellStart"/>
      <w:r w:rsidRPr="00DC28CF">
        <w:rPr>
          <w:rFonts w:eastAsia="Times New Roman" w:cs="Times New Roman"/>
          <w:position w:val="0"/>
          <w:szCs w:val="24"/>
          <w:lang w:val="en-ID" w:eastAsia="en-ID"/>
        </w:rPr>
        <w:t>Prolanis</w:t>
      </w:r>
      <w:proofErr w:type="spellEnd"/>
      <w:r w:rsidRPr="00DC28CF">
        <w:rPr>
          <w:rFonts w:eastAsia="Times New Roman" w:cs="Times New Roman"/>
          <w:position w:val="0"/>
          <w:szCs w:val="24"/>
          <w:lang w:val="en-ID" w:eastAsia="en-ID"/>
        </w:rPr>
        <w:t xml:space="preserve"> utilization.</w:t>
      </w:r>
    </w:p>
    <w:p w14:paraId="497293D8" w14:textId="77777777" w:rsidR="00020A2C" w:rsidRPr="001D3DC3" w:rsidRDefault="00020A2C" w:rsidP="001D3DC3">
      <w:pPr>
        <w:pStyle w:val="Heading2"/>
        <w:keepNext w:val="0"/>
        <w:keepLines w:val="0"/>
        <w:widowControl w:val="0"/>
        <w:spacing w:before="0" w:after="0" w:line="360" w:lineRule="auto"/>
        <w:ind w:left="0" w:hanging="2"/>
        <w:jc w:val="both"/>
        <w:rPr>
          <w:rFonts w:asciiTheme="majorBidi" w:hAnsiTheme="majorBidi" w:cstheme="majorBidi"/>
          <w:iCs/>
          <w:color w:val="000000" w:themeColor="text1"/>
          <w:sz w:val="24"/>
          <w:szCs w:val="24"/>
        </w:rPr>
      </w:pPr>
    </w:p>
    <w:p w14:paraId="4B9EAB98" w14:textId="0B2C33D3" w:rsidR="00020A2C" w:rsidRPr="001D3DC3" w:rsidRDefault="00DC28CF" w:rsidP="002678EE">
      <w:pPr>
        <w:pStyle w:val="Heading2"/>
        <w:keepNext w:val="0"/>
        <w:keepLines w:val="0"/>
        <w:widowControl w:val="0"/>
        <w:numPr>
          <w:ilvl w:val="0"/>
          <w:numId w:val="2"/>
        </w:numPr>
        <w:spacing w:before="0" w:after="0" w:line="360" w:lineRule="auto"/>
        <w:ind w:left="282" w:hangingChars="118" w:hanging="284"/>
        <w:jc w:val="both"/>
        <w:rPr>
          <w:rFonts w:asciiTheme="majorBidi" w:hAnsiTheme="majorBidi" w:cstheme="majorBidi"/>
          <w:iCs/>
          <w:color w:val="000000" w:themeColor="text1"/>
          <w:sz w:val="24"/>
          <w:szCs w:val="24"/>
        </w:rPr>
      </w:pPr>
      <w:r w:rsidRPr="00DC28CF">
        <w:rPr>
          <w:rFonts w:asciiTheme="majorBidi" w:hAnsiTheme="majorBidi" w:cstheme="majorBidi"/>
          <w:iCs/>
          <w:color w:val="000000" w:themeColor="text1"/>
          <w:sz w:val="24"/>
          <w:szCs w:val="24"/>
        </w:rPr>
        <w:t>Analysis of Factors Associated with the Utilization of the Chronic Disease Management Program (Prolanis)</w:t>
      </w:r>
    </w:p>
    <w:p w14:paraId="03EBEA91" w14:textId="7A1A0223" w:rsidR="00DC28CF" w:rsidRDefault="00DC28CF" w:rsidP="00B72BEA">
      <w:pPr>
        <w:pStyle w:val="ListParagraph"/>
        <w:widowControl w:val="0"/>
        <w:ind w:leftChars="129" w:left="284" w:firstLineChars="236" w:firstLine="566"/>
        <w:rPr>
          <w:rFonts w:asciiTheme="majorBidi" w:eastAsia="Times New Roman" w:hAnsiTheme="majorBidi" w:cstheme="majorBidi"/>
          <w:color w:val="000000" w:themeColor="text1"/>
          <w:szCs w:val="24"/>
          <w:lang w:eastAsia="en-ID"/>
        </w:rPr>
      </w:pPr>
      <w:r>
        <w:t>Logistic regression analysis was conducted to identify factors associated with the utilization of the Chronic Disease Management Program (</w:t>
      </w:r>
      <w:proofErr w:type="spellStart"/>
      <w:r>
        <w:t>Prolanis</w:t>
      </w:r>
      <w:proofErr w:type="spellEnd"/>
      <w:r>
        <w:t>) among patients with Diabetes Mellitus. The results are presented as follows:</w:t>
      </w:r>
    </w:p>
    <w:p w14:paraId="0116E04C" w14:textId="2A2AC024" w:rsidR="00020A2C" w:rsidRDefault="00DC28CF" w:rsidP="00BC63EF">
      <w:pPr>
        <w:pStyle w:val="ListParagraph"/>
        <w:widowControl w:val="0"/>
        <w:spacing w:line="240" w:lineRule="auto"/>
        <w:ind w:leftChars="128" w:left="284" w:hanging="2"/>
        <w:jc w:val="center"/>
      </w:pPr>
      <w:r>
        <w:lastRenderedPageBreak/>
        <w:t xml:space="preserve">Table 4. Logistic Regression Analysis of Factors Associated with </w:t>
      </w:r>
      <w:proofErr w:type="spellStart"/>
      <w:r>
        <w:t>Prolanis</w:t>
      </w:r>
      <w:proofErr w:type="spellEnd"/>
      <w:r>
        <w:t xml:space="preserve"> Utilization among Diabetes Mellitus Patients, 2025 (n = 120)</w:t>
      </w:r>
    </w:p>
    <w:tbl>
      <w:tblPr>
        <w:tblW w:w="8159" w:type="dxa"/>
        <w:tblInd w:w="59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592"/>
        <w:gridCol w:w="2220"/>
        <w:gridCol w:w="850"/>
        <w:gridCol w:w="586"/>
        <w:gridCol w:w="686"/>
        <w:gridCol w:w="314"/>
        <w:gridCol w:w="486"/>
        <w:gridCol w:w="748"/>
        <w:gridCol w:w="791"/>
        <w:gridCol w:w="886"/>
      </w:tblGrid>
      <w:tr w:rsidR="00BC63EF" w:rsidRPr="00BC63EF" w14:paraId="3452A98D" w14:textId="77777777" w:rsidTr="00453DB9">
        <w:trPr>
          <w:cantSplit/>
        </w:trPr>
        <w:tc>
          <w:tcPr>
            <w:tcW w:w="2812" w:type="dxa"/>
            <w:gridSpan w:val="2"/>
            <w:vMerge w:val="restart"/>
            <w:tcBorders>
              <w:top w:val="single" w:sz="4" w:space="0" w:color="auto"/>
              <w:left w:val="nil"/>
              <w:bottom w:val="nil"/>
              <w:right w:val="nil"/>
            </w:tcBorders>
            <w:shd w:val="clear" w:color="auto" w:fill="FFFFFF"/>
            <w:vAlign w:val="center"/>
          </w:tcPr>
          <w:p w14:paraId="65A76746" w14:textId="77777777" w:rsidR="00020A2C" w:rsidRPr="00BC63EF" w:rsidRDefault="00020A2C" w:rsidP="00BC63EF">
            <w:pPr>
              <w:autoSpaceDE w:val="0"/>
              <w:autoSpaceDN w:val="0"/>
              <w:adjustRightInd w:val="0"/>
              <w:spacing w:after="0" w:line="240" w:lineRule="auto"/>
              <w:ind w:left="0" w:hanging="2"/>
              <w:jc w:val="center"/>
              <w:rPr>
                <w:rFonts w:asciiTheme="majorBidi" w:hAnsiTheme="majorBidi" w:cstheme="majorBidi"/>
                <w:b/>
                <w:bCs/>
                <w:color w:val="000000" w:themeColor="text1"/>
                <w:sz w:val="20"/>
                <w:szCs w:val="20"/>
              </w:rPr>
            </w:pPr>
          </w:p>
        </w:tc>
        <w:tc>
          <w:tcPr>
            <w:tcW w:w="850" w:type="dxa"/>
            <w:vMerge w:val="restart"/>
            <w:tcBorders>
              <w:top w:val="single" w:sz="4" w:space="0" w:color="auto"/>
              <w:left w:val="nil"/>
              <w:bottom w:val="nil"/>
              <w:right w:val="single" w:sz="8" w:space="0" w:color="E0E0E0"/>
            </w:tcBorders>
            <w:shd w:val="clear" w:color="auto" w:fill="FFFFFF"/>
            <w:vAlign w:val="center"/>
          </w:tcPr>
          <w:p w14:paraId="6231D3F4" w14:textId="77777777" w:rsidR="00020A2C" w:rsidRPr="00BC63EF" w:rsidRDefault="00020A2C" w:rsidP="00BC63EF">
            <w:pPr>
              <w:autoSpaceDE w:val="0"/>
              <w:autoSpaceDN w:val="0"/>
              <w:adjustRightInd w:val="0"/>
              <w:spacing w:after="0" w:line="240" w:lineRule="auto"/>
              <w:ind w:left="0" w:right="60" w:hanging="2"/>
              <w:jc w:val="center"/>
              <w:rPr>
                <w:rFonts w:asciiTheme="majorBidi" w:hAnsiTheme="majorBidi" w:cstheme="majorBidi"/>
                <w:b/>
                <w:bCs/>
                <w:color w:val="000000" w:themeColor="text1"/>
                <w:sz w:val="20"/>
                <w:szCs w:val="20"/>
              </w:rPr>
            </w:pPr>
            <w:r w:rsidRPr="00BC63EF">
              <w:rPr>
                <w:rFonts w:asciiTheme="majorBidi" w:hAnsiTheme="majorBidi" w:cstheme="majorBidi"/>
                <w:b/>
                <w:bCs/>
                <w:color w:val="000000" w:themeColor="text1"/>
                <w:sz w:val="20"/>
                <w:szCs w:val="20"/>
              </w:rPr>
              <w:t>B</w:t>
            </w:r>
          </w:p>
        </w:tc>
        <w:tc>
          <w:tcPr>
            <w:tcW w:w="0" w:type="auto"/>
            <w:vMerge w:val="restart"/>
            <w:tcBorders>
              <w:top w:val="single" w:sz="4" w:space="0" w:color="auto"/>
              <w:left w:val="single" w:sz="8" w:space="0" w:color="E0E0E0"/>
              <w:bottom w:val="nil"/>
              <w:right w:val="single" w:sz="8" w:space="0" w:color="E0E0E0"/>
            </w:tcBorders>
            <w:shd w:val="clear" w:color="auto" w:fill="FFFFFF"/>
            <w:vAlign w:val="center"/>
          </w:tcPr>
          <w:p w14:paraId="2C9D0FAF" w14:textId="77777777" w:rsidR="00020A2C" w:rsidRPr="00BC63EF" w:rsidRDefault="00020A2C" w:rsidP="00BC63EF">
            <w:pPr>
              <w:autoSpaceDE w:val="0"/>
              <w:autoSpaceDN w:val="0"/>
              <w:adjustRightInd w:val="0"/>
              <w:spacing w:after="0" w:line="240" w:lineRule="auto"/>
              <w:ind w:left="0" w:right="60" w:hanging="2"/>
              <w:jc w:val="center"/>
              <w:rPr>
                <w:rFonts w:asciiTheme="majorBidi" w:hAnsiTheme="majorBidi" w:cstheme="majorBidi"/>
                <w:b/>
                <w:bCs/>
                <w:color w:val="000000" w:themeColor="text1"/>
                <w:sz w:val="20"/>
                <w:szCs w:val="20"/>
              </w:rPr>
            </w:pPr>
            <w:r w:rsidRPr="00BC63EF">
              <w:rPr>
                <w:rFonts w:asciiTheme="majorBidi" w:hAnsiTheme="majorBidi" w:cstheme="majorBidi"/>
                <w:b/>
                <w:bCs/>
                <w:color w:val="000000" w:themeColor="text1"/>
                <w:sz w:val="20"/>
                <w:szCs w:val="20"/>
              </w:rPr>
              <w:t>S.E.</w:t>
            </w:r>
          </w:p>
        </w:tc>
        <w:tc>
          <w:tcPr>
            <w:tcW w:w="0" w:type="auto"/>
            <w:vMerge w:val="restart"/>
            <w:tcBorders>
              <w:top w:val="single" w:sz="4" w:space="0" w:color="auto"/>
              <w:left w:val="single" w:sz="8" w:space="0" w:color="E0E0E0"/>
              <w:bottom w:val="nil"/>
              <w:right w:val="single" w:sz="8" w:space="0" w:color="E0E0E0"/>
            </w:tcBorders>
            <w:shd w:val="clear" w:color="auto" w:fill="FFFFFF"/>
            <w:vAlign w:val="center"/>
          </w:tcPr>
          <w:p w14:paraId="206F7076" w14:textId="77777777" w:rsidR="00020A2C" w:rsidRPr="00BC63EF" w:rsidRDefault="00020A2C" w:rsidP="00BC63EF">
            <w:pPr>
              <w:autoSpaceDE w:val="0"/>
              <w:autoSpaceDN w:val="0"/>
              <w:adjustRightInd w:val="0"/>
              <w:spacing w:after="0" w:line="240" w:lineRule="auto"/>
              <w:ind w:left="0" w:right="60" w:hanging="2"/>
              <w:jc w:val="center"/>
              <w:rPr>
                <w:rFonts w:asciiTheme="majorBidi" w:hAnsiTheme="majorBidi" w:cstheme="majorBidi"/>
                <w:b/>
                <w:bCs/>
                <w:color w:val="000000" w:themeColor="text1"/>
                <w:sz w:val="20"/>
                <w:szCs w:val="20"/>
              </w:rPr>
            </w:pPr>
            <w:r w:rsidRPr="00BC63EF">
              <w:rPr>
                <w:rFonts w:asciiTheme="majorBidi" w:hAnsiTheme="majorBidi" w:cstheme="majorBidi"/>
                <w:b/>
                <w:bCs/>
                <w:color w:val="000000" w:themeColor="text1"/>
                <w:sz w:val="20"/>
                <w:szCs w:val="20"/>
              </w:rPr>
              <w:t>Wald</w:t>
            </w:r>
          </w:p>
        </w:tc>
        <w:tc>
          <w:tcPr>
            <w:tcW w:w="0" w:type="auto"/>
            <w:vMerge w:val="restart"/>
            <w:tcBorders>
              <w:top w:val="single" w:sz="4" w:space="0" w:color="auto"/>
              <w:left w:val="single" w:sz="8" w:space="0" w:color="E0E0E0"/>
              <w:bottom w:val="nil"/>
              <w:right w:val="single" w:sz="8" w:space="0" w:color="E0E0E0"/>
            </w:tcBorders>
            <w:shd w:val="clear" w:color="auto" w:fill="FFFFFF"/>
            <w:vAlign w:val="center"/>
          </w:tcPr>
          <w:p w14:paraId="6E3A2812" w14:textId="77777777" w:rsidR="00020A2C" w:rsidRPr="00BC63EF" w:rsidRDefault="00020A2C" w:rsidP="00BC63EF">
            <w:pPr>
              <w:autoSpaceDE w:val="0"/>
              <w:autoSpaceDN w:val="0"/>
              <w:adjustRightInd w:val="0"/>
              <w:spacing w:after="0" w:line="240" w:lineRule="auto"/>
              <w:ind w:left="0" w:right="60" w:hanging="2"/>
              <w:jc w:val="center"/>
              <w:rPr>
                <w:rFonts w:asciiTheme="majorBidi" w:hAnsiTheme="majorBidi" w:cstheme="majorBidi"/>
                <w:b/>
                <w:bCs/>
                <w:color w:val="000000" w:themeColor="text1"/>
                <w:sz w:val="20"/>
                <w:szCs w:val="20"/>
              </w:rPr>
            </w:pPr>
            <w:r w:rsidRPr="00BC63EF">
              <w:rPr>
                <w:rFonts w:asciiTheme="majorBidi" w:hAnsiTheme="majorBidi" w:cstheme="majorBidi"/>
                <w:b/>
                <w:bCs/>
                <w:color w:val="000000" w:themeColor="text1"/>
                <w:sz w:val="20"/>
                <w:szCs w:val="20"/>
              </w:rPr>
              <w:t>df</w:t>
            </w:r>
          </w:p>
        </w:tc>
        <w:tc>
          <w:tcPr>
            <w:tcW w:w="0" w:type="auto"/>
            <w:vMerge w:val="restart"/>
            <w:tcBorders>
              <w:top w:val="single" w:sz="4" w:space="0" w:color="auto"/>
              <w:left w:val="single" w:sz="8" w:space="0" w:color="E0E0E0"/>
              <w:bottom w:val="nil"/>
              <w:right w:val="single" w:sz="8" w:space="0" w:color="E0E0E0"/>
            </w:tcBorders>
            <w:shd w:val="clear" w:color="auto" w:fill="FFFFFF"/>
            <w:vAlign w:val="center"/>
          </w:tcPr>
          <w:p w14:paraId="48202623" w14:textId="77777777" w:rsidR="00020A2C" w:rsidRPr="00BC63EF" w:rsidRDefault="00020A2C" w:rsidP="00BC63EF">
            <w:pPr>
              <w:autoSpaceDE w:val="0"/>
              <w:autoSpaceDN w:val="0"/>
              <w:adjustRightInd w:val="0"/>
              <w:spacing w:after="0" w:line="240" w:lineRule="auto"/>
              <w:ind w:left="0" w:right="60" w:hanging="2"/>
              <w:jc w:val="center"/>
              <w:rPr>
                <w:rFonts w:asciiTheme="majorBidi" w:hAnsiTheme="majorBidi" w:cstheme="majorBidi"/>
                <w:b/>
                <w:bCs/>
                <w:color w:val="000000" w:themeColor="text1"/>
                <w:sz w:val="20"/>
                <w:szCs w:val="20"/>
              </w:rPr>
            </w:pPr>
            <w:r w:rsidRPr="00BC63EF">
              <w:rPr>
                <w:rFonts w:asciiTheme="majorBidi" w:hAnsiTheme="majorBidi" w:cstheme="majorBidi"/>
                <w:b/>
                <w:bCs/>
                <w:color w:val="000000" w:themeColor="text1"/>
                <w:sz w:val="20"/>
                <w:szCs w:val="20"/>
              </w:rPr>
              <w:t>Sig.</w:t>
            </w:r>
          </w:p>
        </w:tc>
        <w:tc>
          <w:tcPr>
            <w:tcW w:w="0" w:type="auto"/>
            <w:vMerge w:val="restart"/>
            <w:tcBorders>
              <w:top w:val="single" w:sz="4" w:space="0" w:color="auto"/>
              <w:left w:val="single" w:sz="8" w:space="0" w:color="E0E0E0"/>
              <w:bottom w:val="nil"/>
              <w:right w:val="single" w:sz="8" w:space="0" w:color="E0E0E0"/>
            </w:tcBorders>
            <w:shd w:val="clear" w:color="auto" w:fill="FFFFFF"/>
            <w:vAlign w:val="center"/>
          </w:tcPr>
          <w:p w14:paraId="1463E043" w14:textId="77777777" w:rsidR="00020A2C" w:rsidRPr="00BC63EF" w:rsidRDefault="00020A2C" w:rsidP="00BC63EF">
            <w:pPr>
              <w:autoSpaceDE w:val="0"/>
              <w:autoSpaceDN w:val="0"/>
              <w:adjustRightInd w:val="0"/>
              <w:spacing w:after="0" w:line="240" w:lineRule="auto"/>
              <w:ind w:left="0" w:right="60" w:hanging="2"/>
              <w:jc w:val="center"/>
              <w:rPr>
                <w:rFonts w:asciiTheme="majorBidi" w:hAnsiTheme="majorBidi" w:cstheme="majorBidi"/>
                <w:b/>
                <w:bCs/>
                <w:color w:val="000000" w:themeColor="text1"/>
                <w:sz w:val="20"/>
                <w:szCs w:val="20"/>
              </w:rPr>
            </w:pPr>
            <w:r w:rsidRPr="00BC63EF">
              <w:rPr>
                <w:rFonts w:asciiTheme="majorBidi" w:hAnsiTheme="majorBidi" w:cstheme="majorBidi"/>
                <w:b/>
                <w:bCs/>
                <w:color w:val="000000" w:themeColor="text1"/>
                <w:sz w:val="20"/>
                <w:szCs w:val="20"/>
              </w:rPr>
              <w:t>Exp(B)</w:t>
            </w:r>
          </w:p>
        </w:tc>
        <w:tc>
          <w:tcPr>
            <w:tcW w:w="0" w:type="auto"/>
            <w:gridSpan w:val="2"/>
            <w:tcBorders>
              <w:top w:val="single" w:sz="4" w:space="0" w:color="auto"/>
              <w:left w:val="single" w:sz="8" w:space="0" w:color="E0E0E0"/>
              <w:bottom w:val="single" w:sz="4" w:space="0" w:color="auto"/>
              <w:right w:val="nil"/>
            </w:tcBorders>
            <w:shd w:val="clear" w:color="auto" w:fill="FFFFFF"/>
            <w:vAlign w:val="center"/>
          </w:tcPr>
          <w:p w14:paraId="569F321F" w14:textId="77777777" w:rsidR="00020A2C" w:rsidRPr="00BC63EF" w:rsidRDefault="00020A2C" w:rsidP="00BC63EF">
            <w:pPr>
              <w:autoSpaceDE w:val="0"/>
              <w:autoSpaceDN w:val="0"/>
              <w:adjustRightInd w:val="0"/>
              <w:spacing w:after="0" w:line="240" w:lineRule="auto"/>
              <w:ind w:left="0" w:right="60" w:hanging="2"/>
              <w:jc w:val="center"/>
              <w:rPr>
                <w:rFonts w:asciiTheme="majorBidi" w:hAnsiTheme="majorBidi" w:cstheme="majorBidi"/>
                <w:b/>
                <w:bCs/>
                <w:color w:val="000000" w:themeColor="text1"/>
                <w:sz w:val="20"/>
                <w:szCs w:val="20"/>
              </w:rPr>
            </w:pPr>
            <w:r w:rsidRPr="00BC63EF">
              <w:rPr>
                <w:rFonts w:asciiTheme="majorBidi" w:hAnsiTheme="majorBidi" w:cstheme="majorBidi"/>
                <w:b/>
                <w:bCs/>
                <w:color w:val="000000" w:themeColor="text1"/>
                <w:sz w:val="20"/>
                <w:szCs w:val="20"/>
              </w:rPr>
              <w:t>95% C.I.for EXP(B)</w:t>
            </w:r>
          </w:p>
        </w:tc>
      </w:tr>
      <w:tr w:rsidR="001D3DC3" w:rsidRPr="00BC63EF" w14:paraId="31B26A8A" w14:textId="77777777" w:rsidTr="00453DB9">
        <w:trPr>
          <w:cantSplit/>
        </w:trPr>
        <w:tc>
          <w:tcPr>
            <w:tcW w:w="2812" w:type="dxa"/>
            <w:gridSpan w:val="2"/>
            <w:vMerge/>
            <w:tcBorders>
              <w:top w:val="nil"/>
              <w:left w:val="nil"/>
              <w:bottom w:val="single" w:sz="4" w:space="0" w:color="auto"/>
              <w:right w:val="nil"/>
            </w:tcBorders>
            <w:shd w:val="clear" w:color="auto" w:fill="FFFFFF"/>
            <w:vAlign w:val="center"/>
          </w:tcPr>
          <w:p w14:paraId="623F5B57" w14:textId="77777777" w:rsidR="00020A2C" w:rsidRPr="00BC63EF" w:rsidRDefault="00020A2C" w:rsidP="00BC63EF">
            <w:pPr>
              <w:autoSpaceDE w:val="0"/>
              <w:autoSpaceDN w:val="0"/>
              <w:adjustRightInd w:val="0"/>
              <w:spacing w:after="0" w:line="240" w:lineRule="auto"/>
              <w:ind w:left="0" w:hanging="2"/>
              <w:jc w:val="center"/>
              <w:rPr>
                <w:rFonts w:asciiTheme="majorBidi" w:hAnsiTheme="majorBidi" w:cstheme="majorBidi"/>
                <w:b/>
                <w:bCs/>
                <w:color w:val="000000" w:themeColor="text1"/>
                <w:sz w:val="20"/>
                <w:szCs w:val="20"/>
              </w:rPr>
            </w:pPr>
          </w:p>
        </w:tc>
        <w:tc>
          <w:tcPr>
            <w:tcW w:w="850" w:type="dxa"/>
            <w:vMerge/>
            <w:tcBorders>
              <w:top w:val="nil"/>
              <w:left w:val="nil"/>
              <w:bottom w:val="single" w:sz="4" w:space="0" w:color="auto"/>
              <w:right w:val="single" w:sz="8" w:space="0" w:color="E0E0E0"/>
            </w:tcBorders>
            <w:shd w:val="clear" w:color="auto" w:fill="FFFFFF"/>
            <w:vAlign w:val="center"/>
          </w:tcPr>
          <w:p w14:paraId="339FFFA2" w14:textId="77777777" w:rsidR="00020A2C" w:rsidRPr="00BC63EF" w:rsidRDefault="00020A2C" w:rsidP="00BC63EF">
            <w:pPr>
              <w:autoSpaceDE w:val="0"/>
              <w:autoSpaceDN w:val="0"/>
              <w:adjustRightInd w:val="0"/>
              <w:spacing w:after="0" w:line="240" w:lineRule="auto"/>
              <w:ind w:left="0" w:hanging="2"/>
              <w:jc w:val="center"/>
              <w:rPr>
                <w:rFonts w:asciiTheme="majorBidi" w:hAnsiTheme="majorBidi" w:cstheme="majorBidi"/>
                <w:b/>
                <w:bCs/>
                <w:color w:val="000000" w:themeColor="text1"/>
                <w:sz w:val="20"/>
                <w:szCs w:val="20"/>
              </w:rPr>
            </w:pPr>
          </w:p>
        </w:tc>
        <w:tc>
          <w:tcPr>
            <w:tcW w:w="0" w:type="auto"/>
            <w:vMerge/>
            <w:tcBorders>
              <w:top w:val="nil"/>
              <w:left w:val="single" w:sz="8" w:space="0" w:color="E0E0E0"/>
              <w:bottom w:val="single" w:sz="4" w:space="0" w:color="auto"/>
              <w:right w:val="single" w:sz="8" w:space="0" w:color="E0E0E0"/>
            </w:tcBorders>
            <w:shd w:val="clear" w:color="auto" w:fill="FFFFFF"/>
            <w:vAlign w:val="center"/>
          </w:tcPr>
          <w:p w14:paraId="1C1EBA54" w14:textId="77777777" w:rsidR="00020A2C" w:rsidRPr="00BC63EF" w:rsidRDefault="00020A2C" w:rsidP="00BC63EF">
            <w:pPr>
              <w:autoSpaceDE w:val="0"/>
              <w:autoSpaceDN w:val="0"/>
              <w:adjustRightInd w:val="0"/>
              <w:spacing w:after="0" w:line="240" w:lineRule="auto"/>
              <w:ind w:left="0" w:hanging="2"/>
              <w:jc w:val="center"/>
              <w:rPr>
                <w:rFonts w:asciiTheme="majorBidi" w:hAnsiTheme="majorBidi" w:cstheme="majorBidi"/>
                <w:b/>
                <w:bCs/>
                <w:color w:val="000000" w:themeColor="text1"/>
                <w:sz w:val="20"/>
                <w:szCs w:val="20"/>
              </w:rPr>
            </w:pPr>
          </w:p>
        </w:tc>
        <w:tc>
          <w:tcPr>
            <w:tcW w:w="0" w:type="auto"/>
            <w:vMerge/>
            <w:tcBorders>
              <w:top w:val="nil"/>
              <w:left w:val="single" w:sz="8" w:space="0" w:color="E0E0E0"/>
              <w:bottom w:val="single" w:sz="4" w:space="0" w:color="auto"/>
              <w:right w:val="single" w:sz="8" w:space="0" w:color="E0E0E0"/>
            </w:tcBorders>
            <w:shd w:val="clear" w:color="auto" w:fill="FFFFFF"/>
            <w:vAlign w:val="center"/>
          </w:tcPr>
          <w:p w14:paraId="61DEDF23" w14:textId="77777777" w:rsidR="00020A2C" w:rsidRPr="00BC63EF" w:rsidRDefault="00020A2C" w:rsidP="00BC63EF">
            <w:pPr>
              <w:autoSpaceDE w:val="0"/>
              <w:autoSpaceDN w:val="0"/>
              <w:adjustRightInd w:val="0"/>
              <w:spacing w:after="0" w:line="240" w:lineRule="auto"/>
              <w:ind w:left="0" w:hanging="2"/>
              <w:jc w:val="center"/>
              <w:rPr>
                <w:rFonts w:asciiTheme="majorBidi" w:hAnsiTheme="majorBidi" w:cstheme="majorBidi"/>
                <w:b/>
                <w:bCs/>
                <w:color w:val="000000" w:themeColor="text1"/>
                <w:sz w:val="20"/>
                <w:szCs w:val="20"/>
              </w:rPr>
            </w:pPr>
          </w:p>
        </w:tc>
        <w:tc>
          <w:tcPr>
            <w:tcW w:w="0" w:type="auto"/>
            <w:vMerge/>
            <w:tcBorders>
              <w:top w:val="nil"/>
              <w:left w:val="single" w:sz="8" w:space="0" w:color="E0E0E0"/>
              <w:bottom w:val="single" w:sz="4" w:space="0" w:color="auto"/>
              <w:right w:val="single" w:sz="8" w:space="0" w:color="E0E0E0"/>
            </w:tcBorders>
            <w:shd w:val="clear" w:color="auto" w:fill="FFFFFF"/>
            <w:vAlign w:val="center"/>
          </w:tcPr>
          <w:p w14:paraId="3E232B84" w14:textId="77777777" w:rsidR="00020A2C" w:rsidRPr="00BC63EF" w:rsidRDefault="00020A2C" w:rsidP="00BC63EF">
            <w:pPr>
              <w:autoSpaceDE w:val="0"/>
              <w:autoSpaceDN w:val="0"/>
              <w:adjustRightInd w:val="0"/>
              <w:spacing w:after="0" w:line="240" w:lineRule="auto"/>
              <w:ind w:left="0" w:hanging="2"/>
              <w:jc w:val="center"/>
              <w:rPr>
                <w:rFonts w:asciiTheme="majorBidi" w:hAnsiTheme="majorBidi" w:cstheme="majorBidi"/>
                <w:b/>
                <w:bCs/>
                <w:color w:val="000000" w:themeColor="text1"/>
                <w:sz w:val="20"/>
                <w:szCs w:val="20"/>
              </w:rPr>
            </w:pPr>
          </w:p>
        </w:tc>
        <w:tc>
          <w:tcPr>
            <w:tcW w:w="0" w:type="auto"/>
            <w:vMerge/>
            <w:tcBorders>
              <w:top w:val="nil"/>
              <w:left w:val="single" w:sz="8" w:space="0" w:color="E0E0E0"/>
              <w:bottom w:val="single" w:sz="4" w:space="0" w:color="auto"/>
              <w:right w:val="single" w:sz="8" w:space="0" w:color="E0E0E0"/>
            </w:tcBorders>
            <w:shd w:val="clear" w:color="auto" w:fill="FFFFFF"/>
            <w:vAlign w:val="center"/>
          </w:tcPr>
          <w:p w14:paraId="66492CB6" w14:textId="77777777" w:rsidR="00020A2C" w:rsidRPr="00BC63EF" w:rsidRDefault="00020A2C" w:rsidP="00BC63EF">
            <w:pPr>
              <w:autoSpaceDE w:val="0"/>
              <w:autoSpaceDN w:val="0"/>
              <w:adjustRightInd w:val="0"/>
              <w:spacing w:after="0" w:line="240" w:lineRule="auto"/>
              <w:ind w:left="0" w:hanging="2"/>
              <w:jc w:val="center"/>
              <w:rPr>
                <w:rFonts w:asciiTheme="majorBidi" w:hAnsiTheme="majorBidi" w:cstheme="majorBidi"/>
                <w:b/>
                <w:bCs/>
                <w:color w:val="000000" w:themeColor="text1"/>
                <w:sz w:val="20"/>
                <w:szCs w:val="20"/>
              </w:rPr>
            </w:pPr>
          </w:p>
        </w:tc>
        <w:tc>
          <w:tcPr>
            <w:tcW w:w="0" w:type="auto"/>
            <w:vMerge/>
            <w:tcBorders>
              <w:top w:val="nil"/>
              <w:left w:val="single" w:sz="8" w:space="0" w:color="E0E0E0"/>
              <w:bottom w:val="single" w:sz="4" w:space="0" w:color="auto"/>
              <w:right w:val="single" w:sz="8" w:space="0" w:color="E0E0E0"/>
            </w:tcBorders>
            <w:shd w:val="clear" w:color="auto" w:fill="FFFFFF"/>
            <w:vAlign w:val="center"/>
          </w:tcPr>
          <w:p w14:paraId="20452014" w14:textId="77777777" w:rsidR="00020A2C" w:rsidRPr="00BC63EF" w:rsidRDefault="00020A2C" w:rsidP="00BC63EF">
            <w:pPr>
              <w:autoSpaceDE w:val="0"/>
              <w:autoSpaceDN w:val="0"/>
              <w:adjustRightInd w:val="0"/>
              <w:spacing w:after="0" w:line="240" w:lineRule="auto"/>
              <w:ind w:left="0" w:hanging="2"/>
              <w:jc w:val="center"/>
              <w:rPr>
                <w:rFonts w:asciiTheme="majorBidi" w:hAnsiTheme="majorBidi" w:cstheme="majorBidi"/>
                <w:b/>
                <w:bCs/>
                <w:color w:val="000000" w:themeColor="text1"/>
                <w:sz w:val="20"/>
                <w:szCs w:val="20"/>
              </w:rPr>
            </w:pPr>
          </w:p>
        </w:tc>
        <w:tc>
          <w:tcPr>
            <w:tcW w:w="0" w:type="auto"/>
            <w:tcBorders>
              <w:top w:val="single" w:sz="4" w:space="0" w:color="auto"/>
              <w:left w:val="single" w:sz="8" w:space="0" w:color="E0E0E0"/>
              <w:bottom w:val="single" w:sz="4" w:space="0" w:color="auto"/>
              <w:right w:val="single" w:sz="8" w:space="0" w:color="E0E0E0"/>
            </w:tcBorders>
            <w:shd w:val="clear" w:color="auto" w:fill="FFFFFF"/>
            <w:vAlign w:val="center"/>
          </w:tcPr>
          <w:p w14:paraId="16EC7091" w14:textId="77777777" w:rsidR="00020A2C" w:rsidRPr="00BC63EF" w:rsidRDefault="00020A2C" w:rsidP="00BC63EF">
            <w:pPr>
              <w:autoSpaceDE w:val="0"/>
              <w:autoSpaceDN w:val="0"/>
              <w:adjustRightInd w:val="0"/>
              <w:spacing w:after="0" w:line="240" w:lineRule="auto"/>
              <w:ind w:left="0" w:right="60" w:hanging="2"/>
              <w:jc w:val="center"/>
              <w:rPr>
                <w:rFonts w:asciiTheme="majorBidi" w:hAnsiTheme="majorBidi" w:cstheme="majorBidi"/>
                <w:b/>
                <w:bCs/>
                <w:color w:val="000000" w:themeColor="text1"/>
                <w:sz w:val="20"/>
                <w:szCs w:val="20"/>
              </w:rPr>
            </w:pPr>
            <w:r w:rsidRPr="00BC63EF">
              <w:rPr>
                <w:rFonts w:asciiTheme="majorBidi" w:hAnsiTheme="majorBidi" w:cstheme="majorBidi"/>
                <w:b/>
                <w:bCs/>
                <w:color w:val="000000" w:themeColor="text1"/>
                <w:sz w:val="20"/>
                <w:szCs w:val="20"/>
              </w:rPr>
              <w:t>Lower</w:t>
            </w:r>
          </w:p>
        </w:tc>
        <w:tc>
          <w:tcPr>
            <w:tcW w:w="0" w:type="auto"/>
            <w:tcBorders>
              <w:top w:val="single" w:sz="4" w:space="0" w:color="auto"/>
              <w:left w:val="single" w:sz="8" w:space="0" w:color="E0E0E0"/>
              <w:bottom w:val="single" w:sz="4" w:space="0" w:color="auto"/>
              <w:right w:val="nil"/>
            </w:tcBorders>
            <w:shd w:val="clear" w:color="auto" w:fill="FFFFFF"/>
            <w:vAlign w:val="center"/>
          </w:tcPr>
          <w:p w14:paraId="07A7213A" w14:textId="77777777" w:rsidR="00020A2C" w:rsidRPr="00BC63EF" w:rsidRDefault="00020A2C" w:rsidP="00BC63EF">
            <w:pPr>
              <w:autoSpaceDE w:val="0"/>
              <w:autoSpaceDN w:val="0"/>
              <w:adjustRightInd w:val="0"/>
              <w:spacing w:after="0" w:line="240" w:lineRule="auto"/>
              <w:ind w:left="0" w:right="60" w:hanging="2"/>
              <w:jc w:val="center"/>
              <w:rPr>
                <w:rFonts w:asciiTheme="majorBidi" w:hAnsiTheme="majorBidi" w:cstheme="majorBidi"/>
                <w:b/>
                <w:bCs/>
                <w:color w:val="000000" w:themeColor="text1"/>
                <w:sz w:val="20"/>
                <w:szCs w:val="20"/>
              </w:rPr>
            </w:pPr>
            <w:r w:rsidRPr="00BC63EF">
              <w:rPr>
                <w:rFonts w:asciiTheme="majorBidi" w:hAnsiTheme="majorBidi" w:cstheme="majorBidi"/>
                <w:b/>
                <w:bCs/>
                <w:color w:val="000000" w:themeColor="text1"/>
                <w:sz w:val="20"/>
                <w:szCs w:val="20"/>
              </w:rPr>
              <w:t>Upper</w:t>
            </w:r>
          </w:p>
        </w:tc>
      </w:tr>
      <w:tr w:rsidR="00453DB9" w:rsidRPr="00BC63EF" w14:paraId="68A16E65" w14:textId="77777777" w:rsidTr="00453DB9">
        <w:trPr>
          <w:cantSplit/>
        </w:trPr>
        <w:tc>
          <w:tcPr>
            <w:tcW w:w="0" w:type="auto"/>
            <w:vMerge w:val="restart"/>
            <w:tcBorders>
              <w:top w:val="single" w:sz="4" w:space="0" w:color="auto"/>
              <w:left w:val="nil"/>
              <w:bottom w:val="single" w:sz="8" w:space="0" w:color="152935"/>
              <w:right w:val="nil"/>
            </w:tcBorders>
            <w:shd w:val="clear" w:color="auto" w:fill="E0E0E0"/>
          </w:tcPr>
          <w:p w14:paraId="24ADFA04" w14:textId="77777777" w:rsidR="00453DB9" w:rsidRPr="00BC63EF" w:rsidRDefault="00453DB9" w:rsidP="00453DB9">
            <w:pPr>
              <w:autoSpaceDE w:val="0"/>
              <w:autoSpaceDN w:val="0"/>
              <w:adjustRightInd w:val="0"/>
              <w:spacing w:after="0" w:line="240" w:lineRule="auto"/>
              <w:ind w:left="0" w:right="60" w:hanging="2"/>
              <w:rPr>
                <w:rFonts w:asciiTheme="majorBidi" w:hAnsiTheme="majorBidi" w:cstheme="majorBidi"/>
                <w:color w:val="000000" w:themeColor="text1"/>
                <w:sz w:val="20"/>
                <w:szCs w:val="20"/>
              </w:rPr>
            </w:pPr>
            <w:r w:rsidRPr="00BC63EF">
              <w:rPr>
                <w:rFonts w:asciiTheme="majorBidi" w:hAnsiTheme="majorBidi" w:cstheme="majorBidi"/>
                <w:color w:val="000000" w:themeColor="text1"/>
                <w:sz w:val="20"/>
                <w:szCs w:val="20"/>
              </w:rPr>
              <w:t>Step 1</w:t>
            </w:r>
            <w:r w:rsidRPr="00BC63EF">
              <w:rPr>
                <w:rFonts w:asciiTheme="majorBidi" w:hAnsiTheme="majorBidi" w:cstheme="majorBidi"/>
                <w:color w:val="000000" w:themeColor="text1"/>
                <w:sz w:val="20"/>
                <w:szCs w:val="20"/>
                <w:vertAlign w:val="superscript"/>
              </w:rPr>
              <w:t>a</w:t>
            </w:r>
          </w:p>
        </w:tc>
        <w:tc>
          <w:tcPr>
            <w:tcW w:w="2220" w:type="dxa"/>
            <w:tcBorders>
              <w:top w:val="single" w:sz="4" w:space="0" w:color="auto"/>
              <w:left w:val="nil"/>
              <w:bottom w:val="single" w:sz="8" w:space="0" w:color="AEAEAE"/>
              <w:right w:val="nil"/>
            </w:tcBorders>
            <w:shd w:val="clear" w:color="auto" w:fill="E0E0E0"/>
            <w:vAlign w:val="center"/>
          </w:tcPr>
          <w:p w14:paraId="415D22AD" w14:textId="1928E419" w:rsidR="00453DB9" w:rsidRPr="00453DB9" w:rsidRDefault="00453DB9" w:rsidP="00453DB9">
            <w:pPr>
              <w:autoSpaceDE w:val="0"/>
              <w:autoSpaceDN w:val="0"/>
              <w:adjustRightInd w:val="0"/>
              <w:spacing w:after="0" w:line="240" w:lineRule="auto"/>
              <w:ind w:left="0" w:right="60" w:hanging="2"/>
              <w:rPr>
                <w:rFonts w:asciiTheme="majorBidi" w:hAnsiTheme="majorBidi" w:cstheme="majorBidi"/>
                <w:color w:val="000000" w:themeColor="text1"/>
                <w:sz w:val="20"/>
                <w:szCs w:val="20"/>
              </w:rPr>
            </w:pPr>
            <w:r w:rsidRPr="00453DB9">
              <w:rPr>
                <w:rFonts w:ascii="Times New Roman" w:eastAsia="Times New Roman" w:hAnsi="Times New Roman" w:cs="Times New Roman"/>
                <w:position w:val="0"/>
                <w:sz w:val="20"/>
                <w:szCs w:val="20"/>
                <w:lang w:val="en-ID" w:eastAsia="en-ID"/>
              </w:rPr>
              <w:t>Knowledge (1)</w:t>
            </w:r>
          </w:p>
        </w:tc>
        <w:tc>
          <w:tcPr>
            <w:tcW w:w="850" w:type="dxa"/>
            <w:tcBorders>
              <w:top w:val="single" w:sz="4" w:space="0" w:color="auto"/>
              <w:left w:val="nil"/>
              <w:bottom w:val="single" w:sz="8" w:space="0" w:color="AEAEAE"/>
              <w:right w:val="single" w:sz="8" w:space="0" w:color="E0E0E0"/>
            </w:tcBorders>
            <w:shd w:val="clear" w:color="auto" w:fill="FFFFFF"/>
          </w:tcPr>
          <w:p w14:paraId="2D081BAB" w14:textId="77777777" w:rsidR="00453DB9" w:rsidRPr="00BC63EF" w:rsidRDefault="00453DB9" w:rsidP="00453DB9">
            <w:pPr>
              <w:autoSpaceDE w:val="0"/>
              <w:autoSpaceDN w:val="0"/>
              <w:adjustRightInd w:val="0"/>
              <w:spacing w:after="0" w:line="240" w:lineRule="auto"/>
              <w:ind w:left="0" w:right="60" w:hanging="2"/>
              <w:jc w:val="right"/>
              <w:rPr>
                <w:rFonts w:asciiTheme="majorBidi" w:hAnsiTheme="majorBidi" w:cstheme="majorBidi"/>
                <w:color w:val="000000" w:themeColor="text1"/>
                <w:sz w:val="20"/>
                <w:szCs w:val="20"/>
              </w:rPr>
            </w:pPr>
            <w:r w:rsidRPr="00BC63EF">
              <w:rPr>
                <w:rFonts w:asciiTheme="majorBidi" w:hAnsiTheme="majorBidi" w:cstheme="majorBidi"/>
                <w:color w:val="000000" w:themeColor="text1"/>
                <w:sz w:val="20"/>
                <w:szCs w:val="20"/>
              </w:rPr>
              <w:t>3.214</w:t>
            </w:r>
          </w:p>
        </w:tc>
        <w:tc>
          <w:tcPr>
            <w:tcW w:w="0" w:type="auto"/>
            <w:tcBorders>
              <w:top w:val="single" w:sz="4" w:space="0" w:color="auto"/>
              <w:left w:val="single" w:sz="8" w:space="0" w:color="E0E0E0"/>
              <w:bottom w:val="single" w:sz="8" w:space="0" w:color="AEAEAE"/>
              <w:right w:val="single" w:sz="8" w:space="0" w:color="E0E0E0"/>
            </w:tcBorders>
            <w:shd w:val="clear" w:color="auto" w:fill="FFFFFF"/>
          </w:tcPr>
          <w:p w14:paraId="2B1A3A47" w14:textId="77777777" w:rsidR="00453DB9" w:rsidRPr="00BC63EF" w:rsidRDefault="00453DB9" w:rsidP="00453DB9">
            <w:pPr>
              <w:autoSpaceDE w:val="0"/>
              <w:autoSpaceDN w:val="0"/>
              <w:adjustRightInd w:val="0"/>
              <w:spacing w:after="0" w:line="240" w:lineRule="auto"/>
              <w:ind w:left="0" w:right="60" w:hanging="2"/>
              <w:jc w:val="right"/>
              <w:rPr>
                <w:rFonts w:asciiTheme="majorBidi" w:hAnsiTheme="majorBidi" w:cstheme="majorBidi"/>
                <w:color w:val="000000" w:themeColor="text1"/>
                <w:sz w:val="20"/>
                <w:szCs w:val="20"/>
              </w:rPr>
            </w:pPr>
            <w:r w:rsidRPr="00BC63EF">
              <w:rPr>
                <w:rFonts w:asciiTheme="majorBidi" w:hAnsiTheme="majorBidi" w:cstheme="majorBidi"/>
                <w:color w:val="000000" w:themeColor="text1"/>
                <w:sz w:val="20"/>
                <w:szCs w:val="20"/>
              </w:rPr>
              <w:t>1.298</w:t>
            </w:r>
          </w:p>
        </w:tc>
        <w:tc>
          <w:tcPr>
            <w:tcW w:w="0" w:type="auto"/>
            <w:tcBorders>
              <w:top w:val="single" w:sz="4" w:space="0" w:color="auto"/>
              <w:left w:val="single" w:sz="8" w:space="0" w:color="E0E0E0"/>
              <w:bottom w:val="single" w:sz="8" w:space="0" w:color="AEAEAE"/>
              <w:right w:val="single" w:sz="8" w:space="0" w:color="E0E0E0"/>
            </w:tcBorders>
            <w:shd w:val="clear" w:color="auto" w:fill="FFFFFF"/>
          </w:tcPr>
          <w:p w14:paraId="283A7064" w14:textId="77777777" w:rsidR="00453DB9" w:rsidRPr="00BC63EF" w:rsidRDefault="00453DB9" w:rsidP="00453DB9">
            <w:pPr>
              <w:autoSpaceDE w:val="0"/>
              <w:autoSpaceDN w:val="0"/>
              <w:adjustRightInd w:val="0"/>
              <w:spacing w:after="0" w:line="240" w:lineRule="auto"/>
              <w:ind w:left="0" w:right="60" w:hanging="2"/>
              <w:jc w:val="right"/>
              <w:rPr>
                <w:rFonts w:asciiTheme="majorBidi" w:hAnsiTheme="majorBidi" w:cstheme="majorBidi"/>
                <w:color w:val="000000" w:themeColor="text1"/>
                <w:sz w:val="20"/>
                <w:szCs w:val="20"/>
              </w:rPr>
            </w:pPr>
            <w:r w:rsidRPr="00BC63EF">
              <w:rPr>
                <w:rFonts w:asciiTheme="majorBidi" w:hAnsiTheme="majorBidi" w:cstheme="majorBidi"/>
                <w:color w:val="000000" w:themeColor="text1"/>
                <w:sz w:val="20"/>
                <w:szCs w:val="20"/>
              </w:rPr>
              <w:t>6.132</w:t>
            </w:r>
          </w:p>
        </w:tc>
        <w:tc>
          <w:tcPr>
            <w:tcW w:w="0" w:type="auto"/>
            <w:tcBorders>
              <w:top w:val="single" w:sz="4" w:space="0" w:color="auto"/>
              <w:left w:val="single" w:sz="8" w:space="0" w:color="E0E0E0"/>
              <w:bottom w:val="single" w:sz="8" w:space="0" w:color="AEAEAE"/>
              <w:right w:val="single" w:sz="8" w:space="0" w:color="E0E0E0"/>
            </w:tcBorders>
            <w:shd w:val="clear" w:color="auto" w:fill="FFFFFF"/>
          </w:tcPr>
          <w:p w14:paraId="64F66173" w14:textId="77777777" w:rsidR="00453DB9" w:rsidRPr="00BC63EF" w:rsidRDefault="00453DB9" w:rsidP="00453DB9">
            <w:pPr>
              <w:autoSpaceDE w:val="0"/>
              <w:autoSpaceDN w:val="0"/>
              <w:adjustRightInd w:val="0"/>
              <w:spacing w:after="0" w:line="240" w:lineRule="auto"/>
              <w:ind w:left="0" w:right="60" w:hanging="2"/>
              <w:jc w:val="right"/>
              <w:rPr>
                <w:rFonts w:asciiTheme="majorBidi" w:hAnsiTheme="majorBidi" w:cstheme="majorBidi"/>
                <w:color w:val="000000" w:themeColor="text1"/>
                <w:sz w:val="20"/>
                <w:szCs w:val="20"/>
              </w:rPr>
            </w:pPr>
            <w:r w:rsidRPr="00BC63EF">
              <w:rPr>
                <w:rFonts w:asciiTheme="majorBidi" w:hAnsiTheme="majorBidi" w:cstheme="majorBidi"/>
                <w:color w:val="000000" w:themeColor="text1"/>
                <w:sz w:val="20"/>
                <w:szCs w:val="20"/>
              </w:rPr>
              <w:t>1</w:t>
            </w:r>
          </w:p>
        </w:tc>
        <w:tc>
          <w:tcPr>
            <w:tcW w:w="0" w:type="auto"/>
            <w:tcBorders>
              <w:top w:val="single" w:sz="4" w:space="0" w:color="auto"/>
              <w:left w:val="single" w:sz="8" w:space="0" w:color="E0E0E0"/>
              <w:bottom w:val="single" w:sz="8" w:space="0" w:color="AEAEAE"/>
              <w:right w:val="single" w:sz="8" w:space="0" w:color="E0E0E0"/>
            </w:tcBorders>
            <w:shd w:val="clear" w:color="auto" w:fill="FFFFFF"/>
          </w:tcPr>
          <w:p w14:paraId="5B0570A9" w14:textId="77777777" w:rsidR="00453DB9" w:rsidRPr="00BC63EF" w:rsidRDefault="00453DB9" w:rsidP="00453DB9">
            <w:pPr>
              <w:autoSpaceDE w:val="0"/>
              <w:autoSpaceDN w:val="0"/>
              <w:adjustRightInd w:val="0"/>
              <w:spacing w:after="0" w:line="240" w:lineRule="auto"/>
              <w:ind w:left="0" w:right="60" w:hanging="2"/>
              <w:jc w:val="right"/>
              <w:rPr>
                <w:rFonts w:asciiTheme="majorBidi" w:hAnsiTheme="majorBidi" w:cstheme="majorBidi"/>
                <w:color w:val="000000" w:themeColor="text1"/>
                <w:sz w:val="20"/>
                <w:szCs w:val="20"/>
              </w:rPr>
            </w:pPr>
            <w:r w:rsidRPr="00BC63EF">
              <w:rPr>
                <w:rFonts w:asciiTheme="majorBidi" w:hAnsiTheme="majorBidi" w:cstheme="majorBidi"/>
                <w:color w:val="000000" w:themeColor="text1"/>
                <w:sz w:val="20"/>
                <w:szCs w:val="20"/>
              </w:rPr>
              <w:t>.013</w:t>
            </w:r>
          </w:p>
        </w:tc>
        <w:tc>
          <w:tcPr>
            <w:tcW w:w="0" w:type="auto"/>
            <w:tcBorders>
              <w:top w:val="single" w:sz="4" w:space="0" w:color="auto"/>
              <w:left w:val="single" w:sz="8" w:space="0" w:color="E0E0E0"/>
              <w:bottom w:val="single" w:sz="8" w:space="0" w:color="AEAEAE"/>
              <w:right w:val="single" w:sz="8" w:space="0" w:color="E0E0E0"/>
            </w:tcBorders>
            <w:shd w:val="clear" w:color="auto" w:fill="FFFFFF"/>
          </w:tcPr>
          <w:p w14:paraId="7ABFF535" w14:textId="77777777" w:rsidR="00453DB9" w:rsidRPr="00BC63EF" w:rsidRDefault="00453DB9" w:rsidP="00453DB9">
            <w:pPr>
              <w:autoSpaceDE w:val="0"/>
              <w:autoSpaceDN w:val="0"/>
              <w:adjustRightInd w:val="0"/>
              <w:spacing w:after="0" w:line="240" w:lineRule="auto"/>
              <w:ind w:left="0" w:right="60" w:hanging="2"/>
              <w:jc w:val="right"/>
              <w:rPr>
                <w:rFonts w:asciiTheme="majorBidi" w:hAnsiTheme="majorBidi" w:cstheme="majorBidi"/>
                <w:color w:val="000000" w:themeColor="text1"/>
                <w:sz w:val="20"/>
                <w:szCs w:val="20"/>
              </w:rPr>
            </w:pPr>
            <w:r w:rsidRPr="00BC63EF">
              <w:rPr>
                <w:rFonts w:asciiTheme="majorBidi" w:hAnsiTheme="majorBidi" w:cstheme="majorBidi"/>
                <w:color w:val="000000" w:themeColor="text1"/>
                <w:sz w:val="20"/>
                <w:szCs w:val="20"/>
              </w:rPr>
              <w:t>24.877</w:t>
            </w:r>
          </w:p>
        </w:tc>
        <w:tc>
          <w:tcPr>
            <w:tcW w:w="0" w:type="auto"/>
            <w:tcBorders>
              <w:top w:val="single" w:sz="4" w:space="0" w:color="auto"/>
              <w:left w:val="single" w:sz="8" w:space="0" w:color="E0E0E0"/>
              <w:bottom w:val="single" w:sz="8" w:space="0" w:color="AEAEAE"/>
              <w:right w:val="single" w:sz="8" w:space="0" w:color="E0E0E0"/>
            </w:tcBorders>
            <w:shd w:val="clear" w:color="auto" w:fill="FFFFFF"/>
          </w:tcPr>
          <w:p w14:paraId="312EEF16" w14:textId="77777777" w:rsidR="00453DB9" w:rsidRPr="00BC63EF" w:rsidRDefault="00453DB9" w:rsidP="00453DB9">
            <w:pPr>
              <w:autoSpaceDE w:val="0"/>
              <w:autoSpaceDN w:val="0"/>
              <w:adjustRightInd w:val="0"/>
              <w:spacing w:after="0" w:line="240" w:lineRule="auto"/>
              <w:ind w:left="0" w:right="60" w:hanging="2"/>
              <w:jc w:val="right"/>
              <w:rPr>
                <w:rFonts w:asciiTheme="majorBidi" w:hAnsiTheme="majorBidi" w:cstheme="majorBidi"/>
                <w:color w:val="000000" w:themeColor="text1"/>
                <w:sz w:val="20"/>
                <w:szCs w:val="20"/>
              </w:rPr>
            </w:pPr>
            <w:r w:rsidRPr="00BC63EF">
              <w:rPr>
                <w:rFonts w:asciiTheme="majorBidi" w:hAnsiTheme="majorBidi" w:cstheme="majorBidi"/>
                <w:color w:val="000000" w:themeColor="text1"/>
                <w:sz w:val="20"/>
                <w:szCs w:val="20"/>
              </w:rPr>
              <w:t>1.954</w:t>
            </w:r>
          </w:p>
        </w:tc>
        <w:tc>
          <w:tcPr>
            <w:tcW w:w="0" w:type="auto"/>
            <w:tcBorders>
              <w:top w:val="single" w:sz="4" w:space="0" w:color="auto"/>
              <w:left w:val="single" w:sz="8" w:space="0" w:color="E0E0E0"/>
              <w:bottom w:val="single" w:sz="8" w:space="0" w:color="AEAEAE"/>
              <w:right w:val="nil"/>
            </w:tcBorders>
            <w:shd w:val="clear" w:color="auto" w:fill="FFFFFF"/>
          </w:tcPr>
          <w:p w14:paraId="7096EA25" w14:textId="77777777" w:rsidR="00453DB9" w:rsidRPr="00BC63EF" w:rsidRDefault="00453DB9" w:rsidP="00453DB9">
            <w:pPr>
              <w:autoSpaceDE w:val="0"/>
              <w:autoSpaceDN w:val="0"/>
              <w:adjustRightInd w:val="0"/>
              <w:spacing w:after="0" w:line="240" w:lineRule="auto"/>
              <w:ind w:left="0" w:right="60" w:hanging="2"/>
              <w:jc w:val="right"/>
              <w:rPr>
                <w:rFonts w:asciiTheme="majorBidi" w:hAnsiTheme="majorBidi" w:cstheme="majorBidi"/>
                <w:color w:val="000000" w:themeColor="text1"/>
                <w:sz w:val="20"/>
                <w:szCs w:val="20"/>
              </w:rPr>
            </w:pPr>
            <w:r w:rsidRPr="00BC63EF">
              <w:rPr>
                <w:rFonts w:asciiTheme="majorBidi" w:hAnsiTheme="majorBidi" w:cstheme="majorBidi"/>
                <w:color w:val="000000" w:themeColor="text1"/>
                <w:sz w:val="20"/>
                <w:szCs w:val="20"/>
              </w:rPr>
              <w:t>316.655</w:t>
            </w:r>
          </w:p>
        </w:tc>
      </w:tr>
      <w:tr w:rsidR="00453DB9" w:rsidRPr="00BC63EF" w14:paraId="47B437E9" w14:textId="77777777" w:rsidTr="00453DB9">
        <w:trPr>
          <w:cantSplit/>
        </w:trPr>
        <w:tc>
          <w:tcPr>
            <w:tcW w:w="0" w:type="auto"/>
            <w:vMerge/>
            <w:tcBorders>
              <w:top w:val="single" w:sz="8" w:space="0" w:color="152935"/>
              <w:left w:val="nil"/>
              <w:bottom w:val="single" w:sz="8" w:space="0" w:color="152935"/>
              <w:right w:val="nil"/>
            </w:tcBorders>
            <w:shd w:val="clear" w:color="auto" w:fill="E0E0E0"/>
          </w:tcPr>
          <w:p w14:paraId="14151AB2" w14:textId="77777777" w:rsidR="00453DB9" w:rsidRPr="00BC63EF" w:rsidRDefault="00453DB9" w:rsidP="00453DB9">
            <w:pPr>
              <w:autoSpaceDE w:val="0"/>
              <w:autoSpaceDN w:val="0"/>
              <w:adjustRightInd w:val="0"/>
              <w:spacing w:after="0" w:line="240" w:lineRule="auto"/>
              <w:ind w:left="0" w:hanging="2"/>
              <w:rPr>
                <w:rFonts w:asciiTheme="majorBidi" w:hAnsiTheme="majorBidi" w:cstheme="majorBidi"/>
                <w:color w:val="000000" w:themeColor="text1"/>
                <w:sz w:val="20"/>
                <w:szCs w:val="20"/>
              </w:rPr>
            </w:pPr>
          </w:p>
        </w:tc>
        <w:tc>
          <w:tcPr>
            <w:tcW w:w="2220" w:type="dxa"/>
            <w:tcBorders>
              <w:top w:val="single" w:sz="8" w:space="0" w:color="AEAEAE"/>
              <w:left w:val="nil"/>
              <w:bottom w:val="single" w:sz="8" w:space="0" w:color="AEAEAE"/>
              <w:right w:val="nil"/>
            </w:tcBorders>
            <w:shd w:val="clear" w:color="auto" w:fill="E0E0E0"/>
            <w:vAlign w:val="center"/>
          </w:tcPr>
          <w:p w14:paraId="08ADD7C3" w14:textId="71568C83" w:rsidR="00453DB9" w:rsidRPr="00453DB9" w:rsidRDefault="00453DB9" w:rsidP="00453DB9">
            <w:pPr>
              <w:autoSpaceDE w:val="0"/>
              <w:autoSpaceDN w:val="0"/>
              <w:adjustRightInd w:val="0"/>
              <w:spacing w:after="0" w:line="240" w:lineRule="auto"/>
              <w:ind w:left="0" w:right="60" w:hanging="2"/>
              <w:rPr>
                <w:rFonts w:asciiTheme="majorBidi" w:hAnsiTheme="majorBidi" w:cstheme="majorBidi"/>
                <w:color w:val="000000" w:themeColor="text1"/>
                <w:sz w:val="20"/>
                <w:szCs w:val="20"/>
              </w:rPr>
            </w:pPr>
            <w:r w:rsidRPr="00453DB9">
              <w:rPr>
                <w:rFonts w:ascii="Times New Roman" w:eastAsia="Times New Roman" w:hAnsi="Times New Roman" w:cs="Times New Roman"/>
                <w:position w:val="0"/>
                <w:sz w:val="20"/>
                <w:szCs w:val="20"/>
                <w:lang w:val="en-ID" w:eastAsia="en-ID"/>
              </w:rPr>
              <w:t>Family Support</w:t>
            </w:r>
          </w:p>
        </w:tc>
        <w:tc>
          <w:tcPr>
            <w:tcW w:w="850" w:type="dxa"/>
            <w:tcBorders>
              <w:top w:val="single" w:sz="8" w:space="0" w:color="AEAEAE"/>
              <w:left w:val="nil"/>
              <w:bottom w:val="single" w:sz="8" w:space="0" w:color="AEAEAE"/>
              <w:right w:val="single" w:sz="8" w:space="0" w:color="E0E0E0"/>
            </w:tcBorders>
            <w:shd w:val="clear" w:color="auto" w:fill="FFFFFF"/>
          </w:tcPr>
          <w:p w14:paraId="103B170E" w14:textId="77777777" w:rsidR="00453DB9" w:rsidRPr="00BC63EF" w:rsidRDefault="00453DB9" w:rsidP="00453DB9">
            <w:pPr>
              <w:autoSpaceDE w:val="0"/>
              <w:autoSpaceDN w:val="0"/>
              <w:adjustRightInd w:val="0"/>
              <w:spacing w:after="0" w:line="240" w:lineRule="auto"/>
              <w:ind w:left="0" w:right="60" w:hanging="2"/>
              <w:jc w:val="right"/>
              <w:rPr>
                <w:rFonts w:asciiTheme="majorBidi" w:hAnsiTheme="majorBidi" w:cstheme="majorBidi"/>
                <w:color w:val="000000" w:themeColor="text1"/>
                <w:sz w:val="20"/>
                <w:szCs w:val="20"/>
              </w:rPr>
            </w:pPr>
            <w:r w:rsidRPr="00BC63EF">
              <w:rPr>
                <w:rFonts w:asciiTheme="majorBidi" w:hAnsiTheme="majorBidi" w:cstheme="majorBidi"/>
                <w:color w:val="000000" w:themeColor="text1"/>
                <w:sz w:val="20"/>
                <w:szCs w:val="20"/>
              </w:rPr>
              <w:t>3.686</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5F024F0" w14:textId="77777777" w:rsidR="00453DB9" w:rsidRPr="00BC63EF" w:rsidRDefault="00453DB9" w:rsidP="00453DB9">
            <w:pPr>
              <w:autoSpaceDE w:val="0"/>
              <w:autoSpaceDN w:val="0"/>
              <w:adjustRightInd w:val="0"/>
              <w:spacing w:after="0" w:line="240" w:lineRule="auto"/>
              <w:ind w:left="0" w:right="60" w:hanging="2"/>
              <w:jc w:val="right"/>
              <w:rPr>
                <w:rFonts w:asciiTheme="majorBidi" w:hAnsiTheme="majorBidi" w:cstheme="majorBidi"/>
                <w:color w:val="000000" w:themeColor="text1"/>
                <w:sz w:val="20"/>
                <w:szCs w:val="20"/>
              </w:rPr>
            </w:pPr>
            <w:r w:rsidRPr="00BC63EF">
              <w:rPr>
                <w:rFonts w:asciiTheme="majorBidi" w:hAnsiTheme="majorBidi" w:cstheme="majorBidi"/>
                <w:color w:val="000000" w:themeColor="text1"/>
                <w:sz w:val="20"/>
                <w:szCs w:val="20"/>
              </w:rPr>
              <w:t>1.224</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8C5F583" w14:textId="77777777" w:rsidR="00453DB9" w:rsidRPr="00BC63EF" w:rsidRDefault="00453DB9" w:rsidP="00453DB9">
            <w:pPr>
              <w:autoSpaceDE w:val="0"/>
              <w:autoSpaceDN w:val="0"/>
              <w:adjustRightInd w:val="0"/>
              <w:spacing w:after="0" w:line="240" w:lineRule="auto"/>
              <w:ind w:left="0" w:right="60" w:hanging="2"/>
              <w:jc w:val="right"/>
              <w:rPr>
                <w:rFonts w:asciiTheme="majorBidi" w:hAnsiTheme="majorBidi" w:cstheme="majorBidi"/>
                <w:color w:val="000000" w:themeColor="text1"/>
                <w:sz w:val="20"/>
                <w:szCs w:val="20"/>
              </w:rPr>
            </w:pPr>
            <w:r w:rsidRPr="00BC63EF">
              <w:rPr>
                <w:rFonts w:asciiTheme="majorBidi" w:hAnsiTheme="majorBidi" w:cstheme="majorBidi"/>
                <w:color w:val="000000" w:themeColor="text1"/>
                <w:sz w:val="20"/>
                <w:szCs w:val="20"/>
              </w:rPr>
              <w:t>9.071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4D6872C3" w14:textId="77777777" w:rsidR="00453DB9" w:rsidRPr="00BC63EF" w:rsidRDefault="00453DB9" w:rsidP="00453DB9">
            <w:pPr>
              <w:autoSpaceDE w:val="0"/>
              <w:autoSpaceDN w:val="0"/>
              <w:adjustRightInd w:val="0"/>
              <w:spacing w:after="0" w:line="240" w:lineRule="auto"/>
              <w:ind w:left="0" w:right="60" w:hanging="2"/>
              <w:jc w:val="right"/>
              <w:rPr>
                <w:rFonts w:asciiTheme="majorBidi" w:hAnsiTheme="majorBidi" w:cstheme="majorBidi"/>
                <w:color w:val="000000" w:themeColor="text1"/>
                <w:sz w:val="20"/>
                <w:szCs w:val="20"/>
              </w:rPr>
            </w:pPr>
            <w:r w:rsidRPr="00BC63EF">
              <w:rPr>
                <w:rFonts w:asciiTheme="majorBidi" w:hAnsiTheme="majorBidi" w:cstheme="majorBidi"/>
                <w:color w:val="000000" w:themeColor="text1"/>
                <w:sz w:val="20"/>
                <w:szCs w:val="20"/>
              </w:rPr>
              <w:t>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B078A51" w14:textId="77777777" w:rsidR="00453DB9" w:rsidRPr="00BC63EF" w:rsidRDefault="00453DB9" w:rsidP="00453DB9">
            <w:pPr>
              <w:autoSpaceDE w:val="0"/>
              <w:autoSpaceDN w:val="0"/>
              <w:adjustRightInd w:val="0"/>
              <w:spacing w:after="0" w:line="240" w:lineRule="auto"/>
              <w:ind w:left="0" w:right="60" w:hanging="2"/>
              <w:jc w:val="right"/>
              <w:rPr>
                <w:rFonts w:asciiTheme="majorBidi" w:hAnsiTheme="majorBidi" w:cstheme="majorBidi"/>
                <w:color w:val="000000" w:themeColor="text1"/>
                <w:sz w:val="20"/>
                <w:szCs w:val="20"/>
              </w:rPr>
            </w:pPr>
            <w:r w:rsidRPr="00BC63EF">
              <w:rPr>
                <w:rFonts w:asciiTheme="majorBidi" w:hAnsiTheme="majorBidi" w:cstheme="majorBidi"/>
                <w:color w:val="000000" w:themeColor="text1"/>
                <w:sz w:val="20"/>
                <w:szCs w:val="20"/>
              </w:rPr>
              <w:t>.003</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B521959" w14:textId="77777777" w:rsidR="00453DB9" w:rsidRPr="00BC63EF" w:rsidRDefault="00453DB9" w:rsidP="00453DB9">
            <w:pPr>
              <w:autoSpaceDE w:val="0"/>
              <w:autoSpaceDN w:val="0"/>
              <w:adjustRightInd w:val="0"/>
              <w:spacing w:after="0" w:line="240" w:lineRule="auto"/>
              <w:ind w:left="0" w:right="60" w:hanging="2"/>
              <w:jc w:val="right"/>
              <w:rPr>
                <w:rFonts w:asciiTheme="majorBidi" w:hAnsiTheme="majorBidi" w:cstheme="majorBidi"/>
                <w:color w:val="000000" w:themeColor="text1"/>
                <w:sz w:val="20"/>
                <w:szCs w:val="20"/>
              </w:rPr>
            </w:pPr>
            <w:r w:rsidRPr="00BC63EF">
              <w:rPr>
                <w:rFonts w:asciiTheme="majorBidi" w:hAnsiTheme="majorBidi" w:cstheme="majorBidi"/>
                <w:color w:val="000000" w:themeColor="text1"/>
                <w:sz w:val="20"/>
                <w:szCs w:val="20"/>
              </w:rPr>
              <w:t>39.868</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7A32F98" w14:textId="77777777" w:rsidR="00453DB9" w:rsidRPr="00BC63EF" w:rsidRDefault="00453DB9" w:rsidP="00453DB9">
            <w:pPr>
              <w:autoSpaceDE w:val="0"/>
              <w:autoSpaceDN w:val="0"/>
              <w:adjustRightInd w:val="0"/>
              <w:spacing w:after="0" w:line="240" w:lineRule="auto"/>
              <w:ind w:left="0" w:right="60" w:hanging="2"/>
              <w:jc w:val="right"/>
              <w:rPr>
                <w:rFonts w:asciiTheme="majorBidi" w:hAnsiTheme="majorBidi" w:cstheme="majorBidi"/>
                <w:color w:val="000000" w:themeColor="text1"/>
                <w:sz w:val="20"/>
                <w:szCs w:val="20"/>
              </w:rPr>
            </w:pPr>
            <w:r w:rsidRPr="00BC63EF">
              <w:rPr>
                <w:rFonts w:asciiTheme="majorBidi" w:hAnsiTheme="majorBidi" w:cstheme="majorBidi"/>
                <w:color w:val="000000" w:themeColor="text1"/>
                <w:sz w:val="20"/>
                <w:szCs w:val="20"/>
              </w:rPr>
              <w:t>3.623</w:t>
            </w:r>
          </w:p>
        </w:tc>
        <w:tc>
          <w:tcPr>
            <w:tcW w:w="0" w:type="auto"/>
            <w:tcBorders>
              <w:top w:val="single" w:sz="8" w:space="0" w:color="AEAEAE"/>
              <w:left w:val="single" w:sz="8" w:space="0" w:color="E0E0E0"/>
              <w:bottom w:val="single" w:sz="8" w:space="0" w:color="AEAEAE"/>
              <w:right w:val="nil"/>
            </w:tcBorders>
            <w:shd w:val="clear" w:color="auto" w:fill="FFFFFF"/>
          </w:tcPr>
          <w:p w14:paraId="1A659FE8" w14:textId="77777777" w:rsidR="00453DB9" w:rsidRPr="00BC63EF" w:rsidRDefault="00453DB9" w:rsidP="00453DB9">
            <w:pPr>
              <w:autoSpaceDE w:val="0"/>
              <w:autoSpaceDN w:val="0"/>
              <w:adjustRightInd w:val="0"/>
              <w:spacing w:after="0" w:line="240" w:lineRule="auto"/>
              <w:ind w:left="0" w:right="60" w:hanging="2"/>
              <w:jc w:val="right"/>
              <w:rPr>
                <w:rFonts w:asciiTheme="majorBidi" w:hAnsiTheme="majorBidi" w:cstheme="majorBidi"/>
                <w:color w:val="000000" w:themeColor="text1"/>
                <w:sz w:val="20"/>
                <w:szCs w:val="20"/>
              </w:rPr>
            </w:pPr>
            <w:r w:rsidRPr="00BC63EF">
              <w:rPr>
                <w:rFonts w:asciiTheme="majorBidi" w:hAnsiTheme="majorBidi" w:cstheme="majorBidi"/>
                <w:color w:val="000000" w:themeColor="text1"/>
                <w:sz w:val="20"/>
                <w:szCs w:val="20"/>
              </w:rPr>
              <w:t>438.747</w:t>
            </w:r>
          </w:p>
        </w:tc>
      </w:tr>
      <w:tr w:rsidR="00453DB9" w:rsidRPr="00BC63EF" w14:paraId="6D5D1EEB" w14:textId="77777777" w:rsidTr="00453DB9">
        <w:trPr>
          <w:cantSplit/>
        </w:trPr>
        <w:tc>
          <w:tcPr>
            <w:tcW w:w="0" w:type="auto"/>
            <w:vMerge/>
            <w:tcBorders>
              <w:top w:val="single" w:sz="8" w:space="0" w:color="152935"/>
              <w:left w:val="nil"/>
              <w:bottom w:val="single" w:sz="8" w:space="0" w:color="152935"/>
              <w:right w:val="nil"/>
            </w:tcBorders>
            <w:shd w:val="clear" w:color="auto" w:fill="E0E0E0"/>
          </w:tcPr>
          <w:p w14:paraId="67D1BB10" w14:textId="77777777" w:rsidR="00453DB9" w:rsidRPr="00BC63EF" w:rsidRDefault="00453DB9" w:rsidP="00453DB9">
            <w:pPr>
              <w:autoSpaceDE w:val="0"/>
              <w:autoSpaceDN w:val="0"/>
              <w:adjustRightInd w:val="0"/>
              <w:spacing w:after="0" w:line="240" w:lineRule="auto"/>
              <w:ind w:left="0" w:hanging="2"/>
              <w:rPr>
                <w:rFonts w:asciiTheme="majorBidi" w:hAnsiTheme="majorBidi" w:cstheme="majorBidi"/>
                <w:color w:val="000000" w:themeColor="text1"/>
                <w:sz w:val="20"/>
                <w:szCs w:val="20"/>
              </w:rPr>
            </w:pPr>
          </w:p>
        </w:tc>
        <w:tc>
          <w:tcPr>
            <w:tcW w:w="2220" w:type="dxa"/>
            <w:tcBorders>
              <w:top w:val="single" w:sz="8" w:space="0" w:color="AEAEAE"/>
              <w:left w:val="nil"/>
              <w:bottom w:val="single" w:sz="8" w:space="0" w:color="AEAEAE"/>
              <w:right w:val="nil"/>
            </w:tcBorders>
            <w:shd w:val="clear" w:color="auto" w:fill="E0E0E0"/>
            <w:vAlign w:val="center"/>
          </w:tcPr>
          <w:p w14:paraId="74023159" w14:textId="214A8861" w:rsidR="00453DB9" w:rsidRPr="00453DB9" w:rsidRDefault="00453DB9" w:rsidP="00453DB9">
            <w:pPr>
              <w:autoSpaceDE w:val="0"/>
              <w:autoSpaceDN w:val="0"/>
              <w:adjustRightInd w:val="0"/>
              <w:spacing w:after="0" w:line="240" w:lineRule="auto"/>
              <w:ind w:left="0" w:right="60" w:hanging="2"/>
              <w:rPr>
                <w:rFonts w:asciiTheme="majorBidi" w:hAnsiTheme="majorBidi" w:cstheme="majorBidi"/>
                <w:color w:val="000000" w:themeColor="text1"/>
                <w:sz w:val="20"/>
                <w:szCs w:val="20"/>
              </w:rPr>
            </w:pPr>
            <w:r w:rsidRPr="00453DB9">
              <w:rPr>
                <w:rFonts w:ascii="Times New Roman" w:eastAsia="Times New Roman" w:hAnsi="Times New Roman" w:cs="Times New Roman"/>
                <w:position w:val="0"/>
                <w:sz w:val="20"/>
                <w:szCs w:val="20"/>
                <w:lang w:val="en-ID" w:eastAsia="en-ID"/>
              </w:rPr>
              <w:t>Health Worker Support (1)</w:t>
            </w:r>
          </w:p>
        </w:tc>
        <w:tc>
          <w:tcPr>
            <w:tcW w:w="850" w:type="dxa"/>
            <w:tcBorders>
              <w:top w:val="single" w:sz="8" w:space="0" w:color="AEAEAE"/>
              <w:left w:val="nil"/>
              <w:bottom w:val="single" w:sz="8" w:space="0" w:color="AEAEAE"/>
              <w:right w:val="single" w:sz="8" w:space="0" w:color="E0E0E0"/>
            </w:tcBorders>
            <w:shd w:val="clear" w:color="auto" w:fill="FFFFFF"/>
          </w:tcPr>
          <w:p w14:paraId="132C09B0" w14:textId="77777777" w:rsidR="00453DB9" w:rsidRPr="00BC63EF" w:rsidRDefault="00453DB9" w:rsidP="00453DB9">
            <w:pPr>
              <w:autoSpaceDE w:val="0"/>
              <w:autoSpaceDN w:val="0"/>
              <w:adjustRightInd w:val="0"/>
              <w:spacing w:after="0" w:line="240" w:lineRule="auto"/>
              <w:ind w:left="0" w:right="60" w:hanging="2"/>
              <w:jc w:val="right"/>
              <w:rPr>
                <w:rFonts w:asciiTheme="majorBidi" w:hAnsiTheme="majorBidi" w:cstheme="majorBidi"/>
                <w:color w:val="000000" w:themeColor="text1"/>
                <w:sz w:val="20"/>
                <w:szCs w:val="20"/>
              </w:rPr>
            </w:pPr>
            <w:r w:rsidRPr="00BC63EF">
              <w:rPr>
                <w:rFonts w:asciiTheme="majorBidi" w:hAnsiTheme="majorBidi" w:cstheme="majorBidi"/>
                <w:color w:val="000000" w:themeColor="text1"/>
                <w:sz w:val="20"/>
                <w:szCs w:val="20"/>
              </w:rPr>
              <w:t>2.393</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B7C5D36" w14:textId="77777777" w:rsidR="00453DB9" w:rsidRPr="00BC63EF" w:rsidRDefault="00453DB9" w:rsidP="00453DB9">
            <w:pPr>
              <w:autoSpaceDE w:val="0"/>
              <w:autoSpaceDN w:val="0"/>
              <w:adjustRightInd w:val="0"/>
              <w:spacing w:after="0" w:line="240" w:lineRule="auto"/>
              <w:ind w:left="0" w:right="60" w:hanging="2"/>
              <w:jc w:val="right"/>
              <w:rPr>
                <w:rFonts w:asciiTheme="majorBidi" w:hAnsiTheme="majorBidi" w:cstheme="majorBidi"/>
                <w:color w:val="000000" w:themeColor="text1"/>
                <w:sz w:val="20"/>
                <w:szCs w:val="20"/>
              </w:rPr>
            </w:pPr>
            <w:r w:rsidRPr="00BC63EF">
              <w:rPr>
                <w:rFonts w:asciiTheme="majorBidi" w:hAnsiTheme="majorBidi" w:cstheme="majorBidi"/>
                <w:color w:val="000000" w:themeColor="text1"/>
                <w:sz w:val="20"/>
                <w:szCs w:val="20"/>
              </w:rPr>
              <w:t>.920</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D10A3E8" w14:textId="77777777" w:rsidR="00453DB9" w:rsidRPr="00BC63EF" w:rsidRDefault="00453DB9" w:rsidP="00453DB9">
            <w:pPr>
              <w:autoSpaceDE w:val="0"/>
              <w:autoSpaceDN w:val="0"/>
              <w:adjustRightInd w:val="0"/>
              <w:spacing w:after="0" w:line="240" w:lineRule="auto"/>
              <w:ind w:left="0" w:right="60" w:hanging="2"/>
              <w:jc w:val="right"/>
              <w:rPr>
                <w:rFonts w:asciiTheme="majorBidi" w:hAnsiTheme="majorBidi" w:cstheme="majorBidi"/>
                <w:color w:val="000000" w:themeColor="text1"/>
                <w:sz w:val="20"/>
                <w:szCs w:val="20"/>
              </w:rPr>
            </w:pPr>
            <w:r w:rsidRPr="00BC63EF">
              <w:rPr>
                <w:rFonts w:asciiTheme="majorBidi" w:hAnsiTheme="majorBidi" w:cstheme="majorBidi"/>
                <w:color w:val="000000" w:themeColor="text1"/>
                <w:sz w:val="20"/>
                <w:szCs w:val="20"/>
              </w:rPr>
              <w:t>6.768</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26CB31A" w14:textId="77777777" w:rsidR="00453DB9" w:rsidRPr="00BC63EF" w:rsidRDefault="00453DB9" w:rsidP="00453DB9">
            <w:pPr>
              <w:autoSpaceDE w:val="0"/>
              <w:autoSpaceDN w:val="0"/>
              <w:adjustRightInd w:val="0"/>
              <w:spacing w:after="0" w:line="240" w:lineRule="auto"/>
              <w:ind w:left="0" w:right="60" w:hanging="2"/>
              <w:jc w:val="right"/>
              <w:rPr>
                <w:rFonts w:asciiTheme="majorBidi" w:hAnsiTheme="majorBidi" w:cstheme="majorBidi"/>
                <w:color w:val="000000" w:themeColor="text1"/>
                <w:sz w:val="20"/>
                <w:szCs w:val="20"/>
              </w:rPr>
            </w:pPr>
            <w:r w:rsidRPr="00BC63EF">
              <w:rPr>
                <w:rFonts w:asciiTheme="majorBidi" w:hAnsiTheme="majorBidi" w:cstheme="majorBidi"/>
                <w:color w:val="000000" w:themeColor="text1"/>
                <w:sz w:val="20"/>
                <w:szCs w:val="20"/>
              </w:rPr>
              <w:t>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F1FD2A6" w14:textId="77777777" w:rsidR="00453DB9" w:rsidRPr="00BC63EF" w:rsidRDefault="00453DB9" w:rsidP="00453DB9">
            <w:pPr>
              <w:autoSpaceDE w:val="0"/>
              <w:autoSpaceDN w:val="0"/>
              <w:adjustRightInd w:val="0"/>
              <w:spacing w:after="0" w:line="240" w:lineRule="auto"/>
              <w:ind w:left="0" w:right="60" w:hanging="2"/>
              <w:jc w:val="right"/>
              <w:rPr>
                <w:rFonts w:asciiTheme="majorBidi" w:hAnsiTheme="majorBidi" w:cstheme="majorBidi"/>
                <w:color w:val="000000" w:themeColor="text1"/>
                <w:sz w:val="20"/>
                <w:szCs w:val="20"/>
              </w:rPr>
            </w:pPr>
            <w:r w:rsidRPr="00BC63EF">
              <w:rPr>
                <w:rFonts w:asciiTheme="majorBidi" w:hAnsiTheme="majorBidi" w:cstheme="majorBidi"/>
                <w:color w:val="000000" w:themeColor="text1"/>
                <w:sz w:val="20"/>
                <w:szCs w:val="20"/>
              </w:rPr>
              <w:t>.009</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2E0FADA" w14:textId="77777777" w:rsidR="00453DB9" w:rsidRPr="00BC63EF" w:rsidRDefault="00453DB9" w:rsidP="00453DB9">
            <w:pPr>
              <w:autoSpaceDE w:val="0"/>
              <w:autoSpaceDN w:val="0"/>
              <w:adjustRightInd w:val="0"/>
              <w:spacing w:after="0" w:line="240" w:lineRule="auto"/>
              <w:ind w:left="0" w:right="60" w:hanging="2"/>
              <w:jc w:val="right"/>
              <w:rPr>
                <w:rFonts w:asciiTheme="majorBidi" w:hAnsiTheme="majorBidi" w:cstheme="majorBidi"/>
                <w:color w:val="000000" w:themeColor="text1"/>
                <w:sz w:val="20"/>
                <w:szCs w:val="20"/>
              </w:rPr>
            </w:pPr>
            <w:r w:rsidRPr="00BC63EF">
              <w:rPr>
                <w:rFonts w:asciiTheme="majorBidi" w:hAnsiTheme="majorBidi" w:cstheme="majorBidi"/>
                <w:color w:val="000000" w:themeColor="text1"/>
                <w:sz w:val="20"/>
                <w:szCs w:val="20"/>
              </w:rPr>
              <w:t>10.948</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3C046126" w14:textId="77777777" w:rsidR="00453DB9" w:rsidRPr="00BC63EF" w:rsidRDefault="00453DB9" w:rsidP="00453DB9">
            <w:pPr>
              <w:autoSpaceDE w:val="0"/>
              <w:autoSpaceDN w:val="0"/>
              <w:adjustRightInd w:val="0"/>
              <w:spacing w:after="0" w:line="240" w:lineRule="auto"/>
              <w:ind w:left="0" w:right="60" w:hanging="2"/>
              <w:jc w:val="right"/>
              <w:rPr>
                <w:rFonts w:asciiTheme="majorBidi" w:hAnsiTheme="majorBidi" w:cstheme="majorBidi"/>
                <w:color w:val="000000" w:themeColor="text1"/>
                <w:sz w:val="20"/>
                <w:szCs w:val="20"/>
              </w:rPr>
            </w:pPr>
            <w:r w:rsidRPr="00BC63EF">
              <w:rPr>
                <w:rFonts w:asciiTheme="majorBidi" w:hAnsiTheme="majorBidi" w:cstheme="majorBidi"/>
                <w:color w:val="000000" w:themeColor="text1"/>
                <w:sz w:val="20"/>
                <w:szCs w:val="20"/>
              </w:rPr>
              <w:t>1.804</w:t>
            </w:r>
          </w:p>
        </w:tc>
        <w:tc>
          <w:tcPr>
            <w:tcW w:w="0" w:type="auto"/>
            <w:tcBorders>
              <w:top w:val="single" w:sz="8" w:space="0" w:color="AEAEAE"/>
              <w:left w:val="single" w:sz="8" w:space="0" w:color="E0E0E0"/>
              <w:bottom w:val="single" w:sz="8" w:space="0" w:color="AEAEAE"/>
              <w:right w:val="nil"/>
            </w:tcBorders>
            <w:shd w:val="clear" w:color="auto" w:fill="FFFFFF"/>
          </w:tcPr>
          <w:p w14:paraId="0F0FD4A3" w14:textId="77777777" w:rsidR="00453DB9" w:rsidRPr="00BC63EF" w:rsidRDefault="00453DB9" w:rsidP="00453DB9">
            <w:pPr>
              <w:autoSpaceDE w:val="0"/>
              <w:autoSpaceDN w:val="0"/>
              <w:adjustRightInd w:val="0"/>
              <w:spacing w:after="0" w:line="240" w:lineRule="auto"/>
              <w:ind w:left="0" w:right="60" w:hanging="2"/>
              <w:jc w:val="right"/>
              <w:rPr>
                <w:rFonts w:asciiTheme="majorBidi" w:hAnsiTheme="majorBidi" w:cstheme="majorBidi"/>
                <w:color w:val="000000" w:themeColor="text1"/>
                <w:sz w:val="20"/>
                <w:szCs w:val="20"/>
              </w:rPr>
            </w:pPr>
            <w:r w:rsidRPr="00BC63EF">
              <w:rPr>
                <w:rFonts w:asciiTheme="majorBidi" w:hAnsiTheme="majorBidi" w:cstheme="majorBidi"/>
                <w:color w:val="000000" w:themeColor="text1"/>
                <w:sz w:val="20"/>
                <w:szCs w:val="20"/>
              </w:rPr>
              <w:t>66.427</w:t>
            </w:r>
          </w:p>
        </w:tc>
      </w:tr>
      <w:tr w:rsidR="00453DB9" w:rsidRPr="00BC63EF" w14:paraId="11EEB4DF" w14:textId="77777777" w:rsidTr="00453DB9">
        <w:trPr>
          <w:cantSplit/>
        </w:trPr>
        <w:tc>
          <w:tcPr>
            <w:tcW w:w="0" w:type="auto"/>
            <w:vMerge/>
            <w:tcBorders>
              <w:top w:val="single" w:sz="8" w:space="0" w:color="152935"/>
              <w:left w:val="nil"/>
              <w:bottom w:val="single" w:sz="8" w:space="0" w:color="152935"/>
              <w:right w:val="nil"/>
            </w:tcBorders>
            <w:shd w:val="clear" w:color="auto" w:fill="E0E0E0"/>
          </w:tcPr>
          <w:p w14:paraId="287815EF" w14:textId="77777777" w:rsidR="00453DB9" w:rsidRPr="00BC63EF" w:rsidRDefault="00453DB9" w:rsidP="00453DB9">
            <w:pPr>
              <w:autoSpaceDE w:val="0"/>
              <w:autoSpaceDN w:val="0"/>
              <w:adjustRightInd w:val="0"/>
              <w:spacing w:after="0" w:line="240" w:lineRule="auto"/>
              <w:ind w:left="0" w:hanging="2"/>
              <w:rPr>
                <w:rFonts w:asciiTheme="majorBidi" w:hAnsiTheme="majorBidi" w:cstheme="majorBidi"/>
                <w:color w:val="000000" w:themeColor="text1"/>
                <w:sz w:val="20"/>
                <w:szCs w:val="20"/>
              </w:rPr>
            </w:pPr>
          </w:p>
        </w:tc>
        <w:tc>
          <w:tcPr>
            <w:tcW w:w="2220" w:type="dxa"/>
            <w:tcBorders>
              <w:top w:val="single" w:sz="8" w:space="0" w:color="AEAEAE"/>
              <w:left w:val="nil"/>
              <w:bottom w:val="single" w:sz="8" w:space="0" w:color="AEAEAE"/>
              <w:right w:val="nil"/>
            </w:tcBorders>
            <w:shd w:val="clear" w:color="auto" w:fill="E0E0E0"/>
            <w:vAlign w:val="center"/>
          </w:tcPr>
          <w:p w14:paraId="21EE2F58" w14:textId="22B09D55" w:rsidR="00453DB9" w:rsidRPr="00453DB9" w:rsidRDefault="00453DB9" w:rsidP="00453DB9">
            <w:pPr>
              <w:autoSpaceDE w:val="0"/>
              <w:autoSpaceDN w:val="0"/>
              <w:adjustRightInd w:val="0"/>
              <w:spacing w:after="0" w:line="240" w:lineRule="auto"/>
              <w:ind w:left="0" w:right="60" w:hanging="2"/>
              <w:rPr>
                <w:rFonts w:asciiTheme="majorBidi" w:hAnsiTheme="majorBidi" w:cstheme="majorBidi"/>
                <w:color w:val="000000" w:themeColor="text1"/>
                <w:sz w:val="20"/>
                <w:szCs w:val="20"/>
              </w:rPr>
            </w:pPr>
            <w:r w:rsidRPr="00453DB9">
              <w:rPr>
                <w:rFonts w:ascii="Times New Roman" w:eastAsia="Times New Roman" w:hAnsi="Times New Roman" w:cs="Times New Roman"/>
                <w:position w:val="0"/>
                <w:sz w:val="20"/>
                <w:szCs w:val="20"/>
                <w:lang w:val="en-ID" w:eastAsia="en-ID"/>
              </w:rPr>
              <w:t>Service Access (1)</w:t>
            </w:r>
          </w:p>
        </w:tc>
        <w:tc>
          <w:tcPr>
            <w:tcW w:w="850" w:type="dxa"/>
            <w:tcBorders>
              <w:top w:val="single" w:sz="8" w:space="0" w:color="AEAEAE"/>
              <w:left w:val="nil"/>
              <w:bottom w:val="single" w:sz="8" w:space="0" w:color="AEAEAE"/>
              <w:right w:val="single" w:sz="8" w:space="0" w:color="E0E0E0"/>
            </w:tcBorders>
            <w:shd w:val="clear" w:color="auto" w:fill="FFFFFF"/>
          </w:tcPr>
          <w:p w14:paraId="499AFB51" w14:textId="77777777" w:rsidR="00453DB9" w:rsidRPr="00BC63EF" w:rsidRDefault="00453DB9" w:rsidP="00453DB9">
            <w:pPr>
              <w:autoSpaceDE w:val="0"/>
              <w:autoSpaceDN w:val="0"/>
              <w:adjustRightInd w:val="0"/>
              <w:spacing w:after="0" w:line="240" w:lineRule="auto"/>
              <w:ind w:left="0" w:right="60" w:hanging="2"/>
              <w:jc w:val="right"/>
              <w:rPr>
                <w:rFonts w:asciiTheme="majorBidi" w:hAnsiTheme="majorBidi" w:cstheme="majorBidi"/>
                <w:color w:val="000000" w:themeColor="text1"/>
                <w:sz w:val="20"/>
                <w:szCs w:val="20"/>
              </w:rPr>
            </w:pPr>
            <w:r w:rsidRPr="00BC63EF">
              <w:rPr>
                <w:rFonts w:asciiTheme="majorBidi" w:hAnsiTheme="majorBidi" w:cstheme="majorBidi"/>
                <w:color w:val="000000" w:themeColor="text1"/>
                <w:sz w:val="20"/>
                <w:szCs w:val="20"/>
              </w:rPr>
              <w:t>1.798</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9A81CAE" w14:textId="77777777" w:rsidR="00453DB9" w:rsidRPr="00BC63EF" w:rsidRDefault="00453DB9" w:rsidP="00453DB9">
            <w:pPr>
              <w:autoSpaceDE w:val="0"/>
              <w:autoSpaceDN w:val="0"/>
              <w:adjustRightInd w:val="0"/>
              <w:spacing w:after="0" w:line="240" w:lineRule="auto"/>
              <w:ind w:left="0" w:right="60" w:hanging="2"/>
              <w:jc w:val="right"/>
              <w:rPr>
                <w:rFonts w:asciiTheme="majorBidi" w:hAnsiTheme="majorBidi" w:cstheme="majorBidi"/>
                <w:color w:val="000000" w:themeColor="text1"/>
                <w:sz w:val="20"/>
                <w:szCs w:val="20"/>
              </w:rPr>
            </w:pPr>
            <w:r w:rsidRPr="00BC63EF">
              <w:rPr>
                <w:rFonts w:asciiTheme="majorBidi" w:hAnsiTheme="majorBidi" w:cstheme="majorBidi"/>
                <w:color w:val="000000" w:themeColor="text1"/>
                <w:sz w:val="20"/>
                <w:szCs w:val="20"/>
              </w:rPr>
              <w:t>.861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1611947" w14:textId="77777777" w:rsidR="00453DB9" w:rsidRPr="00BC63EF" w:rsidRDefault="00453DB9" w:rsidP="00453DB9">
            <w:pPr>
              <w:autoSpaceDE w:val="0"/>
              <w:autoSpaceDN w:val="0"/>
              <w:adjustRightInd w:val="0"/>
              <w:spacing w:after="0" w:line="240" w:lineRule="auto"/>
              <w:ind w:left="0" w:right="60" w:hanging="2"/>
              <w:jc w:val="right"/>
              <w:rPr>
                <w:rFonts w:asciiTheme="majorBidi" w:hAnsiTheme="majorBidi" w:cstheme="majorBidi"/>
                <w:color w:val="000000" w:themeColor="text1"/>
                <w:sz w:val="20"/>
                <w:szCs w:val="20"/>
              </w:rPr>
            </w:pPr>
            <w:r w:rsidRPr="00BC63EF">
              <w:rPr>
                <w:rFonts w:asciiTheme="majorBidi" w:hAnsiTheme="majorBidi" w:cstheme="majorBidi"/>
                <w:color w:val="000000" w:themeColor="text1"/>
                <w:sz w:val="20"/>
                <w:szCs w:val="20"/>
              </w:rPr>
              <w:t>4.355</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5137902" w14:textId="77777777" w:rsidR="00453DB9" w:rsidRPr="00BC63EF" w:rsidRDefault="00453DB9" w:rsidP="00453DB9">
            <w:pPr>
              <w:autoSpaceDE w:val="0"/>
              <w:autoSpaceDN w:val="0"/>
              <w:adjustRightInd w:val="0"/>
              <w:spacing w:after="0" w:line="240" w:lineRule="auto"/>
              <w:ind w:left="0" w:right="60" w:hanging="2"/>
              <w:jc w:val="right"/>
              <w:rPr>
                <w:rFonts w:asciiTheme="majorBidi" w:hAnsiTheme="majorBidi" w:cstheme="majorBidi"/>
                <w:color w:val="000000" w:themeColor="text1"/>
                <w:sz w:val="20"/>
                <w:szCs w:val="20"/>
              </w:rPr>
            </w:pPr>
            <w:r w:rsidRPr="00BC63EF">
              <w:rPr>
                <w:rFonts w:asciiTheme="majorBidi" w:hAnsiTheme="majorBidi" w:cstheme="majorBidi"/>
                <w:color w:val="000000" w:themeColor="text1"/>
                <w:sz w:val="20"/>
                <w:szCs w:val="20"/>
              </w:rPr>
              <w:t>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7160EC0" w14:textId="77777777" w:rsidR="00453DB9" w:rsidRPr="00BC63EF" w:rsidRDefault="00453DB9" w:rsidP="00453DB9">
            <w:pPr>
              <w:autoSpaceDE w:val="0"/>
              <w:autoSpaceDN w:val="0"/>
              <w:adjustRightInd w:val="0"/>
              <w:spacing w:after="0" w:line="240" w:lineRule="auto"/>
              <w:ind w:left="0" w:right="60" w:hanging="2"/>
              <w:jc w:val="right"/>
              <w:rPr>
                <w:rFonts w:asciiTheme="majorBidi" w:hAnsiTheme="majorBidi" w:cstheme="majorBidi"/>
                <w:color w:val="000000" w:themeColor="text1"/>
                <w:sz w:val="20"/>
                <w:szCs w:val="20"/>
              </w:rPr>
            </w:pPr>
            <w:r w:rsidRPr="00BC63EF">
              <w:rPr>
                <w:rFonts w:asciiTheme="majorBidi" w:hAnsiTheme="majorBidi" w:cstheme="majorBidi"/>
                <w:color w:val="000000" w:themeColor="text1"/>
                <w:sz w:val="20"/>
                <w:szCs w:val="20"/>
              </w:rPr>
              <w:t>.037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2440D177" w14:textId="77777777" w:rsidR="00453DB9" w:rsidRPr="00BC63EF" w:rsidRDefault="00453DB9" w:rsidP="00453DB9">
            <w:pPr>
              <w:autoSpaceDE w:val="0"/>
              <w:autoSpaceDN w:val="0"/>
              <w:adjustRightInd w:val="0"/>
              <w:spacing w:after="0" w:line="240" w:lineRule="auto"/>
              <w:ind w:left="0" w:right="60" w:hanging="2"/>
              <w:jc w:val="right"/>
              <w:rPr>
                <w:rFonts w:asciiTheme="majorBidi" w:hAnsiTheme="majorBidi" w:cstheme="majorBidi"/>
                <w:color w:val="000000" w:themeColor="text1"/>
                <w:sz w:val="20"/>
                <w:szCs w:val="20"/>
              </w:rPr>
            </w:pPr>
            <w:r w:rsidRPr="00BC63EF">
              <w:rPr>
                <w:rFonts w:asciiTheme="majorBidi" w:hAnsiTheme="majorBidi" w:cstheme="majorBidi"/>
                <w:color w:val="000000" w:themeColor="text1"/>
                <w:sz w:val="20"/>
                <w:szCs w:val="20"/>
              </w:rPr>
              <w:t>6.036</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65B0837E" w14:textId="77777777" w:rsidR="00453DB9" w:rsidRPr="00BC63EF" w:rsidRDefault="00453DB9" w:rsidP="00453DB9">
            <w:pPr>
              <w:autoSpaceDE w:val="0"/>
              <w:autoSpaceDN w:val="0"/>
              <w:adjustRightInd w:val="0"/>
              <w:spacing w:after="0" w:line="240" w:lineRule="auto"/>
              <w:ind w:left="0" w:right="60" w:hanging="2"/>
              <w:jc w:val="right"/>
              <w:rPr>
                <w:rFonts w:asciiTheme="majorBidi" w:hAnsiTheme="majorBidi" w:cstheme="majorBidi"/>
                <w:color w:val="000000" w:themeColor="text1"/>
                <w:sz w:val="20"/>
                <w:szCs w:val="20"/>
              </w:rPr>
            </w:pPr>
            <w:r w:rsidRPr="00BC63EF">
              <w:rPr>
                <w:rFonts w:asciiTheme="majorBidi" w:hAnsiTheme="majorBidi" w:cstheme="majorBidi"/>
                <w:color w:val="000000" w:themeColor="text1"/>
                <w:sz w:val="20"/>
                <w:szCs w:val="20"/>
              </w:rPr>
              <w:t>1.116</w:t>
            </w:r>
          </w:p>
        </w:tc>
        <w:tc>
          <w:tcPr>
            <w:tcW w:w="0" w:type="auto"/>
            <w:tcBorders>
              <w:top w:val="single" w:sz="8" w:space="0" w:color="AEAEAE"/>
              <w:left w:val="single" w:sz="8" w:space="0" w:color="E0E0E0"/>
              <w:bottom w:val="single" w:sz="8" w:space="0" w:color="AEAEAE"/>
              <w:right w:val="nil"/>
            </w:tcBorders>
            <w:shd w:val="clear" w:color="auto" w:fill="FFFFFF"/>
          </w:tcPr>
          <w:p w14:paraId="3FB15AA1" w14:textId="77777777" w:rsidR="00453DB9" w:rsidRPr="00BC63EF" w:rsidRDefault="00453DB9" w:rsidP="00453DB9">
            <w:pPr>
              <w:autoSpaceDE w:val="0"/>
              <w:autoSpaceDN w:val="0"/>
              <w:adjustRightInd w:val="0"/>
              <w:spacing w:after="0" w:line="240" w:lineRule="auto"/>
              <w:ind w:left="0" w:right="60" w:hanging="2"/>
              <w:jc w:val="right"/>
              <w:rPr>
                <w:rFonts w:asciiTheme="majorBidi" w:hAnsiTheme="majorBidi" w:cstheme="majorBidi"/>
                <w:color w:val="000000" w:themeColor="text1"/>
                <w:sz w:val="20"/>
                <w:szCs w:val="20"/>
              </w:rPr>
            </w:pPr>
            <w:r w:rsidRPr="00BC63EF">
              <w:rPr>
                <w:rFonts w:asciiTheme="majorBidi" w:hAnsiTheme="majorBidi" w:cstheme="majorBidi"/>
                <w:color w:val="000000" w:themeColor="text1"/>
                <w:sz w:val="20"/>
                <w:szCs w:val="20"/>
              </w:rPr>
              <w:t>32.659</w:t>
            </w:r>
          </w:p>
        </w:tc>
      </w:tr>
      <w:tr w:rsidR="00453DB9" w:rsidRPr="00BC63EF" w14:paraId="281DEF28" w14:textId="77777777" w:rsidTr="00453DB9">
        <w:trPr>
          <w:cantSplit/>
        </w:trPr>
        <w:tc>
          <w:tcPr>
            <w:tcW w:w="0" w:type="auto"/>
            <w:vMerge/>
            <w:tcBorders>
              <w:top w:val="single" w:sz="8" w:space="0" w:color="152935"/>
              <w:left w:val="nil"/>
              <w:bottom w:val="single" w:sz="8" w:space="0" w:color="152935"/>
              <w:right w:val="nil"/>
            </w:tcBorders>
            <w:shd w:val="clear" w:color="auto" w:fill="E0E0E0"/>
          </w:tcPr>
          <w:p w14:paraId="0D9D9573" w14:textId="77777777" w:rsidR="00453DB9" w:rsidRPr="00BC63EF" w:rsidRDefault="00453DB9" w:rsidP="00453DB9">
            <w:pPr>
              <w:autoSpaceDE w:val="0"/>
              <w:autoSpaceDN w:val="0"/>
              <w:adjustRightInd w:val="0"/>
              <w:spacing w:after="0" w:line="240" w:lineRule="auto"/>
              <w:ind w:left="0" w:hanging="2"/>
              <w:rPr>
                <w:rFonts w:asciiTheme="majorBidi" w:hAnsiTheme="majorBidi" w:cstheme="majorBidi"/>
                <w:color w:val="000000" w:themeColor="text1"/>
                <w:sz w:val="20"/>
                <w:szCs w:val="20"/>
              </w:rPr>
            </w:pPr>
          </w:p>
        </w:tc>
        <w:tc>
          <w:tcPr>
            <w:tcW w:w="2220" w:type="dxa"/>
            <w:tcBorders>
              <w:top w:val="single" w:sz="8" w:space="0" w:color="AEAEAE"/>
              <w:left w:val="nil"/>
              <w:bottom w:val="single" w:sz="8" w:space="0" w:color="AEAEAE"/>
              <w:right w:val="nil"/>
            </w:tcBorders>
            <w:shd w:val="clear" w:color="auto" w:fill="E0E0E0"/>
            <w:vAlign w:val="center"/>
          </w:tcPr>
          <w:p w14:paraId="717B065C" w14:textId="0188DBD3" w:rsidR="00453DB9" w:rsidRPr="00453DB9" w:rsidRDefault="00453DB9" w:rsidP="00453DB9">
            <w:pPr>
              <w:autoSpaceDE w:val="0"/>
              <w:autoSpaceDN w:val="0"/>
              <w:adjustRightInd w:val="0"/>
              <w:spacing w:after="0" w:line="240" w:lineRule="auto"/>
              <w:ind w:left="0" w:right="60" w:hanging="2"/>
              <w:rPr>
                <w:rFonts w:asciiTheme="majorBidi" w:hAnsiTheme="majorBidi" w:cstheme="majorBidi"/>
                <w:color w:val="000000" w:themeColor="text1"/>
                <w:sz w:val="20"/>
                <w:szCs w:val="20"/>
              </w:rPr>
            </w:pPr>
            <w:r w:rsidRPr="00453DB9">
              <w:rPr>
                <w:rFonts w:ascii="Times New Roman" w:eastAsia="Times New Roman" w:hAnsi="Times New Roman" w:cs="Times New Roman"/>
                <w:position w:val="0"/>
                <w:sz w:val="20"/>
                <w:szCs w:val="20"/>
                <w:lang w:val="en-ID" w:eastAsia="en-ID"/>
              </w:rPr>
              <w:t>Perceived Need (1)</w:t>
            </w:r>
          </w:p>
        </w:tc>
        <w:tc>
          <w:tcPr>
            <w:tcW w:w="850" w:type="dxa"/>
            <w:tcBorders>
              <w:top w:val="single" w:sz="8" w:space="0" w:color="AEAEAE"/>
              <w:left w:val="nil"/>
              <w:bottom w:val="single" w:sz="8" w:space="0" w:color="AEAEAE"/>
              <w:right w:val="single" w:sz="8" w:space="0" w:color="E0E0E0"/>
            </w:tcBorders>
            <w:shd w:val="clear" w:color="auto" w:fill="FFFFFF"/>
          </w:tcPr>
          <w:p w14:paraId="17AFF05C" w14:textId="77777777" w:rsidR="00453DB9" w:rsidRPr="00BC63EF" w:rsidRDefault="00453DB9" w:rsidP="00453DB9">
            <w:pPr>
              <w:autoSpaceDE w:val="0"/>
              <w:autoSpaceDN w:val="0"/>
              <w:adjustRightInd w:val="0"/>
              <w:spacing w:after="0" w:line="240" w:lineRule="auto"/>
              <w:ind w:left="0" w:right="60" w:hanging="2"/>
              <w:jc w:val="right"/>
              <w:rPr>
                <w:rFonts w:asciiTheme="majorBidi" w:hAnsiTheme="majorBidi" w:cstheme="majorBidi"/>
                <w:color w:val="000000" w:themeColor="text1"/>
                <w:sz w:val="20"/>
                <w:szCs w:val="20"/>
              </w:rPr>
            </w:pPr>
            <w:r w:rsidRPr="00BC63EF">
              <w:rPr>
                <w:rFonts w:asciiTheme="majorBidi" w:hAnsiTheme="majorBidi" w:cstheme="majorBidi"/>
                <w:color w:val="000000" w:themeColor="text1"/>
                <w:sz w:val="20"/>
                <w:szCs w:val="20"/>
              </w:rPr>
              <w:t>3.034</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53A4B37E" w14:textId="77777777" w:rsidR="00453DB9" w:rsidRPr="00BC63EF" w:rsidRDefault="00453DB9" w:rsidP="00453DB9">
            <w:pPr>
              <w:autoSpaceDE w:val="0"/>
              <w:autoSpaceDN w:val="0"/>
              <w:adjustRightInd w:val="0"/>
              <w:spacing w:after="0" w:line="240" w:lineRule="auto"/>
              <w:ind w:left="0" w:right="60" w:hanging="2"/>
              <w:jc w:val="right"/>
              <w:rPr>
                <w:rFonts w:asciiTheme="majorBidi" w:hAnsiTheme="majorBidi" w:cstheme="majorBidi"/>
                <w:color w:val="000000" w:themeColor="text1"/>
                <w:sz w:val="20"/>
                <w:szCs w:val="20"/>
              </w:rPr>
            </w:pPr>
            <w:r w:rsidRPr="00BC63EF">
              <w:rPr>
                <w:rFonts w:asciiTheme="majorBidi" w:hAnsiTheme="majorBidi" w:cstheme="majorBidi"/>
                <w:color w:val="000000" w:themeColor="text1"/>
                <w:sz w:val="20"/>
                <w:szCs w:val="20"/>
              </w:rPr>
              <w:t>.967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086B9D8" w14:textId="77777777" w:rsidR="00453DB9" w:rsidRPr="00BC63EF" w:rsidRDefault="00453DB9" w:rsidP="00453DB9">
            <w:pPr>
              <w:autoSpaceDE w:val="0"/>
              <w:autoSpaceDN w:val="0"/>
              <w:adjustRightInd w:val="0"/>
              <w:spacing w:after="0" w:line="240" w:lineRule="auto"/>
              <w:ind w:left="0" w:right="60" w:hanging="2"/>
              <w:jc w:val="right"/>
              <w:rPr>
                <w:rFonts w:asciiTheme="majorBidi" w:hAnsiTheme="majorBidi" w:cstheme="majorBidi"/>
                <w:color w:val="000000" w:themeColor="text1"/>
                <w:sz w:val="20"/>
                <w:szCs w:val="20"/>
              </w:rPr>
            </w:pPr>
            <w:r w:rsidRPr="00BC63EF">
              <w:rPr>
                <w:rFonts w:asciiTheme="majorBidi" w:hAnsiTheme="majorBidi" w:cstheme="majorBidi"/>
                <w:color w:val="000000" w:themeColor="text1"/>
                <w:sz w:val="20"/>
                <w:szCs w:val="20"/>
              </w:rPr>
              <w:t>9.847</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B9481D6" w14:textId="77777777" w:rsidR="00453DB9" w:rsidRPr="00BC63EF" w:rsidRDefault="00453DB9" w:rsidP="00453DB9">
            <w:pPr>
              <w:autoSpaceDE w:val="0"/>
              <w:autoSpaceDN w:val="0"/>
              <w:adjustRightInd w:val="0"/>
              <w:spacing w:after="0" w:line="240" w:lineRule="auto"/>
              <w:ind w:left="0" w:right="60" w:hanging="2"/>
              <w:jc w:val="right"/>
              <w:rPr>
                <w:rFonts w:asciiTheme="majorBidi" w:hAnsiTheme="majorBidi" w:cstheme="majorBidi"/>
                <w:color w:val="000000" w:themeColor="text1"/>
                <w:sz w:val="20"/>
                <w:szCs w:val="20"/>
              </w:rPr>
            </w:pPr>
            <w:r w:rsidRPr="00BC63EF">
              <w:rPr>
                <w:rFonts w:asciiTheme="majorBidi" w:hAnsiTheme="majorBidi" w:cstheme="majorBidi"/>
                <w:color w:val="000000" w:themeColor="text1"/>
                <w:sz w:val="20"/>
                <w:szCs w:val="20"/>
              </w:rPr>
              <w:t>1</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0B45DE04" w14:textId="77777777" w:rsidR="00453DB9" w:rsidRPr="00BC63EF" w:rsidRDefault="00453DB9" w:rsidP="00453DB9">
            <w:pPr>
              <w:autoSpaceDE w:val="0"/>
              <w:autoSpaceDN w:val="0"/>
              <w:adjustRightInd w:val="0"/>
              <w:spacing w:after="0" w:line="240" w:lineRule="auto"/>
              <w:ind w:left="0" w:right="60" w:hanging="2"/>
              <w:jc w:val="right"/>
              <w:rPr>
                <w:rFonts w:asciiTheme="majorBidi" w:hAnsiTheme="majorBidi" w:cstheme="majorBidi"/>
                <w:color w:val="000000" w:themeColor="text1"/>
                <w:sz w:val="20"/>
                <w:szCs w:val="20"/>
              </w:rPr>
            </w:pPr>
            <w:r w:rsidRPr="00BC63EF">
              <w:rPr>
                <w:rFonts w:asciiTheme="majorBidi" w:hAnsiTheme="majorBidi" w:cstheme="majorBidi"/>
                <w:color w:val="000000" w:themeColor="text1"/>
                <w:sz w:val="20"/>
                <w:szCs w:val="20"/>
              </w:rPr>
              <w:t>.002</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1262E8E4" w14:textId="77777777" w:rsidR="00453DB9" w:rsidRPr="00BC63EF" w:rsidRDefault="00453DB9" w:rsidP="00453DB9">
            <w:pPr>
              <w:autoSpaceDE w:val="0"/>
              <w:autoSpaceDN w:val="0"/>
              <w:adjustRightInd w:val="0"/>
              <w:spacing w:after="0" w:line="240" w:lineRule="auto"/>
              <w:ind w:left="0" w:right="60" w:hanging="2"/>
              <w:jc w:val="right"/>
              <w:rPr>
                <w:rFonts w:asciiTheme="majorBidi" w:hAnsiTheme="majorBidi" w:cstheme="majorBidi"/>
                <w:color w:val="000000" w:themeColor="text1"/>
                <w:sz w:val="20"/>
                <w:szCs w:val="20"/>
              </w:rPr>
            </w:pPr>
            <w:r w:rsidRPr="00BC63EF">
              <w:rPr>
                <w:rFonts w:asciiTheme="majorBidi" w:hAnsiTheme="majorBidi" w:cstheme="majorBidi"/>
                <w:color w:val="000000" w:themeColor="text1"/>
                <w:sz w:val="20"/>
                <w:szCs w:val="20"/>
              </w:rPr>
              <w:t>20.778</w:t>
            </w:r>
          </w:p>
        </w:tc>
        <w:tc>
          <w:tcPr>
            <w:tcW w:w="0" w:type="auto"/>
            <w:tcBorders>
              <w:top w:val="single" w:sz="8" w:space="0" w:color="AEAEAE"/>
              <w:left w:val="single" w:sz="8" w:space="0" w:color="E0E0E0"/>
              <w:bottom w:val="single" w:sz="8" w:space="0" w:color="AEAEAE"/>
              <w:right w:val="single" w:sz="8" w:space="0" w:color="E0E0E0"/>
            </w:tcBorders>
            <w:shd w:val="clear" w:color="auto" w:fill="FFFFFF"/>
          </w:tcPr>
          <w:p w14:paraId="778D3776" w14:textId="77777777" w:rsidR="00453DB9" w:rsidRPr="00BC63EF" w:rsidRDefault="00453DB9" w:rsidP="00453DB9">
            <w:pPr>
              <w:autoSpaceDE w:val="0"/>
              <w:autoSpaceDN w:val="0"/>
              <w:adjustRightInd w:val="0"/>
              <w:spacing w:after="0" w:line="240" w:lineRule="auto"/>
              <w:ind w:left="0" w:right="60" w:hanging="2"/>
              <w:jc w:val="right"/>
              <w:rPr>
                <w:rFonts w:asciiTheme="majorBidi" w:hAnsiTheme="majorBidi" w:cstheme="majorBidi"/>
                <w:color w:val="000000" w:themeColor="text1"/>
                <w:sz w:val="20"/>
                <w:szCs w:val="20"/>
              </w:rPr>
            </w:pPr>
            <w:r w:rsidRPr="00BC63EF">
              <w:rPr>
                <w:rFonts w:asciiTheme="majorBidi" w:hAnsiTheme="majorBidi" w:cstheme="majorBidi"/>
                <w:color w:val="000000" w:themeColor="text1"/>
                <w:sz w:val="20"/>
                <w:szCs w:val="20"/>
              </w:rPr>
              <w:t>3.124</w:t>
            </w:r>
          </w:p>
        </w:tc>
        <w:tc>
          <w:tcPr>
            <w:tcW w:w="0" w:type="auto"/>
            <w:tcBorders>
              <w:top w:val="single" w:sz="8" w:space="0" w:color="AEAEAE"/>
              <w:left w:val="single" w:sz="8" w:space="0" w:color="E0E0E0"/>
              <w:bottom w:val="single" w:sz="8" w:space="0" w:color="AEAEAE"/>
              <w:right w:val="nil"/>
            </w:tcBorders>
            <w:shd w:val="clear" w:color="auto" w:fill="FFFFFF"/>
          </w:tcPr>
          <w:p w14:paraId="7F959263" w14:textId="77777777" w:rsidR="00453DB9" w:rsidRPr="00BC63EF" w:rsidRDefault="00453DB9" w:rsidP="00453DB9">
            <w:pPr>
              <w:autoSpaceDE w:val="0"/>
              <w:autoSpaceDN w:val="0"/>
              <w:adjustRightInd w:val="0"/>
              <w:spacing w:after="0" w:line="240" w:lineRule="auto"/>
              <w:ind w:left="0" w:right="60" w:hanging="2"/>
              <w:jc w:val="right"/>
              <w:rPr>
                <w:rFonts w:asciiTheme="majorBidi" w:hAnsiTheme="majorBidi" w:cstheme="majorBidi"/>
                <w:color w:val="000000" w:themeColor="text1"/>
                <w:sz w:val="20"/>
                <w:szCs w:val="20"/>
              </w:rPr>
            </w:pPr>
            <w:r w:rsidRPr="00BC63EF">
              <w:rPr>
                <w:rFonts w:asciiTheme="majorBidi" w:hAnsiTheme="majorBidi" w:cstheme="majorBidi"/>
                <w:color w:val="000000" w:themeColor="text1"/>
                <w:sz w:val="20"/>
                <w:szCs w:val="20"/>
              </w:rPr>
              <w:t>138.211</w:t>
            </w:r>
          </w:p>
        </w:tc>
      </w:tr>
      <w:tr w:rsidR="00453DB9" w:rsidRPr="00BC63EF" w14:paraId="599F9B2D" w14:textId="77777777" w:rsidTr="00453DB9">
        <w:trPr>
          <w:cantSplit/>
        </w:trPr>
        <w:tc>
          <w:tcPr>
            <w:tcW w:w="0" w:type="auto"/>
            <w:vMerge/>
            <w:tcBorders>
              <w:top w:val="single" w:sz="8" w:space="0" w:color="152935"/>
              <w:left w:val="nil"/>
              <w:bottom w:val="single" w:sz="8" w:space="0" w:color="152935"/>
              <w:right w:val="nil"/>
            </w:tcBorders>
            <w:shd w:val="clear" w:color="auto" w:fill="E0E0E0"/>
          </w:tcPr>
          <w:p w14:paraId="1F6C8981" w14:textId="77777777" w:rsidR="00453DB9" w:rsidRPr="00BC63EF" w:rsidRDefault="00453DB9" w:rsidP="00453DB9">
            <w:pPr>
              <w:autoSpaceDE w:val="0"/>
              <w:autoSpaceDN w:val="0"/>
              <w:adjustRightInd w:val="0"/>
              <w:spacing w:after="0" w:line="240" w:lineRule="auto"/>
              <w:ind w:left="0" w:hanging="2"/>
              <w:rPr>
                <w:rFonts w:asciiTheme="majorBidi" w:hAnsiTheme="majorBidi" w:cstheme="majorBidi"/>
                <w:color w:val="000000" w:themeColor="text1"/>
                <w:sz w:val="20"/>
                <w:szCs w:val="20"/>
              </w:rPr>
            </w:pPr>
          </w:p>
        </w:tc>
        <w:tc>
          <w:tcPr>
            <w:tcW w:w="2220" w:type="dxa"/>
            <w:tcBorders>
              <w:top w:val="single" w:sz="8" w:space="0" w:color="AEAEAE"/>
              <w:left w:val="nil"/>
              <w:bottom w:val="single" w:sz="8" w:space="0" w:color="152935"/>
              <w:right w:val="nil"/>
            </w:tcBorders>
            <w:shd w:val="clear" w:color="auto" w:fill="E0E0E0"/>
            <w:vAlign w:val="center"/>
          </w:tcPr>
          <w:p w14:paraId="21E3E7A4" w14:textId="30A5CA3C" w:rsidR="00453DB9" w:rsidRPr="00453DB9" w:rsidRDefault="00453DB9" w:rsidP="00453DB9">
            <w:pPr>
              <w:autoSpaceDE w:val="0"/>
              <w:autoSpaceDN w:val="0"/>
              <w:adjustRightInd w:val="0"/>
              <w:spacing w:after="0" w:line="240" w:lineRule="auto"/>
              <w:ind w:left="0" w:right="60" w:hanging="2"/>
              <w:rPr>
                <w:rFonts w:asciiTheme="majorBidi" w:hAnsiTheme="majorBidi" w:cstheme="majorBidi"/>
                <w:color w:val="000000" w:themeColor="text1"/>
                <w:sz w:val="20"/>
                <w:szCs w:val="20"/>
              </w:rPr>
            </w:pPr>
            <w:r w:rsidRPr="00453DB9">
              <w:rPr>
                <w:rFonts w:ascii="Times New Roman" w:eastAsia="Times New Roman" w:hAnsi="Times New Roman" w:cs="Times New Roman"/>
                <w:position w:val="0"/>
                <w:sz w:val="20"/>
                <w:szCs w:val="20"/>
                <w:lang w:val="en-ID" w:eastAsia="en-ID"/>
              </w:rPr>
              <w:t>Constant</w:t>
            </w:r>
          </w:p>
        </w:tc>
        <w:tc>
          <w:tcPr>
            <w:tcW w:w="850" w:type="dxa"/>
            <w:tcBorders>
              <w:top w:val="single" w:sz="8" w:space="0" w:color="AEAEAE"/>
              <w:left w:val="nil"/>
              <w:bottom w:val="single" w:sz="8" w:space="0" w:color="152935"/>
              <w:right w:val="single" w:sz="8" w:space="0" w:color="E0E0E0"/>
            </w:tcBorders>
            <w:shd w:val="clear" w:color="auto" w:fill="FFFFFF"/>
          </w:tcPr>
          <w:p w14:paraId="3F3A46E2" w14:textId="77777777" w:rsidR="00453DB9" w:rsidRPr="00BC63EF" w:rsidRDefault="00453DB9" w:rsidP="00453DB9">
            <w:pPr>
              <w:autoSpaceDE w:val="0"/>
              <w:autoSpaceDN w:val="0"/>
              <w:adjustRightInd w:val="0"/>
              <w:spacing w:after="0" w:line="240" w:lineRule="auto"/>
              <w:ind w:left="0" w:right="60" w:hanging="2"/>
              <w:jc w:val="right"/>
              <w:rPr>
                <w:rFonts w:asciiTheme="majorBidi" w:hAnsiTheme="majorBidi" w:cstheme="majorBidi"/>
                <w:color w:val="000000" w:themeColor="text1"/>
                <w:sz w:val="20"/>
                <w:szCs w:val="20"/>
              </w:rPr>
            </w:pPr>
            <w:r w:rsidRPr="00BC63EF">
              <w:rPr>
                <w:rFonts w:asciiTheme="majorBidi" w:hAnsiTheme="majorBidi" w:cstheme="majorBidi"/>
                <w:color w:val="000000" w:themeColor="text1"/>
                <w:sz w:val="20"/>
                <w:szCs w:val="20"/>
              </w:rPr>
              <w:t>-10.861</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39BE30CE" w14:textId="77777777" w:rsidR="00453DB9" w:rsidRPr="00BC63EF" w:rsidRDefault="00453DB9" w:rsidP="00453DB9">
            <w:pPr>
              <w:autoSpaceDE w:val="0"/>
              <w:autoSpaceDN w:val="0"/>
              <w:adjustRightInd w:val="0"/>
              <w:spacing w:after="0" w:line="240" w:lineRule="auto"/>
              <w:ind w:left="0" w:right="60" w:hanging="2"/>
              <w:jc w:val="right"/>
              <w:rPr>
                <w:rFonts w:asciiTheme="majorBidi" w:hAnsiTheme="majorBidi" w:cstheme="majorBidi"/>
                <w:color w:val="000000" w:themeColor="text1"/>
                <w:sz w:val="20"/>
                <w:szCs w:val="20"/>
              </w:rPr>
            </w:pPr>
            <w:r w:rsidRPr="00BC63EF">
              <w:rPr>
                <w:rFonts w:asciiTheme="majorBidi" w:hAnsiTheme="majorBidi" w:cstheme="majorBidi"/>
                <w:color w:val="000000" w:themeColor="text1"/>
                <w:sz w:val="20"/>
                <w:szCs w:val="20"/>
              </w:rPr>
              <w:t>2.196</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50632D78" w14:textId="77777777" w:rsidR="00453DB9" w:rsidRPr="00BC63EF" w:rsidRDefault="00453DB9" w:rsidP="00453DB9">
            <w:pPr>
              <w:autoSpaceDE w:val="0"/>
              <w:autoSpaceDN w:val="0"/>
              <w:adjustRightInd w:val="0"/>
              <w:spacing w:after="0" w:line="240" w:lineRule="auto"/>
              <w:ind w:left="0" w:right="60" w:hanging="2"/>
              <w:jc w:val="right"/>
              <w:rPr>
                <w:rFonts w:asciiTheme="majorBidi" w:hAnsiTheme="majorBidi" w:cstheme="majorBidi"/>
                <w:color w:val="000000" w:themeColor="text1"/>
                <w:sz w:val="20"/>
                <w:szCs w:val="20"/>
              </w:rPr>
            </w:pPr>
            <w:r w:rsidRPr="00BC63EF">
              <w:rPr>
                <w:rFonts w:asciiTheme="majorBidi" w:hAnsiTheme="majorBidi" w:cstheme="majorBidi"/>
                <w:color w:val="000000" w:themeColor="text1"/>
                <w:sz w:val="20"/>
                <w:szCs w:val="20"/>
              </w:rPr>
              <w:t>24.469</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07D43E3F" w14:textId="77777777" w:rsidR="00453DB9" w:rsidRPr="00BC63EF" w:rsidRDefault="00453DB9" w:rsidP="00453DB9">
            <w:pPr>
              <w:autoSpaceDE w:val="0"/>
              <w:autoSpaceDN w:val="0"/>
              <w:adjustRightInd w:val="0"/>
              <w:spacing w:after="0" w:line="240" w:lineRule="auto"/>
              <w:ind w:left="0" w:right="60" w:hanging="2"/>
              <w:jc w:val="right"/>
              <w:rPr>
                <w:rFonts w:asciiTheme="majorBidi" w:hAnsiTheme="majorBidi" w:cstheme="majorBidi"/>
                <w:color w:val="000000" w:themeColor="text1"/>
                <w:sz w:val="20"/>
                <w:szCs w:val="20"/>
              </w:rPr>
            </w:pPr>
            <w:r w:rsidRPr="00BC63EF">
              <w:rPr>
                <w:rFonts w:asciiTheme="majorBidi" w:hAnsiTheme="majorBidi" w:cstheme="majorBidi"/>
                <w:color w:val="000000" w:themeColor="text1"/>
                <w:sz w:val="20"/>
                <w:szCs w:val="20"/>
              </w:rPr>
              <w:t>1</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7464AEB5" w14:textId="77777777" w:rsidR="00453DB9" w:rsidRPr="00BC63EF" w:rsidRDefault="00453DB9" w:rsidP="00453DB9">
            <w:pPr>
              <w:autoSpaceDE w:val="0"/>
              <w:autoSpaceDN w:val="0"/>
              <w:adjustRightInd w:val="0"/>
              <w:spacing w:after="0" w:line="240" w:lineRule="auto"/>
              <w:ind w:left="0" w:right="60" w:hanging="2"/>
              <w:jc w:val="right"/>
              <w:rPr>
                <w:rFonts w:asciiTheme="majorBidi" w:hAnsiTheme="majorBidi" w:cstheme="majorBidi"/>
                <w:color w:val="000000" w:themeColor="text1"/>
                <w:sz w:val="20"/>
                <w:szCs w:val="20"/>
              </w:rPr>
            </w:pPr>
            <w:r w:rsidRPr="00BC63EF">
              <w:rPr>
                <w:rFonts w:asciiTheme="majorBidi" w:hAnsiTheme="majorBidi" w:cstheme="majorBidi"/>
                <w:color w:val="000000" w:themeColor="text1"/>
                <w:sz w:val="20"/>
                <w:szCs w:val="20"/>
              </w:rPr>
              <w:t>.000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tcPr>
          <w:p w14:paraId="558F3BF5" w14:textId="77777777" w:rsidR="00453DB9" w:rsidRPr="00BC63EF" w:rsidRDefault="00453DB9" w:rsidP="00453DB9">
            <w:pPr>
              <w:autoSpaceDE w:val="0"/>
              <w:autoSpaceDN w:val="0"/>
              <w:adjustRightInd w:val="0"/>
              <w:spacing w:after="0" w:line="240" w:lineRule="auto"/>
              <w:ind w:left="0" w:right="60" w:hanging="2"/>
              <w:jc w:val="right"/>
              <w:rPr>
                <w:rFonts w:asciiTheme="majorBidi" w:hAnsiTheme="majorBidi" w:cstheme="majorBidi"/>
                <w:color w:val="000000" w:themeColor="text1"/>
                <w:sz w:val="20"/>
                <w:szCs w:val="20"/>
              </w:rPr>
            </w:pPr>
            <w:r w:rsidRPr="00BC63EF">
              <w:rPr>
                <w:rFonts w:asciiTheme="majorBidi" w:hAnsiTheme="majorBidi" w:cstheme="majorBidi"/>
                <w:color w:val="000000" w:themeColor="text1"/>
                <w:sz w:val="20"/>
                <w:szCs w:val="20"/>
              </w:rPr>
              <w:t>.000</w:t>
            </w:r>
          </w:p>
        </w:tc>
        <w:tc>
          <w:tcPr>
            <w:tcW w:w="0" w:type="auto"/>
            <w:tcBorders>
              <w:top w:val="single" w:sz="8" w:space="0" w:color="AEAEAE"/>
              <w:left w:val="single" w:sz="8" w:space="0" w:color="E0E0E0"/>
              <w:bottom w:val="single" w:sz="8" w:space="0" w:color="152935"/>
              <w:right w:val="single" w:sz="8" w:space="0" w:color="E0E0E0"/>
            </w:tcBorders>
            <w:shd w:val="clear" w:color="auto" w:fill="FFFFFF"/>
            <w:vAlign w:val="center"/>
          </w:tcPr>
          <w:p w14:paraId="72FBF68D" w14:textId="77777777" w:rsidR="00453DB9" w:rsidRPr="00BC63EF" w:rsidRDefault="00453DB9" w:rsidP="00453DB9">
            <w:pPr>
              <w:autoSpaceDE w:val="0"/>
              <w:autoSpaceDN w:val="0"/>
              <w:adjustRightInd w:val="0"/>
              <w:spacing w:after="0" w:line="240" w:lineRule="auto"/>
              <w:ind w:left="0" w:hanging="2"/>
              <w:rPr>
                <w:rFonts w:asciiTheme="majorBidi" w:hAnsiTheme="majorBidi" w:cstheme="majorBidi"/>
                <w:color w:val="000000" w:themeColor="text1"/>
                <w:sz w:val="20"/>
                <w:szCs w:val="20"/>
              </w:rPr>
            </w:pPr>
          </w:p>
        </w:tc>
        <w:tc>
          <w:tcPr>
            <w:tcW w:w="0" w:type="auto"/>
            <w:tcBorders>
              <w:top w:val="single" w:sz="8" w:space="0" w:color="AEAEAE"/>
              <w:left w:val="single" w:sz="8" w:space="0" w:color="E0E0E0"/>
              <w:bottom w:val="single" w:sz="8" w:space="0" w:color="152935"/>
              <w:right w:val="nil"/>
            </w:tcBorders>
            <w:shd w:val="clear" w:color="auto" w:fill="FFFFFF"/>
            <w:vAlign w:val="center"/>
          </w:tcPr>
          <w:p w14:paraId="472E632D" w14:textId="77777777" w:rsidR="00453DB9" w:rsidRPr="00BC63EF" w:rsidRDefault="00453DB9" w:rsidP="00453DB9">
            <w:pPr>
              <w:autoSpaceDE w:val="0"/>
              <w:autoSpaceDN w:val="0"/>
              <w:adjustRightInd w:val="0"/>
              <w:spacing w:after="0" w:line="240" w:lineRule="auto"/>
              <w:ind w:left="0" w:hanging="2"/>
              <w:rPr>
                <w:rFonts w:asciiTheme="majorBidi" w:hAnsiTheme="majorBidi" w:cstheme="majorBidi"/>
                <w:color w:val="000000" w:themeColor="text1"/>
                <w:sz w:val="20"/>
                <w:szCs w:val="20"/>
              </w:rPr>
            </w:pPr>
          </w:p>
        </w:tc>
      </w:tr>
      <w:tr w:rsidR="00020A2C" w:rsidRPr="00BC63EF" w14:paraId="31A49812" w14:textId="77777777" w:rsidTr="00453DB9">
        <w:trPr>
          <w:cantSplit/>
        </w:trPr>
        <w:tc>
          <w:tcPr>
            <w:tcW w:w="8159" w:type="dxa"/>
            <w:gridSpan w:val="10"/>
            <w:tcBorders>
              <w:top w:val="nil"/>
              <w:left w:val="nil"/>
              <w:bottom w:val="nil"/>
              <w:right w:val="nil"/>
            </w:tcBorders>
            <w:shd w:val="clear" w:color="auto" w:fill="FFFFFF"/>
          </w:tcPr>
          <w:p w14:paraId="5B10E16A" w14:textId="59A5A22E" w:rsidR="00020A2C" w:rsidRPr="00BC63EF" w:rsidRDefault="00020A2C" w:rsidP="00BC63EF">
            <w:pPr>
              <w:autoSpaceDE w:val="0"/>
              <w:autoSpaceDN w:val="0"/>
              <w:adjustRightInd w:val="0"/>
              <w:spacing w:after="0" w:line="240" w:lineRule="auto"/>
              <w:ind w:left="0" w:right="60" w:hanging="2"/>
              <w:rPr>
                <w:rFonts w:asciiTheme="majorBidi" w:hAnsiTheme="majorBidi" w:cstheme="majorBidi"/>
                <w:color w:val="000000" w:themeColor="text1"/>
                <w:sz w:val="16"/>
                <w:szCs w:val="16"/>
              </w:rPr>
            </w:pPr>
            <w:r w:rsidRPr="00BC63EF">
              <w:rPr>
                <w:rFonts w:asciiTheme="majorBidi" w:hAnsiTheme="majorBidi" w:cstheme="majorBidi"/>
                <w:color w:val="000000" w:themeColor="text1"/>
                <w:sz w:val="16"/>
                <w:szCs w:val="16"/>
              </w:rPr>
              <w:t xml:space="preserve">a. </w:t>
            </w:r>
            <w:r w:rsidR="00453DB9" w:rsidRPr="00453DB9">
              <w:rPr>
                <w:rFonts w:asciiTheme="majorBidi" w:hAnsiTheme="majorBidi" w:cstheme="majorBidi"/>
                <w:sz w:val="16"/>
                <w:szCs w:val="16"/>
              </w:rPr>
              <w:t>Variable(s) entered on Step 1: Knowledge, Family Support, Health Worker Support, Service Access, Perceived Need.</w:t>
            </w:r>
          </w:p>
        </w:tc>
      </w:tr>
    </w:tbl>
    <w:p w14:paraId="126AA7FC" w14:textId="77777777" w:rsidR="00020A2C" w:rsidRPr="001D3DC3" w:rsidRDefault="00020A2C" w:rsidP="001D3DC3">
      <w:pPr>
        <w:spacing w:after="0" w:line="360" w:lineRule="auto"/>
        <w:ind w:left="0" w:hanging="2"/>
        <w:jc w:val="both"/>
        <w:rPr>
          <w:rFonts w:asciiTheme="majorBidi" w:eastAsia="Times New Roman" w:hAnsiTheme="majorBidi" w:cstheme="majorBidi"/>
          <w:sz w:val="24"/>
          <w:szCs w:val="24"/>
          <w:lang w:eastAsia="en-ID"/>
        </w:rPr>
      </w:pPr>
    </w:p>
    <w:p w14:paraId="23B4FA1C" w14:textId="1E885036" w:rsidR="00DC28CF" w:rsidRPr="00DC28CF" w:rsidRDefault="00DC28CF" w:rsidP="00453DB9">
      <w:pPr>
        <w:pStyle w:val="ListParagraph"/>
        <w:widowControl w:val="0"/>
        <w:ind w:leftChars="129" w:left="284" w:firstLineChars="236" w:firstLine="566"/>
        <w:textDirection w:val="lrTb"/>
        <w:rPr>
          <w:rFonts w:eastAsia="Times New Roman" w:cs="Times New Roman"/>
          <w:position w:val="0"/>
          <w:szCs w:val="24"/>
          <w:lang w:val="en-ID" w:eastAsia="en-ID"/>
        </w:rPr>
      </w:pPr>
      <w:r w:rsidRPr="00DC28CF">
        <w:rPr>
          <w:rFonts w:eastAsia="Times New Roman" w:cs="Times New Roman"/>
          <w:position w:val="0"/>
          <w:szCs w:val="24"/>
          <w:lang w:val="en-ID" w:eastAsia="en-ID"/>
        </w:rPr>
        <w:t xml:space="preserve">The logistic regression analysis revealed that all variables—knowledge, family support, health worker support, service access, and perceived need—had a significant influence on </w:t>
      </w:r>
      <w:proofErr w:type="spellStart"/>
      <w:r w:rsidRPr="00DC28CF">
        <w:rPr>
          <w:rFonts w:eastAsia="Times New Roman" w:cs="Times New Roman"/>
          <w:position w:val="0"/>
          <w:szCs w:val="24"/>
          <w:lang w:val="en-ID" w:eastAsia="en-ID"/>
        </w:rPr>
        <w:t>Prolanis</w:t>
      </w:r>
      <w:proofErr w:type="spellEnd"/>
      <w:r w:rsidRPr="00DC28CF">
        <w:rPr>
          <w:rFonts w:eastAsia="Times New Roman" w:cs="Times New Roman"/>
          <w:position w:val="0"/>
          <w:szCs w:val="24"/>
          <w:lang w:val="en-ID" w:eastAsia="en-ID"/>
        </w:rPr>
        <w:t xml:space="preserve"> utilization (p &lt; 0.05). Each factor contributed to increasing the likelihood of patients utilizing the program, although the magnitude of influence varied across variables. The most influential factor was family support, with an Exp(B) value of 39.868, indicating that patients who received family support were nearly 40 times more likely to utilize </w:t>
      </w:r>
      <w:proofErr w:type="spellStart"/>
      <w:r w:rsidRPr="00DC28CF">
        <w:rPr>
          <w:rFonts w:eastAsia="Times New Roman" w:cs="Times New Roman"/>
          <w:position w:val="0"/>
          <w:szCs w:val="24"/>
          <w:lang w:val="en-ID" w:eastAsia="en-ID"/>
        </w:rPr>
        <w:t>Prolanis</w:t>
      </w:r>
      <w:proofErr w:type="spellEnd"/>
      <w:r w:rsidRPr="00DC28CF">
        <w:rPr>
          <w:rFonts w:eastAsia="Times New Roman" w:cs="Times New Roman"/>
          <w:position w:val="0"/>
          <w:szCs w:val="24"/>
          <w:lang w:val="en-ID" w:eastAsia="en-ID"/>
        </w:rPr>
        <w:t xml:space="preserve"> compared to those without such support. Other strong predictors included knowledge (Exp(B) = 24.877) and perceived need (Exp(B) = 20.778), demonstrating that patients’ understanding of their condition and their awareness of the importance of </w:t>
      </w:r>
      <w:proofErr w:type="spellStart"/>
      <w:r w:rsidRPr="00DC28CF">
        <w:rPr>
          <w:rFonts w:eastAsia="Times New Roman" w:cs="Times New Roman"/>
          <w:position w:val="0"/>
          <w:szCs w:val="24"/>
          <w:lang w:val="en-ID" w:eastAsia="en-ID"/>
        </w:rPr>
        <w:t>Prolanis</w:t>
      </w:r>
      <w:proofErr w:type="spellEnd"/>
      <w:r w:rsidRPr="00DC28CF">
        <w:rPr>
          <w:rFonts w:eastAsia="Times New Roman" w:cs="Times New Roman"/>
          <w:position w:val="0"/>
          <w:szCs w:val="24"/>
          <w:lang w:val="en-ID" w:eastAsia="en-ID"/>
        </w:rPr>
        <w:t xml:space="preserve"> significantly influenced their engagement in the program. Support from health workers (Exp(B) = 10.948) and service access (Exp(B) = 6.036) were also significant, although their effects were relatively smaller than the preceding variables. Overall, these results show that individual factors, social support, and accessibility play a crucial role in determining patient participation in </w:t>
      </w:r>
      <w:proofErr w:type="spellStart"/>
      <w:r w:rsidRPr="00DC28CF">
        <w:rPr>
          <w:rFonts w:eastAsia="Times New Roman" w:cs="Times New Roman"/>
          <w:position w:val="0"/>
          <w:szCs w:val="24"/>
          <w:lang w:val="en-ID" w:eastAsia="en-ID"/>
        </w:rPr>
        <w:t>Prolanis</w:t>
      </w:r>
      <w:proofErr w:type="spellEnd"/>
      <w:r w:rsidRPr="00DC28CF">
        <w:rPr>
          <w:rFonts w:eastAsia="Times New Roman" w:cs="Times New Roman"/>
          <w:position w:val="0"/>
          <w:szCs w:val="24"/>
          <w:lang w:val="en-ID" w:eastAsia="en-ID"/>
        </w:rPr>
        <w:t>, as reflected in the negative constant value indicating low baseline likelihood of utilization without the presence of these influencing factors.</w:t>
      </w:r>
    </w:p>
    <w:p w14:paraId="6A0418CE" w14:textId="77777777" w:rsidR="005852D4" w:rsidRDefault="005852D4" w:rsidP="00453DB9">
      <w:pPr>
        <w:spacing w:after="0" w:line="360" w:lineRule="auto"/>
        <w:ind w:left="0" w:hanging="2"/>
        <w:jc w:val="both"/>
        <w:rPr>
          <w:rFonts w:ascii="Times New Roman" w:eastAsia="Times New Roman" w:hAnsi="Times New Roman" w:cs="Times New Roman"/>
          <w:sz w:val="24"/>
          <w:szCs w:val="24"/>
        </w:rPr>
      </w:pPr>
    </w:p>
    <w:p w14:paraId="3A3894A4" w14:textId="48BFCB30" w:rsidR="005852D4" w:rsidRDefault="002678EE" w:rsidP="00453DB9">
      <w:pPr>
        <w:spacing w:after="0" w:line="36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DISCUSSION</w:t>
      </w:r>
    </w:p>
    <w:p w14:paraId="189454C0" w14:textId="1C8B494D" w:rsidR="00453DB9" w:rsidRPr="00453DB9" w:rsidRDefault="00453DB9" w:rsidP="00453DB9">
      <w:pPr>
        <w:pStyle w:val="ListParagraph"/>
        <w:numPr>
          <w:ilvl w:val="8"/>
          <w:numId w:val="1"/>
        </w:numPr>
        <w:suppressAutoHyphens w:val="0"/>
        <w:ind w:leftChars="0" w:left="284" w:firstLineChars="0" w:hanging="286"/>
        <w:textDirection w:val="lrTb"/>
        <w:textAlignment w:val="auto"/>
        <w:outlineLvl w:val="9"/>
        <w:rPr>
          <w:rFonts w:asciiTheme="majorBidi" w:eastAsia="Times New Roman" w:hAnsiTheme="majorBidi" w:cstheme="majorBidi"/>
          <w:b/>
          <w:bCs/>
          <w:szCs w:val="24"/>
          <w:lang w:eastAsia="en-ID"/>
        </w:rPr>
      </w:pPr>
      <w:r w:rsidRPr="00453DB9">
        <w:rPr>
          <w:b/>
          <w:bCs/>
        </w:rPr>
        <w:t>Relationship Between Knowledge and Utilization of the Chronic Disease Management Program (</w:t>
      </w:r>
      <w:proofErr w:type="spellStart"/>
      <w:r w:rsidRPr="00453DB9">
        <w:rPr>
          <w:b/>
          <w:bCs/>
        </w:rPr>
        <w:t>Prolanis</w:t>
      </w:r>
      <w:proofErr w:type="spellEnd"/>
      <w:r w:rsidRPr="00453DB9">
        <w:rPr>
          <w:b/>
          <w:bCs/>
        </w:rPr>
        <w:t>)</w:t>
      </w:r>
    </w:p>
    <w:p w14:paraId="2D3569CF" w14:textId="0AD38CF8" w:rsidR="00E11126" w:rsidRDefault="00453DB9" w:rsidP="00453DB9">
      <w:pPr>
        <w:pStyle w:val="ListParagraph"/>
        <w:ind w:leftChars="129" w:left="284" w:firstLineChars="236" w:firstLine="566"/>
        <w:rPr>
          <w:rFonts w:asciiTheme="majorBidi" w:hAnsiTheme="majorBidi" w:cstheme="majorBidi"/>
          <w:szCs w:val="24"/>
        </w:rPr>
      </w:pPr>
      <w:r>
        <w:t xml:space="preserve">The findings indicate that the level of knowledge among Diabetes Mellitus patients in </w:t>
      </w:r>
      <w:proofErr w:type="spellStart"/>
      <w:r>
        <w:t>Demak</w:t>
      </w:r>
      <w:proofErr w:type="spellEnd"/>
      <w:r>
        <w:t xml:space="preserve"> Regency regarding the utilization of the Chronic Disease Management Program (</w:t>
      </w:r>
      <w:proofErr w:type="spellStart"/>
      <w:r>
        <w:t>Prolanis</w:t>
      </w:r>
      <w:proofErr w:type="spellEnd"/>
      <w:r>
        <w:t xml:space="preserve">) remains varied and uneven across primary health centers. The knowledge category shows that 62.5% of respondents possess good knowledge, while 37.5% have poor knowledge, and the data are not normally distributed. This variation is reflected in persistent </w:t>
      </w:r>
      <w:r>
        <w:lastRenderedPageBreak/>
        <w:t>misconceptions, particularly concerning program objectives, service mechanisms, and the importance of routine monitoring</w:t>
      </w:r>
      <w:r>
        <w:t xml:space="preserve"> </w:t>
      </w:r>
      <w:r w:rsidR="00020A2C" w:rsidRPr="00BC63EF">
        <w:rPr>
          <w:rFonts w:asciiTheme="majorBidi" w:eastAsia="Times New Roman" w:hAnsiTheme="majorBidi" w:cstheme="majorBidi"/>
          <w:szCs w:val="24"/>
          <w:lang w:eastAsia="en-ID"/>
        </w:rPr>
        <w:fldChar w:fldCharType="begin" w:fldLock="1"/>
      </w:r>
      <w:r w:rsidR="00EC477A">
        <w:rPr>
          <w:rFonts w:asciiTheme="majorBidi" w:eastAsia="Times New Roman" w:hAnsiTheme="majorBidi" w:cstheme="majorBidi"/>
          <w:szCs w:val="24"/>
          <w:lang w:eastAsia="en-ID"/>
        </w:rPr>
        <w:instrText>ADDIN CSL_CITATION {"citationItems":[{"id":"ITEM-1","itemData":{"author":[{"dropping-particle":"","family":"Nurmaulina","given":"Wage","non-dropping-particle":"","parse-names":false,"suffix":""},{"dropping-particle":"","family":"Samino","given":"","non-dropping-particle":"","parse-names":false,"suffix":""},{"dropping-particle":"","family":"Riyanto","given":"","non-dropping-particle":"","parse-names":false,"suffix":""},{"dropping-particle":"","family":"Widiani","given":"N","non-dropping-particle":"","parse-names":false,"suffix":""}],"container-title":"Jurnal Ilmu Kedokteran dan Kesehatan","id":"ITEM-1","issue":"3","issued":{"date-parts":[["2022"]]},"page":"1073-1080","title":"Pemanfaatan Program Prolanis Penderita Diabetes Melitus","type":"article-journal","volume":"9"},"uris":["http://www.mendeley.com/documents/?uuid=087bc909-8351-4f74-9794-549dfa9dc800"]}],"mendeley":{"formattedCitation":"(Nurmaulina et al., 2022)","plainTextFormattedCitation":"(Nurmaulina et al., 2022)","previouslyFormattedCitation":"(Nurmaulina et al., 2022)"},"properties":{"noteIndex":0},"schema":"https://github.com/citation-style-language/schema/raw/master/csl-citation.json"}</w:instrText>
      </w:r>
      <w:r w:rsidR="00020A2C" w:rsidRPr="00BC63EF">
        <w:rPr>
          <w:rFonts w:asciiTheme="majorBidi" w:eastAsia="Times New Roman" w:hAnsiTheme="majorBidi" w:cstheme="majorBidi"/>
          <w:szCs w:val="24"/>
          <w:lang w:eastAsia="en-ID"/>
        </w:rPr>
        <w:fldChar w:fldCharType="separate"/>
      </w:r>
      <w:r w:rsidR="00AF4670" w:rsidRPr="00BC63EF">
        <w:rPr>
          <w:rFonts w:asciiTheme="majorBidi" w:eastAsia="Times New Roman" w:hAnsiTheme="majorBidi" w:cstheme="majorBidi"/>
          <w:noProof/>
          <w:szCs w:val="24"/>
          <w:lang w:eastAsia="en-ID"/>
        </w:rPr>
        <w:t>(Nurmaulina et al., 2022)</w:t>
      </w:r>
      <w:r w:rsidR="00020A2C" w:rsidRPr="00BC63EF">
        <w:rPr>
          <w:rFonts w:asciiTheme="majorBidi" w:eastAsia="Times New Roman" w:hAnsiTheme="majorBidi" w:cstheme="majorBidi"/>
          <w:szCs w:val="24"/>
          <w:lang w:eastAsia="en-ID"/>
        </w:rPr>
        <w:fldChar w:fldCharType="end"/>
      </w:r>
      <w:r w:rsidR="00A5017E">
        <w:rPr>
          <w:rFonts w:asciiTheme="majorBidi" w:eastAsia="Times New Roman" w:hAnsiTheme="majorBidi" w:cstheme="majorBidi"/>
          <w:szCs w:val="24"/>
          <w:lang w:eastAsia="en-ID"/>
        </w:rPr>
        <w:t xml:space="preserve">. </w:t>
      </w:r>
      <w:r>
        <w:t xml:space="preserve">Patient understanding of </w:t>
      </w:r>
      <w:proofErr w:type="spellStart"/>
      <w:r>
        <w:t>Prolanis</w:t>
      </w:r>
      <w:proofErr w:type="spellEnd"/>
      <w:r>
        <w:t xml:space="preserve"> membership coverage shows relatively positive results, consistent with the BPJS Health </w:t>
      </w:r>
      <w:proofErr w:type="spellStart"/>
      <w:r>
        <w:t>Prolanis</w:t>
      </w:r>
      <w:proofErr w:type="spellEnd"/>
      <w:r>
        <w:t xml:space="preserve"> guidelines emphasizing promotive–preventive activities through education and continuous monitoring</w:t>
      </w:r>
      <w:r>
        <w:t xml:space="preserve"> </w:t>
      </w:r>
      <w:r w:rsidR="00E11126" w:rsidRPr="00BC63EF">
        <w:rPr>
          <w:rFonts w:asciiTheme="majorBidi" w:hAnsiTheme="majorBidi" w:cstheme="majorBidi"/>
          <w:szCs w:val="24"/>
        </w:rPr>
        <w:fldChar w:fldCharType="begin" w:fldLock="1"/>
      </w:r>
      <w:r w:rsidR="00EC477A">
        <w:rPr>
          <w:rFonts w:asciiTheme="majorBidi" w:hAnsiTheme="majorBidi" w:cstheme="majorBidi"/>
          <w:szCs w:val="24"/>
        </w:rPr>
        <w:instrText>ADDIN CSL_CITATION {"citationItems":[{"id":"ITEM-1","itemData":{"author":[{"dropping-particle":"","family":"Darmayanti","given":"Osaria","non-dropping-particle":"","parse-names":false,"suffix":""},{"dropping-particle":"","family":"Darmawan","given":"","non-dropping-particle":"","parse-names":false,"suffix":""},{"dropping-particle":"","family":"Kusumawardani","given":"Eva Flourentina","non-dropping-particle":"","parse-names":false,"suffix":""},{"dropping-particle":"","family":"Safrizal","given":"","non-dropping-particle":"","parse-names":false,"suffix":""},{"dropping-particle":"","family":"Siregar","given":"Siti Maisyaroh F","non-dropping-particle":"","parse-names":false,"suffix":""}],"container-title":"An Idea Health Journal","id":"ITEM-1","issue":"03","issued":{"date-parts":[["2025"]]},"page":"225-233","title":"Utilization of the Chronic Disease Management Program (Prolanis) at Suak Ribee Primary Health Center, Indonesia","type":"article-journal","volume":"5"},"uris":["http://www.mendeley.com/documents/?uuid=0c8f46da-8178-4223-8c4c-260c615eb040"]}],"mendeley":{"formattedCitation":"(Darmayanti et al., 2025)","plainTextFormattedCitation":"(Darmayanti et al., 2025)","previouslyFormattedCitation":"(Darmayanti et al., 2025)"},"properties":{"noteIndex":0},"schema":"https://github.com/citation-style-language/schema/raw/master/csl-citation.json"}</w:instrText>
      </w:r>
      <w:r w:rsidR="00E11126" w:rsidRPr="00BC63EF">
        <w:rPr>
          <w:rFonts w:asciiTheme="majorBidi" w:hAnsiTheme="majorBidi" w:cstheme="majorBidi"/>
          <w:szCs w:val="24"/>
        </w:rPr>
        <w:fldChar w:fldCharType="separate"/>
      </w:r>
      <w:r w:rsidR="00E11126" w:rsidRPr="00BC63EF">
        <w:rPr>
          <w:rFonts w:asciiTheme="majorBidi" w:hAnsiTheme="majorBidi" w:cstheme="majorBidi"/>
          <w:noProof/>
          <w:szCs w:val="24"/>
        </w:rPr>
        <w:t>(Darmayanti et al., 2025)</w:t>
      </w:r>
      <w:r w:rsidR="00E11126" w:rsidRPr="00BC63EF">
        <w:rPr>
          <w:rFonts w:asciiTheme="majorBidi" w:hAnsiTheme="majorBidi" w:cstheme="majorBidi"/>
          <w:szCs w:val="24"/>
        </w:rPr>
        <w:fldChar w:fldCharType="end"/>
      </w:r>
      <w:r w:rsidR="00E11126">
        <w:rPr>
          <w:rFonts w:asciiTheme="majorBidi" w:hAnsiTheme="majorBidi" w:cstheme="majorBidi"/>
          <w:szCs w:val="24"/>
        </w:rPr>
        <w:t xml:space="preserve">. </w:t>
      </w:r>
    </w:p>
    <w:p w14:paraId="7B669BCC" w14:textId="71238E97" w:rsidR="004C6BF7" w:rsidRDefault="00453DB9" w:rsidP="00453DB9">
      <w:pPr>
        <w:pStyle w:val="ListParagraph"/>
        <w:ind w:leftChars="129" w:left="284" w:firstLineChars="236" w:firstLine="566"/>
        <w:rPr>
          <w:rFonts w:asciiTheme="majorBidi" w:eastAsia="Times New Roman" w:hAnsiTheme="majorBidi" w:cstheme="majorBidi"/>
          <w:szCs w:val="24"/>
          <w:lang w:eastAsia="en-ID"/>
        </w:rPr>
      </w:pPr>
      <w:r>
        <w:t xml:space="preserve">However, good understanding of </w:t>
      </w:r>
      <w:proofErr w:type="spellStart"/>
      <w:r>
        <w:t>Prolanis</w:t>
      </w:r>
      <w:proofErr w:type="spellEnd"/>
      <w:r>
        <w:t xml:space="preserve"> definitions does not align with comprehension of program objectives. A total of 50.8% of respondents still misinterpret the primary goals of </w:t>
      </w:r>
      <w:proofErr w:type="spellStart"/>
      <w:r>
        <w:t>Prolanis</w:t>
      </w:r>
      <w:proofErr w:type="spellEnd"/>
      <w:r>
        <w:t>. Previous studies emphasize that chronic disease management programs aim to control disease progression through long-term monitoring, intensive education, and behavioral modification</w:t>
      </w:r>
      <w:r>
        <w:t xml:space="preserve"> </w:t>
      </w:r>
      <w:r w:rsidR="00020A2C" w:rsidRPr="00BC63EF">
        <w:rPr>
          <w:rFonts w:asciiTheme="majorBidi" w:eastAsia="Times New Roman" w:hAnsiTheme="majorBidi" w:cstheme="majorBidi"/>
          <w:szCs w:val="24"/>
          <w:lang w:eastAsia="en-ID"/>
        </w:rPr>
        <w:fldChar w:fldCharType="begin" w:fldLock="1"/>
      </w:r>
      <w:r w:rsidR="00EC477A">
        <w:rPr>
          <w:rFonts w:asciiTheme="majorBidi" w:eastAsia="Times New Roman" w:hAnsiTheme="majorBidi" w:cstheme="majorBidi"/>
          <w:szCs w:val="24"/>
          <w:lang w:eastAsia="en-ID"/>
        </w:rPr>
        <w:instrText>ADDIN CSL_CITATION {"citationItems":[{"id":"ITEM-1","itemData":{"DOI":"https://doi.org/10.1016/j.jhealeco.2021.102539","ISSN":"0167-6296","abstract":"Health systems globally face increasing morbidity and mortality from chronic diseases, yet many - especially in low- and middle-income countries - lack strong chronic disease management in primary health care (PHC). We provide evidence on China’s efforts to promote PHC management using unique five-year panel data in a rural county, including health care utilization from medical claims and health outcomes from biomarkers. Utilizing plausibly exogenous variation in management intensity generated by administrative and geographic boundaries, we compare hypertension/diabetes patients in villages within two kilometers distance but managed by different townships. Results show that, compared to patients in townships with median management intensity, patients in high-intensity townships have 4.8% more PHC visits, 5.2% fewer specialist visits, 11.7% lower likelihood of having an inpatient admission, and 3.6% lower medical spending. They also tend to have better medication adherence and better control of blood pressure. The resource savings from avoided inpatient admissions substantially outweigh the costs of the program.","author":[{"dropping-particle":"","family":"Ding","given":"Hui","non-dropping-particle":"","parse-names":false,"suffix":""},{"dropping-particle":"","family":"Chen","given":"Yiwei","non-dropping-particle":"","parse-names":false,"suffix":""},{"dropping-particle":"","family":"Yu","given":"Min","non-dropping-particle":"","parse-names":false,"suffix":""},{"dropping-particle":"","family":"Zhong","given":"Jieming","non-dropping-particle":"","parse-names":false,"suffix":""},{"dropping-particle":"","family":"Hu","given":"Ruying","non-dropping-particle":"","parse-names":false,"suffix":""},{"dropping-particle":"","family":"Chen","given":"Xiangyu","non-dropping-particle":"","parse-names":false,"suffix":""},{"dropping-particle":"","family":"Wang","given":"Chunmei","non-dropping-particle":"","parse-names":false,"suffix":""},{"dropping-particle":"","family":"Xie","given":"Kaixu","non-dropping-particle":"","parse-names":false,"suffix":""},{"dropping-particle":"","family":"Eggleston","given":"Karen","non-dropping-particle":"","parse-names":false,"suffix":""}],"container-title":"Journal of Health Economics","id":"ITEM-1","issued":{"date-parts":[["2021"]]},"page":"102539","title":"The Effects of Chronic Disease Management in Primary Health Care: Evidence from Rural China","type":"article-journal","volume":"80"},"uris":["http://www.mendeley.com/documents/?uuid=48499888-e13b-4643-a322-63ee9d5473cc"]}],"mendeley":{"formattedCitation":"(Ding et al., 2021)","plainTextFormattedCitation":"(Ding et al., 2021)","previouslyFormattedCitation":"(Ding et al., 2021)"},"properties":{"noteIndex":0},"schema":"https://github.com/citation-style-language/schema/raw/master/csl-citation.json"}</w:instrText>
      </w:r>
      <w:r w:rsidR="00020A2C" w:rsidRPr="00BC63EF">
        <w:rPr>
          <w:rFonts w:asciiTheme="majorBidi" w:eastAsia="Times New Roman" w:hAnsiTheme="majorBidi" w:cstheme="majorBidi"/>
          <w:szCs w:val="24"/>
          <w:lang w:eastAsia="en-ID"/>
        </w:rPr>
        <w:fldChar w:fldCharType="separate"/>
      </w:r>
      <w:r w:rsidR="00AF4670" w:rsidRPr="00BC63EF">
        <w:rPr>
          <w:rFonts w:asciiTheme="majorBidi" w:eastAsia="Times New Roman" w:hAnsiTheme="majorBidi" w:cstheme="majorBidi"/>
          <w:noProof/>
          <w:szCs w:val="24"/>
          <w:lang w:eastAsia="en-ID"/>
        </w:rPr>
        <w:t>(Ding et al., 2021)</w:t>
      </w:r>
      <w:r w:rsidR="00020A2C" w:rsidRPr="00BC63EF">
        <w:rPr>
          <w:rFonts w:asciiTheme="majorBidi" w:eastAsia="Times New Roman" w:hAnsiTheme="majorBidi" w:cstheme="majorBidi"/>
          <w:szCs w:val="24"/>
          <w:lang w:eastAsia="en-ID"/>
        </w:rPr>
        <w:fldChar w:fldCharType="end"/>
      </w:r>
      <w:r w:rsidR="00A5017E">
        <w:rPr>
          <w:rFonts w:asciiTheme="majorBidi" w:eastAsia="Times New Roman" w:hAnsiTheme="majorBidi" w:cstheme="majorBidi"/>
          <w:szCs w:val="24"/>
          <w:lang w:eastAsia="en-ID"/>
        </w:rPr>
        <w:t xml:space="preserve">. </w:t>
      </w:r>
      <w:r>
        <w:t>Unequal knowledge distribution often occurs in areas with lower educational intervention intensity and limited health personnel availability</w:t>
      </w:r>
      <w:r>
        <w:t xml:space="preserve"> </w:t>
      </w:r>
      <w:r w:rsidR="004C6BF7" w:rsidRPr="00BC63EF">
        <w:rPr>
          <w:rFonts w:asciiTheme="majorBidi" w:eastAsia="Times New Roman" w:hAnsiTheme="majorBidi" w:cstheme="majorBidi"/>
          <w:szCs w:val="24"/>
          <w:lang w:eastAsia="en-ID"/>
        </w:rPr>
        <w:fldChar w:fldCharType="begin" w:fldLock="1"/>
      </w:r>
      <w:r w:rsidR="00EC477A">
        <w:rPr>
          <w:rFonts w:asciiTheme="majorBidi" w:eastAsia="Times New Roman" w:hAnsiTheme="majorBidi" w:cstheme="majorBidi"/>
          <w:szCs w:val="24"/>
          <w:lang w:eastAsia="en-ID"/>
        </w:rPr>
        <w:instrText>ADDIN CSL_CITATION {"citationItems":[{"id":"ITEM-1","itemData":{"DOI":"10.30829/jumantik.v10i2.25843","author":[{"dropping-particle":"","family":"Rahayu","given":"Niken Mastiko","non-dropping-particle":"","parse-names":false,"suffix":""},{"dropping-particle":"","family":"Sudiyanto","given":"Henry","non-dropping-particle":"","parse-names":false,"suffix":""},{"dropping-particle":"","family":"Anggreni","given":"Dhonna","non-dropping-particle":"","parse-names":false,"suffix":""},{"dropping-particle":"","family":"Knowledge","given":"Keywords","non-dropping-particle":"","parse-names":false,"suffix":""}],"container-title":"JUMANTIK (Jurnal Ilmiah Penelitian Kesehatan)","id":"ITEM-1","issue":"2","issued":{"date-parts":[["2025"]]},"page":"278-287","title":"Analisis Pengaruh Pengetahuan, Peran Petugas Kesehatan dan Dukungan Keluarga terhadap Keaktifan Pemanfaatan Prolanis","type":"article-journal","volume":"10"},"uris":["http://www.mendeley.com/documents/?uuid=8a75436b-87e1-4aa1-8c40-1d5c3eb70561"]}],"mendeley":{"formattedCitation":"(Rahayu et al., 2025)","plainTextFormattedCitation":"(Rahayu et al., 2025)","previouslyFormattedCitation":"(Rahayu et al., 2025)"},"properties":{"noteIndex":0},"schema":"https://github.com/citation-style-language/schema/raw/master/csl-citation.json"}</w:instrText>
      </w:r>
      <w:r w:rsidR="004C6BF7" w:rsidRPr="00BC63EF">
        <w:rPr>
          <w:rFonts w:asciiTheme="majorBidi" w:eastAsia="Times New Roman" w:hAnsiTheme="majorBidi" w:cstheme="majorBidi"/>
          <w:szCs w:val="24"/>
          <w:lang w:eastAsia="en-ID"/>
        </w:rPr>
        <w:fldChar w:fldCharType="separate"/>
      </w:r>
      <w:r w:rsidR="004C6BF7" w:rsidRPr="00BC63EF">
        <w:rPr>
          <w:rFonts w:asciiTheme="majorBidi" w:eastAsia="Times New Roman" w:hAnsiTheme="majorBidi" w:cstheme="majorBidi"/>
          <w:noProof/>
          <w:szCs w:val="24"/>
          <w:lang w:eastAsia="en-ID"/>
        </w:rPr>
        <w:t>(Rahayu et al., 2025)</w:t>
      </w:r>
      <w:r w:rsidR="004C6BF7" w:rsidRPr="00BC63EF">
        <w:rPr>
          <w:rFonts w:asciiTheme="majorBidi" w:eastAsia="Times New Roman" w:hAnsiTheme="majorBidi" w:cstheme="majorBidi"/>
          <w:szCs w:val="24"/>
          <w:lang w:eastAsia="en-ID"/>
        </w:rPr>
        <w:fldChar w:fldCharType="end"/>
      </w:r>
      <w:r w:rsidR="004C6BF7">
        <w:rPr>
          <w:rFonts w:asciiTheme="majorBidi" w:eastAsia="Times New Roman" w:hAnsiTheme="majorBidi" w:cstheme="majorBidi"/>
          <w:szCs w:val="24"/>
          <w:lang w:eastAsia="en-ID"/>
        </w:rPr>
        <w:t xml:space="preserve">. </w:t>
      </w:r>
      <w:r>
        <w:t>Other studies similarly report that uneven distribution of health education contributes to disparities in patient knowledge and affects clinical outcomes</w:t>
      </w:r>
      <w:r>
        <w:t xml:space="preserve"> </w:t>
      </w:r>
      <w:r w:rsidR="00020A2C" w:rsidRPr="00E11126">
        <w:rPr>
          <w:rFonts w:asciiTheme="majorBidi" w:eastAsia="Times New Roman" w:hAnsiTheme="majorBidi" w:cstheme="majorBidi"/>
          <w:szCs w:val="24"/>
          <w:lang w:eastAsia="en-ID"/>
        </w:rPr>
        <w:fldChar w:fldCharType="begin" w:fldLock="1"/>
      </w:r>
      <w:r w:rsidR="00EC477A">
        <w:rPr>
          <w:rFonts w:asciiTheme="majorBidi" w:eastAsia="Times New Roman" w:hAnsiTheme="majorBidi" w:cstheme="majorBidi"/>
          <w:szCs w:val="24"/>
          <w:lang w:eastAsia="en-ID"/>
        </w:rPr>
        <w:instrText>ADDIN CSL_CITATION {"citationItems":[{"id":"ITEM-1","itemData":{"DOI":"10.7759/cureus.70214","ISSN":"2168-8184 (Print)","PMID":"39463638","abstract":"Background and objective Shared decision-making (SDM) in healthcare has  transitioned from a paternalistic model to a collaborative approach, particularly significant in chronic disease management. This shift focuses on aligning healthcare decisions with patient preferences and values, thereby enhancing patient engagement and treatment adherence. However, patient preferences regarding involvement in SDM vary widely, influenced by demographic, disease-specific, psychological, cultural, and social factors. This study aimed to explore patient preferences related to SDM in chronic disease management in Saudi Arabia, by assessing attitudes toward SDM, the impact of decision aids, and the role of clinician communication in influencing these preferences. Methods A cross-sectional survey design was employed, involving 409 adult outpatients with chronic diseases attending four public hospitals in Saudi Arabia. Participants were selected using purposive and convenience sampling. The survey, translated into Arabic, collected demographic data and information on preferences and experiences in decision-making, communication, and information sharing. The data were analyzed using SPSS Statistics (IBM Corp., Armonk, NY) to identify patterns and correlations. Results Key findings indicated a strong preference among the participants for involvement in treatment decisions (n=303, 74.2%) and clear communication using layman's terms (n=338, 82.6%). Major barriers to active participation in SDM included lack of time during appointments (n=275, 67.2%), difficulty understanding medical terminology (n=220, 53.9%), and feeling intimidated to ask questions (297, 72.6%). Comfort in SDM was highest in the age group of 41-50 years [mean=4.16, standard deviation (SD)=28.44; F=2.3287, p=0.0739]. Patient satisfaction was significantly higher in the age group of 18-30 years (mean=3.42, SD=1.09; F=3.0503, p=0.0284). Conclusions Our findings highlight the need for incorporating patient preferences into chronic disease management strategies to enhance engagement and satisfaction.","author":[{"dropping-particle":"","family":"Alanzi","given":"Turki M","non-dropping-particle":"","parse-names":false,"suffix":""},{"dropping-particle":"","family":"Alanzi","given":"Nouf","non-dropping-particle":"","parse-names":false,"suffix":""},{"dropping-particle":"","family":"Majrabi","given":"Aisha","non-dropping-particle":"","parse-names":false,"suffix":""},{"dropping-particle":"","family":"Alhajri","given":"Ahlam S","non-dropping-particle":"","parse-names":false,"suffix":""},{"dropping-particle":"","family":"Alzahrani","given":"Lujain","non-dropping-particle":"","parse-names":false,"suffix":""},{"dropping-particle":"","family":"Alqahtani","given":"Noura","non-dropping-particle":"","parse-names":false,"suffix":""},{"dropping-particle":"","family":"Alqadhibi","given":"Abdullah","non-dropping-particle":"","parse-names":false,"suffix":""},{"dropping-particle":"","family":"Alenazi","given":"Saud","non-dropping-particle":"","parse-names":false,"suffix":""},{"dropping-particle":"","family":"Alsaedi","given":"Hatim","non-dropping-particle":"","parse-names":false,"suffix":""},{"dropping-particle":"","family":"Alghamdi","given":"Eidhah","non-dropping-particle":"","parse-names":false,"suffix":""},{"dropping-particle":"","family":"Hamad","given":"Norah","non-dropping-particle":"Bin","parse-names":false,"suffix":""},{"dropping-particle":"","family":"Habib","given":"Walaa","non-dropping-particle":"","parse-names":false,"suffix":""},{"dropping-particle":"","family":"Alharthi","given":"Nawal H","non-dropping-particle":"","parse-names":false,"suffix":""},{"dropping-particle":"","family":"Alharbi","given":"Maher","non-dropping-particle":"","parse-names":false,"suffix":""},{"dropping-particle":"","family":"Alyahya","given":"Nafad N","non-dropping-particle":"","parse-names":false,"suffix":""}],"container-title":"Cureus","id":"ITEM-1","issue":"9","issued":{"date-parts":[["2024","9"]]},"language":"eng","page":"e70214","publisher-place":"United States","title":"Exploring Patient Preferences Related to Shared Decision-Making in Chronic  Disease Management.","type":"article-journal","volume":"16"},"uris":["http://www.mendeley.com/documents/?uuid=28548f6d-7cf6-4fac-9534-3445671bfb18"]}],"mendeley":{"formattedCitation":"(Alanzi et al., 2024)","plainTextFormattedCitation":"(Alanzi et al., 2024)","previouslyFormattedCitation":"(Alanzi et al., 2024)"},"properties":{"noteIndex":0},"schema":"https://github.com/citation-style-language/schema/raw/master/csl-citation.json"}</w:instrText>
      </w:r>
      <w:r w:rsidR="00020A2C" w:rsidRPr="00E11126">
        <w:rPr>
          <w:rFonts w:asciiTheme="majorBidi" w:eastAsia="Times New Roman" w:hAnsiTheme="majorBidi" w:cstheme="majorBidi"/>
          <w:szCs w:val="24"/>
          <w:lang w:eastAsia="en-ID"/>
        </w:rPr>
        <w:fldChar w:fldCharType="separate"/>
      </w:r>
      <w:r w:rsidR="00AF4670" w:rsidRPr="00E11126">
        <w:rPr>
          <w:rFonts w:asciiTheme="majorBidi" w:eastAsia="Times New Roman" w:hAnsiTheme="majorBidi" w:cstheme="majorBidi"/>
          <w:noProof/>
          <w:szCs w:val="24"/>
          <w:lang w:eastAsia="en-ID"/>
        </w:rPr>
        <w:t>(Alanzi et al., 2024)</w:t>
      </w:r>
      <w:r w:rsidR="00020A2C" w:rsidRPr="00E11126">
        <w:rPr>
          <w:rFonts w:asciiTheme="majorBidi" w:eastAsia="Times New Roman" w:hAnsiTheme="majorBidi" w:cstheme="majorBidi"/>
          <w:szCs w:val="24"/>
          <w:lang w:eastAsia="en-ID"/>
        </w:rPr>
        <w:fldChar w:fldCharType="end"/>
      </w:r>
      <w:r w:rsidR="00020A2C" w:rsidRPr="00E11126">
        <w:rPr>
          <w:rFonts w:asciiTheme="majorBidi" w:eastAsia="Times New Roman" w:hAnsiTheme="majorBidi" w:cstheme="majorBidi"/>
          <w:szCs w:val="24"/>
          <w:lang w:eastAsia="en-ID"/>
        </w:rPr>
        <w:t>,</w:t>
      </w:r>
      <w:r w:rsidR="00020A2C" w:rsidRPr="00E11126">
        <w:rPr>
          <w:rFonts w:asciiTheme="majorBidi" w:eastAsia="Times New Roman" w:hAnsiTheme="majorBidi" w:cstheme="majorBidi"/>
          <w:szCs w:val="24"/>
          <w:lang w:eastAsia="en-ID"/>
        </w:rPr>
        <w:fldChar w:fldCharType="begin" w:fldLock="1"/>
      </w:r>
      <w:r w:rsidR="00EC477A">
        <w:rPr>
          <w:rFonts w:asciiTheme="majorBidi" w:eastAsia="Times New Roman" w:hAnsiTheme="majorBidi" w:cstheme="majorBidi"/>
          <w:szCs w:val="24"/>
          <w:lang w:eastAsia="en-ID"/>
        </w:rPr>
        <w:instrText>ADDIN CSL_CITATION {"citationItems":[{"id":"ITEM-1","itemData":{"DOI":"10.4236/jbm.2023.112005","abstract":"Health literacy and awareness are essential strategies in promoting global health and improving access to care. While seen as an essential tool for promoting population health awareness to improve early detection and treatment of chronic diseases, it is yet to be emphasized in most African countries. Health literacy is an essential practice to promote chronic disease prevention and reduce the growing threat to population health. Incidences and mortalities from chronic diseases commonly arise from limited knowledge of the causative risk factors and access to health facilities. Without knowledge about causes, health impacts, and available health services, people continue to indulge in the habits that worsen their health conditions and fail to access care timely. By using health literacy and awareness as a tool for chronic disease prevention, healthcare professionals will develop strategic health awareness programs that fit the socio-demographics of the population they serve. This article explored the significant role health awareness occupies in individual and community health prevention through health promotion and education. It reviewed the concept and dimensions of chronic disease prevention, cultural beliefs and impact on chronic diseases, gaps created by low health literacy, and the significance of health literacy in disease prevention and health promotion. Furthermore, it recommends that health systems and local communities form partnerships to address common and emerging health problems, and health systems should be properly funded.","author":[{"dropping-particle":"","family":"Chimezie","given":"Raymond O","non-dropping-particle":"","parse-names":false,"suffix":""}],"container-title":"Journal of Biosciences and Medicines","id":"ITEM-1","issued":{"date-parts":[["2023"]]},"page":"64-79","title":"Health Awareness : A Significant Factor in Chronic Diseases Prevention and Access to Care","type":"article-journal","volume":"11"},"uris":["http://www.mendeley.com/documents/?uuid=b828d262-db86-4fe3-9376-716ac1942640"]}],"mendeley":{"formattedCitation":"(Chimezie, 2023)","plainTextFormattedCitation":"(Chimezie, 2023)","previouslyFormattedCitation":"(Chimezie, 2023)"},"properties":{"noteIndex":0},"schema":"https://github.com/citation-style-language/schema/raw/master/csl-citation.json"}</w:instrText>
      </w:r>
      <w:r w:rsidR="00020A2C" w:rsidRPr="00E11126">
        <w:rPr>
          <w:rFonts w:asciiTheme="majorBidi" w:eastAsia="Times New Roman" w:hAnsiTheme="majorBidi" w:cstheme="majorBidi"/>
          <w:szCs w:val="24"/>
          <w:lang w:eastAsia="en-ID"/>
        </w:rPr>
        <w:fldChar w:fldCharType="separate"/>
      </w:r>
      <w:r w:rsidR="00AF4670" w:rsidRPr="00E11126">
        <w:rPr>
          <w:rFonts w:asciiTheme="majorBidi" w:eastAsia="Times New Roman" w:hAnsiTheme="majorBidi" w:cstheme="majorBidi"/>
          <w:noProof/>
          <w:szCs w:val="24"/>
          <w:lang w:eastAsia="en-ID"/>
        </w:rPr>
        <w:t>(Chimezie, 2023)</w:t>
      </w:r>
      <w:r w:rsidR="00020A2C" w:rsidRPr="00E11126">
        <w:rPr>
          <w:rFonts w:asciiTheme="majorBidi" w:eastAsia="Times New Roman" w:hAnsiTheme="majorBidi" w:cstheme="majorBidi"/>
          <w:szCs w:val="24"/>
          <w:lang w:eastAsia="en-ID"/>
        </w:rPr>
        <w:fldChar w:fldCharType="end"/>
      </w:r>
      <w:r w:rsidR="00E11126" w:rsidRPr="00E11126">
        <w:rPr>
          <w:rFonts w:asciiTheme="majorBidi" w:eastAsia="Times New Roman" w:hAnsiTheme="majorBidi" w:cstheme="majorBidi"/>
          <w:szCs w:val="24"/>
          <w:lang w:eastAsia="en-ID"/>
        </w:rPr>
        <w:t>.</w:t>
      </w:r>
      <w:r w:rsidR="00E11126">
        <w:rPr>
          <w:rFonts w:asciiTheme="majorBidi" w:eastAsia="Times New Roman" w:hAnsiTheme="majorBidi" w:cstheme="majorBidi"/>
          <w:szCs w:val="24"/>
          <w:lang w:eastAsia="en-ID"/>
        </w:rPr>
        <w:t xml:space="preserve"> </w:t>
      </w:r>
      <w:r>
        <w:t>Diabetes is a chronic condition requiring long-term therapy to maintain glycemic control even when laboratory results show good values</w:t>
      </w:r>
      <w:r>
        <w:t xml:space="preserve"> </w:t>
      </w:r>
      <w:r w:rsidR="004C6BF7" w:rsidRPr="00BC63EF">
        <w:rPr>
          <w:rFonts w:asciiTheme="majorBidi" w:eastAsia="Times New Roman" w:hAnsiTheme="majorBidi" w:cstheme="majorBidi"/>
          <w:szCs w:val="24"/>
          <w:lang w:eastAsia="en-ID"/>
        </w:rPr>
        <w:fldChar w:fldCharType="begin" w:fldLock="1"/>
      </w:r>
      <w:r w:rsidR="00EC477A">
        <w:rPr>
          <w:rFonts w:asciiTheme="majorBidi" w:eastAsia="Times New Roman" w:hAnsiTheme="majorBidi" w:cstheme="majorBidi"/>
          <w:szCs w:val="24"/>
          <w:lang w:eastAsia="en-ID"/>
        </w:rPr>
        <w:instrText>ADDIN CSL_CITATION {"citationItems":[{"id":"ITEM-1","itemData":{"DOI":"10.1016/j.pec.2023.107829","ISSN":"1873-5134 (Electronic)","PMID":"37270933","abstract":"OBJECTIVES: This study was conducted to determine the effectiveness and impact of  health literacy interventions for patients with chronic diseases. METHODS: We searched PubMed, Web of Science, Embase, Scopus, and EBSCO CINAHL from inception through March 2022. Eligible chronic diseases include diabetes, heart disease, cancer, and chronic obstructive pulmonary disease. RCTs were included in eligible studies to assess health literacy and other relevant health outcomes. Two investigators selected studies, extracted data, and assessed the methodological quality of included studies independently. RESULTS: A total of 18 studies involving 5384 participants were included in the final analysis. The implementation of health literacy interventions exhibited a significant improvement in the health literacy level of individuals diagnosed with chronic diseases (SMD = 0.75, 95% CI = 0.40-1.10). Analysis of heterogeneity sources indicated statistically significant variations in the effects of interventions across different diseases and age groups (P &lt; 0.05). However, no significant impact was observed on patients with chronic obstructive pulmonary disease (COPD), interventions with a follow-up duration exceeding three months, or application-based interventions on the health literacy level of individuals with chronic diseases. Remarkably, our findings revealed that health literacy interventions exerted a positive influence on health status (SMD = 0.74, 95% CI = 0.13-1.34), depression and anxiety (SMD = 0.90, 95% CI = 0.17-1.63), as well as self-efficacy (SMD = 0.28, 95% CI = 0.15-0.41) among patients diagnosed with chronic diseases. Furthermore, a specific analysis was conducted to evaluate the effects of these interventions on hypertension and diabetes control. The results demonstrated that health literacy interventions were more effective in enhancing hypertension control compared to diabetes control. CONCLUSION: Health literacy interventions have demonstrated effectiveness in improving the health of patients with chronic diseases. The importance of emphasizing the quality of these interventions cannot be overstated, as factors such as appropriate intervention tools, extended intervention duration, and reliable primary care services play crucial roles in their efficacy.","author":[{"dropping-particle":"","family":"Shao","given":"Yingshan","non-dropping-particle":"","parse-names":false,"suffix":""},{"dropping-particle":"","family":"Hu","given":"Huaqin","non-dropping-particle":"","parse-names":false,"suffix":""},{"dropping-particle":"","family":"Liang","given":"Yaxin","non-dropping-particle":"","parse-names":false,"suffix":""},{"dropping-particle":"","family":"Hong","given":"Yangyang","non-dropping-particle":"","parse-names":false,"suffix":""},{"dropping-particle":"","family":"Yu","given":"Yiqing","non-dropping-particle":"","parse-names":false,"suffix":""},{"dropping-particle":"","family":"Liu","given":"Chenxi","non-dropping-particle":"","parse-names":false,"suffix":""},{"dropping-particle":"","family":"Xu","given":"Yihua","non-dropping-particle":"","parse-names":false,"suffix":""}],"container-title":"Patient education and counseling","id":"ITEM-1","issued":{"date-parts":[["2023","9"]]},"language":"eng","page":"107829","publisher-place":"Ireland","title":"Health literacy interventions among patients with chronic diseases: A  meta-analysis of randomized controlled trials.","type":"article-journal","volume":"114"},"uris":["http://www.mendeley.com/documents/?uuid=5e31ff70-b8b9-4d21-8c0d-a78162209dbf"]}],"mendeley":{"formattedCitation":"(Shao et al., 2023)","plainTextFormattedCitation":"(Shao et al., 2023)","previouslyFormattedCitation":"(Shao et al., 2023)"},"properties":{"noteIndex":0},"schema":"https://github.com/citation-style-language/schema/raw/master/csl-citation.json"}</w:instrText>
      </w:r>
      <w:r w:rsidR="004C6BF7" w:rsidRPr="00BC63EF">
        <w:rPr>
          <w:rFonts w:asciiTheme="majorBidi" w:eastAsia="Times New Roman" w:hAnsiTheme="majorBidi" w:cstheme="majorBidi"/>
          <w:szCs w:val="24"/>
          <w:lang w:eastAsia="en-ID"/>
        </w:rPr>
        <w:fldChar w:fldCharType="separate"/>
      </w:r>
      <w:r w:rsidR="004C6BF7" w:rsidRPr="00BC63EF">
        <w:rPr>
          <w:rFonts w:asciiTheme="majorBidi" w:eastAsia="Times New Roman" w:hAnsiTheme="majorBidi" w:cstheme="majorBidi"/>
          <w:noProof/>
          <w:szCs w:val="24"/>
          <w:lang w:eastAsia="en-ID"/>
        </w:rPr>
        <w:t>(Shao et al., 2023)</w:t>
      </w:r>
      <w:r w:rsidR="004C6BF7" w:rsidRPr="00BC63EF">
        <w:rPr>
          <w:rFonts w:asciiTheme="majorBidi" w:eastAsia="Times New Roman" w:hAnsiTheme="majorBidi" w:cstheme="majorBidi"/>
          <w:szCs w:val="24"/>
          <w:lang w:eastAsia="en-ID"/>
        </w:rPr>
        <w:fldChar w:fldCharType="end"/>
      </w:r>
      <w:r w:rsidR="004C6BF7">
        <w:rPr>
          <w:rFonts w:asciiTheme="majorBidi" w:eastAsia="Times New Roman" w:hAnsiTheme="majorBidi" w:cstheme="majorBidi"/>
          <w:szCs w:val="24"/>
          <w:lang w:eastAsia="en-ID"/>
        </w:rPr>
        <w:t>.</w:t>
      </w:r>
      <w:r w:rsidR="004C6BF7" w:rsidRPr="004C6BF7">
        <w:rPr>
          <w:rFonts w:asciiTheme="majorBidi" w:eastAsia="Times New Roman" w:hAnsiTheme="majorBidi" w:cstheme="majorBidi"/>
          <w:szCs w:val="24"/>
          <w:lang w:eastAsia="en-ID"/>
        </w:rPr>
        <w:t xml:space="preserve"> </w:t>
      </w:r>
    </w:p>
    <w:p w14:paraId="7C222690" w14:textId="60B4FCF1" w:rsidR="00453DB9" w:rsidRDefault="00453DB9" w:rsidP="00453DB9">
      <w:pPr>
        <w:pStyle w:val="ListParagraph"/>
        <w:ind w:leftChars="129" w:left="284" w:firstLineChars="236" w:firstLine="566"/>
        <w:rPr>
          <w:rFonts w:asciiTheme="majorBidi" w:eastAsia="Times New Roman" w:hAnsiTheme="majorBidi" w:cstheme="majorBidi"/>
          <w:szCs w:val="24"/>
          <w:lang w:eastAsia="en-ID"/>
        </w:rPr>
      </w:pPr>
      <w:r>
        <w:t xml:space="preserve">Patient knowledge of </w:t>
      </w:r>
      <w:proofErr w:type="spellStart"/>
      <w:r>
        <w:t>Prolanis</w:t>
      </w:r>
      <w:proofErr w:type="spellEnd"/>
      <w:r>
        <w:t xml:space="preserve"> remains suboptimal and affects program utilization. This study found a significant association between knowledge and </w:t>
      </w:r>
      <w:proofErr w:type="spellStart"/>
      <w:r>
        <w:t>Prolanis</w:t>
      </w:r>
      <w:proofErr w:type="spellEnd"/>
      <w:r>
        <w:t xml:space="preserve"> utilization among diabetes patients in </w:t>
      </w:r>
      <w:proofErr w:type="spellStart"/>
      <w:r>
        <w:t>Demak</w:t>
      </w:r>
      <w:proofErr w:type="spellEnd"/>
      <w:r>
        <w:t xml:space="preserve"> Regency in 2025. The data show that 97.8% of respondents with poor knowledge did not utilize </w:t>
      </w:r>
      <w:proofErr w:type="spellStart"/>
      <w:r>
        <w:t>Prolanis</w:t>
      </w:r>
      <w:proofErr w:type="spellEnd"/>
      <w:r>
        <w:t xml:space="preserve">, while 46.7% of those with good knowledge utilized it. The Odds Ratio (OR) of 38.5 (95% CI: 5.0–294.12) indicates a strong association, meaning respondents with poor knowledge were 38.5 times more likely not to utilize </w:t>
      </w:r>
      <w:proofErr w:type="spellStart"/>
      <w:r>
        <w:t>Prolanis</w:t>
      </w:r>
      <w:proofErr w:type="spellEnd"/>
      <w:r>
        <w:t>. The wide confidence interval may be influenced by heterogeneity in respondent characteristics, duration of diabetes, or imbalance in category sample sizes.</w:t>
      </w:r>
    </w:p>
    <w:p w14:paraId="4494CBF7" w14:textId="405FBF7E" w:rsidR="00020A2C" w:rsidRPr="00BC63EF" w:rsidRDefault="00453DB9" w:rsidP="00453DB9">
      <w:pPr>
        <w:pStyle w:val="ListParagraph"/>
        <w:ind w:leftChars="129" w:left="284" w:firstLineChars="236" w:firstLine="566"/>
        <w:rPr>
          <w:rFonts w:asciiTheme="majorBidi" w:eastAsia="Times New Roman" w:hAnsiTheme="majorBidi" w:cstheme="majorBidi"/>
          <w:szCs w:val="24"/>
          <w:lang w:eastAsia="en-ID"/>
        </w:rPr>
      </w:pPr>
      <w:r>
        <w:t xml:space="preserve">Knowledge is a key determinant of behavioral change. According to the Health Belief Model (HBM), individuals utilize health services when they understand the benefits, disease risks, and preventive actions </w:t>
      </w:r>
      <w:r w:rsidR="00020A2C" w:rsidRPr="00BC63EF">
        <w:rPr>
          <w:rFonts w:asciiTheme="majorBidi" w:hAnsiTheme="majorBidi" w:cstheme="majorBidi"/>
          <w:szCs w:val="24"/>
        </w:rPr>
        <w:fldChar w:fldCharType="begin" w:fldLock="1"/>
      </w:r>
      <w:r w:rsidR="00EC477A">
        <w:rPr>
          <w:rFonts w:asciiTheme="majorBidi" w:hAnsiTheme="majorBidi" w:cstheme="majorBidi"/>
          <w:szCs w:val="24"/>
        </w:rPr>
        <w:instrText>ADDIN CSL_CITATION {"citationItems":[{"id":"ITEM-1","itemData":{"DOI":"10.1177/2150132720984409","ISSN":"2150-1327 (Electronic)","PMID":"33472499","abstract":"BACKGROUND: Indonesia through its government National Health Insurance System has  launched a non-communicable and chronic disease management program named Indonesian Chronic Disease Management Program (PROLANIS), with Type 2 Diabetes Mellitus (T2DM) and hypertension as the main focus. However, study that evaluates the clinical impact of PROLANIS in patients with T2DM is still scarce to this date. This study aims to evaluate the metabolic control and renal function of PROLANIS participants with T2DM every six month within the first 18-months of implementation. METHODS: This study was a retrospective cohort study conducted at Wates sub-district, East Java using secondary data from PROLANIS group report from April 2018 to October 2019. The study population was T2DM patients who voluntarily joined the PROLANIS group in April 2018. The six-month-evaluation included metabolic parameters [body mass index (BMI), blood pressure, hemoglobin A1C, total cholesterol, high-density lipid, low-density lipid, and triglyceride (TG)] and renal parameters [blood urea nitrogen (BUN), creatinine serum, and urinary microalbumin]. Paired t-test and wilcoxon signed-rank test was used for the analysis, and the P-value was adjusted using Bonferroni correction. A P-value &lt; .0015 was considered statistically significant, while a P-value between .0015 and .003 was considered as marginally significant. RESULTS: A total of 30 participants were included in the analysis. Following the PROLANIS implementation, the only parameter of metabolic control that showed significant improvement was TG serum level (P &lt; .001). Despite the worsening status of other metabolic parameters, the changes were not statistically significant except for BMI that was marginally significant (P = .002). From renal function, only BUN serum level was significantly deteriorated (P &lt; .001), while the others did not significantly change. CONCLUSION: PROLANIS implementation in our study population seems to be ineffective. Future study with more primary healthcare centers needs to be done to scrutinize the clinical impact of this program nationwide.","author":[{"dropping-particle":"","family":"Alkaff","given":"Firas Farisi","non-dropping-particle":"","parse-names":false,"suffix":""},{"dropping-particle":"","family":"Illavi","given":"Fauzan","non-dropping-particle":"","parse-names":false,"suffix":""},{"dropping-particle":"","family":"Salamah","given":"Sovia","non-dropping-particle":"","parse-names":false,"suffix":""},{"dropping-particle":"","family":"Setiyawati","given":"Wiwit","non-dropping-particle":"","parse-names":false,"suffix":""},{"dropping-particle":"","family":"Ramadhani","given":"Ristra","non-dropping-particle":"","parse-names":false,"suffix":""},{"dropping-particle":"","family":"Purwantini","given":"Elly","non-dropping-particle":"","parse-names":false,"suffix":""},{"dropping-particle":"","family":"Tahapary","given":"Dicky L","non-dropping-particle":"","parse-names":false,"suffix":""}],"container-title":"Journal of primary care &amp; community health","id":"ITEM-1","issued":{"date-parts":[["2021"]]},"language":"eng","page":"2150132720984409","publisher-place":"United States","title":"The Impact of the Indonesian Chronic Disease Management Program (PROLANIS) on  Metabolic Control and Renal Function of Type 2 Diabetes Mellitus Patients in Primary Care Setting.","type":"article-journal","volume":"12"},"uris":["http://www.mendeley.com/documents/?uuid=6154c4fd-b32f-466b-b93e-48c76238a867"]}],"mendeley":{"formattedCitation":"(Alkaff et al., 2021)","plainTextFormattedCitation":"(Alkaff et al., 2021)","previouslyFormattedCitation":"(Alkaff et al., 2021)"},"properties":{"noteIndex":0},"schema":"https://github.com/citation-style-language/schema/raw/master/csl-citation.json"}</w:instrText>
      </w:r>
      <w:r w:rsidR="00020A2C" w:rsidRPr="00BC63EF">
        <w:rPr>
          <w:rFonts w:asciiTheme="majorBidi" w:hAnsiTheme="majorBidi" w:cstheme="majorBidi"/>
          <w:szCs w:val="24"/>
        </w:rPr>
        <w:fldChar w:fldCharType="separate"/>
      </w:r>
      <w:r w:rsidR="00AF4670" w:rsidRPr="00BC63EF">
        <w:rPr>
          <w:rFonts w:asciiTheme="majorBidi" w:hAnsiTheme="majorBidi" w:cstheme="majorBidi"/>
          <w:noProof/>
          <w:szCs w:val="24"/>
        </w:rPr>
        <w:t>(Alkaff et al., 2021)</w:t>
      </w:r>
      <w:r w:rsidR="00020A2C" w:rsidRPr="00BC63EF">
        <w:rPr>
          <w:rFonts w:asciiTheme="majorBidi" w:hAnsiTheme="majorBidi" w:cstheme="majorBidi"/>
          <w:szCs w:val="24"/>
        </w:rPr>
        <w:fldChar w:fldCharType="end"/>
      </w:r>
      <w:r w:rsidR="004C6BF7">
        <w:rPr>
          <w:rFonts w:asciiTheme="majorBidi" w:hAnsiTheme="majorBidi" w:cstheme="majorBidi"/>
          <w:szCs w:val="24"/>
        </w:rPr>
        <w:t xml:space="preserve">. </w:t>
      </w:r>
      <w:r>
        <w:t>Understanding program components such as routine consultations, physical activity, health education, home visits, and glucose monitoring enhances patient motivation to participate actively</w:t>
      </w:r>
      <w:r>
        <w:t xml:space="preserve"> </w:t>
      </w:r>
      <w:r w:rsidR="00020A2C" w:rsidRPr="00BC63EF">
        <w:rPr>
          <w:rFonts w:asciiTheme="majorBidi" w:eastAsia="Times New Roman" w:hAnsiTheme="majorBidi" w:cstheme="majorBidi"/>
          <w:szCs w:val="24"/>
          <w:lang w:eastAsia="en-ID"/>
        </w:rPr>
        <w:fldChar w:fldCharType="begin" w:fldLock="1"/>
      </w:r>
      <w:r w:rsidR="00EC477A">
        <w:rPr>
          <w:rFonts w:asciiTheme="majorBidi" w:eastAsia="Times New Roman" w:hAnsiTheme="majorBidi" w:cstheme="majorBidi"/>
          <w:szCs w:val="24"/>
          <w:lang w:eastAsia="en-ID"/>
        </w:rPr>
        <w:instrText>ADDIN CSL_CITATION {"citationItems":[{"id":"ITEM-1","itemData":{"author":[{"dropping-particle":"","family":"Dahlan","given":"Ahmad","non-dropping-particle":"","parse-names":false,"suffix":""},{"dropping-particle":"","family":"Journal","given":"Medical","non-dropping-particle":"","parse-names":false,"suffix":""},{"dropping-particle":"","family":"Mulyani","given":"Ari","non-dropping-particle":"","parse-names":false,"suffix":""}],"container-title":"Ahmad Dahlan Medical Journal","id":"ITEM-1","issue":"1","issued":{"date-parts":[["2023"]]},"page":"58-63","title":"Tingkat Pengetahuan Pasien Program Pengelolaan Penyakit Kronis ( PROLANIS ) Sebelum dan Sesudah Penyuluhan Di Klinik Pratama Sido Waras Knowledge Level of Chronic Disease Management Program ( PROLANIS ) Patients Before and After Counseling at Sido Waras P","type":"article-journal","volume":"4"},"uris":["http://www.mendeley.com/documents/?uuid=457bee7c-f90b-4501-b8cb-2ffececcf929"]}],"mendeley":{"formattedCitation":"(Dahlan et al., 2023)","plainTextFormattedCitation":"(Dahlan et al., 2023)","previouslyFormattedCitation":"(Dahlan et al., 2023)"},"properties":{"noteIndex":0},"schema":"https://github.com/citation-style-language/schema/raw/master/csl-citation.json"}</w:instrText>
      </w:r>
      <w:r w:rsidR="00020A2C" w:rsidRPr="00BC63EF">
        <w:rPr>
          <w:rFonts w:asciiTheme="majorBidi" w:eastAsia="Times New Roman" w:hAnsiTheme="majorBidi" w:cstheme="majorBidi"/>
          <w:szCs w:val="24"/>
          <w:lang w:eastAsia="en-ID"/>
        </w:rPr>
        <w:fldChar w:fldCharType="separate"/>
      </w:r>
      <w:r w:rsidR="00AF4670" w:rsidRPr="00BC63EF">
        <w:rPr>
          <w:rFonts w:asciiTheme="majorBidi" w:eastAsia="Times New Roman" w:hAnsiTheme="majorBidi" w:cstheme="majorBidi"/>
          <w:noProof/>
          <w:szCs w:val="24"/>
          <w:lang w:eastAsia="en-ID"/>
        </w:rPr>
        <w:t>(Dahlan et al., 2023)</w:t>
      </w:r>
      <w:r w:rsidR="00020A2C" w:rsidRPr="00BC63EF">
        <w:rPr>
          <w:rFonts w:asciiTheme="majorBidi" w:eastAsia="Times New Roman" w:hAnsiTheme="majorBidi" w:cstheme="majorBidi"/>
          <w:szCs w:val="24"/>
          <w:lang w:eastAsia="en-ID"/>
        </w:rPr>
        <w:fldChar w:fldCharType="end"/>
      </w:r>
      <w:r w:rsidR="004C6BF7">
        <w:rPr>
          <w:rFonts w:asciiTheme="majorBidi" w:hAnsiTheme="majorBidi" w:cstheme="majorBidi"/>
          <w:szCs w:val="24"/>
        </w:rPr>
        <w:t xml:space="preserve">, </w:t>
      </w:r>
      <w:r w:rsidR="004C6BF7" w:rsidRPr="00BC63EF">
        <w:rPr>
          <w:rFonts w:asciiTheme="majorBidi" w:hAnsiTheme="majorBidi" w:cstheme="majorBidi"/>
          <w:szCs w:val="24"/>
        </w:rPr>
        <w:fldChar w:fldCharType="begin" w:fldLock="1"/>
      </w:r>
      <w:r w:rsidR="00EC477A">
        <w:rPr>
          <w:rFonts w:asciiTheme="majorBidi" w:hAnsiTheme="majorBidi" w:cstheme="majorBidi"/>
          <w:szCs w:val="24"/>
        </w:rPr>
        <w:instrText>ADDIN CSL_CITATION {"citationItems":[{"id":"ITEM-1","itemData":{"ISBN":"9789240079052","URL":"https://iris.who.int/server/api/core","author":[{"dropping-particle":"","family":"Nappoe","given":"Stevie Ardianto","non-dropping-particle":"","parse-names":false,"suffix":""},{"dropping-particle":"","family":"Djasri","given":"Hanevi","non-dropping-particle":"","parse-names":false,"suffix":""},{"dropping-particle":"","family":"Kurniawan","given":"Muhamad Faozi","non-dropping-particle":"","parse-names":false,"suffix":""}],"container-title":"WHO","id":"ITEM-1","issued":{"date-parts":[["2024"]]},"page":"1-62","title":"Chronic disease management programme (PROLANIS) in Indonesia","type":"webpage"},"uris":["http://www.mendeley.com/documents/?uuid=6bdece4e-8585-4608-b1cd-003dc1493c0d"]}],"mendeley":{"formattedCitation":"(Nappoe et al., 2024)","plainTextFormattedCitation":"(Nappoe et al., 2024)","previouslyFormattedCitation":"(Nappoe et al., 2024)"},"properties":{"noteIndex":0},"schema":"https://github.com/citation-style-language/schema/raw/master/csl-citation.json"}</w:instrText>
      </w:r>
      <w:r w:rsidR="004C6BF7" w:rsidRPr="00BC63EF">
        <w:rPr>
          <w:rFonts w:asciiTheme="majorBidi" w:hAnsiTheme="majorBidi" w:cstheme="majorBidi"/>
          <w:szCs w:val="24"/>
        </w:rPr>
        <w:fldChar w:fldCharType="separate"/>
      </w:r>
      <w:r w:rsidR="004C6BF7" w:rsidRPr="00BC63EF">
        <w:rPr>
          <w:rFonts w:asciiTheme="majorBidi" w:hAnsiTheme="majorBidi" w:cstheme="majorBidi"/>
          <w:noProof/>
          <w:szCs w:val="24"/>
        </w:rPr>
        <w:t>(Nappoe et al., 2024)</w:t>
      </w:r>
      <w:r w:rsidR="004C6BF7" w:rsidRPr="00BC63EF">
        <w:rPr>
          <w:rFonts w:asciiTheme="majorBidi" w:hAnsiTheme="majorBidi" w:cstheme="majorBidi"/>
          <w:szCs w:val="24"/>
        </w:rPr>
        <w:fldChar w:fldCharType="end"/>
      </w:r>
      <w:r w:rsidR="004C6BF7">
        <w:rPr>
          <w:rFonts w:asciiTheme="majorBidi" w:hAnsiTheme="majorBidi" w:cstheme="majorBidi"/>
          <w:szCs w:val="24"/>
        </w:rPr>
        <w:t>.</w:t>
      </w:r>
      <w:r w:rsidR="004C6BF7">
        <w:rPr>
          <w:rFonts w:asciiTheme="majorBidi" w:eastAsia="Times New Roman" w:hAnsiTheme="majorBidi" w:cstheme="majorBidi"/>
          <w:szCs w:val="24"/>
          <w:lang w:eastAsia="en-ID"/>
        </w:rPr>
        <w:t xml:space="preserve"> </w:t>
      </w:r>
      <w:r>
        <w:t xml:space="preserve">Low knowledge regarding the purpose of routine check-ups is a major factor contributing to low </w:t>
      </w:r>
      <w:proofErr w:type="spellStart"/>
      <w:r>
        <w:t>Prolanis</w:t>
      </w:r>
      <w:proofErr w:type="spellEnd"/>
      <w:r>
        <w:t xml:space="preserve"> participation</w:t>
      </w:r>
      <w:r>
        <w:t xml:space="preserve"> </w:t>
      </w:r>
      <w:r w:rsidR="004C6BF7" w:rsidRPr="00BC63EF">
        <w:rPr>
          <w:rFonts w:asciiTheme="majorBidi" w:eastAsia="Times New Roman" w:hAnsiTheme="majorBidi" w:cstheme="majorBidi"/>
          <w:szCs w:val="24"/>
          <w:lang w:eastAsia="en-ID"/>
        </w:rPr>
        <w:fldChar w:fldCharType="begin" w:fldLock="1"/>
      </w:r>
      <w:r w:rsidR="00EC477A">
        <w:rPr>
          <w:rFonts w:asciiTheme="majorBidi" w:eastAsia="Times New Roman" w:hAnsiTheme="majorBidi" w:cstheme="majorBidi"/>
          <w:szCs w:val="24"/>
          <w:lang w:eastAsia="en-ID"/>
        </w:rPr>
        <w:instrText>ADDIN CSL_CITATION {"citationItems":[{"id":"ITEM-1","itemData":{"DOI":"10.22158/rhs.v9n1p1","author":[{"dropping-particle":"","family":"Shi","given":"Yi","non-dropping-particle":"","parse-names":false,"suffix":""},{"dropping-particle":"","family":"Liang","given":"Xueqing","non-dropping-particle":"","parse-names":false,"suffix":""}],"container-title":"Research in Health Science","id":"ITEM-1","issue":"1","issued":{"date-parts":[["2024"]]},"page":"1-8","title":"Effectiveness of Nurse-led Educational Interventions on Glycemic Control and Self-care Behaviors of Type 2 Diabetics : A Systematic Review","type":"article-journal","volume":"9"},"uris":["http://www.mendeley.com/documents/?uuid=4ed8c049-fe57-4974-a669-31800cb059ff"]}],"mendeley":{"formattedCitation":"(Shi &amp; Liang, 2024)","plainTextFormattedCitation":"(Shi &amp; Liang, 2024)","previouslyFormattedCitation":"(Shi &amp; Liang, 2024)"},"properties":{"noteIndex":0},"schema":"https://github.com/citation-style-language/schema/raw/master/csl-citation.json"}</w:instrText>
      </w:r>
      <w:r w:rsidR="004C6BF7" w:rsidRPr="00BC63EF">
        <w:rPr>
          <w:rFonts w:asciiTheme="majorBidi" w:eastAsia="Times New Roman" w:hAnsiTheme="majorBidi" w:cstheme="majorBidi"/>
          <w:szCs w:val="24"/>
          <w:lang w:eastAsia="en-ID"/>
        </w:rPr>
        <w:fldChar w:fldCharType="separate"/>
      </w:r>
      <w:r w:rsidR="004C6BF7" w:rsidRPr="00BC63EF">
        <w:rPr>
          <w:rFonts w:asciiTheme="majorBidi" w:eastAsia="Times New Roman" w:hAnsiTheme="majorBidi" w:cstheme="majorBidi"/>
          <w:noProof/>
          <w:szCs w:val="24"/>
          <w:lang w:eastAsia="en-ID"/>
        </w:rPr>
        <w:t>(Shi &amp; Liang, 2024)</w:t>
      </w:r>
      <w:r w:rsidR="004C6BF7" w:rsidRPr="00BC63EF">
        <w:rPr>
          <w:rFonts w:asciiTheme="majorBidi" w:eastAsia="Times New Roman" w:hAnsiTheme="majorBidi" w:cstheme="majorBidi"/>
          <w:szCs w:val="24"/>
          <w:lang w:eastAsia="en-ID"/>
        </w:rPr>
        <w:fldChar w:fldCharType="end"/>
      </w:r>
      <w:r w:rsidR="004C6BF7">
        <w:rPr>
          <w:rFonts w:asciiTheme="majorBidi" w:eastAsia="Times New Roman" w:hAnsiTheme="majorBidi" w:cstheme="majorBidi"/>
          <w:szCs w:val="24"/>
          <w:lang w:eastAsia="en-ID"/>
        </w:rPr>
        <w:t xml:space="preserve">, </w:t>
      </w:r>
      <w:r w:rsidR="004C6BF7" w:rsidRPr="00BC63EF">
        <w:rPr>
          <w:rFonts w:asciiTheme="majorBidi" w:hAnsiTheme="majorBidi" w:cstheme="majorBidi"/>
          <w:szCs w:val="24"/>
        </w:rPr>
        <w:fldChar w:fldCharType="begin" w:fldLock="1"/>
      </w:r>
      <w:r w:rsidR="00EC477A">
        <w:rPr>
          <w:rFonts w:asciiTheme="majorBidi" w:hAnsiTheme="majorBidi" w:cstheme="majorBidi"/>
          <w:szCs w:val="24"/>
        </w:rPr>
        <w:instrText>ADDIN CSL_CITATION {"citationItems":[{"id":"ITEM-1","itemData":{"author":[{"dropping-particle":"","family":"Yusianto","given":"Wahyu","non-dropping-particle":"","parse-names":false,"suffix":""},{"dropping-particle":"","family":"Teguh","given":"Ristian","non-dropping-particle":"","parse-names":false,"suffix":""},{"dropping-particle":"","family":"Wahyuni","given":"Dwi","non-dropping-particle":"","parse-names":false,"suffix":""},{"dropping-particle":"","family":"Kesehatan","given":"Teknologi","non-dropping-particle":"","parse-names":false,"suffix":""},{"dropping-particle":"","family":"Utama","given":"Cendekia","non-dropping-particle":"","parse-names":false,"suffix":""}],"container-title":"Menara Journal of Health Science","id":"ITEM-1","issue":"2","issued":{"date-parts":[["2024"]]},"page":"302-312","title":"Knowledge and Compliance of Diabetes Mellitus Patients in Following the Chronic Disease Management Program ( Prolanis ) Pengetahuan dan Kepatuhan Pasien Diabetes Melitus dalam Mengikuti Program Pengelolaan Penyakit Kronis ( Prolanis )","type":"article-journal","volume":"3"},"uris":["http://www.mendeley.com/documents/?uuid=c1e53137-47dd-4a34-a79f-ca195015eee7"]}],"mendeley":{"formattedCitation":"(Yusianto et al., 2024)","plainTextFormattedCitation":"(Yusianto et al., 2024)","previouslyFormattedCitation":"(Yusianto et al., 2024)"},"properties":{"noteIndex":0},"schema":"https://github.com/citation-style-language/schema/raw/master/csl-citation.json"}</w:instrText>
      </w:r>
      <w:r w:rsidR="004C6BF7" w:rsidRPr="00BC63EF">
        <w:rPr>
          <w:rFonts w:asciiTheme="majorBidi" w:hAnsiTheme="majorBidi" w:cstheme="majorBidi"/>
          <w:szCs w:val="24"/>
        </w:rPr>
        <w:fldChar w:fldCharType="separate"/>
      </w:r>
      <w:r w:rsidR="004C6BF7" w:rsidRPr="00BC63EF">
        <w:rPr>
          <w:rFonts w:asciiTheme="majorBidi" w:hAnsiTheme="majorBidi" w:cstheme="majorBidi"/>
          <w:noProof/>
          <w:szCs w:val="24"/>
        </w:rPr>
        <w:t>(Yusianto et al., 2024)</w:t>
      </w:r>
      <w:r w:rsidR="004C6BF7" w:rsidRPr="00BC63EF">
        <w:rPr>
          <w:rFonts w:asciiTheme="majorBidi" w:hAnsiTheme="majorBidi" w:cstheme="majorBidi"/>
          <w:szCs w:val="24"/>
        </w:rPr>
        <w:fldChar w:fldCharType="end"/>
      </w:r>
      <w:r w:rsidR="004C6BF7">
        <w:rPr>
          <w:rFonts w:asciiTheme="majorBidi" w:hAnsiTheme="majorBidi" w:cstheme="majorBidi"/>
          <w:szCs w:val="24"/>
        </w:rPr>
        <w:t xml:space="preserve">, </w:t>
      </w:r>
      <w:r w:rsidR="00020A2C" w:rsidRPr="00BC63EF">
        <w:rPr>
          <w:rFonts w:asciiTheme="majorBidi" w:hAnsiTheme="majorBidi" w:cstheme="majorBidi"/>
          <w:szCs w:val="24"/>
        </w:rPr>
        <w:fldChar w:fldCharType="begin" w:fldLock="1"/>
      </w:r>
      <w:r w:rsidR="00EC477A">
        <w:rPr>
          <w:rFonts w:asciiTheme="majorBidi" w:hAnsiTheme="majorBidi" w:cstheme="majorBidi"/>
          <w:szCs w:val="24"/>
        </w:rPr>
        <w:instrText>ADDIN CSL_CITATION {"citationItems":[{"id":"ITEM-1","itemData":{"DOI":"https://doi.org/10.33846/hd20806","author":[{"dropping-particle":"","family":"Gustika","given":"Evi","non-dropping-particle":"","parse-names":false,"suffix":""},{"dropping-particle":"","family":"Budiati","given":"Endang","non-dropping-particle":"","parse-names":false,"suffix":""},{"dropping-particle":"","family":"Rahayu","given":"Dewi","non-dropping-particle":"","parse-names":false,"suffix":""},{"dropping-particle":"","family":"Adyas","given":"Atikah","non-dropping-particle":"","parse-names":false,"suffix":""},{"dropping-particle":"","family":"Utama","given":"Dian","non-dropping-particle":"","parse-names":false,"suffix":""},{"dropping-particle":"","family":"Putri","given":"Pratiwi","non-dropping-particle":"","parse-names":false,"suffix":""}],"container-title":"Health Dynamics","id":"ITEM-1","issue":"3","issued":{"date-parts":[["2025"]]},"page":"359-365","title":"Factors Related to the Utilization of Chronic Disease Management Programs in Patients with Type 2 Diabetes Mellitus Health Dynamics","type":"article-journal","volume":"2"},"uris":["http://www.mendeley.com/documents/?uuid=f798c086-21f4-490e-8c8a-f1cb97e69f70"]}],"mendeley":{"formattedCitation":"(Gustika et al., 2025)","plainTextFormattedCitation":"(Gustika et al., 2025)","previouslyFormattedCitation":"(Gustika et al., 2025)"},"properties":{"noteIndex":0},"schema":"https://github.com/citation-style-language/schema/raw/master/csl-citation.json"}</w:instrText>
      </w:r>
      <w:r w:rsidR="00020A2C" w:rsidRPr="00BC63EF">
        <w:rPr>
          <w:rFonts w:asciiTheme="majorBidi" w:hAnsiTheme="majorBidi" w:cstheme="majorBidi"/>
          <w:szCs w:val="24"/>
        </w:rPr>
        <w:fldChar w:fldCharType="separate"/>
      </w:r>
      <w:r w:rsidR="00AF4670" w:rsidRPr="00BC63EF">
        <w:rPr>
          <w:rFonts w:asciiTheme="majorBidi" w:hAnsiTheme="majorBidi" w:cstheme="majorBidi"/>
          <w:noProof/>
          <w:szCs w:val="24"/>
        </w:rPr>
        <w:t>(Gustika et al., 2025)</w:t>
      </w:r>
      <w:r w:rsidR="00020A2C" w:rsidRPr="00BC63EF">
        <w:rPr>
          <w:rFonts w:asciiTheme="majorBidi" w:hAnsiTheme="majorBidi" w:cstheme="majorBidi"/>
          <w:szCs w:val="24"/>
        </w:rPr>
        <w:fldChar w:fldCharType="end"/>
      </w:r>
      <w:r w:rsidR="004C6BF7">
        <w:rPr>
          <w:rFonts w:asciiTheme="majorBidi" w:hAnsiTheme="majorBidi" w:cstheme="majorBidi"/>
          <w:szCs w:val="24"/>
        </w:rPr>
        <w:t xml:space="preserve">. </w:t>
      </w:r>
      <w:r>
        <w:t>Another study found that patients with good knowledge are 2–3 times more adherent to therapy and more consistent in utilizing program-based services</w:t>
      </w:r>
      <w:r>
        <w:t xml:space="preserve"> </w:t>
      </w:r>
      <w:r w:rsidR="00020A2C" w:rsidRPr="00BC63EF">
        <w:rPr>
          <w:rFonts w:asciiTheme="majorBidi" w:eastAsia="Times New Roman" w:hAnsiTheme="majorBidi" w:cstheme="majorBidi"/>
          <w:szCs w:val="24"/>
          <w:lang w:eastAsia="en-ID"/>
        </w:rPr>
        <w:fldChar w:fldCharType="begin" w:fldLock="1"/>
      </w:r>
      <w:r w:rsidR="00EC477A">
        <w:rPr>
          <w:rFonts w:asciiTheme="majorBidi" w:eastAsia="Times New Roman" w:hAnsiTheme="majorBidi" w:cstheme="majorBidi"/>
          <w:szCs w:val="24"/>
          <w:lang w:eastAsia="en-ID"/>
        </w:rPr>
        <w:instrText>ADDIN CSL_CITATION {"citationItems":[{"id":"ITEM-1","itemData":{"DOI":"10.1186/s12913-021-07020-z","ISSN":"1472-6963 (Electronic)","PMID":"34600525","abstract":"BACKGROUND: Patients with chronic diseases have increased needs for assistance  and care. The objective of this study was to describe the characteristics and use of primary care (PC) and hospital care (HC) health services by chronic patients according to risk level based on adjusted morbidity groups (AMG) and to analyze the associated factors. METHODS: Cross-sectional descriptive observational study. Patients from a basic health area classified as chronically ill by the AMG classification system of the Madrid PC electronic medical record were included. Sociodemographic, clinical-care characteristics (classified as predisposing factors or need factors) and service utilization variables were collected. Univariate, bivariate and simple linear regression analyses were performed. RESULTS: The sample consisted of 9866 chronic patients and 8332 (84.4%) used health services. Of these service users, 63% were women, mean age was 55.7 (SD = 20.8), 439 (5.3%) were high risk, 1746 (21.2%) were medium risk, and 6041(73.4%) were low risk. A total of 8226 (98.7%) were PC users, and 4284 (51.4%) were HC users. The average number of annual contacts with PC was 13.9 (SD = 15); the average number of contacts with HC was 4.8 (SD = 6.2). Predisposing factors associated with services utilization at both care levels were: age (B coefficient [BC] = 0.03 and 0.018, 95% CI = 0.017-0.052 and 0.008-0.028, respectively, for PC and HC) and Spanish origin (BC = 0.962 and 3.396, 95% CI = 0.198-1.726 and 2.722-4.070); need factors included: palliative care (BC = 10,492 and 5047; 95% CI = 6457-14,526 and 3098-6995), high risk (BC = 4631 and 2730, 95% CI = 3022-6241 and 1.949-3.512), number of chronic diseases (BC = 1.291 and 0.222, 95% CI = 1.068-1.51 and 0.103-0.341) and neoplasms (BC = 2.989 and 4.309, 95% CI = 1.659-4.319 and 3.629-4.989). CONCLUSIONS: The characteristics and PC and HC service utilization of chronic patients were different and varied according to their AMG risk level. There was greater use of PC services than HC services, although utilization of both levels of care was high. Service use was related to predisposing factors such as age and country of origin and, above all, to need factors such as immobility, high risk, and number and type of chronic diseases that require follow-up and palliative care.","author":[{"dropping-particle":"","family":"Barrio-Cortes","given":"Jaime","non-dropping-particle":"","parse-names":false,"suffix":""},{"dropping-particle":"","family":"Soria-Ruiz-Ogarrio","given":"María","non-dropping-particle":"","parse-names":false,"suffix":""},{"dropping-particle":"","family":"Martínez-Cuevas","given":"María","non-dropping-particle":"","parse-names":false,"suffix":""},{"dropping-particle":"","family":"Castaño-Reguillo","given":"Almudena","non-dropping-particle":"","parse-names":false,"suffix":""},{"dropping-particle":"","family":"Bandeira-de Oliveira","given":"Mariana","non-dropping-particle":"","parse-names":false,"suffix":""},{"dropping-particle":"","family":"Beca-Martínez","given":"María Teresa","non-dropping-particle":"","parse-names":false,"suffix":""},{"dropping-particle":"","family":"López-Rodríguez","given":"María Carmen","non-dropping-particle":"","parse-names":false,"suffix":""},{"dropping-particle":"","family":"Jaime-Sisó","given":"María Ángeles","non-dropping-particle":"","parse-names":false,"suffix":""}],"container-title":"BMC health services research","id":"ITEM-1","issue":"1","issued":{"date-parts":[["2021","10"]]},"language":"eng","page":"1046","publisher-place":"England","title":"Use of primary and hospital care health services by chronic patients according to  risk level by adjusted morbidity groups.","type":"article-journal","volume":"21"},"uris":["http://www.mendeley.com/documents/?uuid=6bccc6b5-3918-4672-b7dd-59062ec19a87"]}],"mendeley":{"formattedCitation":"(Barrio-Cortes et al., 2021)","plainTextFormattedCitation":"(Barrio-Cortes et al., 2021)","previouslyFormattedCitation":"(Barrio-Cortes et al., 2021)"},"properties":{"noteIndex":0},"schema":"https://github.com/citation-style-language/schema/raw/master/csl-citation.json"}</w:instrText>
      </w:r>
      <w:r w:rsidR="00020A2C" w:rsidRPr="00BC63EF">
        <w:rPr>
          <w:rFonts w:asciiTheme="majorBidi" w:eastAsia="Times New Roman" w:hAnsiTheme="majorBidi" w:cstheme="majorBidi"/>
          <w:szCs w:val="24"/>
          <w:lang w:eastAsia="en-ID"/>
        </w:rPr>
        <w:fldChar w:fldCharType="separate"/>
      </w:r>
      <w:r w:rsidR="00AF4670" w:rsidRPr="00BC63EF">
        <w:rPr>
          <w:rFonts w:asciiTheme="majorBidi" w:eastAsia="Times New Roman" w:hAnsiTheme="majorBidi" w:cstheme="majorBidi"/>
          <w:noProof/>
          <w:szCs w:val="24"/>
          <w:lang w:eastAsia="en-ID"/>
        </w:rPr>
        <w:t>(Barrio-</w:t>
      </w:r>
      <w:r w:rsidR="00AF4670" w:rsidRPr="00BC63EF">
        <w:rPr>
          <w:rFonts w:asciiTheme="majorBidi" w:eastAsia="Times New Roman" w:hAnsiTheme="majorBidi" w:cstheme="majorBidi"/>
          <w:noProof/>
          <w:szCs w:val="24"/>
          <w:lang w:eastAsia="en-ID"/>
        </w:rPr>
        <w:lastRenderedPageBreak/>
        <w:t>Cortes et al., 2021)</w:t>
      </w:r>
      <w:r w:rsidR="00020A2C" w:rsidRPr="00BC63EF">
        <w:rPr>
          <w:rFonts w:asciiTheme="majorBidi" w:eastAsia="Times New Roman" w:hAnsiTheme="majorBidi" w:cstheme="majorBidi"/>
          <w:szCs w:val="24"/>
          <w:lang w:eastAsia="en-ID"/>
        </w:rPr>
        <w:fldChar w:fldCharType="end"/>
      </w:r>
      <w:r w:rsidR="004C6BF7">
        <w:rPr>
          <w:rFonts w:asciiTheme="majorBidi" w:eastAsia="Times New Roman" w:hAnsiTheme="majorBidi" w:cstheme="majorBidi"/>
          <w:szCs w:val="24"/>
          <w:lang w:eastAsia="en-ID"/>
        </w:rPr>
        <w:t xml:space="preserve">. </w:t>
      </w:r>
      <w:r>
        <w:t xml:space="preserve">Participation also increases when patients recognize that </w:t>
      </w:r>
      <w:proofErr w:type="spellStart"/>
      <w:r>
        <w:t>Prolanis</w:t>
      </w:r>
      <w:proofErr w:type="spellEnd"/>
      <w:r>
        <w:t xml:space="preserve"> helps reduce medical costs, lowers complication risks, and enhances quality of life</w:t>
      </w:r>
      <w:r w:rsidRPr="00BC63EF">
        <w:rPr>
          <w:rFonts w:asciiTheme="majorBidi" w:eastAsia="Times New Roman" w:hAnsiTheme="majorBidi" w:cstheme="majorBidi"/>
          <w:szCs w:val="24"/>
          <w:lang w:eastAsia="en-ID"/>
        </w:rPr>
        <w:t xml:space="preserve"> </w:t>
      </w:r>
      <w:r w:rsidR="00020A2C" w:rsidRPr="00BC63EF">
        <w:rPr>
          <w:rFonts w:asciiTheme="majorBidi" w:eastAsia="Times New Roman" w:hAnsiTheme="majorBidi" w:cstheme="majorBidi"/>
          <w:szCs w:val="24"/>
          <w:lang w:eastAsia="en-ID"/>
        </w:rPr>
        <w:t>(p 0,001)</w:t>
      </w:r>
      <w:r w:rsidR="00874F44">
        <w:rPr>
          <w:rFonts w:asciiTheme="majorBidi" w:eastAsia="Times New Roman" w:hAnsiTheme="majorBidi" w:cstheme="majorBidi"/>
          <w:szCs w:val="24"/>
          <w:lang w:eastAsia="en-ID"/>
        </w:rPr>
        <w:t xml:space="preserve"> </w:t>
      </w:r>
      <w:r w:rsidR="00020A2C" w:rsidRPr="00BC63EF">
        <w:rPr>
          <w:rFonts w:asciiTheme="majorBidi" w:eastAsia="Times New Roman" w:hAnsiTheme="majorBidi" w:cstheme="majorBidi"/>
          <w:szCs w:val="24"/>
          <w:lang w:eastAsia="en-ID"/>
        </w:rPr>
        <w:fldChar w:fldCharType="begin" w:fldLock="1"/>
      </w:r>
      <w:r w:rsidR="00EC477A">
        <w:rPr>
          <w:rFonts w:asciiTheme="majorBidi" w:eastAsia="Times New Roman" w:hAnsiTheme="majorBidi" w:cstheme="majorBidi"/>
          <w:szCs w:val="24"/>
          <w:lang w:eastAsia="en-ID"/>
        </w:rPr>
        <w:instrText>ADDIN CSL_CITATION {"citationItems":[{"id":"ITEM-1","itemData":{"DOI":"http://ejurnalmalahayati.ac.id/index.php/kebidanan","author":[{"dropping-particle":"","family":"Suciawati","given":"Anni","non-dropping-particle":"","parse-names":false,"suffix":""},{"dropping-particle":"","family":"Kundaryanti","given":"Rini","non-dropping-particle":"","parse-names":false,"suffix":""},{"dropping-particle":"","family":"Nursyifa","given":"Miea","non-dropping-particle":"","parse-names":false,"suffix":""}],"container-title":"JKM (Jurnal Kebidanan Malahayati)","id":"ITEM-1","issue":"1","issued":{"date-parts":[["2025"]]},"page":"6-15","title":"Factors Related To The Coverage Of The Chronic Disease Management","type":"article-journal","volume":"11"},"uris":["http://www.mendeley.com/documents/?uuid=6be8b895-8a12-4193-9758-a375ba2f8e43"]}],"mendeley":{"formattedCitation":"(Suciawati et al., 2025)","plainTextFormattedCitation":"(Suciawati et al., 2025)","previouslyFormattedCitation":"(Suciawati et al., 2025)"},"properties":{"noteIndex":0},"schema":"https://github.com/citation-style-language/schema/raw/master/csl-citation.json"}</w:instrText>
      </w:r>
      <w:r w:rsidR="00020A2C" w:rsidRPr="00BC63EF">
        <w:rPr>
          <w:rFonts w:asciiTheme="majorBidi" w:eastAsia="Times New Roman" w:hAnsiTheme="majorBidi" w:cstheme="majorBidi"/>
          <w:szCs w:val="24"/>
          <w:lang w:eastAsia="en-ID"/>
        </w:rPr>
        <w:fldChar w:fldCharType="separate"/>
      </w:r>
      <w:r w:rsidR="00AF4670" w:rsidRPr="00BC63EF">
        <w:rPr>
          <w:rFonts w:asciiTheme="majorBidi" w:eastAsia="Times New Roman" w:hAnsiTheme="majorBidi" w:cstheme="majorBidi"/>
          <w:noProof/>
          <w:szCs w:val="24"/>
          <w:lang w:eastAsia="en-ID"/>
        </w:rPr>
        <w:t>(Suciawati et al., 2025)</w:t>
      </w:r>
      <w:r w:rsidR="00020A2C" w:rsidRPr="00BC63EF">
        <w:rPr>
          <w:rFonts w:asciiTheme="majorBidi" w:eastAsia="Times New Roman" w:hAnsiTheme="majorBidi" w:cstheme="majorBidi"/>
          <w:szCs w:val="24"/>
          <w:lang w:eastAsia="en-ID"/>
        </w:rPr>
        <w:fldChar w:fldCharType="end"/>
      </w:r>
      <w:r w:rsidR="00874F44">
        <w:rPr>
          <w:rFonts w:asciiTheme="majorBidi" w:eastAsia="Times New Roman" w:hAnsiTheme="majorBidi" w:cstheme="majorBidi"/>
          <w:szCs w:val="24"/>
          <w:lang w:eastAsia="en-ID"/>
        </w:rPr>
        <w:t>.</w:t>
      </w:r>
    </w:p>
    <w:p w14:paraId="4EC30F57" w14:textId="26555449" w:rsidR="00453DB9" w:rsidRPr="00453DB9" w:rsidRDefault="00453DB9" w:rsidP="00453DB9">
      <w:pPr>
        <w:pStyle w:val="ListParagraph"/>
        <w:numPr>
          <w:ilvl w:val="8"/>
          <w:numId w:val="1"/>
        </w:numPr>
        <w:suppressAutoHyphens w:val="0"/>
        <w:ind w:leftChars="0" w:left="284" w:firstLineChars="0" w:hanging="286"/>
        <w:textDirection w:val="lrTb"/>
        <w:textAlignment w:val="auto"/>
        <w:outlineLvl w:val="9"/>
        <w:rPr>
          <w:rFonts w:asciiTheme="majorBidi" w:eastAsia="Times New Roman" w:hAnsiTheme="majorBidi" w:cstheme="majorBidi"/>
          <w:b/>
          <w:bCs/>
          <w:szCs w:val="24"/>
          <w:lang w:eastAsia="en-ID"/>
        </w:rPr>
      </w:pPr>
      <w:r w:rsidRPr="00453DB9">
        <w:rPr>
          <w:b/>
          <w:bCs/>
        </w:rPr>
        <w:t>Relationship Between Family Support and Utilization of the Chronic Disease Management Program (</w:t>
      </w:r>
      <w:proofErr w:type="spellStart"/>
      <w:r w:rsidRPr="00453DB9">
        <w:rPr>
          <w:b/>
          <w:bCs/>
        </w:rPr>
        <w:t>Prolanis</w:t>
      </w:r>
      <w:proofErr w:type="spellEnd"/>
      <w:r w:rsidRPr="00453DB9">
        <w:rPr>
          <w:b/>
          <w:bCs/>
        </w:rPr>
        <w:t>)</w:t>
      </w:r>
    </w:p>
    <w:p w14:paraId="534CD044" w14:textId="6400C460" w:rsidR="00453DB9" w:rsidRPr="00453DB9" w:rsidRDefault="00453DB9" w:rsidP="00453DB9">
      <w:pPr>
        <w:pStyle w:val="ListParagraph"/>
        <w:ind w:leftChars="129" w:left="284" w:firstLineChars="236" w:firstLine="566"/>
        <w:rPr>
          <w:rFonts w:eastAsia="Times New Roman" w:cs="Times New Roman"/>
          <w:position w:val="0"/>
          <w:szCs w:val="24"/>
          <w:lang w:val="en-ID" w:eastAsia="en-ID"/>
        </w:rPr>
      </w:pPr>
      <w:r w:rsidRPr="00453DB9">
        <w:rPr>
          <w:rFonts w:eastAsia="Times New Roman" w:cs="Times New Roman"/>
          <w:position w:val="0"/>
          <w:szCs w:val="24"/>
          <w:lang w:val="en-ID" w:eastAsia="en-ID"/>
        </w:rPr>
        <w:t xml:space="preserve">The study results show that 58.3% of respondents received supportive family involvement, while 41.7% were categorized as unsupported. Although the majority received support, over one-third still lacked family participation, which may affect visit adherence and diabetes management outcomes. Positive family support—such as advising participation, reminding schedules, accompanying patients, and encouraging healthy lifestyles—was relatively frequent. About 46.7% of families often reminded </w:t>
      </w:r>
      <w:proofErr w:type="spellStart"/>
      <w:r w:rsidRPr="00453DB9">
        <w:rPr>
          <w:rFonts w:eastAsia="Times New Roman" w:cs="Times New Roman"/>
          <w:position w:val="0"/>
          <w:szCs w:val="24"/>
          <w:lang w:val="en-ID" w:eastAsia="en-ID"/>
        </w:rPr>
        <w:t>Prolanis</w:t>
      </w:r>
      <w:proofErr w:type="spellEnd"/>
      <w:r w:rsidRPr="00453DB9">
        <w:rPr>
          <w:rFonts w:eastAsia="Times New Roman" w:cs="Times New Roman"/>
          <w:position w:val="0"/>
          <w:szCs w:val="24"/>
          <w:lang w:val="en-ID" w:eastAsia="en-ID"/>
        </w:rPr>
        <w:t xml:space="preserve"> schedules, and 50% frequently reprimanded patients who missed activities. This indicates that most families understand the importance of consistent program attendance to maintain glucose stability and prevent complications.</w:t>
      </w:r>
    </w:p>
    <w:p w14:paraId="481F456A" w14:textId="09982B2F" w:rsidR="002B6FBA" w:rsidRDefault="00453DB9" w:rsidP="00453DB9">
      <w:pPr>
        <w:pStyle w:val="ListParagraph"/>
        <w:ind w:leftChars="129" w:left="284" w:firstLineChars="236" w:firstLine="566"/>
        <w:rPr>
          <w:rFonts w:asciiTheme="majorBidi" w:hAnsiTheme="majorBidi" w:cstheme="majorBidi"/>
          <w:szCs w:val="24"/>
        </w:rPr>
      </w:pPr>
      <w:r>
        <w:t>Family support plays a crucial role in chronic disease management, including Diabetes Mellitus, as families serve as the primary support system, treatment supervisors, and health decision-making partners</w:t>
      </w:r>
      <w:r>
        <w:t xml:space="preserve"> </w:t>
      </w:r>
      <w:r w:rsidR="00020A2C" w:rsidRPr="00BC63EF">
        <w:rPr>
          <w:rFonts w:asciiTheme="majorBidi" w:hAnsiTheme="majorBidi" w:cstheme="majorBidi"/>
          <w:szCs w:val="24"/>
          <w:vertAlign w:val="superscript"/>
        </w:rPr>
        <w:fldChar w:fldCharType="begin" w:fldLock="1"/>
      </w:r>
      <w:r w:rsidR="00EC477A">
        <w:rPr>
          <w:rFonts w:asciiTheme="majorBidi" w:hAnsiTheme="majorBidi" w:cstheme="majorBidi"/>
          <w:szCs w:val="24"/>
          <w:vertAlign w:val="superscript"/>
        </w:rPr>
        <w:instrText>ADDIN CSL_CITATION {"citationItems":[{"id":"ITEM-1","itemData":{"ISBN":"8613983782","author":[{"dropping-particle":"","family":"Cong","given":"Cheng","non-dropping-particle":"","parse-names":false,"suffix":""},{"dropping-particle":"","family":"Lei","given":"Xiao","non-dropping-particle":"","parse-names":false,"suffix":""},{"dropping-particle":"","family":"Jian","given":"Yang","non-dropping-particle":"","parse-names":false,"suffix":""},{"dropping-particle":"","family":"Qian","given":"Hu","non-dropping-particle":"","parse-names":false,"suffix":""},{"dropping-particle":"","family":"Yuan","given":"Yang","non-dropping-particle":"","parse-names":false,"suffix":""},{"dropping-particle":"","family":"Fan","given":"Zhang","non-dropping-particle":"","parse-names":false,"suffix":""}],"container-title":"Med Discoveries","id":"ITEM-1","issue":"2","issued":{"date-parts":[["2024"]]},"page":"1-8","title":"Among Patient with Chronic Diseases Based on the","type":"article-journal","volume":"3"},"uris":["http://www.mendeley.com/documents/?uuid=0c05a41d-b3b7-4226-8ec0-a5e1bdda0d22"]}],"mendeley":{"formattedCitation":"(Cong et al., 2024)","plainTextFormattedCitation":"(Cong et al., 2024)","previouslyFormattedCitation":"(Cong et al., 2024)"},"properties":{"noteIndex":0},"schema":"https://github.com/citation-style-language/schema/raw/master/csl-citation.json"}</w:instrText>
      </w:r>
      <w:r w:rsidR="00020A2C" w:rsidRPr="00BC63EF">
        <w:rPr>
          <w:rFonts w:asciiTheme="majorBidi" w:hAnsiTheme="majorBidi" w:cstheme="majorBidi"/>
          <w:szCs w:val="24"/>
          <w:vertAlign w:val="superscript"/>
        </w:rPr>
        <w:fldChar w:fldCharType="separate"/>
      </w:r>
      <w:r w:rsidR="00AF4670" w:rsidRPr="00BC63EF">
        <w:rPr>
          <w:rFonts w:asciiTheme="majorBidi" w:hAnsiTheme="majorBidi" w:cstheme="majorBidi"/>
          <w:noProof/>
          <w:szCs w:val="24"/>
        </w:rPr>
        <w:t>(Cong et al., 2024)</w:t>
      </w:r>
      <w:r w:rsidR="00020A2C" w:rsidRPr="00BC63EF">
        <w:rPr>
          <w:rFonts w:asciiTheme="majorBidi" w:hAnsiTheme="majorBidi" w:cstheme="majorBidi"/>
          <w:szCs w:val="24"/>
          <w:vertAlign w:val="superscript"/>
        </w:rPr>
        <w:fldChar w:fldCharType="end"/>
      </w:r>
      <w:r>
        <w:rPr>
          <w:rFonts w:asciiTheme="majorBidi" w:hAnsiTheme="majorBidi" w:cstheme="majorBidi"/>
          <w:szCs w:val="24"/>
        </w:rPr>
        <w:t xml:space="preserve">. </w:t>
      </w:r>
      <w:r>
        <w:t xml:space="preserve">Findings demonstrate that 98% of patients without family support did not utilize </w:t>
      </w:r>
      <w:proofErr w:type="spellStart"/>
      <w:r>
        <w:t>Prolanis</w:t>
      </w:r>
      <w:proofErr w:type="spellEnd"/>
      <w:r>
        <w:t xml:space="preserve">, while only 2% utilized it. In contrast, among patients with family support, 50% utilized </w:t>
      </w:r>
      <w:proofErr w:type="spellStart"/>
      <w:r>
        <w:t>Prolanis</w:t>
      </w:r>
      <w:proofErr w:type="spellEnd"/>
      <w:r>
        <w:t xml:space="preserve">. Fisher’s Exact Test yielded a p-value of 0.000, confirming a significant association. The OR = 49 (95% CI: 6.4–374.78) indicates that patients without family support were 49 times more likely not to utilize </w:t>
      </w:r>
      <w:proofErr w:type="spellStart"/>
      <w:r>
        <w:t>Prolanis</w:t>
      </w:r>
      <w:proofErr w:type="spellEnd"/>
      <w:r>
        <w:t>.</w:t>
      </w:r>
      <w:r w:rsidR="00020A2C" w:rsidRPr="00BC63EF">
        <w:rPr>
          <w:rFonts w:asciiTheme="majorBidi" w:hAnsiTheme="majorBidi" w:cstheme="majorBidi"/>
          <w:szCs w:val="24"/>
        </w:rPr>
        <w:t xml:space="preserve"> </w:t>
      </w:r>
    </w:p>
    <w:p w14:paraId="1B70E8E5" w14:textId="218C19A3" w:rsidR="002B6FBA" w:rsidRDefault="00453DB9" w:rsidP="00453DB9">
      <w:pPr>
        <w:pStyle w:val="ListParagraph"/>
        <w:ind w:leftChars="129" w:left="284" w:firstLineChars="236" w:firstLine="566"/>
        <w:rPr>
          <w:rFonts w:asciiTheme="majorBidi" w:eastAsia="Times New Roman" w:hAnsiTheme="majorBidi" w:cstheme="majorBidi"/>
          <w:szCs w:val="24"/>
          <w:lang w:eastAsia="en-ID"/>
        </w:rPr>
      </w:pPr>
      <w:r>
        <w:t>These findings are consistent with previous studies reporting that patients with strong family support are 3.7 times more likely to utilize health services optimally</w:t>
      </w:r>
      <w:r>
        <w:t xml:space="preserve"> </w:t>
      </w:r>
      <w:r w:rsidR="00020A2C" w:rsidRPr="00BC63EF">
        <w:rPr>
          <w:rFonts w:asciiTheme="majorBidi" w:eastAsia="Times New Roman" w:hAnsiTheme="majorBidi" w:cstheme="majorBidi"/>
          <w:szCs w:val="24"/>
          <w:lang w:eastAsia="en-ID"/>
        </w:rPr>
        <w:fldChar w:fldCharType="begin" w:fldLock="1"/>
      </w:r>
      <w:r w:rsidR="00EC477A">
        <w:rPr>
          <w:rFonts w:asciiTheme="majorBidi" w:eastAsia="Times New Roman" w:hAnsiTheme="majorBidi" w:cstheme="majorBidi"/>
          <w:szCs w:val="24"/>
          <w:lang w:eastAsia="en-ID"/>
        </w:rPr>
        <w:instrText>ADDIN CSL_CITATION {"citationItems":[{"id":"ITEM-1","itemData":{"DOI":"https://doi.org/10.33024/mahesa.v4i10.15753","author":[{"dropping-particle":"","family":"Nasution","given":"Savira Medinah","non-dropping-particle":"","parse-names":false,"suffix":""},{"dropping-particle":"","family":"Nasution","given":"Siti Khadijah","non-dropping-particle":"","parse-names":false,"suffix":""},{"dropping-particle":"","family":"Zulfendri","given":"","non-dropping-particle":"","parse-names":false,"suffix":""}],"container-title":"Mahesa: Malahayati Health Student Journal","id":"ITEM-1","issue":"10","issued":{"date-parts":[["2024"]]},"page":"4569-4581","title":"Hubungan Dukungan Keluarga Dan Peran Tenaga Kesehatan Dengan Pemanfataan Prolanis Pada Penderita Diabetes Melitus Di Wilayah Kerja Puskesmas Helvetia","type":"article-journal","volume":"4"},"uris":["http://www.mendeley.com/documents/?uuid=b9b1926d-2fe9-4f9f-8e74-fbc5adbae9ab"]}],"mendeley":{"formattedCitation":"(Nasution et al., 2024)","plainTextFormattedCitation":"(Nasution et al., 2024)","previouslyFormattedCitation":"(Nasution et al., 2024)"},"properties":{"noteIndex":0},"schema":"https://github.com/citation-style-language/schema/raw/master/csl-citation.json"}</w:instrText>
      </w:r>
      <w:r w:rsidR="00020A2C" w:rsidRPr="00BC63EF">
        <w:rPr>
          <w:rFonts w:asciiTheme="majorBidi" w:eastAsia="Times New Roman" w:hAnsiTheme="majorBidi" w:cstheme="majorBidi"/>
          <w:szCs w:val="24"/>
          <w:lang w:eastAsia="en-ID"/>
        </w:rPr>
        <w:fldChar w:fldCharType="separate"/>
      </w:r>
      <w:r w:rsidR="00AF4670" w:rsidRPr="00BC63EF">
        <w:rPr>
          <w:rFonts w:asciiTheme="majorBidi" w:eastAsia="Times New Roman" w:hAnsiTheme="majorBidi" w:cstheme="majorBidi"/>
          <w:noProof/>
          <w:szCs w:val="24"/>
          <w:lang w:eastAsia="en-ID"/>
        </w:rPr>
        <w:t>(Nasution et al., 2024)</w:t>
      </w:r>
      <w:r w:rsidR="00020A2C" w:rsidRPr="00BC63EF">
        <w:rPr>
          <w:rFonts w:asciiTheme="majorBidi" w:eastAsia="Times New Roman" w:hAnsiTheme="majorBidi" w:cstheme="majorBidi"/>
          <w:szCs w:val="24"/>
          <w:lang w:eastAsia="en-ID"/>
        </w:rPr>
        <w:fldChar w:fldCharType="end"/>
      </w:r>
      <w:r w:rsidR="002B6FBA">
        <w:rPr>
          <w:rFonts w:asciiTheme="majorBidi" w:eastAsia="Times New Roman" w:hAnsiTheme="majorBidi" w:cstheme="majorBidi"/>
          <w:szCs w:val="24"/>
          <w:lang w:eastAsia="en-ID"/>
        </w:rPr>
        <w:t xml:space="preserve">. </w:t>
      </w:r>
      <w:r>
        <w:t>Emotional and instrumental support influences engagement in diabetes management programs</w:t>
      </w:r>
      <w:r>
        <w:t xml:space="preserve"> </w:t>
      </w:r>
      <w:r w:rsidR="00020A2C" w:rsidRPr="00BC63EF">
        <w:rPr>
          <w:rFonts w:asciiTheme="majorBidi" w:eastAsia="Times New Roman" w:hAnsiTheme="majorBidi" w:cstheme="majorBidi"/>
          <w:szCs w:val="24"/>
          <w:lang w:eastAsia="en-ID"/>
        </w:rPr>
        <w:fldChar w:fldCharType="begin" w:fldLock="1"/>
      </w:r>
      <w:r w:rsidR="00EC477A">
        <w:rPr>
          <w:rFonts w:asciiTheme="majorBidi" w:eastAsia="Times New Roman" w:hAnsiTheme="majorBidi" w:cstheme="majorBidi"/>
          <w:szCs w:val="24"/>
          <w:lang w:eastAsia="en-ID"/>
        </w:rPr>
        <w:instrText>ADDIN CSL_CITATION {"citationItems":[{"id":"ITEM-1","itemData":{"author":[{"dropping-particle":"","family":"Subandi","given":"Andi","non-dropping-particle":"","parse-names":false,"suffix":""},{"dropping-particle":"","family":"Noerjoedianto","given":"Dwi","non-dropping-particle":"","parse-names":false,"suffix":""},{"dropping-particle":"","family":"Amir","given":"Andy","non-dropping-particle":"","parse-names":false,"suffix":""}],"container-title":"Budapest International Research and Critics Institute-Journal (BIRCI-Journal)","id":"ITEM-1","issue":"3","issued":{"date-parts":[["2021"]]},"page":"6376-6384","title":"Relationship of Family Support to the Referral Program for Patients with Chronic Diseases in BPJS Health Participants in Rawasari Health Center","type":"article-journal","volume":"4"},"uris":["http://www.mendeley.com/documents/?uuid=90982c6d-143d-4d29-a4e8-03c1582e35fd"]}],"mendeley":{"formattedCitation":"(Subandi et al., 2021)","plainTextFormattedCitation":"(Subandi et al., 2021)","previouslyFormattedCitation":"(Subandi et al., 2021)"},"properties":{"noteIndex":0},"schema":"https://github.com/citation-style-language/schema/raw/master/csl-citation.json"}</w:instrText>
      </w:r>
      <w:r w:rsidR="00020A2C" w:rsidRPr="00BC63EF">
        <w:rPr>
          <w:rFonts w:asciiTheme="majorBidi" w:eastAsia="Times New Roman" w:hAnsiTheme="majorBidi" w:cstheme="majorBidi"/>
          <w:szCs w:val="24"/>
          <w:lang w:eastAsia="en-ID"/>
        </w:rPr>
        <w:fldChar w:fldCharType="separate"/>
      </w:r>
      <w:r w:rsidR="00AF4670" w:rsidRPr="00BC63EF">
        <w:rPr>
          <w:rFonts w:asciiTheme="majorBidi" w:eastAsia="Times New Roman" w:hAnsiTheme="majorBidi" w:cstheme="majorBidi"/>
          <w:noProof/>
          <w:szCs w:val="24"/>
          <w:lang w:eastAsia="en-ID"/>
        </w:rPr>
        <w:t>(Subandi et al., 2021)</w:t>
      </w:r>
      <w:r w:rsidR="00020A2C" w:rsidRPr="00BC63EF">
        <w:rPr>
          <w:rFonts w:asciiTheme="majorBidi" w:eastAsia="Times New Roman" w:hAnsiTheme="majorBidi" w:cstheme="majorBidi"/>
          <w:szCs w:val="24"/>
          <w:lang w:eastAsia="en-ID"/>
        </w:rPr>
        <w:fldChar w:fldCharType="end"/>
      </w:r>
      <w:r w:rsidR="002B6FBA">
        <w:rPr>
          <w:rFonts w:asciiTheme="majorBidi" w:eastAsia="Times New Roman" w:hAnsiTheme="majorBidi" w:cstheme="majorBidi"/>
          <w:szCs w:val="24"/>
          <w:lang w:eastAsia="en-ID"/>
        </w:rPr>
        <w:t xml:space="preserve">. </w:t>
      </w:r>
      <w:r>
        <w:t>Family involvement enhances self-care behaviors, self-efficacy, and reduces psychological barriers</w:t>
      </w:r>
      <w:r>
        <w:t xml:space="preserve"> </w:t>
      </w:r>
      <w:r w:rsidR="00020A2C" w:rsidRPr="00BC63EF">
        <w:rPr>
          <w:rFonts w:asciiTheme="majorBidi" w:eastAsia="Times New Roman" w:hAnsiTheme="majorBidi" w:cstheme="majorBidi"/>
          <w:szCs w:val="24"/>
          <w:lang w:eastAsia="en-ID"/>
        </w:rPr>
        <w:fldChar w:fldCharType="begin" w:fldLock="1"/>
      </w:r>
      <w:r w:rsidR="00EC477A">
        <w:rPr>
          <w:rFonts w:asciiTheme="majorBidi" w:eastAsia="Times New Roman" w:hAnsiTheme="majorBidi" w:cstheme="majorBidi"/>
          <w:szCs w:val="24"/>
          <w:lang w:eastAsia="en-ID"/>
        </w:rPr>
        <w:instrText>ADDIN CSL_CITATION {"citationItems":[{"id":"ITEM-1","itemData":{"DOI":"10.2147/PPA.S503601","author":[{"dropping-particle":"","family":"Pradipta","given":"Ivan Surya","non-dropping-particle":"","parse-names":false,"suffix":""},{"dropping-particle":"","family":"Aprilio","given":"Kevin","non-dropping-particle":"","parse-names":false,"suffix":""},{"dropping-particle":"","family":"Ningsih","given":"Yozi Fiedya","non-dropping-particle":"","parse-names":false,"suffix":""}],"container-title":"Dovepres","id":"ITEM-1","issue":"2","issued":{"date-parts":[["2025"]]},"page":"173-179","title":"How Does Indonesian Chronic Disease Patient Adhere to Their Treatment ? A Cross-Sectional Analysis of 11 , 408 Subjects How Does Indonesian Chronic Disease Patient Adhere to Their Treatment ? A Cross-Sectional Analysis of 11 , 408 Subjects","type":"article-journal","volume":"19"},"uris":["http://www.mendeley.com/documents/?uuid=7336d9f4-cfa8-4a30-bc98-6885195a0a35"]}],"mendeley":{"formattedCitation":"(Pradipta, Aprilio, &amp; Ningsih, 2025)","plainTextFormattedCitation":"(Pradipta, Aprilio, &amp; Ningsih, 2025)","previouslyFormattedCitation":"(Pradipta, Aprilio, &amp; Ningsih, 2025)"},"properties":{"noteIndex":0},"schema":"https://github.com/citation-style-language/schema/raw/master/csl-citation.json"}</w:instrText>
      </w:r>
      <w:r w:rsidR="00020A2C" w:rsidRPr="00BC63EF">
        <w:rPr>
          <w:rFonts w:asciiTheme="majorBidi" w:eastAsia="Times New Roman" w:hAnsiTheme="majorBidi" w:cstheme="majorBidi"/>
          <w:szCs w:val="24"/>
          <w:lang w:eastAsia="en-ID"/>
        </w:rPr>
        <w:fldChar w:fldCharType="separate"/>
      </w:r>
      <w:r w:rsidR="00AF4670" w:rsidRPr="00BC63EF">
        <w:rPr>
          <w:rFonts w:asciiTheme="majorBidi" w:eastAsia="Times New Roman" w:hAnsiTheme="majorBidi" w:cstheme="majorBidi"/>
          <w:noProof/>
          <w:szCs w:val="24"/>
          <w:lang w:eastAsia="en-ID"/>
        </w:rPr>
        <w:t>(Pradipta, Aprilio, &amp; Ningsih, 2025)</w:t>
      </w:r>
      <w:r w:rsidR="00020A2C" w:rsidRPr="00BC63EF">
        <w:rPr>
          <w:rFonts w:asciiTheme="majorBidi" w:eastAsia="Times New Roman" w:hAnsiTheme="majorBidi" w:cstheme="majorBidi"/>
          <w:szCs w:val="24"/>
          <w:lang w:eastAsia="en-ID"/>
        </w:rPr>
        <w:fldChar w:fldCharType="end"/>
      </w:r>
      <w:r w:rsidR="002B6FBA">
        <w:rPr>
          <w:rFonts w:asciiTheme="majorBidi" w:eastAsia="Times New Roman" w:hAnsiTheme="majorBidi" w:cstheme="majorBidi"/>
          <w:szCs w:val="24"/>
          <w:lang w:eastAsia="en-ID"/>
        </w:rPr>
        <w:t>.</w:t>
      </w:r>
      <w:r w:rsidR="00020A2C" w:rsidRPr="00BC63EF">
        <w:rPr>
          <w:rFonts w:asciiTheme="majorBidi" w:eastAsia="Times New Roman" w:hAnsiTheme="majorBidi" w:cstheme="majorBidi"/>
          <w:szCs w:val="24"/>
          <w:lang w:eastAsia="en-ID"/>
        </w:rPr>
        <w:t xml:space="preserve"> </w:t>
      </w:r>
      <w:r>
        <w:t>Studies in China have shown 2–4 times higher adherence among patients supported by family in community-based chronic disease management programs</w:t>
      </w:r>
      <w:r w:rsidR="002B6FBA">
        <w:rPr>
          <w:rFonts w:asciiTheme="majorBidi" w:eastAsia="Times New Roman" w:hAnsiTheme="majorBidi" w:cstheme="majorBidi"/>
          <w:szCs w:val="24"/>
          <w:lang w:eastAsia="en-ID"/>
        </w:rPr>
        <w:t xml:space="preserve"> </w:t>
      </w:r>
      <w:r w:rsidR="00020A2C" w:rsidRPr="00BC63EF">
        <w:rPr>
          <w:rFonts w:asciiTheme="majorBidi" w:eastAsia="Times New Roman" w:hAnsiTheme="majorBidi" w:cstheme="majorBidi"/>
          <w:szCs w:val="24"/>
          <w:lang w:eastAsia="en-ID"/>
        </w:rPr>
        <w:fldChar w:fldCharType="begin" w:fldLock="1"/>
      </w:r>
      <w:r w:rsidR="00EC477A">
        <w:rPr>
          <w:rFonts w:asciiTheme="majorBidi" w:eastAsia="Times New Roman" w:hAnsiTheme="majorBidi" w:cstheme="majorBidi"/>
          <w:szCs w:val="24"/>
          <w:lang w:eastAsia="en-ID"/>
        </w:rPr>
        <w:instrText>ADDIN CSL_CITATION {"citationItems":[{"id":"ITEM-1","itemData":{"DOI":"https://doi.org/10.1155/2024/2745653","author":[{"dropping-particle":"","family":"Jing","given":"Rize","non-dropping-particle":"","parse-names":false,"suffix":""},{"dropping-particle":"","family":"Zhang","given":"Haonan","non-dropping-particle":"","parse-names":false,"suffix":""},{"dropping-particle":"","family":"Hu","given":"Hongwei","non-dropping-particle":"","parse-names":false,"suffix":""}],"container-title":"Health &amp; Social Care in the Community","id":"ITEM-1","issued":{"date-parts":[["2024"]]},"page":"1-13","title":"Exploring Residents’ Healthcare Utilization under the Family Physician Contract Service System in China : Implications for Primary Healthcare","type":"article-journal","volume":"2024"},"uris":["http://www.mendeley.com/documents/?uuid=313f0197-c950-4984-b000-61c76cca3e6f"]}],"mendeley":{"formattedCitation":"(Jing et al., 2024)","plainTextFormattedCitation":"(Jing et al., 2024)","previouslyFormattedCitation":"(Jing et al., 2024)"},"properties":{"noteIndex":0},"schema":"https://github.com/citation-style-language/schema/raw/master/csl-citation.json"}</w:instrText>
      </w:r>
      <w:r w:rsidR="00020A2C" w:rsidRPr="00BC63EF">
        <w:rPr>
          <w:rFonts w:asciiTheme="majorBidi" w:eastAsia="Times New Roman" w:hAnsiTheme="majorBidi" w:cstheme="majorBidi"/>
          <w:szCs w:val="24"/>
          <w:lang w:eastAsia="en-ID"/>
        </w:rPr>
        <w:fldChar w:fldCharType="separate"/>
      </w:r>
      <w:r w:rsidR="00AF4670" w:rsidRPr="00BC63EF">
        <w:rPr>
          <w:rFonts w:asciiTheme="majorBidi" w:eastAsia="Times New Roman" w:hAnsiTheme="majorBidi" w:cstheme="majorBidi"/>
          <w:noProof/>
          <w:szCs w:val="24"/>
          <w:lang w:eastAsia="en-ID"/>
        </w:rPr>
        <w:t>(Jing et al., 2024)</w:t>
      </w:r>
      <w:r w:rsidR="00020A2C" w:rsidRPr="00BC63EF">
        <w:rPr>
          <w:rFonts w:asciiTheme="majorBidi" w:eastAsia="Times New Roman" w:hAnsiTheme="majorBidi" w:cstheme="majorBidi"/>
          <w:szCs w:val="24"/>
          <w:lang w:eastAsia="en-ID"/>
        </w:rPr>
        <w:fldChar w:fldCharType="end"/>
      </w:r>
      <w:r w:rsidR="002B6FBA">
        <w:rPr>
          <w:rFonts w:asciiTheme="majorBidi" w:eastAsia="Times New Roman" w:hAnsiTheme="majorBidi" w:cstheme="majorBidi"/>
          <w:szCs w:val="24"/>
          <w:lang w:eastAsia="en-ID"/>
        </w:rPr>
        <w:t xml:space="preserve">. </w:t>
      </w:r>
      <w:r>
        <w:t>Family presence helps prevent treatment fatigue that contributes to inconsistent participation in long-term health programs</w:t>
      </w:r>
      <w:r w:rsidR="002B6FBA">
        <w:rPr>
          <w:rFonts w:asciiTheme="majorBidi" w:eastAsia="Times New Roman" w:hAnsiTheme="majorBidi" w:cstheme="majorBidi"/>
          <w:szCs w:val="24"/>
          <w:lang w:eastAsia="en-ID"/>
        </w:rPr>
        <w:t xml:space="preserve"> </w:t>
      </w:r>
      <w:r w:rsidR="00020A2C" w:rsidRPr="00BC63EF">
        <w:rPr>
          <w:rFonts w:asciiTheme="majorBidi" w:eastAsia="Times New Roman" w:hAnsiTheme="majorBidi" w:cstheme="majorBidi"/>
          <w:szCs w:val="24"/>
          <w:lang w:eastAsia="en-ID"/>
        </w:rPr>
        <w:fldChar w:fldCharType="begin" w:fldLock="1"/>
      </w:r>
      <w:r w:rsidR="00EC477A">
        <w:rPr>
          <w:rFonts w:asciiTheme="majorBidi" w:eastAsia="Times New Roman" w:hAnsiTheme="majorBidi" w:cstheme="majorBidi"/>
          <w:szCs w:val="24"/>
          <w:lang w:eastAsia="en-ID"/>
        </w:rPr>
        <w:instrText>ADDIN CSL_CITATION {"citationItems":[{"id":"ITEM-1","itemData":{"DOI":"https://doi.org/10.1155/2023/6854131","author":[{"dropping-particle":"","family":"Li","given":"Xinru","non-dropping-particle":"","parse-names":false,"suffix":""},{"dropping-particle":"","family":"Li","given":"Jinghua","non-dropping-particle":"","parse-names":false,"suffix":""},{"dropping-particle":"","family":"Shao","given":"Weiya","non-dropping-particle":"","parse-names":false,"suffix":""},{"dropping-particle":"","family":"Ma","given":"Jingyu","non-dropping-particle":"","parse-names":false,"suffix":""},{"dropping-particle":"","family":"Zhou","given":"Angdi","non-dropping-particle":"","parse-names":false,"suffix":""},{"dropping-particle":"","family":"Song","given":"Yiwen","non-dropping-particle":"","parse-names":false,"suffix":""},{"dropping-particle":"","family":"Zhang","given":"Li","non-dropping-particle":"","parse-names":false,"suffix":""}],"container-title":"Health &amp; Social Care in the Community","id":"ITEM-1","issued":{"date-parts":[["2023"]]},"page":"1-11","title":"The Relationship between Family Doctor Contract Services Policy and Perceived Participation in Primary Health Care among Chronic Disease Patients in China : The Mediating Role of the Patient Trust","type":"article-journal","volume":"2"},"uris":["http://www.mendeley.com/documents/?uuid=4a3ba489-5a47-45bc-a7f5-6508c108f81b"]}],"mendeley":{"formattedCitation":"(Li et al., 2023)","plainTextFormattedCitation":"(Li et al., 2023)","previouslyFormattedCitation":"(Li et al., 2023)"},"properties":{"noteIndex":0},"schema":"https://github.com/citation-style-language/schema/raw/master/csl-citation.json"}</w:instrText>
      </w:r>
      <w:r w:rsidR="00020A2C" w:rsidRPr="00BC63EF">
        <w:rPr>
          <w:rFonts w:asciiTheme="majorBidi" w:eastAsia="Times New Roman" w:hAnsiTheme="majorBidi" w:cstheme="majorBidi"/>
          <w:szCs w:val="24"/>
          <w:lang w:eastAsia="en-ID"/>
        </w:rPr>
        <w:fldChar w:fldCharType="separate"/>
      </w:r>
      <w:r w:rsidR="00AF4670" w:rsidRPr="00BC63EF">
        <w:rPr>
          <w:rFonts w:asciiTheme="majorBidi" w:eastAsia="Times New Roman" w:hAnsiTheme="majorBidi" w:cstheme="majorBidi"/>
          <w:noProof/>
          <w:szCs w:val="24"/>
          <w:lang w:eastAsia="en-ID"/>
        </w:rPr>
        <w:t>(Li et al., 2023)</w:t>
      </w:r>
      <w:r w:rsidR="00020A2C" w:rsidRPr="00BC63EF">
        <w:rPr>
          <w:rFonts w:asciiTheme="majorBidi" w:eastAsia="Times New Roman" w:hAnsiTheme="majorBidi" w:cstheme="majorBidi"/>
          <w:szCs w:val="24"/>
          <w:lang w:eastAsia="en-ID"/>
        </w:rPr>
        <w:fldChar w:fldCharType="end"/>
      </w:r>
      <w:r w:rsidR="002B6FBA">
        <w:rPr>
          <w:rFonts w:asciiTheme="majorBidi" w:eastAsia="Times New Roman" w:hAnsiTheme="majorBidi" w:cstheme="majorBidi"/>
          <w:szCs w:val="24"/>
          <w:lang w:eastAsia="en-ID"/>
        </w:rPr>
        <w:t xml:space="preserve">, </w:t>
      </w:r>
      <w:r w:rsidR="00020A2C" w:rsidRPr="00BC63EF">
        <w:rPr>
          <w:rFonts w:asciiTheme="majorBidi" w:hAnsiTheme="majorBidi" w:cstheme="majorBidi"/>
          <w:szCs w:val="24"/>
        </w:rPr>
        <w:fldChar w:fldCharType="begin" w:fldLock="1"/>
      </w:r>
      <w:r w:rsidR="00EC477A">
        <w:rPr>
          <w:rFonts w:asciiTheme="majorBidi" w:hAnsiTheme="majorBidi" w:cstheme="majorBidi"/>
          <w:szCs w:val="24"/>
        </w:rPr>
        <w:instrText>ADDIN CSL_CITATION {"citationItems":[{"id":"ITEM-1","itemData":{"DOI":"10.1186/s12889-024-20906-x","ISSN":"1471-2458 (Electronic)","PMID":"39673060","abstract":"BACKGROUND: Chronic diseases are a global health challenge, and therefore, more  attention should be paid to improving self-efficacy in people with chronic diseases. This study examined the relationship between family health and self-efficacy, and explored the mediating role of perceived social support and the moderating role of health literacy. The aim is to enhance the self-efficacy of chronic patients by improving family health, social support, and health literacy, thereby improving their physical and mental state. METHODS: A cross-sectional study based on psychological and behavioural factors was conducted, namely, the 2022 China Residents Survey, which included 5150 Chinese patients with chronic diseases. The General Self-Efficacy Scale-Short Form was used to assess self-efficacy, the Health Literacy Questionnaire-short form was used to assess health literacy, the Perceived Social Support Scale-Short Form was used to evaluate perceived social support, and the Chinese version of the Family Health Scale-Short Form was used to assess family health status. RESULTS: Family health of patients with chronic diseases had a significant positive effect on self-efficacy. Perceived social support was identified as a partial mediator between family health and self-efficacy, accounting for 59.39% of the total effect. Health literacy moderated the impact of family health on perceived social support and self-efficacy. CONCLUSIONS: Chronic diseases have become a global health challenge, and more attention should be paid to improving the self-efficacy of the chronically ill population. Our results not only facilitate the understanding of the relationship mechanisms between family health and self-efficacy in chronic patients but can also serve as a guide for healthcare workers and policymakers who wish to provide better care for patients.","author":[{"dropping-particle":"","family":"Luo","given":"Zhen-Ni","non-dropping-particle":"","parse-names":false,"suffix":""},{"dropping-particle":"","family":"Li","given":"Kun","non-dropping-particle":"","parse-names":false,"suffix":""},{"dropping-particle":"","family":"Chen","given":"An-Qi","non-dropping-particle":"","parse-names":false,"suffix":""},{"dropping-particle":"","family":"Qiu","given":"Yu-Chi","non-dropping-particle":"","parse-names":false,"suffix":""},{"dropping-particle":"","family":"Yang","given":"Xi-Xi","non-dropping-particle":"","parse-names":false,"suffix":""},{"dropping-particle":"","family":"Lin","given":"Zhi-Wen","non-dropping-particle":"","parse-names":false,"suffix":""},{"dropping-particle":"","family":"Liu","given":"Jing-Han","non-dropping-particle":"","parse-names":false,"suffix":""},{"dropping-particle":"","family":"Wu","given":"Yi-Bo","non-dropping-particle":"","parse-names":false,"suffix":""},{"dropping-particle":"","family":"Chen","given":"Jiang-Yun","non-dropping-particle":"","parse-names":false,"suffix":""}],"container-title":"BMC public health","id":"ITEM-1","issue":"1","issued":{"date-parts":[["2024","12"]]},"language":"eng","page":"3398","publisher-place":"England","title":"The influence of family health on self-efficacy in patients with chronic  diseases: the mediating role of perceived social support and the moderating role of health literacy.","type":"article-journal","volume":"24"},"uris":["http://www.mendeley.com/documents/?uuid=ba831610-769e-4c5b-9ce8-060c467ede84"]}],"mendeley":{"formattedCitation":"(Luo et al., 2024)","plainTextFormattedCitation":"(Luo et al., 2024)","previouslyFormattedCitation":"(Luo et al., 2024)"},"properties":{"noteIndex":0},"schema":"https://github.com/citation-style-language/schema/raw/master/csl-citation.json"}</w:instrText>
      </w:r>
      <w:r w:rsidR="00020A2C" w:rsidRPr="00BC63EF">
        <w:rPr>
          <w:rFonts w:asciiTheme="majorBidi" w:hAnsiTheme="majorBidi" w:cstheme="majorBidi"/>
          <w:szCs w:val="24"/>
        </w:rPr>
        <w:fldChar w:fldCharType="separate"/>
      </w:r>
      <w:r w:rsidR="00AF4670" w:rsidRPr="00BC63EF">
        <w:rPr>
          <w:rFonts w:asciiTheme="majorBidi" w:hAnsiTheme="majorBidi" w:cstheme="majorBidi"/>
          <w:noProof/>
          <w:szCs w:val="24"/>
        </w:rPr>
        <w:t>(Luo et al., 2024)</w:t>
      </w:r>
      <w:r w:rsidR="00020A2C" w:rsidRPr="00BC63EF">
        <w:rPr>
          <w:rFonts w:asciiTheme="majorBidi" w:hAnsiTheme="majorBidi" w:cstheme="majorBidi"/>
          <w:szCs w:val="24"/>
        </w:rPr>
        <w:fldChar w:fldCharType="end"/>
      </w:r>
      <w:r w:rsidR="002B6FBA">
        <w:rPr>
          <w:rFonts w:asciiTheme="majorBidi" w:eastAsia="Times New Roman" w:hAnsiTheme="majorBidi" w:cstheme="majorBidi"/>
          <w:szCs w:val="24"/>
          <w:lang w:eastAsia="en-ID"/>
        </w:rPr>
        <w:t xml:space="preserve">. </w:t>
      </w:r>
      <w:r>
        <w:t>Families play key roles in lifestyle management, health decision-making, and motivation</w:t>
      </w:r>
      <w:r>
        <w:t xml:space="preserve"> </w:t>
      </w:r>
      <w:r w:rsidR="00020A2C" w:rsidRPr="00BC63EF">
        <w:rPr>
          <w:rFonts w:asciiTheme="majorBidi" w:eastAsia="Times New Roman" w:hAnsiTheme="majorBidi" w:cstheme="majorBidi"/>
          <w:szCs w:val="24"/>
          <w:lang w:eastAsia="en-ID"/>
        </w:rPr>
        <w:fldChar w:fldCharType="begin" w:fldLock="1"/>
      </w:r>
      <w:r w:rsidR="00EC477A">
        <w:rPr>
          <w:rFonts w:asciiTheme="majorBidi" w:eastAsia="Times New Roman" w:hAnsiTheme="majorBidi" w:cstheme="majorBidi"/>
          <w:szCs w:val="24"/>
          <w:lang w:eastAsia="en-ID"/>
        </w:rPr>
        <w:instrText>ADDIN CSL_CITATION {"citationItems":[{"id":"ITEM-1","itemData":{"author":[{"dropping-particle":"","family":"Poudel","given":"Sujan","non-dropping-particle":"","parse-names":false,"suffix":""},{"dropping-particle":"","family":"Parajuli","given":"Anusha","non-dropping-particle":"","parse-names":false,"suffix":""},{"dropping-particle":"","family":"Duwadi","given":"Nirmal","non-dropping-particle":"","parse-names":false,"suffix":""},{"dropping-particle":"","family":"Bhatta","given":"Bal Krishna","non-dropping-particle":"","parse-names":false,"suffix":""},{"dropping-particle":"","family":"Paudel","given":"Shishir","non-dropping-particle":"","parse-names":false,"suffix":""},{"dropping-particle":"","family":"Khatri","given":"Dhurba","non-dropping-particle":"","parse-names":false,"suffix":""},{"dropping-particle":"","family":"Paneru","given":"Damaru Prasad","non-dropping-particle":"","parse-names":false,"suffix":""},{"dropping-particle":"","family":"Sharma","given":"Yam Prasad","non-dropping-particle":"","parse-names":false,"suffix":""}],"container-title":"BMC Public Health","id":"ITEM-1","issued":{"date-parts":[["2025"]]},"title":"Social health insurance, family support, and chronic diseases as determinants of health service utilization among senior citizens in rural Nepal","type":"article-journal","volume":"25"},"uris":["http://www.mendeley.com/documents/?uuid=81c1181e-b9a8-494f-9d88-7abfcfe9753f"]},{"id":"ITEM-2","itemData":{"DOI":"10.2147/PPA.S503601","ISSN":"1177-889X (Print)","PMID":"39866673","abstract":"BACKGROUND: Chronic disease has become an increasing burden in Indonesia,  increasing the importance of treatment adherence to control the disease prognosis. Therefore, we aim to determine the prevalence and characteristics of nonadherence in Indonesian chronic disease population. METHODS: We identified 11,408 adult subjects with chronic diseases from the fifth Indonesian Family Life Survey. We defined treatment nonadherence as the outcome variable and characteristics related to the World Health Organization Multidimensional Adherence Model as exposure variables. We used descriptive and multivariable analyses to analyze factors related to treatment nonadherence. RESULTS: We identified that 57% (95% CI 56.1-57.9) of chronic disease patients were nonadherent to their treatment. Treatment nonadherence was notable in subjects with liver disease (61.8%), tuberculosis (59.8%), digestive diseases (57.9%), other lung diseases (56.8%), psychiatric diseases (51.6%), asthma (51.2%), and hypertension (50%). Treatment nonadherence was associated with socioeconomic-related factors of being aged 15-65 years, living in rural areas, having history of formal education, and having a household size of 2-6 people. Furthermore, in patient- and condition-related factors, positive perceptions of their health condition, missing 0-7 days of their regular activity in the last month, being ex- and non-smokers, having no depression symptoms, and having only one chronic disease were associated with treatment nonadherence. CONCLUSION: Treatment nonadherence for chronic diseases in Indonesia was found to be prevalent. Further consideration of characteristics associated with treatment nonadherence should be given to ensure optimal control of chronic diseases.","author":[{"dropping-particle":"","family":"Pradipta","given":"Ivan Surya","non-dropping-particle":"","parse-names":false,"suffix":""},{"dropping-particle":"","family":"Aprilio","given":"Kevin","non-dropping-particle":"","parse-names":false,"suffix":""},{"dropping-particle":"","family":"Ningsih","given":"Yozi Fiedya","non-dropping-particle":"","parse-names":false,"suffix":""},{"dropping-particle":"","family":"Pratama","given":"Mochammad Andhika Aji","non-dropping-particle":"","parse-names":false,"suffix":""},{"dropping-particle":"","family":"Gatera","given":"Vesara Ardhe","non-dropping-particle":"","parse-names":false,"suffix":""},{"dropping-particle":"","family":"Alfian","given":"Sofa Dewi","non-dropping-particle":"","parse-names":false,"suffix":""},{"dropping-particle":"","family":"Iskandarsyah","given":"Aulia","non-dropping-particle":"","parse-names":false,"suffix":""},{"dropping-particle":"","family":"Abdulah","given":"Rizky","non-dropping-particle":"","parse-names":false,"suffix":""}],"container-title":"Patient preference and adherence","id":"ITEM-2","issued":{"date-parts":[["2025"]]},"language":"eng","page":"173-184","publisher-place":"New Zealand","title":"How Does Indonesian Chronic Disease Patient Adhere to Their Treatment? A  Cross-Sectional Analysis of 11,408 Subjects.","type":"article-journal","volume":"19"},"uris":["http://www.mendeley.com/documents/?uuid=d7c8a6b7-54e2-479f-9f8d-20f46d650327"]}],"mendeley":{"formattedCitation":"(Poudel et al., 2025; Pradipta, Aprilio, Ningsih, et al., 2025)","plainTextFormattedCitation":"(Poudel et al., 2025; Pradipta, Aprilio, Ningsih, et al., 2025)","previouslyFormattedCitation":"(Poudel et al., 2025; Pradipta, Aprilio, Ningsih, et al., 2025)"},"properties":{"noteIndex":0},"schema":"https://github.com/citation-style-language/schema/raw/master/csl-citation.json"}</w:instrText>
      </w:r>
      <w:r w:rsidR="00020A2C" w:rsidRPr="00BC63EF">
        <w:rPr>
          <w:rFonts w:asciiTheme="majorBidi" w:eastAsia="Times New Roman" w:hAnsiTheme="majorBidi" w:cstheme="majorBidi"/>
          <w:szCs w:val="24"/>
          <w:lang w:eastAsia="en-ID"/>
        </w:rPr>
        <w:fldChar w:fldCharType="separate"/>
      </w:r>
      <w:r w:rsidR="00AF4670" w:rsidRPr="00BC63EF">
        <w:rPr>
          <w:rFonts w:asciiTheme="majorBidi" w:eastAsia="Times New Roman" w:hAnsiTheme="majorBidi" w:cstheme="majorBidi"/>
          <w:noProof/>
          <w:szCs w:val="24"/>
          <w:lang w:eastAsia="en-ID"/>
        </w:rPr>
        <w:t>(Poudel et al., 2025; Pradipta, Aprilio, Ningsih, et al., 2025)</w:t>
      </w:r>
      <w:r w:rsidR="00020A2C" w:rsidRPr="00BC63EF">
        <w:rPr>
          <w:rFonts w:asciiTheme="majorBidi" w:eastAsia="Times New Roman" w:hAnsiTheme="majorBidi" w:cstheme="majorBidi"/>
          <w:szCs w:val="24"/>
          <w:lang w:eastAsia="en-ID"/>
        </w:rPr>
        <w:fldChar w:fldCharType="end"/>
      </w:r>
      <w:r w:rsidR="002B6FBA">
        <w:rPr>
          <w:rFonts w:asciiTheme="majorBidi" w:eastAsia="Times New Roman" w:hAnsiTheme="majorBidi" w:cstheme="majorBidi"/>
          <w:szCs w:val="24"/>
          <w:lang w:eastAsia="en-ID"/>
        </w:rPr>
        <w:t>.</w:t>
      </w:r>
    </w:p>
    <w:p w14:paraId="16C03FBC" w14:textId="77777777" w:rsidR="00453DB9" w:rsidRDefault="00453DB9" w:rsidP="00453DB9">
      <w:pPr>
        <w:pStyle w:val="ListParagraph"/>
        <w:ind w:leftChars="129" w:left="284" w:firstLineChars="236" w:firstLine="566"/>
        <w:rPr>
          <w:rFonts w:asciiTheme="majorBidi" w:eastAsia="Times New Roman" w:hAnsiTheme="majorBidi" w:cstheme="majorBidi"/>
          <w:szCs w:val="24"/>
          <w:lang w:eastAsia="en-ID"/>
        </w:rPr>
      </w:pPr>
    </w:p>
    <w:p w14:paraId="54A8D15B" w14:textId="7F59583D" w:rsidR="00453DB9" w:rsidRPr="00453DB9" w:rsidRDefault="00453DB9" w:rsidP="00453DB9">
      <w:pPr>
        <w:pStyle w:val="ListParagraph"/>
        <w:numPr>
          <w:ilvl w:val="8"/>
          <w:numId w:val="1"/>
        </w:numPr>
        <w:suppressAutoHyphens w:val="0"/>
        <w:ind w:leftChars="0" w:left="284" w:firstLineChars="0" w:hanging="286"/>
        <w:textDirection w:val="lrTb"/>
        <w:textAlignment w:val="auto"/>
        <w:outlineLvl w:val="9"/>
        <w:rPr>
          <w:rFonts w:asciiTheme="majorBidi" w:eastAsia="Times New Roman" w:hAnsiTheme="majorBidi" w:cstheme="majorBidi"/>
          <w:b/>
          <w:bCs/>
          <w:szCs w:val="24"/>
          <w:lang w:eastAsia="en-ID"/>
        </w:rPr>
      </w:pPr>
      <w:r w:rsidRPr="00453DB9">
        <w:rPr>
          <w:b/>
          <w:bCs/>
        </w:rPr>
        <w:lastRenderedPageBreak/>
        <w:t xml:space="preserve">Relationship Between Healthcare Provider Support and </w:t>
      </w:r>
      <w:proofErr w:type="spellStart"/>
      <w:r w:rsidRPr="00453DB9">
        <w:rPr>
          <w:b/>
          <w:bCs/>
        </w:rPr>
        <w:t>Prolanis</w:t>
      </w:r>
      <w:proofErr w:type="spellEnd"/>
      <w:r w:rsidRPr="00453DB9">
        <w:rPr>
          <w:b/>
          <w:bCs/>
        </w:rPr>
        <w:t xml:space="preserve"> Utilization</w:t>
      </w:r>
    </w:p>
    <w:p w14:paraId="56C8B9C5" w14:textId="128A57FE" w:rsidR="00020A2C" w:rsidRPr="00BC63EF" w:rsidRDefault="00453DB9" w:rsidP="00453DB9">
      <w:pPr>
        <w:pStyle w:val="ListParagraph"/>
        <w:ind w:leftChars="129" w:left="284" w:firstLineChars="236" w:firstLine="566"/>
        <w:rPr>
          <w:rFonts w:asciiTheme="majorBidi" w:eastAsia="Times New Roman" w:hAnsiTheme="majorBidi" w:cstheme="majorBidi"/>
          <w:color w:val="000000" w:themeColor="text1"/>
          <w:szCs w:val="24"/>
          <w:lang w:eastAsia="en-ID"/>
        </w:rPr>
      </w:pPr>
      <w:r>
        <w:t xml:space="preserve">The findings indicate strong healthcare provider support in aspects such as educational communication, schedule reminders, follow-ups, friendly staff attitudes, and consultation access. However, service consistency and personalization remain limited, leading half of the respondents to perceive healthcare support as inadequate. Healthcare provider support is crucial in enhancing </w:t>
      </w:r>
      <w:proofErr w:type="spellStart"/>
      <w:r>
        <w:t>Prolanis</w:t>
      </w:r>
      <w:proofErr w:type="spellEnd"/>
      <w:r>
        <w:t xml:space="preserve"> utilization among diabetes patients. Systematic reviews highlight that effective clinical communication and SMS-based interventions improve self-management, visit adherence, and glycemic control</w:t>
      </w:r>
      <w:r>
        <w:t xml:space="preserve"> </w:t>
      </w:r>
      <w:r w:rsidR="00866ED4" w:rsidRPr="00BC63EF">
        <w:rPr>
          <w:rFonts w:asciiTheme="majorBidi" w:eastAsia="Times New Roman" w:hAnsiTheme="majorBidi" w:cstheme="majorBidi"/>
          <w:color w:val="000000" w:themeColor="text1"/>
          <w:szCs w:val="24"/>
          <w:lang w:eastAsia="en-ID"/>
        </w:rPr>
        <w:fldChar w:fldCharType="begin" w:fldLock="1"/>
      </w:r>
      <w:r w:rsidR="00EC477A">
        <w:rPr>
          <w:rFonts w:asciiTheme="majorBidi" w:eastAsia="Times New Roman" w:hAnsiTheme="majorBidi" w:cstheme="majorBidi"/>
          <w:color w:val="000000" w:themeColor="text1"/>
          <w:szCs w:val="24"/>
          <w:lang w:eastAsia="en-ID"/>
        </w:rPr>
        <w:instrText>ADDIN CSL_CITATION {"citationItems":[{"id":"ITEM-1","itemData":{"DOI":"10.1111/dme.70002","ISSN":"1464-5491 (Electronic)","PMID":"40007461","abstract":"BACKGROUND: Diabetes self-management education (DSME) and support (DSME/S)  delivered via mobile health (mHealth) is potentially cost-effective, if proven effective. OBJECTIVES: To assess the effectiveness of DSME, DSMS or DSME/S delivered by mHealth interventions compared to usual care (UC) or attention placebo control (APC) in adults with type 2 diabetes. METHODS: We searched (1) MEDLINE, (2) Embase, (3) PsycINFO, (4) Cochrane Central Register of Controlled Trials via the Cochrane Register of Studies Online, (5) ClinicalTrials.gov, and (6) World Health Organization International Clinical Trials Registry Platform from the year 2000 to January 31, 2023. We included RCTs comparing DSME/S delivered via mHealth versus UC or APC. Four authors independently selected trials, assessed risk of bias and extracted data. Primary outcome was HbA1c, outher outcomes secundairy. Meta-analysed with random-effects model was used. RESULTS: We included 43 trials involving 9328 participants; sample sizes ranging from 20 to 1119. Pooled effects on HbA1c were for DSME: mean difference (MD) of -4 mmol/mol (-0.3%), 95% CI -6 mmol/mol (-0.6%) to -1 mmol/mol (-0.1); p = 0.002; DSMS MD -4 mmol/mol (-0.4%), 95% CI 7 mmol/mol (-0.6%) to -2 mmol/mol (-0.2); p &lt; 0.001; and DSME/S MD of -2 mmol/mol (-0.2%) for HbA1c, 95% CI -3 mmol/mol (-0.3%) to -0 mmol/mol (-0.0%); p &lt; 0.001. We found uncertain effects on other outcomes. CONCLUSIONS: mHealth interventions delivering self management education with or without support to adults with type 2 diabetes appear to have a modest beneficial effect on HbA1c. Only a few trials investigated patient-reported outcomes.","author":[{"dropping-particle":"","family":"Versluis","given":"Anke","non-dropping-particle":"","parse-names":false,"suffix":""},{"dropping-particle":"","family":"Boels","given":"Anne Meike","non-dropping-particle":"","parse-names":false,"suffix":""},{"dropping-particle":"","family":"Huijden","given":"Maaike C G","non-dropping-particle":"","parse-names":false,"suffix":""},{"dropping-particle":"","family":"Mijnsbergen","given":"Manon D","non-dropping-particle":"","parse-names":false,"suffix":""},{"dropping-particle":"","family":"Rutten","given":"Guy E H M","non-dropping-particle":"","parse-names":false,"suffix":""},{"dropping-particle":"","family":"Vos","given":"Rimke C","non-dropping-particle":"","parse-names":false,"suffix":""}],"container-title":"Diabetic medicine : a journal of the British Diabetic Association","id":"ITEM-1","issue":"5","issued":{"date-parts":[["2025","5"]]},"language":"eng","page":"e70002","publisher-place":"England","title":"Diabetes self-management education and support delivered by mobile health  (mHealth) interventions for adults with type 2 diabetes-A systematic review and meta-analysis.","type":"article-journal","volume":"42"},"uris":["http://www.mendeley.com/documents/?uuid=ea1c21d9-4d1d-4e55-a688-3d0c7435397f"]}],"mendeley":{"formattedCitation":"(Versluis et al., 2025)","plainTextFormattedCitation":"(Versluis et al., 2025)","previouslyFormattedCitation":"(Versluis et al., 2025)"},"properties":{"noteIndex":0},"schema":"https://github.com/citation-style-language/schema/raw/master/csl-citation.json"}</w:instrText>
      </w:r>
      <w:r w:rsidR="00866ED4" w:rsidRPr="00BC63EF">
        <w:rPr>
          <w:rFonts w:asciiTheme="majorBidi" w:eastAsia="Times New Roman" w:hAnsiTheme="majorBidi" w:cstheme="majorBidi"/>
          <w:color w:val="000000" w:themeColor="text1"/>
          <w:szCs w:val="24"/>
          <w:lang w:eastAsia="en-ID"/>
        </w:rPr>
        <w:fldChar w:fldCharType="separate"/>
      </w:r>
      <w:r w:rsidR="00866ED4" w:rsidRPr="00BC63EF">
        <w:rPr>
          <w:rFonts w:asciiTheme="majorBidi" w:eastAsia="Times New Roman" w:hAnsiTheme="majorBidi" w:cstheme="majorBidi"/>
          <w:noProof/>
          <w:color w:val="000000" w:themeColor="text1"/>
          <w:szCs w:val="24"/>
          <w:lang w:eastAsia="en-ID"/>
        </w:rPr>
        <w:t>(Versluis et al., 2025)</w:t>
      </w:r>
      <w:r w:rsidR="00866ED4" w:rsidRPr="00BC63EF">
        <w:rPr>
          <w:rFonts w:asciiTheme="majorBidi" w:eastAsia="Times New Roman" w:hAnsiTheme="majorBidi" w:cstheme="majorBidi"/>
          <w:color w:val="000000" w:themeColor="text1"/>
          <w:szCs w:val="24"/>
          <w:lang w:eastAsia="en-ID"/>
        </w:rPr>
        <w:fldChar w:fldCharType="end"/>
      </w:r>
      <w:r w:rsidR="00866ED4">
        <w:rPr>
          <w:rFonts w:asciiTheme="majorBidi" w:eastAsia="Times New Roman" w:hAnsiTheme="majorBidi" w:cstheme="majorBidi"/>
          <w:color w:val="000000" w:themeColor="text1"/>
          <w:szCs w:val="24"/>
          <w:lang w:eastAsia="en-ID"/>
        </w:rPr>
        <w:t xml:space="preserve">. </w:t>
      </w:r>
      <w:r>
        <w:t xml:space="preserve">Variability in </w:t>
      </w:r>
      <w:proofErr w:type="spellStart"/>
      <w:r>
        <w:t>Prolanis</w:t>
      </w:r>
      <w:proofErr w:type="spellEnd"/>
      <w:r>
        <w:t xml:space="preserve"> implementation across health centers, limited personalized care, and staff workload constitute major barriers</w:t>
      </w:r>
      <w:r>
        <w:t xml:space="preserve"> </w:t>
      </w:r>
      <w:r w:rsidR="00866ED4" w:rsidRPr="00BC63EF">
        <w:rPr>
          <w:rFonts w:asciiTheme="majorBidi" w:eastAsia="Times New Roman" w:hAnsiTheme="majorBidi" w:cstheme="majorBidi"/>
          <w:color w:val="000000" w:themeColor="text1"/>
          <w:szCs w:val="24"/>
          <w:lang w:eastAsia="en-ID"/>
        </w:rPr>
        <w:fldChar w:fldCharType="begin" w:fldLock="1"/>
      </w:r>
      <w:r w:rsidR="00EC477A">
        <w:rPr>
          <w:rFonts w:asciiTheme="majorBidi" w:eastAsia="Times New Roman" w:hAnsiTheme="majorBidi" w:cstheme="majorBidi"/>
          <w:color w:val="000000" w:themeColor="text1"/>
          <w:szCs w:val="24"/>
          <w:lang w:eastAsia="en-ID"/>
        </w:rPr>
        <w:instrText>ADDIN CSL_CITATION {"citationItems":[{"id":"ITEM-1","itemData":{"DOI":"10.1186/s12902-023-01268-8","ISSN":"1472-6823 (Electronic)","PMID":"36658577","abstract":"BACKGROUND: Globally, type 2 diabetes has become increasing. As little is known  about the effect of educational intervention on this population, this systematic review and meta-analysis evaluated the effectiveness of mobile phone text message reminders versus usual care to improve medication adherence among type 2 diabetes mellitus patients. METHODS: PubMed, Google Scholar, Cochrane Library, Scopus, and African Journals Online, were searched. A random-effects model was employed to estimate combined effect sizes. Subgroup analyses were employed to investigate possible sources of heterogeneity between studies. The overall certainty of the evidence was evaluated using the Grading of Recommendations Assessment, Development, and Evaluation approach. RESULTS: A total of 9 trials with 1,121 participants were included in the review. The pooled estimated impact of mobile phone text message reminders on medication adherence was (SMD: 0.36; 95%CI; 0.14, 0.59) compared to usual care groups among patients with type 2 diabetes mellitus. In addition, subgroup analyses revealed greater medication adherence levels in those studies with intervention durations of more than six months and with self-report/refill adherence scale measurement (SMD: 0.21; 95%CI: 0.02, 0.40) and (SMD: 0.45; 95%CI: 0.22, 0.68), respectively. CONCLUSION: Mobile phone text messages can potentially lead to improved medication adherence levels in patients with Type 2 diabetes despite heterogeneity across the studies. Therefore, mobile phone text messaging when delivered in addition to usual care, have the potential to produce significant improvements in medication adherence.","author":[{"dropping-particle":"","family":"Belete","given":"Abebe Muche","non-dropping-particle":"","parse-names":false,"suffix":""},{"dropping-particle":"","family":"Gemeda","given":"Belete Negese","non-dropping-particle":"","parse-names":false,"suffix":""},{"dropping-particle":"","family":"Akalu","given":"Tadesse Yirga","non-dropping-particle":"","parse-names":false,"suffix":""},{"dropping-particle":"","family":"Aynalem","given":"Yared Asmare","non-dropping-particle":"","parse-names":false,"suffix":""},{"dropping-particle":"","family":"Shiferaw","given":"Wondimeneh Shibabaw","non-dropping-particle":"","parse-names":false,"suffix":""}],"container-title":"BMC endocrine disorders","id":"ITEM-1","issue":"1","issued":{"date-parts":[["2023","1"]]},"language":"eng","page":"18","publisher-place":"England","title":"What is the effect of mobile phone text message reminders on medication adherence  among adult type 2 diabetes mellitus patients: a systematic review and meta-analysis of randomized controlled trials.","type":"article-journal","volume":"23"},"uris":["http://www.mendeley.com/documents/?uuid=14680335-9d35-42b3-9b33-b9467530bdbd"]}],"mendeley":{"formattedCitation":"(Belete et al., 2023)","plainTextFormattedCitation":"(Belete et al., 2023)","previouslyFormattedCitation":"(Belete et al., 2023)"},"properties":{"noteIndex":0},"schema":"https://github.com/citation-style-language/schema/raw/master/csl-citation.json"}</w:instrText>
      </w:r>
      <w:r w:rsidR="00866ED4" w:rsidRPr="00BC63EF">
        <w:rPr>
          <w:rFonts w:asciiTheme="majorBidi" w:eastAsia="Times New Roman" w:hAnsiTheme="majorBidi" w:cstheme="majorBidi"/>
          <w:color w:val="000000" w:themeColor="text1"/>
          <w:szCs w:val="24"/>
          <w:lang w:eastAsia="en-ID"/>
        </w:rPr>
        <w:fldChar w:fldCharType="separate"/>
      </w:r>
      <w:r w:rsidR="00866ED4" w:rsidRPr="00BC63EF">
        <w:rPr>
          <w:rFonts w:asciiTheme="majorBidi" w:eastAsia="Times New Roman" w:hAnsiTheme="majorBidi" w:cstheme="majorBidi"/>
          <w:noProof/>
          <w:color w:val="000000" w:themeColor="text1"/>
          <w:szCs w:val="24"/>
          <w:lang w:eastAsia="en-ID"/>
        </w:rPr>
        <w:t>(Belete et al., 2023)</w:t>
      </w:r>
      <w:r w:rsidR="00866ED4" w:rsidRPr="00BC63EF">
        <w:rPr>
          <w:rFonts w:asciiTheme="majorBidi" w:eastAsia="Times New Roman" w:hAnsiTheme="majorBidi" w:cstheme="majorBidi"/>
          <w:color w:val="000000" w:themeColor="text1"/>
          <w:szCs w:val="24"/>
          <w:lang w:eastAsia="en-ID"/>
        </w:rPr>
        <w:fldChar w:fldCharType="end"/>
      </w:r>
      <w:r w:rsidR="00866ED4">
        <w:t>.</w:t>
      </w:r>
    </w:p>
    <w:p w14:paraId="7F41B768" w14:textId="0401E579" w:rsidR="006553BF" w:rsidRPr="00866ED4" w:rsidRDefault="00453DB9" w:rsidP="006553BF">
      <w:pPr>
        <w:pStyle w:val="ListParagraph"/>
        <w:ind w:leftChars="129" w:left="284" w:firstLineChars="236" w:firstLine="566"/>
        <w:rPr>
          <w:rFonts w:asciiTheme="majorBidi" w:hAnsiTheme="majorBidi" w:cstheme="majorBidi"/>
          <w:color w:val="000000" w:themeColor="text1"/>
          <w:szCs w:val="24"/>
        </w:rPr>
      </w:pPr>
      <w:r>
        <w:t>Nurse-led interventions and integrated care models emphasize team-based approaches, repeated education, and tele-follow-up, which significantly reduce HbA1c, improve self-efficacy, and increase visit adherence</w:t>
      </w:r>
      <w:r>
        <w:t xml:space="preserve"> </w:t>
      </w:r>
      <w:r w:rsidR="00020A2C" w:rsidRPr="00BC63EF">
        <w:rPr>
          <w:rFonts w:asciiTheme="majorBidi" w:eastAsia="Times New Roman" w:hAnsiTheme="majorBidi" w:cstheme="majorBidi"/>
          <w:color w:val="000000" w:themeColor="text1"/>
          <w:szCs w:val="24"/>
          <w:lang w:eastAsia="en-ID"/>
        </w:rPr>
        <w:fldChar w:fldCharType="begin" w:fldLock="1"/>
      </w:r>
      <w:r w:rsidR="00EC477A">
        <w:rPr>
          <w:rFonts w:asciiTheme="majorBidi" w:eastAsia="Times New Roman" w:hAnsiTheme="majorBidi" w:cstheme="majorBidi"/>
          <w:color w:val="000000" w:themeColor="text1"/>
          <w:szCs w:val="24"/>
          <w:lang w:eastAsia="en-ID"/>
        </w:rPr>
        <w:instrText>ADDIN CSL_CITATION {"citationItems":[{"id":"ITEM-1","itemData":{"DOI":"10.3390/healthcare12030352","ISSN":"2227-9032 (Print)","PMID":"38338237","abstract":"The global prevalence of people with diabetes mellitus (PWD) is rapidly  increasing. Nurses can provide diabetes care for PWD in several areas. Interventions led by nurses can support PWD for effective management of diabetes, which can positively improve clinical outcomes. Nurse-led diabetes self-management education (DSME) is an effective strategy to manage diabetes mellitus (DM) since it improves self-care practice and knowledge regarding diabetes. PWD often need to stay in hospitals longer, which involves poorer patient satisfaction and clinical outcomes. Nurse-led clinics for DM management are a new strategy to possibly ameliorate the disease management. Diabetes specialist nurses can play an important role in improving diabetes care in inpatient settings. Various studies have revealed that nurses can independently provide care to PWD in collaboration with various other healthcare providers. Studies also demonstrated that the nurse-led education-receiving group showed a significantly reduced level of average glycosylated haemoglobin A1c level. Moreover, nurse-led interventions often result in significant improvements in diabetes knowledge, psychological outcomes, self-management behaviours, and physiological outcomes. The purpose of this literature review was to identify the impact of nurse-led interventions on diabetes management. Moreover, in this review, a number of nursing interventions and the nurses' roles as educators, motivators as well as caregivers in DM management have been extensively discussed. This article also summarises the outcomes that are measured to evaluate the impact of nursing interventions and the strategies to overcome the existing and emerging challenges for nurses in diabetes care.","author":[{"dropping-particle":"","family":"Dailah","given":"Hamad Ghaleb","non-dropping-particle":"","parse-names":false,"suffix":""}],"container-title":"Healthcare (Basel, Switzerland)","id":"ITEM-1","issue":"3","issued":{"date-parts":[["2024","1"]]},"language":"eng","publisher-place":"Switzerland","title":"The Influence of Nurse-Led Interventions on Diseases Management in Patients with  Diabetes Mellitus: A Narrative Review.","type":"article-journal","volume":"12"},"uris":["http://www.mendeley.com/documents/?uuid=a076beb0-5d21-452b-9de9-cf5e63ef7745"]}],"mendeley":{"formattedCitation":"(Dailah, 2024)","plainTextFormattedCitation":"(Dailah, 2024)","previouslyFormattedCitation":"(Dailah, 2024)"},"properties":{"noteIndex":0},"schema":"https://github.com/citation-style-language/schema/raw/master/csl-citation.json"}</w:instrText>
      </w:r>
      <w:r w:rsidR="00020A2C" w:rsidRPr="00BC63EF">
        <w:rPr>
          <w:rFonts w:asciiTheme="majorBidi" w:eastAsia="Times New Roman" w:hAnsiTheme="majorBidi" w:cstheme="majorBidi"/>
          <w:color w:val="000000" w:themeColor="text1"/>
          <w:szCs w:val="24"/>
          <w:lang w:eastAsia="en-ID"/>
        </w:rPr>
        <w:fldChar w:fldCharType="separate"/>
      </w:r>
      <w:r w:rsidR="00AF4670" w:rsidRPr="00BC63EF">
        <w:rPr>
          <w:rFonts w:asciiTheme="majorBidi" w:eastAsia="Times New Roman" w:hAnsiTheme="majorBidi" w:cstheme="majorBidi"/>
          <w:noProof/>
          <w:color w:val="000000" w:themeColor="text1"/>
          <w:szCs w:val="24"/>
          <w:lang w:eastAsia="en-ID"/>
        </w:rPr>
        <w:t>(Dailah, 2024)</w:t>
      </w:r>
      <w:r w:rsidR="00020A2C" w:rsidRPr="00BC63EF">
        <w:rPr>
          <w:rFonts w:asciiTheme="majorBidi" w:eastAsia="Times New Roman" w:hAnsiTheme="majorBidi" w:cstheme="majorBidi"/>
          <w:color w:val="000000" w:themeColor="text1"/>
          <w:szCs w:val="24"/>
          <w:lang w:eastAsia="en-ID"/>
        </w:rPr>
        <w:fldChar w:fldCharType="end"/>
      </w:r>
      <w:r w:rsidR="00866ED4">
        <w:rPr>
          <w:rFonts w:asciiTheme="majorBidi" w:eastAsia="Times New Roman" w:hAnsiTheme="majorBidi" w:cstheme="majorBidi"/>
          <w:color w:val="000000" w:themeColor="text1"/>
          <w:szCs w:val="24"/>
          <w:lang w:eastAsia="en-ID"/>
        </w:rPr>
        <w:t xml:space="preserve">. </w:t>
      </w:r>
      <w:r>
        <w:t xml:space="preserve">Facility-level differences necessitate trained program coordinators to strengthen standardization and continuity </w:t>
      </w:r>
      <w:r w:rsidR="00020A2C" w:rsidRPr="00BC63EF">
        <w:rPr>
          <w:rFonts w:asciiTheme="majorBidi" w:eastAsia="Times New Roman" w:hAnsiTheme="majorBidi" w:cstheme="majorBidi"/>
          <w:color w:val="000000" w:themeColor="text1"/>
          <w:szCs w:val="24"/>
          <w:lang w:eastAsia="en-ID"/>
        </w:rPr>
        <w:fldChar w:fldCharType="begin" w:fldLock="1"/>
      </w:r>
      <w:r w:rsidR="00EC477A">
        <w:rPr>
          <w:rFonts w:asciiTheme="majorBidi" w:eastAsia="Times New Roman" w:hAnsiTheme="majorBidi" w:cstheme="majorBidi"/>
          <w:color w:val="000000" w:themeColor="text1"/>
          <w:szCs w:val="24"/>
          <w:lang w:eastAsia="en-ID"/>
        </w:rPr>
        <w:instrText>ADDIN CSL_CITATION {"citationItems":[{"id":"ITEM-1","itemData":{"ISBN":"9789240079052","URL":"https://iris.who.int/server/api/core","author":[{"dropping-particle":"","family":"Nappoe","given":"Stevie Ardianto","non-dropping-particle":"","parse-names":false,"suffix":""},{"dropping-particle":"","family":"Djasri","given":"Hanevi","non-dropping-particle":"","parse-names":false,"suffix":""},{"dropping-particle":"","family":"Kurniawan","given":"Muhamad Faozi","non-dropping-particle":"","parse-names":false,"suffix":""}],"container-title":"WHO","id":"ITEM-1","issued":{"date-parts":[["2024"]]},"page":"1-62","title":"Chronic disease management programme (PROLANIS) in Indonesia","type":"webpage"},"uris":["http://www.mendeley.com/documents/?uuid=6bdece4e-8585-4608-b1cd-003dc1493c0d"]}],"mendeley":{"formattedCitation":"(Nappoe et al., 2024)","plainTextFormattedCitation":"(Nappoe et al., 2024)","previouslyFormattedCitation":"(Nappoe et al., 2024)"},"properties":{"noteIndex":0},"schema":"https://github.com/citation-style-language/schema/raw/master/csl-citation.json"}</w:instrText>
      </w:r>
      <w:r w:rsidR="00020A2C" w:rsidRPr="00BC63EF">
        <w:rPr>
          <w:rFonts w:asciiTheme="majorBidi" w:eastAsia="Times New Roman" w:hAnsiTheme="majorBidi" w:cstheme="majorBidi"/>
          <w:color w:val="000000" w:themeColor="text1"/>
          <w:szCs w:val="24"/>
          <w:lang w:eastAsia="en-ID"/>
        </w:rPr>
        <w:fldChar w:fldCharType="separate"/>
      </w:r>
      <w:r w:rsidR="00AF4670" w:rsidRPr="00BC63EF">
        <w:rPr>
          <w:rFonts w:asciiTheme="majorBidi" w:eastAsia="Times New Roman" w:hAnsiTheme="majorBidi" w:cstheme="majorBidi"/>
          <w:noProof/>
          <w:color w:val="000000" w:themeColor="text1"/>
          <w:szCs w:val="24"/>
          <w:lang w:eastAsia="en-ID"/>
        </w:rPr>
        <w:t>(Nappoe et al., 2024)</w:t>
      </w:r>
      <w:r w:rsidR="00020A2C" w:rsidRPr="00BC63EF">
        <w:rPr>
          <w:rFonts w:asciiTheme="majorBidi" w:eastAsia="Times New Roman" w:hAnsiTheme="majorBidi" w:cstheme="majorBidi"/>
          <w:color w:val="000000" w:themeColor="text1"/>
          <w:szCs w:val="24"/>
          <w:lang w:eastAsia="en-ID"/>
        </w:rPr>
        <w:fldChar w:fldCharType="end"/>
      </w:r>
      <w:r w:rsidR="00866ED4">
        <w:rPr>
          <w:rFonts w:asciiTheme="majorBidi" w:eastAsia="Times New Roman" w:hAnsiTheme="majorBidi" w:cstheme="majorBidi"/>
          <w:color w:val="000000" w:themeColor="text1"/>
          <w:szCs w:val="24"/>
          <w:lang w:eastAsia="en-ID"/>
        </w:rPr>
        <w:t xml:space="preserve">. </w:t>
      </w:r>
      <w:r>
        <w:t>Rural Māori clinics showed fewer laboratory tests and lower prescriptions of antidiabetic drugs compared to urban clinics</w:t>
      </w:r>
      <w:r>
        <w:t xml:space="preserve"> </w:t>
      </w:r>
      <w:r w:rsidR="00020A2C" w:rsidRPr="00BC63EF">
        <w:rPr>
          <w:rFonts w:asciiTheme="majorBidi" w:hAnsiTheme="majorBidi" w:cstheme="majorBidi"/>
          <w:color w:val="000000" w:themeColor="text1"/>
          <w:szCs w:val="24"/>
        </w:rPr>
        <w:fldChar w:fldCharType="begin" w:fldLock="1"/>
      </w:r>
      <w:r w:rsidR="00EC477A">
        <w:rPr>
          <w:rFonts w:asciiTheme="majorBidi" w:hAnsiTheme="majorBidi" w:cstheme="majorBidi"/>
          <w:color w:val="000000" w:themeColor="text1"/>
          <w:szCs w:val="24"/>
        </w:rPr>
        <w:instrText>ADDIN CSL_CITATION {"citationItems":[{"id":"ITEM-1","itemData":{"DOI":"10.1111/ajr.70098","ISSN":"1440-1584 (Electronic)","PMID":"41024742","abstract":"OBJECTIVE: To examine the demographic differences between individuals with Type 2  Diabetes (T2D) enrolled in rural and urban clinics and evaluate the quality of care they receive. DESIGN: Cross-sectional observational study. SETTING: Primary care data from four large Primary Healthcare Organisations across the Auckland and Waikato regions of New Zealand. PARTICIPANTS: Patients aged 18-75 years with T2D from February 2021 to August 2022. MAIN OUTCOMES MEASURES: Associations between rurality and sociodemographic variables, clinical measures, and prescribing rates. RESULTS: A total of 56 937 patients with T2D were included, with 85.3% enrolled in urban practices and 14.7% in rural. Rural clinics had a significantly higher proportion of Māori individuals than urban clinics (31.4% vs. 17.4%). Patients in rural clinics had lower but not clinically significant reductions in mean HbA1c, LDL-c, blood pressure, and eGFR than those in urban clinics; however, the number of laboratory tests completed during the study period was lower in rural clinics. Māori were less likely to receive HbA1c and uACR tests than non-Māori. Clinically indicated prescribing for metformin (79.1% vs. 72.5%), ACE inhibitors (80.5% vs. 75.2%), and statins (61.2% vs. 54.4%) was higher in patients enrolled in urban than rural clinics (all p &lt; 0.05), and regression showed lower odds of insulin (OR: 0.65, 95% CI: 0.61-0.69) and SGLT2i/GLP1RA (OR: 0.87, 95% CI: 0.82-0.93) prescribing in rural clinics (both p &lt; 0.001). CONCLUSION: Targeted strategies are needed to address the disparities in T2D care for patients in rural clinics, as well as Māori, particularly optimizing medication prescribing and laboratory tests to improve overall care.","author":[{"dropping-particle":"","family":"Mustafa","given":"Sara","non-dropping-particle":"","parse-names":false,"suffix":""},{"dropping-particle":"","family":"Rodrigues","given":"Mark","non-dropping-particle":"","parse-names":false,"suffix":""},{"dropping-particle":"","family":"Lawrenson","given":"Ross","non-dropping-particle":"","parse-names":false,"suffix":""},{"dropping-particle":"","family":"Scott-Jones","given":"Jo","non-dropping-particle":"","parse-names":false,"suffix":""},{"dropping-particle":"","family":"Papa","given":"Valentina","non-dropping-particle":"","parse-names":false,"suffix":""},{"dropping-particle":"","family":"Zhao","given":"Jinru","non-dropping-particle":"","parse-names":false,"suffix":""},{"dropping-particle":"","family":"Crosswell","given":"Rebekah","non-dropping-particle":"","parse-names":false,"suffix":""},{"dropping-particle":"","family":"Kenealy","given":"Tim","non-dropping-particle":"","parse-names":false,"suffix":""},{"dropping-particle":"","family":"Murphy","given":"Rinki","non-dropping-particle":"","parse-names":false,"suffix":""},{"dropping-particle":"","family":"Keenan","given":"Rawiri","non-dropping-particle":"","parse-names":false,"suffix":""},{"dropping-particle":"","family":"Moffitt","given":"Allan","non-dropping-particle":"","parse-names":false,"suffix":""},{"dropping-particle":"","family":"Paul","given":"Ryan","non-dropping-particle":"","parse-names":false,"suffix":""},{"dropping-particle":"","family":"Chepulis","given":"Lynne","non-dropping-particle":"","parse-names":false,"suffix":""}],"container-title":"The Australian journal of rural health","id":"ITEM-1","issue":"5","issued":{"date-parts":[["2025","10"]]},"language":"eng","page":"e70098","publisher-place":"Australia","title":"Type 2 Diabetes Management in Aotearoa New Zealand: A Comparison of Urban and  Rural Primary Care Clinics.","type":"article-journal","volume":"33"},"uris":["http://www.mendeley.com/documents/?uuid=a6b85b4d-5b02-4e2c-ba7d-b0013ce0f722"]}],"mendeley":{"formattedCitation":"(Mustafa et al., 2025)","plainTextFormattedCitation":"(Mustafa et al., 2025)","previouslyFormattedCitation":"(Mustafa et al., 2025)"},"properties":{"noteIndex":0},"schema":"https://github.com/citation-style-language/schema/raw/master/csl-citation.json"}</w:instrText>
      </w:r>
      <w:r w:rsidR="00020A2C" w:rsidRPr="00BC63EF">
        <w:rPr>
          <w:rFonts w:asciiTheme="majorBidi" w:hAnsiTheme="majorBidi" w:cstheme="majorBidi"/>
          <w:color w:val="000000" w:themeColor="text1"/>
          <w:szCs w:val="24"/>
        </w:rPr>
        <w:fldChar w:fldCharType="separate"/>
      </w:r>
      <w:r w:rsidR="00AF4670" w:rsidRPr="00BC63EF">
        <w:rPr>
          <w:rFonts w:asciiTheme="majorBidi" w:hAnsiTheme="majorBidi" w:cstheme="majorBidi"/>
          <w:noProof/>
          <w:color w:val="000000" w:themeColor="text1"/>
          <w:szCs w:val="24"/>
        </w:rPr>
        <w:t>(Mustafa et al., 2025)</w:t>
      </w:r>
      <w:r w:rsidR="00020A2C" w:rsidRPr="00BC63EF">
        <w:rPr>
          <w:rFonts w:asciiTheme="majorBidi" w:hAnsiTheme="majorBidi" w:cstheme="majorBidi"/>
          <w:color w:val="000000" w:themeColor="text1"/>
          <w:szCs w:val="24"/>
        </w:rPr>
        <w:fldChar w:fldCharType="end"/>
      </w:r>
      <w:r w:rsidR="00866ED4">
        <w:rPr>
          <w:rFonts w:asciiTheme="majorBidi" w:hAnsiTheme="majorBidi" w:cstheme="majorBidi"/>
          <w:color w:val="000000" w:themeColor="text1"/>
          <w:szCs w:val="24"/>
        </w:rPr>
        <w:t>.</w:t>
      </w:r>
      <w:r w:rsidR="00020A2C" w:rsidRPr="00BC63EF">
        <w:rPr>
          <w:rFonts w:asciiTheme="majorBidi" w:hAnsiTheme="majorBidi" w:cstheme="majorBidi"/>
          <w:color w:val="000000" w:themeColor="text1"/>
          <w:szCs w:val="24"/>
        </w:rPr>
        <w:t xml:space="preserve"> </w:t>
      </w:r>
      <w:r>
        <w:t>In Iran, only 81% of urban areas can meet basic diabetes services due to workforce distribution issues</w:t>
      </w:r>
      <w:r>
        <w:t xml:space="preserve"> </w:t>
      </w:r>
      <w:r w:rsidR="00020A2C" w:rsidRPr="00BC63EF">
        <w:rPr>
          <w:rFonts w:asciiTheme="majorBidi" w:hAnsiTheme="majorBidi" w:cstheme="majorBidi"/>
          <w:color w:val="000000" w:themeColor="text1"/>
          <w:szCs w:val="24"/>
        </w:rPr>
        <w:fldChar w:fldCharType="begin" w:fldLock="1"/>
      </w:r>
      <w:r w:rsidR="00EC477A">
        <w:rPr>
          <w:rFonts w:asciiTheme="majorBidi" w:hAnsiTheme="majorBidi" w:cstheme="majorBidi"/>
          <w:color w:val="000000" w:themeColor="text1"/>
          <w:szCs w:val="24"/>
        </w:rPr>
        <w:instrText>ADDIN CSL_CITATION {"citationItems":[{"id":"ITEM-1","itemData":{"DOI":"10.1007/s40200-021-00939-4","ISSN":"2251-6581","abstract":"This study presented a new model for optimal assignment of human resources to 3-level defined clinics to improve the management of diabetes.","author":[{"dropping-particle":"","family":"Sharifi","given":"Ali","non-dropping-particle":"","parse-names":false,"suffix":""},{"dropping-particle":"","family":"Farzi","given":"Yosef","non-dropping-particle":"","parse-names":false,"suffix":""},{"dropping-particle":"","family":"Roshani","given":"Shahin","non-dropping-particle":"","parse-names":false,"suffix":""},{"dropping-particle":"","family":"Ghamari","given":"Azin","non-dropping-particle":"","parse-names":false,"suffix":""},{"dropping-particle":"","family":"Tabatabaei-Malazy","given":"Ozra","non-dropping-particle":"","parse-names":false,"suffix":""},{"dropping-particle":"","family":"Djalalinia","given":"Shirin","non-dropping-particle":"","parse-names":false,"suffix":""},{"dropping-particle":"","family":"Seyfi","given":"Shahedeh","non-dropping-particle":"","parse-names":false,"suffix":""},{"dropping-particle":"","family":"Gorgani","given":"Fateme","non-dropping-particle":"","parse-names":false,"suffix":""},{"dropping-particle":"","family":"Haghshenas","given":"Rosa","non-dropping-particle":"","parse-names":false,"suffix":""},{"dropping-particle":"","family":"Abdolhamidi","given":"Elham","non-dropping-particle":"","parse-names":false,"suffix":""},{"dropping-particle":"","family":"Mohammadi Fateh","given":"Sahar","non-dropping-particle":"","parse-names":false,"suffix":""},{"dropping-particle":"","family":"Moghimi","given":"Mana","non-dropping-particle":"","parse-names":false,"suffix":""},{"dropping-particle":"","family":"Rahimi","given":"Saral","non-dropping-particle":"","parse-names":false,"suffix":""},{"dropping-particle":"","family":"Farzadfar","given":"Farshad","non-dropping-particle":"","parse-names":false,"suffix":""},{"dropping-particle":"","family":"Larijani","given":"Bagher","non-dropping-particle":"","parse-names":false,"suffix":""}],"container-title":"Journal of Diabetes &amp; Metabolic Disorders","id":"ITEM-1","issue":"1","issued":{"date-parts":[["2022"]]},"page":"817-822","title":"A new model for optimization of diabetes clinics with the case study in Iran","type":"article-journal","volume":"21"},"uris":["http://www.mendeley.com/documents/?uuid=19b85444-ac8a-42f0-8ea5-1588717c5ecb"]}],"mendeley":{"formattedCitation":"(Sharifi et al., 2022)","plainTextFormattedCitation":"(Sharifi et al., 2022)","previouslyFormattedCitation":"(Sharifi et al., 2022)"},"properties":{"noteIndex":0},"schema":"https://github.com/citation-style-language/schema/raw/master/csl-citation.json"}</w:instrText>
      </w:r>
      <w:r w:rsidR="00020A2C" w:rsidRPr="00BC63EF">
        <w:rPr>
          <w:rFonts w:asciiTheme="majorBidi" w:hAnsiTheme="majorBidi" w:cstheme="majorBidi"/>
          <w:color w:val="000000" w:themeColor="text1"/>
          <w:szCs w:val="24"/>
        </w:rPr>
        <w:fldChar w:fldCharType="separate"/>
      </w:r>
      <w:r w:rsidR="00AF4670" w:rsidRPr="00BC63EF">
        <w:rPr>
          <w:rFonts w:asciiTheme="majorBidi" w:hAnsiTheme="majorBidi" w:cstheme="majorBidi"/>
          <w:noProof/>
          <w:color w:val="000000" w:themeColor="text1"/>
          <w:szCs w:val="24"/>
        </w:rPr>
        <w:t>(Sharifi et al., 2022)</w:t>
      </w:r>
      <w:r w:rsidR="00020A2C" w:rsidRPr="00BC63EF">
        <w:rPr>
          <w:rFonts w:asciiTheme="majorBidi" w:hAnsiTheme="majorBidi" w:cstheme="majorBidi"/>
          <w:color w:val="000000" w:themeColor="text1"/>
          <w:szCs w:val="24"/>
        </w:rPr>
        <w:fldChar w:fldCharType="end"/>
      </w:r>
      <w:r w:rsidR="00866ED4">
        <w:rPr>
          <w:rFonts w:asciiTheme="majorBidi" w:hAnsiTheme="majorBidi" w:cstheme="majorBidi"/>
          <w:color w:val="000000" w:themeColor="text1"/>
          <w:szCs w:val="24"/>
        </w:rPr>
        <w:t xml:space="preserve">. </w:t>
      </w:r>
      <w:r>
        <w:t>Healthcare support plays an essential role in preventing complications such as diabetic nephropathy</w:t>
      </w:r>
      <w:r>
        <w:t xml:space="preserve"> </w:t>
      </w:r>
      <w:r w:rsidR="00020A2C" w:rsidRPr="00BC63EF">
        <w:rPr>
          <w:rFonts w:asciiTheme="majorBidi" w:hAnsiTheme="majorBidi" w:cstheme="majorBidi"/>
          <w:color w:val="000000" w:themeColor="text1"/>
          <w:szCs w:val="24"/>
        </w:rPr>
        <w:fldChar w:fldCharType="begin" w:fldLock="1"/>
      </w:r>
      <w:r w:rsidR="00EC477A">
        <w:rPr>
          <w:rFonts w:asciiTheme="majorBidi" w:hAnsiTheme="majorBidi" w:cstheme="majorBidi"/>
          <w:color w:val="000000" w:themeColor="text1"/>
          <w:szCs w:val="24"/>
        </w:rPr>
        <w:instrText>ADDIN CSL_CITATION {"citationItems":[{"id":"ITEM-1","itemData":{"DOI":"10.1097/MD.0000000000026644","ISSN":"1536-5964 (Electronic)","PMID":"34260563","abstract":"Studies have provided promising outcomes of the pay-for-performance (P4P) program  or with good continuity of care levels in diabetes control.We investigate the different exposures in continuity of care (COC) with their providers and those who participate in the P4P program and its effects on the risk of diabetes diabetic nephropathy in the future.We obtained COC and P4P information from the annual database, to which we applied a hierarchical linear modeling (HLM) in 3 levels adjusted to account for other covariates as well as the effects of hospital clustering and accumulating time.Newly diagnosed type 2 diabetes in 2003At the individual level, those with a higher Diabetes Complications Severity Index (DCSI) score have a higher likelihood of diabetic nephropathy than those with a lower DCSI (OR, 1.46), whereas contrasting results were obtained for the Charlson Comorbidity Index (CCI) (odds ratio[OR], 0.88). Patients who visited family physicians, endocrinologists, and gastroenterologists showed a lower likelihood of diabetic nephropathy (OR, 0.664, 0.683, and 0.641, respectively), whereas those who continued to visit neurologists showed an increased risk of diabetic nephropathy by 4 folds. At the hospital level, patients with diabetes visiting primary care clinics had a lower risk of diabetic nephropathy with an OR of 0.584 than those visiting hospitals of other higher levels. Regarding the repeat time level, the patients who had a higher COC score and participated in the P4P program had a reduced diabetic nephropathy risk with an OR of 0.339 and 0.775, respectively.Diabetes control necessitates long-term care involving the patients' healthcare providers for the management of their conditions to reduce the risk of diabetic nephropathy. Indeed, most contributing factors are related to patients, but we cannot eliminate the optimal outcomes related to good relationships with healthcare providers and participation in the P4P program.","author":[{"dropping-particle":"","family":"Liao","given":"Kuomeng","non-dropping-particle":"","parse-names":false,"suffix":""},{"dropping-particle":"","family":"Lin","given":"Kuan-Chia","non-dropping-particle":"","parse-names":false,"suffix":""},{"dropping-particle":"","family":"Chiou","given":"Shang-Jyh","non-dropping-particle":"","parse-names":false,"suffix":""}],"container-title":"Medicine","id":"ITEM-1","issue":"28","issued":{"date-parts":[["2021","7"]]},"language":"eng","page":"e26644","publisher-place":"United States","title":"Self-efficacy remains a vital factor in reducing the risk of dialysis in type 2  diabetes care.","type":"article-journal","volume":"100"},"uris":["http://www.mendeley.com/documents/?uuid=866ef78f-ad34-430b-bb4f-0c56f9d40cc5"]}],"mendeley":{"formattedCitation":"(Liao et al., 2021)","plainTextFormattedCitation":"(Liao et al., 2021)","previouslyFormattedCitation":"(Liao et al., 2021)"},"properties":{"noteIndex":0},"schema":"https://github.com/citation-style-language/schema/raw/master/csl-citation.json"}</w:instrText>
      </w:r>
      <w:r w:rsidR="00020A2C" w:rsidRPr="00BC63EF">
        <w:rPr>
          <w:rFonts w:asciiTheme="majorBidi" w:hAnsiTheme="majorBidi" w:cstheme="majorBidi"/>
          <w:color w:val="000000" w:themeColor="text1"/>
          <w:szCs w:val="24"/>
        </w:rPr>
        <w:fldChar w:fldCharType="separate"/>
      </w:r>
      <w:r w:rsidR="00AF4670" w:rsidRPr="00BC63EF">
        <w:rPr>
          <w:rFonts w:asciiTheme="majorBidi" w:hAnsiTheme="majorBidi" w:cstheme="majorBidi"/>
          <w:noProof/>
          <w:color w:val="000000" w:themeColor="text1"/>
          <w:szCs w:val="24"/>
        </w:rPr>
        <w:t>(Liao et al., 2021)</w:t>
      </w:r>
      <w:r w:rsidR="00020A2C" w:rsidRPr="00BC63EF">
        <w:rPr>
          <w:rFonts w:asciiTheme="majorBidi" w:hAnsiTheme="majorBidi" w:cstheme="majorBidi"/>
          <w:color w:val="000000" w:themeColor="text1"/>
          <w:szCs w:val="24"/>
        </w:rPr>
        <w:fldChar w:fldCharType="end"/>
      </w:r>
      <w:r w:rsidR="00866ED4">
        <w:rPr>
          <w:rFonts w:asciiTheme="majorBidi" w:hAnsiTheme="majorBidi" w:cstheme="majorBidi"/>
          <w:color w:val="000000" w:themeColor="text1"/>
          <w:szCs w:val="24"/>
        </w:rPr>
        <w:t>.</w:t>
      </w:r>
      <w:r w:rsidR="00E91508">
        <w:rPr>
          <w:rFonts w:asciiTheme="majorBidi" w:hAnsiTheme="majorBidi" w:cstheme="majorBidi"/>
          <w:color w:val="000000" w:themeColor="text1"/>
          <w:szCs w:val="24"/>
        </w:rPr>
        <w:t xml:space="preserve"> </w:t>
      </w:r>
      <w:r>
        <w:t>Lack of consultation time and limited advanced competencies hinder effective implementation</w:t>
      </w:r>
      <w:r>
        <w:t xml:space="preserve"> </w:t>
      </w:r>
      <w:r w:rsidR="00020A2C" w:rsidRPr="00866ED4">
        <w:rPr>
          <w:rFonts w:asciiTheme="majorBidi" w:hAnsiTheme="majorBidi" w:cstheme="majorBidi"/>
          <w:color w:val="000000" w:themeColor="text1"/>
          <w:szCs w:val="24"/>
        </w:rPr>
        <w:fldChar w:fldCharType="begin" w:fldLock="1"/>
      </w:r>
      <w:r w:rsidR="00EC477A">
        <w:rPr>
          <w:rFonts w:asciiTheme="majorBidi" w:hAnsiTheme="majorBidi" w:cstheme="majorBidi"/>
          <w:color w:val="000000" w:themeColor="text1"/>
          <w:szCs w:val="24"/>
        </w:rPr>
        <w:instrText>ADDIN CSL_CITATION {"citationItems":[{"id":"ITEM-1","itemData":{"DOI":"https://doi.org/10.2196/75916","ISSN":"2369-3762","abstract":"Background Effective diabetes management requires behavioral change support from primary care providers. However, general practitioners (GPs) often lack training in patient-centered communication methods such as motivational interviewing (MI), especially in time-constrained settings. While brief MI offers a practical alternative, evidence on its impact among GPs and patient outcomes remains limited. Objective This study aimed to evaluate the effectiveness of a structured MI educational program for GPs and GP trainees on their MI knowledge and confidence, and its impact on clinical outcomes among patients with type 2 diabetes in primary care settings. Methods A mixed methods study was conducted using a before-and-after two-group design with quantitative assessments of GPs’ knowledge and patients’ biomarkers, supplemented by qualitative interviews. The intervention group (n=35) received a 4-hour interactive MI workshop, optional web-based modules, and brief MI guides. The control group received standard care. A total of 149 and 167 patients with diabetes were included in the study and control groups, respectively. Results A paired-sample t test was conducted to evaluate the impact of the MI course on the learners’ knowledge. There was a statistically significant difference in the knowledge test scores from Time 1 (mean 11.46, SD 3.48) to Time 2 (mean 15.04, SD 2.35), t28= –7.74; P&lt;.001 (2-tailed). The mean increase in knowledge score was 3.57 (SD 2.44), with a 95% CI of 2.62 to 4.52, indicating a large and statistically significant effect. The eta-squared statistic indicated a large effect size (eta-squared=0.85). Patients in the intervention group had greater improvements in HbA1c (mean difference= −0.50, 95% CI −0.91 to −0.09; P=.02) and diastolic blood pressure (mean difference= −5.96 mmHg, 95% CI −8.66 to −3.25; P&lt;.001) compared to controls. Qualitative feedback highlighted the usefulness of brief MI, along with challenges in mastering advanced techniques and time constraints. Conclusions The MI educational program improved GP trainees’ MI knowledge and patient outcomes. Brief MI appears feasible in primary care but requires ongoing support for skill development and implementation.","author":[{"dropping-particle":"","family":"Thepwongsa","given":"Isaraporn","non-dropping-particle":"","parse-names":false,"suffix":""},{"dropping-particle":"","family":"Nonjui","given":"Pat","non-dropping-particle":"","parse-names":false,"suffix":""},{"dropping-particle":"","family":"Muthukumar","given":"Radhakrishnan","non-dropping-particle":"","parse-names":false,"suffix":""},{"dropping-particle":"","family":"Sripa","given":"Poompong","non-dropping-particle":"","parse-names":false,"suffix":""}],"container-title":"JMIR Medical Education","id":"ITEM-1","issued":{"date-parts":[["2025"]]},"title":"Impact of Motivational Interviewing Education on General Practitioners’ and Trainees’ Learning and Diabetes Outcomes in Primary Care: Mixed Methods Study","type":"article-journal","volume":"11"},"uris":["http://www.mendeley.com/documents/?uuid=ce6e5a1f-bfbf-4ef5-a2ff-d4bf2b7fdcb7"]}],"mendeley":{"formattedCitation":"(Thepwongsa et al., 2025)","plainTextFormattedCitation":"(Thepwongsa et al., 2025)","previouslyFormattedCitation":"(Thepwongsa et al., 2025)"},"properties":{"noteIndex":0},"schema":"https://github.com/citation-style-language/schema/raw/master/csl-citation.json"}</w:instrText>
      </w:r>
      <w:r w:rsidR="00020A2C" w:rsidRPr="00866ED4">
        <w:rPr>
          <w:rFonts w:asciiTheme="majorBidi" w:hAnsiTheme="majorBidi" w:cstheme="majorBidi"/>
          <w:color w:val="000000" w:themeColor="text1"/>
          <w:szCs w:val="24"/>
        </w:rPr>
        <w:fldChar w:fldCharType="separate"/>
      </w:r>
      <w:r w:rsidR="00AF4670" w:rsidRPr="00866ED4">
        <w:rPr>
          <w:rFonts w:asciiTheme="majorBidi" w:hAnsiTheme="majorBidi" w:cstheme="majorBidi"/>
          <w:noProof/>
          <w:color w:val="000000" w:themeColor="text1"/>
          <w:szCs w:val="24"/>
        </w:rPr>
        <w:t>(Thepwongsa et al., 2025)</w:t>
      </w:r>
      <w:r w:rsidR="00020A2C" w:rsidRPr="00866ED4">
        <w:rPr>
          <w:rFonts w:asciiTheme="majorBidi" w:hAnsiTheme="majorBidi" w:cstheme="majorBidi"/>
          <w:color w:val="000000" w:themeColor="text1"/>
          <w:szCs w:val="24"/>
        </w:rPr>
        <w:fldChar w:fldCharType="end"/>
      </w:r>
      <w:r w:rsidR="006553BF">
        <w:rPr>
          <w:rFonts w:asciiTheme="majorBidi" w:hAnsiTheme="majorBidi" w:cstheme="majorBidi"/>
          <w:color w:val="000000" w:themeColor="text1"/>
          <w:szCs w:val="24"/>
        </w:rPr>
        <w:t xml:space="preserve">. </w:t>
      </w:r>
      <w:r w:rsidR="006553BF">
        <w:t xml:space="preserve">“Gaps in physicians’ knowledge and the low rate of complication screening indicate the need for continuous education programs in primary care </w:t>
      </w:r>
      <w:r w:rsidR="006553BF" w:rsidRPr="00866ED4">
        <w:rPr>
          <w:rFonts w:asciiTheme="majorBidi" w:hAnsiTheme="majorBidi" w:cstheme="majorBidi"/>
          <w:color w:val="000000" w:themeColor="text1"/>
          <w:szCs w:val="24"/>
        </w:rPr>
        <w:fldChar w:fldCharType="begin" w:fldLock="1"/>
      </w:r>
      <w:r w:rsidR="006553BF">
        <w:rPr>
          <w:rFonts w:asciiTheme="majorBidi" w:hAnsiTheme="majorBidi" w:cstheme="majorBidi"/>
          <w:color w:val="000000" w:themeColor="text1"/>
          <w:szCs w:val="24"/>
        </w:rPr>
        <w:instrText>ADDIN CSL_CITATION {"citationItems":[{"id":"ITEM-1","itemData":{"DOI":"https://doi.org/10.1016/j.cgpj.2024.11.001","ISSN":"2950-5593","abstract":"Background The rising incidence of diabetes has led China to prioritize the management of type 2 diabetes within community health services. However, there remain gaps in standardized diabetes management in primary care facilities, particularly in terms of quality and capacity. Objective This study aims to evaluate the current status of diabetes management and provide a systematic quality assessment. Recommendations for improvement are proposed based on identified issues. Methods In May 2022, a survey was conducted involving 249 community health centers of Shanghai. A simple random sampling method was used to select 3,875 general practitioners(GPs), representing 50 % of the registered GPs at each center. Data were collected using a self-designed questionnaire. Results All community health centers of Shanghai were able to conduct HbA1c tests; however, screening for diabetic complications was insufficient, with only 16.9 % offering nerve conduction velocity tests. The availability of oral hypoglycemic agents was relatively comprehensive, but insulin options were limited, with only 7.6 % of centers had novel GLP-1 available. Furthermore, only 57.4 % of centers had diabetes specialty clinics. GPs demonstrated strong adherence to diabetes management guidelines but had significant knowledge gaps in medication use, with correct responses regarding oral hypoglycemic agents at 27.9 % and insulin at 29.0 %. GPs tended to transfer new patients with high blood glucose or confirmed diabetic nephropathy to higher-level hospitals. Conclusion The infrastructure, equipment, and medications for diabetes management in Shanghai's community health centers partially meet basic quality standards, but there are significant gaps in GPs' knowledge of diabetes medications. To improve diabetes management, efforts should focus on expanding complication screening, increasing the availability of novel hypoglycemic agents and insulin types, enhancing the development of diabetes specialty clinics, and providing GPs with further training to improve their diagnostic and treatment capabilities.","author":[{"dropping-particle":"","family":"Rong","given":"YANG","non-dropping-particle":"","parse-names":false,"suffix":""},{"dropping-particle":"","family":"Hua","given":"J I N","non-dropping-particle":"","parse-names":false,"suffix":""},{"dropping-particle":"","family":"Ling","given":"S H I","non-dropping-particle":"","parse-names":false,"suffix":""},{"dropping-particle":"","family":"Chuntao","given":"Y I","non-dropping-particle":"","parse-names":false,"suffix":""},{"dropping-particle":"","family":"Jin","given":"H O U","non-dropping-particle":"","parse-names":false,"suffix":""},{"dropping-particle":"","family":"Chen","given":"CHEN","non-dropping-particle":"","parse-names":false,"suffix":""},{"dropping-particle":"","family":"Hongmei","given":"HUAN","non-dropping-particle":"","parse-names":false,"suffix":""},{"dropping-particle":"","family":"Hengru","given":"N I","non-dropping-particle":"","parse-names":false,"suffix":""},{"dropping-particle":"","family":"Dehua","given":"Y U","non-dropping-particle":"","parse-names":false,"suffix":""}],"container-title":"Chinese General Practice Journal","id":"ITEM-1","issue":"4","issued":{"date-parts":[["2024"]]},"page":"100032","title":"A survey on the quality of standardized diabetes management in primary care facilities","type":"article-journal","volume":"1"},"uris":["http://www.mendeley.com/documents/?uuid=549d5ffc-c19d-4ae5-852b-2eddc3eee0cc"]}],"mendeley":{"formattedCitation":"(Rong et al., 2024)","plainTextFormattedCitation":"(Rong et al., 2024)","previouslyFormattedCitation":"(Rong et al., 2024)"},"properties":{"noteIndex":0},"schema":"https://github.com/citation-style-language/schema/raw/master/csl-citation.json"}</w:instrText>
      </w:r>
      <w:r w:rsidR="006553BF" w:rsidRPr="00866ED4">
        <w:rPr>
          <w:rFonts w:asciiTheme="majorBidi" w:hAnsiTheme="majorBidi" w:cstheme="majorBidi"/>
          <w:color w:val="000000" w:themeColor="text1"/>
          <w:szCs w:val="24"/>
        </w:rPr>
        <w:fldChar w:fldCharType="separate"/>
      </w:r>
      <w:r w:rsidR="006553BF" w:rsidRPr="00866ED4">
        <w:rPr>
          <w:rFonts w:asciiTheme="majorBidi" w:hAnsiTheme="majorBidi" w:cstheme="majorBidi"/>
          <w:noProof/>
          <w:color w:val="000000" w:themeColor="text1"/>
          <w:szCs w:val="24"/>
        </w:rPr>
        <w:t>(Rong et al., 2024)</w:t>
      </w:r>
      <w:r w:rsidR="006553BF" w:rsidRPr="00866ED4">
        <w:rPr>
          <w:rFonts w:asciiTheme="majorBidi" w:hAnsiTheme="majorBidi" w:cstheme="majorBidi"/>
          <w:color w:val="000000" w:themeColor="text1"/>
          <w:szCs w:val="24"/>
        </w:rPr>
        <w:fldChar w:fldCharType="end"/>
      </w:r>
      <w:r w:rsidR="006553BF" w:rsidRPr="00866ED4">
        <w:rPr>
          <w:rFonts w:asciiTheme="majorBidi" w:eastAsia="Times New Roman" w:hAnsiTheme="majorBidi" w:cstheme="majorBidi"/>
          <w:color w:val="000000" w:themeColor="text1"/>
          <w:szCs w:val="24"/>
          <w:lang w:val="en-ID" w:eastAsia="en-ID"/>
        </w:rPr>
        <w:t xml:space="preserve">. </w:t>
      </w:r>
      <w:r w:rsidR="006553BF">
        <w:t>The study also states that the high clinical workload requires the integration of service technologies, particularly in screening workflows and the management of Diabetes Distress</w:t>
      </w:r>
      <w:r w:rsidR="006553BF">
        <w:t xml:space="preserve"> </w:t>
      </w:r>
      <w:r w:rsidR="006553BF" w:rsidRPr="00866ED4">
        <w:rPr>
          <w:rFonts w:asciiTheme="majorBidi" w:hAnsiTheme="majorBidi" w:cstheme="majorBidi"/>
          <w:color w:val="000000" w:themeColor="text1"/>
          <w:szCs w:val="24"/>
        </w:rPr>
        <w:fldChar w:fldCharType="begin" w:fldLock="1"/>
      </w:r>
      <w:r w:rsidR="006553BF">
        <w:rPr>
          <w:rFonts w:asciiTheme="majorBidi" w:hAnsiTheme="majorBidi" w:cstheme="majorBidi"/>
          <w:color w:val="000000" w:themeColor="text1"/>
          <w:szCs w:val="24"/>
        </w:rPr>
        <w:instrText>ADDIN CSL_CITATION {"citationItems":[{"id":"ITEM-1","itemData":{"DOI":"https://doi.org/10.2196/62916","ISSN":"1929-0748","abstract":"Background Diabetes distress (DD) is a common emotional response to living with diabetes. If not addressed, DD can have negative impacts on diabetes management, including the progression to mental health conditions such as depression and anxiety. Routine screening and treatment for DD is recommended, with primary care being an ideal setting given that the majority of people with diabetes receive their diabetes care from primary care providers. However, consistent screening of DD does not routinely occur in primary care settings. Research is needed to understand how to effectively and feasibly integrate DD screening and treatment into routine diabetes care. Objective This study aims to (1) design and implement individualized technology-supported DD workflows, (2) evaluate the primary outcome of determining the acceptability and feasibility of integrating technology-based workflows to provide treatment for DD, and (3) evaluate the secondary outcomes of changes in DD, depression, and anxiety (baseline, 3 months, and 6 months) in patients receiving screening and personalized treatment. Methods In total, 30 English and Spanish-speaking primary care patients with either type 1 or type 2 diabetes will receive screening for DD during clinical visits and subsequent support from an artificial intelligence (AI)–based health care chatbot with interactive tailored messaging. In addition, the use of electronic consultation with a specialist or referral to a behavioral health provider could occur depending on the severity and source of DD. The use of electronic consultations allows providers convenient and timely asynchronous access to a range of specialty care providers. Health outcomes will be measured through changes in validated screening measures for DD, depression, and anxiety. Digital outcomes will be measured through surveys assessing user experience with technology and system usability, and by system performance data. Qualitative data on acceptability and satisfaction with the clinical workflows and technological interventions will be collected through interviews with patients and clinical providers. Descriptive statistics will summarize quantitative outcome measures and responses to closed-ended survey items, and rapid thematic and content analysis will be conducted on open-ended survey and interview data. Results Workflows for screening and treating DD have been approved and clinical staff have received training on the process. Electronic surveys for screen…","author":[{"dropping-particle":"","family":"Kostiuk","given":"Marisa","non-dropping-particle":"","parse-names":false,"suffix":""},{"dropping-particle":"","family":"Moore","given":"Susan L","non-dropping-particle":"","parse-names":false,"suffix":""},{"dropping-particle":"","family":"Kramer","given":"E Seth","non-dropping-particle":"","parse-names":false,"suffix":""},{"dropping-particle":"","family":"Gilens","given":"Joshua Felton","non-dropping-particle":"","parse-names":false,"suffix":""},{"dropping-particle":"","family":"Sarwal","given":"Ashwin","non-dropping-particle":"","parse-names":false,"suffix":""},{"dropping-particle":"","family":"Saxon","given":"David","non-dropping-particle":"","parse-names":false,"suffix":""},{"dropping-particle":"","family":"Thomas","given":"John F","non-dropping-particle":"","parse-names":false,"suffix":""},{"dropping-particle":"","family":"Oser","given":"Tamara K","non-dropping-particle":"","parse-names":false,"suffix":""}],"container-title":"JMIR Research Protocols","id":"ITEM-1","issued":{"date-parts":[["2025"]]},"title":"Assessment and Intervention for Diabetes Distress in Primary Care Using Clinical and Technological Interventions: Protocol for a Single-Arm Pilot Trial","type":"article-journal","volume":"14"},"uris":["http://www.mendeley.com/documents/?uuid=c76686e9-397e-4ad6-af9c-0cb7602de521"]}],"mendeley":{"formattedCitation":"(Kostiuk et al., 2025)","plainTextFormattedCitation":"(Kostiuk et al., 2025)","previouslyFormattedCitation":"(Kostiuk et al., 2025)"},"properties":{"noteIndex":0},"schema":"https://github.com/citation-style-language/schema/raw/master/csl-citation.json"}</w:instrText>
      </w:r>
      <w:r w:rsidR="006553BF" w:rsidRPr="00866ED4">
        <w:rPr>
          <w:rFonts w:asciiTheme="majorBidi" w:hAnsiTheme="majorBidi" w:cstheme="majorBidi"/>
          <w:color w:val="000000" w:themeColor="text1"/>
          <w:szCs w:val="24"/>
        </w:rPr>
        <w:fldChar w:fldCharType="separate"/>
      </w:r>
      <w:r w:rsidR="006553BF" w:rsidRPr="00866ED4">
        <w:rPr>
          <w:rFonts w:asciiTheme="majorBidi" w:hAnsiTheme="majorBidi" w:cstheme="majorBidi"/>
          <w:noProof/>
          <w:color w:val="000000" w:themeColor="text1"/>
          <w:szCs w:val="24"/>
        </w:rPr>
        <w:t>(Kostiuk et al., 2025)</w:t>
      </w:r>
      <w:r w:rsidR="006553BF" w:rsidRPr="00866ED4">
        <w:rPr>
          <w:rFonts w:asciiTheme="majorBidi" w:hAnsiTheme="majorBidi" w:cstheme="majorBidi"/>
          <w:color w:val="000000" w:themeColor="text1"/>
          <w:szCs w:val="24"/>
        </w:rPr>
        <w:fldChar w:fldCharType="end"/>
      </w:r>
      <w:r w:rsidR="006553BF" w:rsidRPr="00866ED4">
        <w:rPr>
          <w:rFonts w:asciiTheme="majorBidi" w:hAnsiTheme="majorBidi" w:cstheme="majorBidi"/>
          <w:color w:val="000000" w:themeColor="text1"/>
          <w:szCs w:val="24"/>
        </w:rPr>
        <w:t>.</w:t>
      </w:r>
    </w:p>
    <w:p w14:paraId="31A3FA60" w14:textId="49C4D5E9" w:rsidR="00E91508" w:rsidRDefault="006553BF" w:rsidP="00453DB9">
      <w:pPr>
        <w:pStyle w:val="ListParagraph"/>
        <w:ind w:leftChars="129" w:left="284" w:firstLineChars="236" w:firstLine="566"/>
        <w:rPr>
          <w:rFonts w:asciiTheme="majorBidi" w:hAnsiTheme="majorBidi" w:cstheme="majorBidi"/>
          <w:color w:val="000000" w:themeColor="text1"/>
          <w:szCs w:val="24"/>
          <w:lang w:eastAsia="en-ID"/>
        </w:rPr>
      </w:pPr>
      <w:r>
        <w:t xml:space="preserve">This study found a strong association between healthcare provider support and </w:t>
      </w:r>
      <w:proofErr w:type="spellStart"/>
      <w:r>
        <w:t>Prolanis</w:t>
      </w:r>
      <w:proofErr w:type="spellEnd"/>
      <w:r>
        <w:t xml:space="preserve"> utilization (p = 0.000). The OR = 23.2 indicates that patients without healthcare support were 23 times more likely not to utilize </w:t>
      </w:r>
      <w:proofErr w:type="spellStart"/>
      <w:r>
        <w:t>Prolanis</w:t>
      </w:r>
      <w:proofErr w:type="spellEnd"/>
      <w:r>
        <w:t>. Healthcare provider support is a major determinant of program utilization, particularly in chronic disease management</w:t>
      </w:r>
      <w:r>
        <w:t xml:space="preserve"> </w:t>
      </w:r>
      <w:r w:rsidR="00020A2C" w:rsidRPr="00BC63EF">
        <w:rPr>
          <w:rFonts w:asciiTheme="majorBidi" w:hAnsiTheme="majorBidi" w:cstheme="majorBidi"/>
          <w:color w:val="000000" w:themeColor="text1"/>
          <w:szCs w:val="24"/>
          <w:lang w:eastAsia="en-ID"/>
        </w:rPr>
        <w:fldChar w:fldCharType="begin" w:fldLock="1"/>
      </w:r>
      <w:r w:rsidR="00EC477A">
        <w:rPr>
          <w:rFonts w:asciiTheme="majorBidi" w:hAnsiTheme="majorBidi" w:cstheme="majorBidi"/>
          <w:color w:val="000000" w:themeColor="text1"/>
          <w:szCs w:val="24"/>
          <w:lang w:eastAsia="en-ID"/>
        </w:rPr>
        <w:instrText>ADDIN CSL_CITATION {"citationItems":[{"id":"ITEM-1","itemData":{"author":[{"dropping-particle":"","family":"Setiyawati","given":"Yuyun","non-dropping-particle":"","parse-names":false,"suffix":""},{"dropping-particle":"","family":"Hariyati","given":"Rr. Tutik Sri","non-dropping-particle":"","parse-names":false,"suffix":""},{"dropping-particle":"","family":"Anisah","given":"Siti","non-dropping-particle":"","parse-names":false,"suffix":""}],"container-title":"Journal of Telenursing (JOTING)","id":"ITEM-1","issue":"1","issued":{"date-parts":[["2022"]]},"page":"297-310","title":"Optimalisasi Pemberian Edukasi Pada Pasien Dan Keluarga Melalui Terbentuknya Tim Perawat Edukator Di Rumah Sakit: A Pilot Study","type":"article-journal","volume":"4"},"uris":["http://www.mendeley.com/documents/?uuid=c251467d-6164-4158-a933-09502897e47d"]}],"mendeley":{"formattedCitation":"(Setiyawati et al., 2022)","plainTextFormattedCitation":"(Setiyawati et al., 2022)","previouslyFormattedCitation":"(Setiyawati et al., 2022)"},"properties":{"noteIndex":0},"schema":"https://github.com/citation-style-language/schema/raw/master/csl-citation.json"}</w:instrText>
      </w:r>
      <w:r w:rsidR="00020A2C" w:rsidRPr="00BC63EF">
        <w:rPr>
          <w:rFonts w:asciiTheme="majorBidi" w:hAnsiTheme="majorBidi" w:cstheme="majorBidi"/>
          <w:color w:val="000000" w:themeColor="text1"/>
          <w:szCs w:val="24"/>
          <w:lang w:eastAsia="en-ID"/>
        </w:rPr>
        <w:fldChar w:fldCharType="separate"/>
      </w:r>
      <w:r w:rsidR="00AF4670" w:rsidRPr="00BC63EF">
        <w:rPr>
          <w:rFonts w:asciiTheme="majorBidi" w:hAnsiTheme="majorBidi" w:cstheme="majorBidi"/>
          <w:noProof/>
          <w:color w:val="000000" w:themeColor="text1"/>
          <w:szCs w:val="24"/>
          <w:lang w:eastAsia="en-ID"/>
        </w:rPr>
        <w:t>(Setiyawati et al., 2022)</w:t>
      </w:r>
      <w:r w:rsidR="00020A2C" w:rsidRPr="00BC63EF">
        <w:rPr>
          <w:rFonts w:asciiTheme="majorBidi" w:hAnsiTheme="majorBidi" w:cstheme="majorBidi"/>
          <w:color w:val="000000" w:themeColor="text1"/>
          <w:szCs w:val="24"/>
          <w:lang w:eastAsia="en-ID"/>
        </w:rPr>
        <w:fldChar w:fldCharType="end"/>
      </w:r>
      <w:r w:rsidR="00E91508">
        <w:rPr>
          <w:rFonts w:asciiTheme="majorBidi" w:hAnsiTheme="majorBidi" w:cstheme="majorBidi"/>
          <w:color w:val="000000" w:themeColor="text1"/>
          <w:szCs w:val="24"/>
          <w:lang w:eastAsia="en-ID"/>
        </w:rPr>
        <w:t xml:space="preserve">. </w:t>
      </w:r>
      <w:r>
        <w:t xml:space="preserve">Support enhances patient confidence and self-efficacy in adhering to chronic disease management programs </w:t>
      </w:r>
      <w:r w:rsidR="00020A2C" w:rsidRPr="00BC63EF">
        <w:rPr>
          <w:rFonts w:asciiTheme="majorBidi" w:eastAsia="Times New Roman" w:hAnsiTheme="majorBidi" w:cstheme="majorBidi"/>
          <w:color w:val="000000" w:themeColor="text1"/>
          <w:szCs w:val="24"/>
          <w:lang w:eastAsia="en-ID"/>
        </w:rPr>
        <w:fldChar w:fldCharType="begin" w:fldLock="1"/>
      </w:r>
      <w:r w:rsidR="00EC477A">
        <w:rPr>
          <w:rFonts w:asciiTheme="majorBidi" w:eastAsia="Times New Roman" w:hAnsiTheme="majorBidi" w:cstheme="majorBidi"/>
          <w:color w:val="000000" w:themeColor="text1"/>
          <w:szCs w:val="24"/>
          <w:lang w:eastAsia="en-ID"/>
        </w:rPr>
        <w:instrText>ADDIN CSL_CITATION {"citationItems":[{"id":"ITEM-1","itemData":{"author":[{"dropping-particle":"","family":"Setianingrum","given":"Rita","non-dropping-particle":"","parse-names":false,"suffix":""},{"dropping-particle":"","family":"Hariyati","given":"Rr. Tutik Sri","non-dropping-particle":"","parse-names":false,"suffix":""},{"dropping-particle":"","family":"Fitri","given":"Desnita","non-dropping-particle":"","parse-names":false,"suffix":""}],"container-title":"Journal of Telenursing (JOTING)","id":"ITEM-1","issue":"1","issued":{"date-parts":[["2021"]]},"page":"54-62","title":"Pendidikan Berkelanjutan Melalui E-Learning Bagi Perawat Suatu Program Inovasi","type":"article-journal","volume":"3"},"uris":["http://www.mendeley.com/documents/?uuid=53b17d55-064d-4242-b427-fe44b21f39e3"]}],"mendeley":{"formattedCitation":"(Setianingrum et al., 2021)","plainTextFormattedCitation":"(Setianingrum et al., 2021)","previouslyFormattedCitation":"(Setianingrum et al., 2021)"},"properties":{"noteIndex":0},"schema":"https://github.com/citation-style-language/schema/raw/master/csl-citation.json"}</w:instrText>
      </w:r>
      <w:r w:rsidR="00020A2C" w:rsidRPr="00BC63EF">
        <w:rPr>
          <w:rFonts w:asciiTheme="majorBidi" w:eastAsia="Times New Roman" w:hAnsiTheme="majorBidi" w:cstheme="majorBidi"/>
          <w:color w:val="000000" w:themeColor="text1"/>
          <w:szCs w:val="24"/>
          <w:lang w:eastAsia="en-ID"/>
        </w:rPr>
        <w:fldChar w:fldCharType="separate"/>
      </w:r>
      <w:r w:rsidR="00AF4670" w:rsidRPr="00BC63EF">
        <w:rPr>
          <w:rFonts w:asciiTheme="majorBidi" w:eastAsia="Times New Roman" w:hAnsiTheme="majorBidi" w:cstheme="majorBidi"/>
          <w:noProof/>
          <w:color w:val="000000" w:themeColor="text1"/>
          <w:szCs w:val="24"/>
          <w:lang w:eastAsia="en-ID"/>
        </w:rPr>
        <w:t>(Setianingrum et al., 2021)</w:t>
      </w:r>
      <w:r w:rsidR="00020A2C" w:rsidRPr="00BC63EF">
        <w:rPr>
          <w:rFonts w:asciiTheme="majorBidi" w:eastAsia="Times New Roman" w:hAnsiTheme="majorBidi" w:cstheme="majorBidi"/>
          <w:color w:val="000000" w:themeColor="text1"/>
          <w:szCs w:val="24"/>
          <w:lang w:eastAsia="en-ID"/>
        </w:rPr>
        <w:fldChar w:fldCharType="end"/>
      </w:r>
      <w:r w:rsidR="00E91508">
        <w:rPr>
          <w:rFonts w:asciiTheme="majorBidi" w:eastAsia="Times New Roman" w:hAnsiTheme="majorBidi" w:cstheme="majorBidi"/>
          <w:color w:val="000000" w:themeColor="text1"/>
          <w:szCs w:val="24"/>
          <w:lang w:eastAsia="en-ID"/>
        </w:rPr>
        <w:t xml:space="preserve">. </w:t>
      </w:r>
      <w:r>
        <w:t xml:space="preserve">Healthcare personnel act as information facilitators, behavioral motivators, and emotional supporters, especially for high-risk patients </w:t>
      </w:r>
      <w:r w:rsidR="00E91508" w:rsidRPr="00BC63EF">
        <w:rPr>
          <w:rFonts w:asciiTheme="majorBidi" w:eastAsia="Times New Roman" w:hAnsiTheme="majorBidi" w:cstheme="majorBidi"/>
          <w:b/>
          <w:bCs/>
          <w:szCs w:val="24"/>
          <w:lang w:val="en-ID" w:eastAsia="en-ID"/>
        </w:rPr>
        <w:fldChar w:fldCharType="begin" w:fldLock="1"/>
      </w:r>
      <w:r w:rsidR="00EC477A">
        <w:rPr>
          <w:rFonts w:asciiTheme="majorBidi" w:eastAsia="Times New Roman" w:hAnsiTheme="majorBidi" w:cstheme="majorBidi"/>
          <w:b/>
          <w:bCs/>
          <w:szCs w:val="24"/>
          <w:lang w:val="en-ID" w:eastAsia="en-ID"/>
        </w:rPr>
        <w:instrText>ADDIN CSL_CITATION {"citationItems":[{"id":"ITEM-1","itemData":{"author":[{"dropping-particle":"","family":"Setyawan","given":"Budi","non-dropping-particle":"","parse-names":false,"suffix":""},{"dropping-particle":"","family":"Lestari","given":"Retno","non-dropping-particle":"","parse-names":false,"suffix":""}],"container-title":"Indian Journal of Forensic Medicine &amp; Toxicology","id":"ITEM-1","issue":"1","issued":{"date-parts":[["2022"]]},"page":"472-479","title":"A Study of Chronic Disease Management in Indonesian Primary Health Care","type":"article-journal","volume":"16"},"uris":["http://www.mendeley.com/documents/?uuid=f3900539-7214-4ad0-b0e3-f0281a978dab"]}],"mendeley":{"formattedCitation":"(Setyawan &amp; Lestari, 2022)","plainTextFormattedCitation":"(Setyawan &amp; Lestari, 2022)","previouslyFormattedCitation":"(Setyawan &amp; Lestari, 2022)"},"properties":{"noteIndex":0},"schema":"https://github.com/citation-style-language/schema/raw/master/csl-citation.json"}</w:instrText>
      </w:r>
      <w:r w:rsidR="00E91508" w:rsidRPr="00BC63EF">
        <w:rPr>
          <w:rFonts w:asciiTheme="majorBidi" w:eastAsia="Times New Roman" w:hAnsiTheme="majorBidi" w:cstheme="majorBidi"/>
          <w:b/>
          <w:bCs/>
          <w:szCs w:val="24"/>
          <w:lang w:val="en-ID" w:eastAsia="en-ID"/>
        </w:rPr>
        <w:fldChar w:fldCharType="separate"/>
      </w:r>
      <w:r w:rsidR="00E91508" w:rsidRPr="00BC63EF">
        <w:rPr>
          <w:rFonts w:asciiTheme="majorBidi" w:eastAsia="Times New Roman" w:hAnsiTheme="majorBidi" w:cstheme="majorBidi"/>
          <w:bCs/>
          <w:noProof/>
          <w:szCs w:val="24"/>
          <w:lang w:val="en-ID" w:eastAsia="en-ID"/>
        </w:rPr>
        <w:t>(Setyawan &amp; Lestari, 2022)</w:t>
      </w:r>
      <w:r w:rsidR="00E91508" w:rsidRPr="00BC63EF">
        <w:rPr>
          <w:rFonts w:asciiTheme="majorBidi" w:eastAsia="Times New Roman" w:hAnsiTheme="majorBidi" w:cstheme="majorBidi"/>
          <w:b/>
          <w:bCs/>
          <w:szCs w:val="24"/>
          <w:lang w:val="en-ID" w:eastAsia="en-ID"/>
        </w:rPr>
        <w:fldChar w:fldCharType="end"/>
      </w:r>
      <w:r w:rsidR="00E91508">
        <w:rPr>
          <w:rFonts w:asciiTheme="majorBidi" w:eastAsia="Times New Roman" w:hAnsiTheme="majorBidi" w:cstheme="majorBidi"/>
          <w:b/>
          <w:bCs/>
          <w:szCs w:val="24"/>
          <w:lang w:val="en-ID" w:eastAsia="en-ID"/>
        </w:rPr>
        <w:t xml:space="preserve">, </w:t>
      </w:r>
      <w:r w:rsidR="00020A2C" w:rsidRPr="00BC63EF">
        <w:rPr>
          <w:rFonts w:asciiTheme="majorBidi" w:eastAsia="Times New Roman" w:hAnsiTheme="majorBidi" w:cstheme="majorBidi"/>
          <w:color w:val="000000" w:themeColor="text1"/>
          <w:szCs w:val="24"/>
          <w:lang w:eastAsia="en-ID"/>
        </w:rPr>
        <w:fldChar w:fldCharType="begin" w:fldLock="1"/>
      </w:r>
      <w:r w:rsidR="00EC477A">
        <w:rPr>
          <w:rFonts w:asciiTheme="majorBidi" w:eastAsia="Times New Roman" w:hAnsiTheme="majorBidi" w:cstheme="majorBidi"/>
          <w:color w:val="000000" w:themeColor="text1"/>
          <w:szCs w:val="24"/>
          <w:lang w:eastAsia="en-ID"/>
        </w:rPr>
        <w:instrText>ADDIN CSL_CITATION {"citationItems":[{"id":"ITEM-1","itemData":{"DOI":"10.1186/s12913-021-06725-5","ISSN":"1472-6963 (Electronic)","PMID":"34275449","abstract":"BACKGROUND: Underutilization of health services among chronic non-communicable  disease sufferers, especially for hypertension (HBP) and diabetes mellitus (DM), was considered as a significant contributing factor to substantial cases in terms of both avoidable morbidity and mortality. However, evidence on health services underutilization and its associated factors in poverty-stricken areas remain scarce based on previous literature. This study aims to describe health services underutilization for people diagnosed with chronic diseases in impoverished regions and to identify its associated factors, which are expected to provide practical implications for the implementations of interventions tailored to the specific needs of disadvantaged residents in rural China to achieve effective utilization of health services in a timely manner. METHODS: Data were collected from a cross-sectional survey conducted through face-to-face interviews among 2413 patients from six counties in rural central China in 2019. The Anderson behavioral model was adopted to explore the associated factors. A two-level logistic model was employed to investigate the association strengths reflected by adjusted odds ratios (AOR) and 95% confidence intervals in forest plots. RESULTS: On average, 17.58% of the respondents with HBP and 14.87% with DM had experienced health services underutilization during 1 month before the survey. Multilevel logistic regression indicated that predisposing factors (age), enabling factors (income and a regular source of care), and need factors (self-reported health score) were the common predictors of health service underutilization both for hypertensive and diabetic patients in impoverished areas, among which obtaining a regular source of care was found to be relatively determinant as a protective factor for health services underutilization after controlling for other covariates. CONCLUSIONS: Our results suggested that the implementation of a series of comprehensive strategies should be addressed throughout policy-making procedures to improve the provision of regular source of care as a significant determinant for reducing health services underutilization, thus ultimately achieving equal utilization of health services in impoverished regions, especially among chronic disease patients. Our findings are expected to provide practical implications for other developing countries confronted with similar challenges resulting from underdeveloped healthcare systems a…","author":[{"dropping-particle":"","family":"Hu","given":"Haiyan","non-dropping-particle":"","parse-names":false,"suffix":""},{"dropping-particle":"","family":"Jian","given":"Weiyan","non-dropping-particle":"","parse-names":false,"suffix":""},{"dropping-particle":"","family":"Fu","given":"Hongqiao","non-dropping-particle":"","parse-names":false,"suffix":""},{"dropping-particle":"","family":"Zhang","given":"Hao","non-dropping-particle":"","parse-names":false,"suffix":""},{"dropping-particle":"","family":"Pan","given":"Jay","non-dropping-particle":"","parse-names":false,"suffix":""},{"dropping-particle":"","family":"Yip","given":"Winnie","non-dropping-particle":"","parse-names":false,"suffix":""}],"container-title":"BMC health services research","id":"ITEM-1","issue":"1","issued":{"date-parts":[["2021","7"]]},"language":"eng","page":"707","publisher-place":"England","title":"Health service underutilization and its associated factors for chronic diseases  patients in poverty-stricken areas in China: a multilevel analysis.","type":"article-journal","volume":"21"},"uris":["http://www.mendeley.com/documents/?uuid=3650d9f1-a705-4752-892e-92c4f7117b84"]}],"mendeley":{"formattedCitation":"(Hu et al., 2021)","plainTextFormattedCitation":"(Hu et al., 2021)","previouslyFormattedCitation":"(Hu et al., 2021)"},"properties":{"noteIndex":0},"schema":"https://github.com/citation-style-language/schema/raw/master/csl-citation.json"}</w:instrText>
      </w:r>
      <w:r w:rsidR="00020A2C" w:rsidRPr="00BC63EF">
        <w:rPr>
          <w:rFonts w:asciiTheme="majorBidi" w:eastAsia="Times New Roman" w:hAnsiTheme="majorBidi" w:cstheme="majorBidi"/>
          <w:color w:val="000000" w:themeColor="text1"/>
          <w:szCs w:val="24"/>
          <w:lang w:eastAsia="en-ID"/>
        </w:rPr>
        <w:fldChar w:fldCharType="separate"/>
      </w:r>
      <w:r w:rsidR="00AF4670" w:rsidRPr="00BC63EF">
        <w:rPr>
          <w:rFonts w:asciiTheme="majorBidi" w:eastAsia="Times New Roman" w:hAnsiTheme="majorBidi" w:cstheme="majorBidi"/>
          <w:noProof/>
          <w:color w:val="000000" w:themeColor="text1"/>
          <w:szCs w:val="24"/>
          <w:lang w:eastAsia="en-ID"/>
        </w:rPr>
        <w:t>(Hu et al., 2021)</w:t>
      </w:r>
      <w:r w:rsidR="00020A2C" w:rsidRPr="00BC63EF">
        <w:rPr>
          <w:rFonts w:asciiTheme="majorBidi" w:eastAsia="Times New Roman" w:hAnsiTheme="majorBidi" w:cstheme="majorBidi"/>
          <w:color w:val="000000" w:themeColor="text1"/>
          <w:szCs w:val="24"/>
          <w:lang w:eastAsia="en-ID"/>
        </w:rPr>
        <w:fldChar w:fldCharType="end"/>
      </w:r>
      <w:r w:rsidR="00E91508">
        <w:rPr>
          <w:rFonts w:asciiTheme="majorBidi" w:eastAsia="Times New Roman" w:hAnsiTheme="majorBidi" w:cstheme="majorBidi"/>
          <w:color w:val="000000" w:themeColor="text1"/>
          <w:szCs w:val="24"/>
          <w:lang w:eastAsia="en-ID"/>
        </w:rPr>
        <w:t xml:space="preserve">, </w:t>
      </w:r>
      <w:r w:rsidR="00E91508" w:rsidRPr="00BC63EF">
        <w:rPr>
          <w:rFonts w:asciiTheme="majorBidi" w:hAnsiTheme="majorBidi" w:cstheme="majorBidi"/>
          <w:color w:val="000000" w:themeColor="text1"/>
          <w:szCs w:val="24"/>
          <w:lang w:eastAsia="en-ID"/>
        </w:rPr>
        <w:fldChar w:fldCharType="begin" w:fldLock="1"/>
      </w:r>
      <w:r w:rsidR="00EC477A">
        <w:rPr>
          <w:rFonts w:asciiTheme="majorBidi" w:hAnsiTheme="majorBidi" w:cstheme="majorBidi"/>
          <w:color w:val="000000" w:themeColor="text1"/>
          <w:szCs w:val="24"/>
          <w:lang w:eastAsia="en-ID"/>
        </w:rPr>
        <w:instrText>ADDIN CSL_CITATION {"citationItems":[{"id":"ITEM-1","itemData":{"author":[{"dropping-particle":"","family":"Ambarita","given":"Anna Tirawani","non-dropping-particle":"","parse-names":false,"suffix":""},{"dropping-particle":"","family":"Nurwahyuni","given":"Atik","non-dropping-particle":"","parse-names":false,"suffix":""}],"container-title":"J-Kesmas: Jurnal Fakultas Kesehatan Masyarakat (The Indonesian Journal of Public Health)","id":"ITEM-1","issue":"1","issued":{"date-parts":[["2022"]]},"page":"24-30","title":"Analysis of Implementation Chronic Disease Program (PROLANIS) During Pandemic COVID-19 on Primary Health Care","type":"article-journal","volume":"09"},"uris":["http://www.mendeley.com/documents/?uuid=63ed0bdb-3599-4844-a97a-7823e32c33c4"]}],"mendeley":{"formattedCitation":"(Ambarita &amp; Nurwahyuni, 2022)","plainTextFormattedCitation":"(Ambarita &amp; Nurwahyuni, 2022)","previouslyFormattedCitation":"(Ambarita &amp; Nurwahyuni, 2022)"},"properties":{"noteIndex":0},"schema":"https://github.com/citation-style-language/schema/raw/master/csl-citation.json"}</w:instrText>
      </w:r>
      <w:r w:rsidR="00E91508" w:rsidRPr="00BC63EF">
        <w:rPr>
          <w:rFonts w:asciiTheme="majorBidi" w:hAnsiTheme="majorBidi" w:cstheme="majorBidi"/>
          <w:color w:val="000000" w:themeColor="text1"/>
          <w:szCs w:val="24"/>
          <w:lang w:eastAsia="en-ID"/>
        </w:rPr>
        <w:fldChar w:fldCharType="separate"/>
      </w:r>
      <w:r w:rsidR="00E91508" w:rsidRPr="00BC63EF">
        <w:rPr>
          <w:rFonts w:asciiTheme="majorBidi" w:hAnsiTheme="majorBidi" w:cstheme="majorBidi"/>
          <w:noProof/>
          <w:color w:val="000000" w:themeColor="text1"/>
          <w:szCs w:val="24"/>
          <w:lang w:eastAsia="en-ID"/>
        </w:rPr>
        <w:t xml:space="preserve">(Ambarita &amp; </w:t>
      </w:r>
      <w:r w:rsidR="00E91508" w:rsidRPr="00BC63EF">
        <w:rPr>
          <w:rFonts w:asciiTheme="majorBidi" w:hAnsiTheme="majorBidi" w:cstheme="majorBidi"/>
          <w:noProof/>
          <w:color w:val="000000" w:themeColor="text1"/>
          <w:szCs w:val="24"/>
          <w:lang w:eastAsia="en-ID"/>
        </w:rPr>
        <w:lastRenderedPageBreak/>
        <w:t>Nurwahyuni, 2022)</w:t>
      </w:r>
      <w:r w:rsidR="00E91508" w:rsidRPr="00BC63EF">
        <w:rPr>
          <w:rFonts w:asciiTheme="majorBidi" w:hAnsiTheme="majorBidi" w:cstheme="majorBidi"/>
          <w:color w:val="000000" w:themeColor="text1"/>
          <w:szCs w:val="24"/>
          <w:lang w:eastAsia="en-ID"/>
        </w:rPr>
        <w:fldChar w:fldCharType="end"/>
      </w:r>
      <w:r w:rsidR="00E91508">
        <w:rPr>
          <w:rFonts w:asciiTheme="majorBidi" w:eastAsia="Times New Roman" w:hAnsiTheme="majorBidi" w:cstheme="majorBidi"/>
          <w:color w:val="000000" w:themeColor="text1"/>
          <w:szCs w:val="24"/>
          <w:lang w:eastAsia="en-ID"/>
        </w:rPr>
        <w:t>.</w:t>
      </w:r>
      <w:r w:rsidR="00020A2C" w:rsidRPr="00BC63EF">
        <w:rPr>
          <w:rFonts w:asciiTheme="majorBidi" w:eastAsia="Times New Roman" w:hAnsiTheme="majorBidi" w:cstheme="majorBidi"/>
          <w:color w:val="000000" w:themeColor="text1"/>
          <w:szCs w:val="24"/>
          <w:lang w:eastAsia="en-ID"/>
        </w:rPr>
        <w:t xml:space="preserve"> </w:t>
      </w:r>
      <w:r>
        <w:t xml:space="preserve">Healthcare support increases </w:t>
      </w:r>
      <w:proofErr w:type="spellStart"/>
      <w:r>
        <w:t>Prolanis</w:t>
      </w:r>
      <w:proofErr w:type="spellEnd"/>
      <w:r>
        <w:t xml:space="preserve"> visits by 4.7 times</w:t>
      </w:r>
      <w:r>
        <w:t xml:space="preserve"> </w:t>
      </w:r>
      <w:r w:rsidR="00020A2C" w:rsidRPr="00BC63EF">
        <w:rPr>
          <w:rFonts w:asciiTheme="majorBidi" w:eastAsia="Times New Roman" w:hAnsiTheme="majorBidi" w:cstheme="majorBidi"/>
          <w:color w:val="000000" w:themeColor="text1"/>
          <w:szCs w:val="24"/>
          <w:lang w:eastAsia="en-ID"/>
        </w:rPr>
        <w:fldChar w:fldCharType="begin" w:fldLock="1"/>
      </w:r>
      <w:r w:rsidR="00EC477A">
        <w:rPr>
          <w:rFonts w:asciiTheme="majorBidi" w:eastAsia="Times New Roman" w:hAnsiTheme="majorBidi" w:cstheme="majorBidi"/>
          <w:color w:val="000000" w:themeColor="text1"/>
          <w:szCs w:val="24"/>
          <w:lang w:eastAsia="en-ID"/>
        </w:rPr>
        <w:instrText>ADDIN CSL_CITATION {"citationItems":[{"id":"ITEM-1","itemData":{"author":[{"dropping-particle":"","family":"Darmayanti","given":"Osaria","non-dropping-particle":"","parse-names":false,"suffix":""},{"dropping-particle":"","family":"Darmawan","given":"","non-dropping-particle":"","parse-names":false,"suffix":""},{"dropping-particle":"","family":"Kusumawardani","given":"Eva Flourentina","non-dropping-particle":"","parse-names":false,"suffix":""},{"dropping-particle":"","family":"Safrizal","given":"","non-dropping-particle":"","parse-names":false,"suffix":""},{"dropping-particle":"","family":"Siregar","given":"Siti Maisyaroh F","non-dropping-particle":"","parse-names":false,"suffix":""}],"container-title":"An Idea Health Journal","id":"ITEM-1","issue":"03","issued":{"date-parts":[["2025"]]},"page":"225-233","title":"Utilization of the Chronic Disease Management Program (Prolanis) at Suak Ribee Primary Health Center, Indonesia","type":"article-journal","volume":"5"},"uris":["http://www.mendeley.com/documents/?uuid=0c8f46da-8178-4223-8c4c-260c615eb040"]}],"mendeley":{"formattedCitation":"(Darmayanti et al., 2025)","plainTextFormattedCitation":"(Darmayanti et al., 2025)","previouslyFormattedCitation":"(Darmayanti et al., 2025)"},"properties":{"noteIndex":0},"schema":"https://github.com/citation-style-language/schema/raw/master/csl-citation.json"}</w:instrText>
      </w:r>
      <w:r w:rsidR="00020A2C" w:rsidRPr="00BC63EF">
        <w:rPr>
          <w:rFonts w:asciiTheme="majorBidi" w:eastAsia="Times New Roman" w:hAnsiTheme="majorBidi" w:cstheme="majorBidi"/>
          <w:color w:val="000000" w:themeColor="text1"/>
          <w:szCs w:val="24"/>
          <w:lang w:eastAsia="en-ID"/>
        </w:rPr>
        <w:fldChar w:fldCharType="separate"/>
      </w:r>
      <w:r w:rsidR="00AF4670" w:rsidRPr="00BC63EF">
        <w:rPr>
          <w:rFonts w:asciiTheme="majorBidi" w:eastAsia="Times New Roman" w:hAnsiTheme="majorBidi" w:cstheme="majorBidi"/>
          <w:noProof/>
          <w:color w:val="000000" w:themeColor="text1"/>
          <w:szCs w:val="24"/>
          <w:lang w:eastAsia="en-ID"/>
        </w:rPr>
        <w:t>(Darmayanti et al., 2025)</w:t>
      </w:r>
      <w:r w:rsidR="00020A2C" w:rsidRPr="00BC63EF">
        <w:rPr>
          <w:rFonts w:asciiTheme="majorBidi" w:eastAsia="Times New Roman" w:hAnsiTheme="majorBidi" w:cstheme="majorBidi"/>
          <w:color w:val="000000" w:themeColor="text1"/>
          <w:szCs w:val="24"/>
          <w:lang w:eastAsia="en-ID"/>
        </w:rPr>
        <w:fldChar w:fldCharType="end"/>
      </w:r>
      <w:r>
        <w:rPr>
          <w:rFonts w:asciiTheme="majorBidi" w:hAnsiTheme="majorBidi" w:cstheme="majorBidi"/>
          <w:color w:val="000000" w:themeColor="text1"/>
          <w:szCs w:val="24"/>
          <w:lang w:eastAsia="en-ID"/>
        </w:rPr>
        <w:t xml:space="preserve"> </w:t>
      </w:r>
      <w:r>
        <w:t>and program utilization by up to 9 times</w:t>
      </w:r>
      <w:r>
        <w:t xml:space="preserve"> </w:t>
      </w:r>
      <w:r w:rsidR="00020A2C" w:rsidRPr="00BC63EF">
        <w:rPr>
          <w:rFonts w:asciiTheme="majorBidi" w:hAnsiTheme="majorBidi" w:cstheme="majorBidi"/>
          <w:color w:val="000000" w:themeColor="text1"/>
          <w:szCs w:val="24"/>
          <w:lang w:eastAsia="en-ID"/>
        </w:rPr>
        <w:fldChar w:fldCharType="begin" w:fldLock="1"/>
      </w:r>
      <w:r w:rsidR="00EC477A">
        <w:rPr>
          <w:rFonts w:asciiTheme="majorBidi" w:hAnsiTheme="majorBidi" w:cstheme="majorBidi"/>
          <w:color w:val="000000" w:themeColor="text1"/>
          <w:szCs w:val="24"/>
          <w:lang w:eastAsia="en-ID"/>
        </w:rPr>
        <w:instrText>ADDIN CSL_CITATION {"citationItems":[{"id":"ITEM-1","itemData":{"DOI":"10.30829/jumantik.v10i2.25843","author":[{"dropping-particle":"","family":"Rahayu","given":"Niken Mastiko","non-dropping-particle":"","parse-names":false,"suffix":""},{"dropping-particle":"","family":"Sudiyanto","given":"Henry","non-dropping-particle":"","parse-names":false,"suffix":""},{"dropping-particle":"","family":"Anggreni","given":"Dhonna","non-dropping-particle":"","parse-names":false,"suffix":""},{"dropping-particle":"","family":"Knowledge","given":"Keywords","non-dropping-particle":"","parse-names":false,"suffix":""}],"container-title":"JUMANTIK (Jurnal Ilmiah Penelitian Kesehatan)","id":"ITEM-1","issue":"2","issued":{"date-parts":[["2025"]]},"page":"278-287","title":"Analisis Pengaruh Pengetahuan, Peran Petugas Kesehatan dan Dukungan Keluarga terhadap Keaktifan Pemanfaatan Prolanis","type":"article-journal","volume":"10"},"uris":["http://www.mendeley.com/documents/?uuid=8a75436b-87e1-4aa1-8c40-1d5c3eb70561"]}],"mendeley":{"formattedCitation":"(Rahayu et al., 2025)","plainTextFormattedCitation":"(Rahayu et al., 2025)","previouslyFormattedCitation":"(Rahayu et al., 2025)"},"properties":{"noteIndex":0},"schema":"https://github.com/citation-style-language/schema/raw/master/csl-citation.json"}</w:instrText>
      </w:r>
      <w:r w:rsidR="00020A2C" w:rsidRPr="00BC63EF">
        <w:rPr>
          <w:rFonts w:asciiTheme="majorBidi" w:hAnsiTheme="majorBidi" w:cstheme="majorBidi"/>
          <w:color w:val="000000" w:themeColor="text1"/>
          <w:szCs w:val="24"/>
          <w:lang w:eastAsia="en-ID"/>
        </w:rPr>
        <w:fldChar w:fldCharType="separate"/>
      </w:r>
      <w:r w:rsidR="00AF4670" w:rsidRPr="00BC63EF">
        <w:rPr>
          <w:rFonts w:asciiTheme="majorBidi" w:hAnsiTheme="majorBidi" w:cstheme="majorBidi"/>
          <w:noProof/>
          <w:color w:val="000000" w:themeColor="text1"/>
          <w:szCs w:val="24"/>
          <w:lang w:eastAsia="en-ID"/>
        </w:rPr>
        <w:t>(Rahayu et al., 2025)</w:t>
      </w:r>
      <w:r w:rsidR="00020A2C" w:rsidRPr="00BC63EF">
        <w:rPr>
          <w:rFonts w:asciiTheme="majorBidi" w:hAnsiTheme="majorBidi" w:cstheme="majorBidi"/>
          <w:color w:val="000000" w:themeColor="text1"/>
          <w:szCs w:val="24"/>
          <w:lang w:eastAsia="en-ID"/>
        </w:rPr>
        <w:fldChar w:fldCharType="end"/>
      </w:r>
      <w:r w:rsidR="00E91508">
        <w:rPr>
          <w:rFonts w:asciiTheme="majorBidi" w:hAnsiTheme="majorBidi" w:cstheme="majorBidi"/>
          <w:color w:val="000000" w:themeColor="text1"/>
          <w:szCs w:val="24"/>
          <w:lang w:eastAsia="en-ID"/>
        </w:rPr>
        <w:t xml:space="preserve">. </w:t>
      </w:r>
    </w:p>
    <w:p w14:paraId="6E576F2F" w14:textId="6AFBCC2A" w:rsidR="006553BF" w:rsidRPr="00BC63EF" w:rsidRDefault="006553BF" w:rsidP="00453DB9">
      <w:pPr>
        <w:pStyle w:val="ListParagraph"/>
        <w:numPr>
          <w:ilvl w:val="8"/>
          <w:numId w:val="1"/>
        </w:numPr>
        <w:suppressAutoHyphens w:val="0"/>
        <w:ind w:leftChars="0" w:left="284" w:firstLineChars="0" w:hanging="286"/>
        <w:textDirection w:val="lrTb"/>
        <w:textAlignment w:val="auto"/>
        <w:outlineLvl w:val="9"/>
        <w:rPr>
          <w:rFonts w:asciiTheme="majorBidi" w:eastAsia="Times New Roman" w:hAnsiTheme="majorBidi" w:cstheme="majorBidi"/>
          <w:b/>
          <w:bCs/>
          <w:szCs w:val="24"/>
          <w:lang w:eastAsia="en-ID"/>
        </w:rPr>
      </w:pPr>
      <w:r w:rsidRPr="006553BF">
        <w:rPr>
          <w:rFonts w:asciiTheme="majorBidi" w:eastAsia="Times New Roman" w:hAnsiTheme="majorBidi" w:cstheme="majorBidi"/>
          <w:b/>
          <w:bCs/>
          <w:szCs w:val="24"/>
          <w:lang w:eastAsia="en-ID"/>
        </w:rPr>
        <w:t xml:space="preserve">Relationship Between Healthcare Access and </w:t>
      </w:r>
      <w:proofErr w:type="spellStart"/>
      <w:r w:rsidRPr="006553BF">
        <w:rPr>
          <w:rFonts w:asciiTheme="majorBidi" w:eastAsia="Times New Roman" w:hAnsiTheme="majorBidi" w:cstheme="majorBidi"/>
          <w:b/>
          <w:bCs/>
          <w:szCs w:val="24"/>
          <w:lang w:eastAsia="en-ID"/>
        </w:rPr>
        <w:t>Prolanis</w:t>
      </w:r>
      <w:proofErr w:type="spellEnd"/>
      <w:r w:rsidRPr="006553BF">
        <w:rPr>
          <w:rFonts w:asciiTheme="majorBidi" w:eastAsia="Times New Roman" w:hAnsiTheme="majorBidi" w:cstheme="majorBidi"/>
          <w:b/>
          <w:bCs/>
          <w:szCs w:val="24"/>
          <w:lang w:eastAsia="en-ID"/>
        </w:rPr>
        <w:t xml:space="preserve"> Utilization</w:t>
      </w:r>
    </w:p>
    <w:p w14:paraId="5E925F31" w14:textId="5A199E0B" w:rsidR="00020A2C" w:rsidRPr="00BC63EF" w:rsidRDefault="006553BF" w:rsidP="00453DB9">
      <w:pPr>
        <w:pStyle w:val="ListParagraph"/>
        <w:ind w:leftChars="129" w:left="284" w:firstLineChars="236" w:firstLine="566"/>
        <w:rPr>
          <w:rFonts w:asciiTheme="majorBidi" w:eastAsia="Times New Roman" w:hAnsiTheme="majorBidi" w:cstheme="majorBidi"/>
          <w:szCs w:val="24"/>
          <w:lang w:eastAsia="en-ID"/>
        </w:rPr>
      </w:pPr>
      <w:r>
        <w:t xml:space="preserve">Findings indicate that 57.5% of respondents reported difficult access, while 42.5% reported easy access. This suggests that </w:t>
      </w:r>
      <w:proofErr w:type="spellStart"/>
      <w:r>
        <w:t>Prolanis</w:t>
      </w:r>
      <w:proofErr w:type="spellEnd"/>
      <w:r>
        <w:t xml:space="preserve"> is not yet fully accessible to all participants, particularly those living far from health centers, lacking transportation, or having inflexible work schedules. This aligns with studies showing that distances &gt;3 km reduce attendance at chronic disease programs in primary care</w:t>
      </w:r>
      <w:r>
        <w:t xml:space="preserve"> </w:t>
      </w:r>
      <w:r w:rsidR="00020A2C" w:rsidRPr="00BD5284">
        <w:rPr>
          <w:rFonts w:asciiTheme="majorBidi" w:eastAsia="Times New Roman" w:hAnsiTheme="majorBidi" w:cstheme="majorBidi"/>
          <w:szCs w:val="24"/>
          <w:lang w:eastAsia="en-ID"/>
        </w:rPr>
        <w:fldChar w:fldCharType="begin" w:fldLock="1"/>
      </w:r>
      <w:r w:rsidR="00EC477A">
        <w:rPr>
          <w:rFonts w:asciiTheme="majorBidi" w:eastAsia="Times New Roman" w:hAnsiTheme="majorBidi" w:cstheme="majorBidi"/>
          <w:szCs w:val="24"/>
          <w:lang w:eastAsia="en-ID"/>
        </w:rPr>
        <w:instrText>ADDIN CSL_CITATION {"citationItems":[{"id":"ITEM-1","itemData":{"DOI":"10.22146/jkesvo.66299","ISSN":"2541-0644","abstract":"Latar Belakang: Program pengelolaan penyakit kronis (Prolanis) diselenggarakan pemerintah sebagai wujud pengelolaan jangka panjang pada penyakit diabetes melitus dan hipertensi. Meskipun demikian, partisipasi pasien diabetes melitus dan hipertensi dalam kegiatan Prolanis di Puskesmas Kota Malang masih tergolong rendah. Hal tersebut menyebabkan belum dapat terpenuhinya target indikator Rasio Peserta Prolanis Terkendali (RPPT) pada beberapa Puskesmas di Kota Malang.Tujuan: Menganalisis faktor yang mempengaruhi partisipasi dalam Program Pengelolaan Penyakit Kronis (Prolanis).Metode: Jenis penelitian ini adalah observasional dengan pendekatan cross-sectional. Sebanyak 85 peserta prolanis yang terdaftar di Puskesmas Kendalkerep Kota Malang dipilih menjadi sampel dengan teknik total sampling. Instrumen yang digunakan adalah kuesioner. Data dianalisis dengan menggunakan uji chisquare dan regresi logistik.Hasil: Peserta yang tidak berpartisipasi aktif dalam Prolanis sebanyak 70,6%. Hasil uji chi square menunjukkan bahwa tingkat pengetahuan (p=0,000), persepsi keseriusan penyakit (p=0,000) dan dukungan keluarga (p=0,010) berhubungan dengan rendahnya partisipasi Prolanis. Uji regresi logistik menunjukkan tingkat pengetahuan memiliki nilai OR = 37,410 (3,950-354,286) dan persepsi keseriusan penyakit memiliki nilai OR = 70,544 (8,182- 608,238).Kesimpulan: Faktor yang paling mempengaruhi partisipasiprolanis adalah tingkat pengetahuan dan persepsi keseriusan penyakit. ","author":[{"dropping-particle":"","family":"Fadila","given":"Rizki","non-dropping-particle":"","parse-names":false,"suffix":""},{"dropping-particle":"","family":"Ahmad","given":"Aisyah Nurmaliza","non-dropping-particle":"","parse-names":false,"suffix":""}],"container-title":"Jurnal Kesehatan Vokasional","id":"ITEM-1","issue":"4","issued":{"date-parts":[["2021"]]},"page":"208","title":"Determinan Rendahnya Partisipasi dalam Program Pengelolaan Penyakit Kronis di Puskesmas","type":"article-journal","volume":"6"},"uris":["http://www.mendeley.com/documents/?uuid=80c7381e-144f-46b5-a13b-790c3a639937"]}],"mendeley":{"formattedCitation":"(Fadila &amp; Ahmad, 2021)","plainTextFormattedCitation":"(Fadila &amp; Ahmad, 2021)","previouslyFormattedCitation":"(Fadila &amp; Ahmad, 2021)"},"properties":{"noteIndex":0},"schema":"https://github.com/citation-style-language/schema/raw/master/csl-citation.json"}</w:instrText>
      </w:r>
      <w:r w:rsidR="00020A2C" w:rsidRPr="00BD5284">
        <w:rPr>
          <w:rFonts w:asciiTheme="majorBidi" w:eastAsia="Times New Roman" w:hAnsiTheme="majorBidi" w:cstheme="majorBidi"/>
          <w:szCs w:val="24"/>
          <w:lang w:eastAsia="en-ID"/>
        </w:rPr>
        <w:fldChar w:fldCharType="separate"/>
      </w:r>
      <w:r w:rsidR="00AF4670" w:rsidRPr="00BD5284">
        <w:rPr>
          <w:rFonts w:asciiTheme="majorBidi" w:eastAsia="Times New Roman" w:hAnsiTheme="majorBidi" w:cstheme="majorBidi"/>
          <w:noProof/>
          <w:szCs w:val="24"/>
          <w:lang w:eastAsia="en-ID"/>
        </w:rPr>
        <w:t>(Fadila &amp; Ahmad, 2021)</w:t>
      </w:r>
      <w:r w:rsidR="00020A2C" w:rsidRPr="00BD5284">
        <w:rPr>
          <w:rFonts w:asciiTheme="majorBidi" w:eastAsia="Times New Roman" w:hAnsiTheme="majorBidi" w:cstheme="majorBidi"/>
          <w:szCs w:val="24"/>
          <w:lang w:eastAsia="en-ID"/>
        </w:rPr>
        <w:fldChar w:fldCharType="end"/>
      </w:r>
      <w:r w:rsidR="00BD5284" w:rsidRPr="00BD5284">
        <w:rPr>
          <w:rFonts w:asciiTheme="majorBidi" w:eastAsia="Times New Roman" w:hAnsiTheme="majorBidi" w:cstheme="majorBidi"/>
          <w:szCs w:val="24"/>
          <w:lang w:eastAsia="en-ID"/>
        </w:rPr>
        <w:t>.</w:t>
      </w:r>
      <w:r w:rsidR="00020A2C" w:rsidRPr="00BD5284">
        <w:rPr>
          <w:rFonts w:asciiTheme="majorBidi" w:eastAsia="Times New Roman" w:hAnsiTheme="majorBidi" w:cstheme="majorBidi"/>
          <w:szCs w:val="24"/>
          <w:lang w:eastAsia="en-ID"/>
        </w:rPr>
        <w:t xml:space="preserve"> </w:t>
      </w:r>
      <w:r>
        <w:t xml:space="preserve">Physical distance and transportation barriers are strong predictors of poor adherence among type 2 diabetes patients </w:t>
      </w:r>
      <w:r w:rsidR="00020A2C" w:rsidRPr="00BD5284">
        <w:rPr>
          <w:rFonts w:asciiTheme="majorBidi" w:eastAsia="Times New Roman" w:hAnsiTheme="majorBidi" w:cstheme="majorBidi"/>
          <w:szCs w:val="24"/>
          <w:lang w:eastAsia="en-ID"/>
        </w:rPr>
        <w:fldChar w:fldCharType="begin" w:fldLock="1"/>
      </w:r>
      <w:r w:rsidR="00EC477A">
        <w:rPr>
          <w:rFonts w:asciiTheme="majorBidi" w:eastAsia="Times New Roman" w:hAnsiTheme="majorBidi" w:cstheme="majorBidi"/>
          <w:szCs w:val="24"/>
          <w:lang w:eastAsia="en-ID"/>
        </w:rPr>
        <w:instrText>ADDIN CSL_CITATION {"citationItems":[{"id":"ITEM-1","itemData":{"DOI":"10.7324/JAPS.2024.194416","author":[{"dropping-particle":"","family":"Krisnadewi","given":"Kadek Ida","non-dropping-particle":"","parse-names":false,"suffix":""},{"dropping-particle":"","family":"Kristina","given":"Susi Ari","non-dropping-particle":"","parse-names":false,"suffix":""},{"dropping-particle":"","family":"Andayani","given":"Tri Murti","non-dropping-particle":"","parse-names":false,"suffix":""},{"dropping-particle":"","family":"Endarti","given":"Dwi","non-dropping-particle":"","parse-names":false,"suffix":""}],"container-title":"Journal of Applied Pharmaceutical Science","id":"ITEM-1","issue":"01","issued":{"date-parts":[["2025"]]},"page":"153-161","title":"Implementation preventive program for diabetic mellitus ( PROLANIS ) at Community Health Center in Indonesia : A qualitative study","type":"article-journal","volume":"15"},"uris":["http://www.mendeley.com/documents/?uuid=0740d4fe-26f4-4dd1-822d-8bab7a9e24f1"]}],"mendeley":{"formattedCitation":"(Krisnadewi et al., 2025)","plainTextFormattedCitation":"(Krisnadewi et al., 2025)","previouslyFormattedCitation":"(Krisnadewi et al., 2025)"},"properties":{"noteIndex":0},"schema":"https://github.com/citation-style-language/schema/raw/master/csl-citation.json"}</w:instrText>
      </w:r>
      <w:r w:rsidR="00020A2C" w:rsidRPr="00BD5284">
        <w:rPr>
          <w:rFonts w:asciiTheme="majorBidi" w:eastAsia="Times New Roman" w:hAnsiTheme="majorBidi" w:cstheme="majorBidi"/>
          <w:szCs w:val="24"/>
          <w:lang w:eastAsia="en-ID"/>
        </w:rPr>
        <w:fldChar w:fldCharType="separate"/>
      </w:r>
      <w:r w:rsidR="00AF4670" w:rsidRPr="00BD5284">
        <w:rPr>
          <w:rFonts w:asciiTheme="majorBidi" w:eastAsia="Times New Roman" w:hAnsiTheme="majorBidi" w:cstheme="majorBidi"/>
          <w:noProof/>
          <w:szCs w:val="24"/>
          <w:lang w:eastAsia="en-ID"/>
        </w:rPr>
        <w:t>(Krisnadewi et al., 2025)</w:t>
      </w:r>
      <w:r w:rsidR="00020A2C" w:rsidRPr="00BD5284">
        <w:rPr>
          <w:rFonts w:asciiTheme="majorBidi" w:eastAsia="Times New Roman" w:hAnsiTheme="majorBidi" w:cstheme="majorBidi"/>
          <w:szCs w:val="24"/>
          <w:lang w:eastAsia="en-ID"/>
        </w:rPr>
        <w:fldChar w:fldCharType="end"/>
      </w:r>
      <w:r w:rsidR="00020A2C" w:rsidRPr="00BD5284">
        <w:rPr>
          <w:rFonts w:asciiTheme="majorBidi" w:eastAsia="Times New Roman" w:hAnsiTheme="majorBidi" w:cstheme="majorBidi"/>
          <w:szCs w:val="24"/>
          <w:lang w:eastAsia="en-ID"/>
        </w:rPr>
        <w:t>.</w:t>
      </w:r>
      <w:r w:rsidR="00BD5284">
        <w:rPr>
          <w:rFonts w:asciiTheme="majorBidi" w:eastAsia="Times New Roman" w:hAnsiTheme="majorBidi" w:cstheme="majorBidi"/>
          <w:szCs w:val="24"/>
          <w:lang w:eastAsia="en-ID"/>
        </w:rPr>
        <w:t xml:space="preserve"> </w:t>
      </w:r>
      <w:r>
        <w:t xml:space="preserve">Rural diabetic patients often face limited public transportation and higher travel costs, lowering their </w:t>
      </w:r>
      <w:proofErr w:type="spellStart"/>
      <w:r>
        <w:t>Prolanis</w:t>
      </w:r>
      <w:proofErr w:type="spellEnd"/>
      <w:r>
        <w:t xml:space="preserve"> attendance</w:t>
      </w:r>
      <w:r>
        <w:t xml:space="preserve"> </w:t>
      </w:r>
      <w:r w:rsidR="00020A2C" w:rsidRPr="00BC63EF">
        <w:rPr>
          <w:rFonts w:asciiTheme="majorBidi" w:hAnsiTheme="majorBidi" w:cstheme="majorBidi"/>
          <w:color w:val="000000" w:themeColor="text1"/>
          <w:szCs w:val="24"/>
        </w:rPr>
        <w:fldChar w:fldCharType="begin" w:fldLock="1"/>
      </w:r>
      <w:r w:rsidR="00EC477A">
        <w:rPr>
          <w:rFonts w:asciiTheme="majorBidi" w:hAnsiTheme="majorBidi" w:cstheme="majorBidi"/>
          <w:color w:val="000000" w:themeColor="text1"/>
          <w:szCs w:val="24"/>
        </w:rPr>
        <w:instrText>ADDIN CSL_CITATION {"citationItems":[{"id":"ITEM-1","itemData":{"DOI":"https://doi.org/10.1016/j.pcd.2025.10.003","ISSN":"1751-9918","abstract":"Aims Type 2 diabetes (T2D) disproportionally affects migrants. We compared T2D-care in primary care between migrants and non-migrants in the Netherlands. Methods We performed a dynamic cohort study based on routine care data (2015–2019) from the DIAbetes MANagement and Treatment (DIAMANT) cohort linked to databases of Statistics Netherlands. Persons aged ≥ 35years with T2D treated in primary care were included. Outcomes included annual monitoring of HbA1c, systolic blood pressure and LDL; meeting of treatment targets; and medication prescription. Generalized estimating equations logistic regression models estimated the associations between having a migration background and outcomes. Results We included 165,670 persons: 83.7 % non-migrants, 2.1 % Turkish, 3.0 % Moroccan, 2.1 % Surinamese, 3.3 % European, and 5.7 % other non-European migrants. Most migrant groups had similar or higher odds of having annual monitoring compared to non-migrants, but lower odds of meeting the HbA1c and LDL treatment targets, with the lowest odds for Turkish migrants (OR 0.61, 95 %-CI 0.57–0.64; OR 0.86, 95 %-CI 0.81–0.91). Exploratory analyses demonstrated insulins to be less often prescribed to migrants. Conclusions Most migrant groups were equally or better monitored for T2D-parameters compared to non-migrants, but were less likely to meet HbA1c targets. This might partly reflect the less frequent insulin prescriptions to migrants. Further research is needed on underlying mechanisms and the specific needs of migrant groups to optimize T2D-care for all.","author":[{"dropping-particle":"","family":"Strooij","given":"B T","non-dropping-particle":"","parse-names":false,"suffix":""},{"dropping-particle":"","family":"Remmelzwaal","given":"S","non-dropping-particle":"","parse-names":false,"suffix":""},{"dropping-particle":"","family":"Muilwijk","given":"M","non-dropping-particle":"","parse-names":false,"suffix":""},{"dropping-particle":"","family":"Overbeek","given":"J A","non-dropping-particle":"","parse-names":false,"suffix":""},{"dropping-particle":"","family":"Herings","given":"R M C","non-dropping-particle":"","parse-names":false,"suffix":""},{"dropping-particle":"","family":"Elders","given":"P J M","non-dropping-particle":"","parse-names":false,"suffix":""},{"dropping-particle":"","family":"Hout","given":"H P J","non-dropping-particle":"van","parse-names":false,"suffix":""},{"dropping-particle":"","family":"Maarsingh","given":"O R","non-dropping-particle":"","parse-names":false,"suffix":""},{"dropping-particle":"","family":"Valkengoed","given":"I G M","non-dropping-particle":"van","parse-names":false,"suffix":""},{"dropping-particle":"","family":"Blom","given":"M T","non-dropping-particle":"","parse-names":false,"suffix":""}],"container-title":"Primary Care Diabetes","id":"ITEM-1","issued":{"date-parts":[["2025"]]},"title":"Type 2 diabetes monitoring and control in migrants and non-migrants: A population-based cohort study in primary care in the Netherlands","type":"article-journal"},"uris":["http://www.mendeley.com/documents/?uuid=f5361694-f0e5-4b1a-ab6c-aee84aae56c7"]}],"mendeley":{"formattedCitation":"(Strooij et al., 2025)","plainTextFormattedCitation":"(Strooij et al., 2025)","previouslyFormattedCitation":"(Strooij et al., 2025)"},"properties":{"noteIndex":0},"schema":"https://github.com/citation-style-language/schema/raw/master/csl-citation.json"}</w:instrText>
      </w:r>
      <w:r w:rsidR="00020A2C" w:rsidRPr="00BC63EF">
        <w:rPr>
          <w:rFonts w:asciiTheme="majorBidi" w:hAnsiTheme="majorBidi" w:cstheme="majorBidi"/>
          <w:color w:val="000000" w:themeColor="text1"/>
          <w:szCs w:val="24"/>
        </w:rPr>
        <w:fldChar w:fldCharType="separate"/>
      </w:r>
      <w:r w:rsidR="00AF4670" w:rsidRPr="00BC63EF">
        <w:rPr>
          <w:rFonts w:asciiTheme="majorBidi" w:hAnsiTheme="majorBidi" w:cstheme="majorBidi"/>
          <w:noProof/>
          <w:color w:val="000000" w:themeColor="text1"/>
          <w:szCs w:val="24"/>
        </w:rPr>
        <w:t>(Strooij et al., 2025)</w:t>
      </w:r>
      <w:r w:rsidR="00020A2C" w:rsidRPr="00BC63EF">
        <w:rPr>
          <w:rFonts w:asciiTheme="majorBidi" w:hAnsiTheme="majorBidi" w:cstheme="majorBidi"/>
          <w:color w:val="000000" w:themeColor="text1"/>
          <w:szCs w:val="24"/>
        </w:rPr>
        <w:fldChar w:fldCharType="end"/>
      </w:r>
      <w:r w:rsidR="00BD5284">
        <w:rPr>
          <w:rFonts w:asciiTheme="majorBidi" w:hAnsiTheme="majorBidi" w:cstheme="majorBidi"/>
          <w:color w:val="000000" w:themeColor="text1"/>
          <w:szCs w:val="24"/>
        </w:rPr>
        <w:t>.</w:t>
      </w:r>
    </w:p>
    <w:p w14:paraId="71EC36CB" w14:textId="30BF589E" w:rsidR="00020A2C" w:rsidRPr="00BC63EF" w:rsidRDefault="006553BF" w:rsidP="00453DB9">
      <w:pPr>
        <w:pStyle w:val="ListParagraph"/>
        <w:ind w:leftChars="129" w:left="284" w:firstLineChars="236" w:firstLine="566"/>
        <w:rPr>
          <w:rFonts w:asciiTheme="majorBidi" w:eastAsia="Times New Roman" w:hAnsiTheme="majorBidi" w:cstheme="majorBidi"/>
          <w:szCs w:val="24"/>
          <w:lang w:eastAsia="en-ID"/>
        </w:rPr>
      </w:pPr>
      <w:r>
        <w:t xml:space="preserve">Access significantly influenced utilization: 85.5% of respondents with difficult access did not utilize </w:t>
      </w:r>
      <w:proofErr w:type="spellStart"/>
      <w:r>
        <w:t>Prolanis</w:t>
      </w:r>
      <w:proofErr w:type="spellEnd"/>
      <w:r>
        <w:t>. Among those with easy access, 51% utilized the program. The p-value = 0.000 indicates a statistically significant association, with OR = 6.1 (CI 2.5–14.5). Geographic access—distance, transportation, travel cost, and time—plays a critical role in participation in primary care programs</w:t>
      </w:r>
      <w:r>
        <w:t xml:space="preserve"> </w:t>
      </w:r>
      <w:r w:rsidR="00020A2C" w:rsidRPr="00BC63EF">
        <w:rPr>
          <w:rFonts w:asciiTheme="majorBidi" w:eastAsia="Times New Roman" w:hAnsiTheme="majorBidi" w:cstheme="majorBidi"/>
          <w:szCs w:val="24"/>
          <w:lang w:eastAsia="en-ID"/>
        </w:rPr>
        <w:fldChar w:fldCharType="begin" w:fldLock="1"/>
      </w:r>
      <w:r w:rsidR="00EC477A">
        <w:rPr>
          <w:rFonts w:asciiTheme="majorBidi" w:eastAsia="Times New Roman" w:hAnsiTheme="majorBidi" w:cstheme="majorBidi"/>
          <w:szCs w:val="24"/>
          <w:lang w:eastAsia="en-ID"/>
        </w:rPr>
        <w:instrText>ADDIN CSL_CITATION {"citationItems":[{"id":"ITEM-1","itemData":{"DOI":"10.24853/mujg.1.2.33-39","author":[{"dropping-particle":"","family":"Widianingtyas","given":"Anindya","non-dropping-particle":"","parse-names":false,"suffix":""},{"dropping-particle":"","family":"Purbowati","given":"Mustika Ratnaningsih","non-dropping-particle":"","parse-names":false,"suffix":""},{"dropping-particle":"","family":"Dewantoro","given":"Luhur","non-dropping-particle":"","parse-names":false,"suffix":""}],"container-title":"Muhammadiyah Journal of Geriatric","id":"ITEM-1","issue":"2","issued":{"date-parts":[["2020"]]},"page":"33-39","title":"Hubungan Keikutsertaan Prolanis (Program Pengelolaan Penyakit Kronis) dengan Tingkat Efikasi Diri Pasien Diabetes Mellitus Tipe 2 di Puskesmas 1 Kembaran","type":"article-journal","volume":"1"},"uris":["http://www.mendeley.com/documents/?uuid=676e0902-6f83-4fdb-80a0-4f47896061ed"]}],"mendeley":{"formattedCitation":"(Widianingtyas et al., 2020)","plainTextFormattedCitation":"(Widianingtyas et al., 2020)","previouslyFormattedCitation":"(Widianingtyas et al., 2020)"},"properties":{"noteIndex":0},"schema":"https://github.com/citation-style-language/schema/raw/master/csl-citation.json"}</w:instrText>
      </w:r>
      <w:r w:rsidR="00020A2C" w:rsidRPr="00BC63EF">
        <w:rPr>
          <w:rFonts w:asciiTheme="majorBidi" w:eastAsia="Times New Roman" w:hAnsiTheme="majorBidi" w:cstheme="majorBidi"/>
          <w:szCs w:val="24"/>
          <w:lang w:eastAsia="en-ID"/>
        </w:rPr>
        <w:fldChar w:fldCharType="separate"/>
      </w:r>
      <w:r w:rsidR="00AF4670" w:rsidRPr="00BC63EF">
        <w:rPr>
          <w:rFonts w:asciiTheme="majorBidi" w:eastAsia="Times New Roman" w:hAnsiTheme="majorBidi" w:cstheme="majorBidi"/>
          <w:noProof/>
          <w:szCs w:val="24"/>
          <w:lang w:eastAsia="en-ID"/>
        </w:rPr>
        <w:t>(Widianingtyas et al., 2020)</w:t>
      </w:r>
      <w:r w:rsidR="00020A2C" w:rsidRPr="00BC63EF">
        <w:rPr>
          <w:rFonts w:asciiTheme="majorBidi" w:eastAsia="Times New Roman" w:hAnsiTheme="majorBidi" w:cstheme="majorBidi"/>
          <w:szCs w:val="24"/>
          <w:lang w:eastAsia="en-ID"/>
        </w:rPr>
        <w:fldChar w:fldCharType="end"/>
      </w:r>
      <w:r w:rsidR="00BD5284">
        <w:rPr>
          <w:rFonts w:asciiTheme="majorBidi" w:eastAsia="Times New Roman" w:hAnsiTheme="majorBidi" w:cstheme="majorBidi"/>
          <w:szCs w:val="24"/>
          <w:lang w:eastAsia="en-ID"/>
        </w:rPr>
        <w:t xml:space="preserve">. </w:t>
      </w:r>
      <w:r>
        <w:t>Geographical access factors, such as distance and travel time, are significant determinants of healthcare service utilization among patients with chronic illnesses</w:t>
      </w:r>
      <w:r w:rsidRPr="00C8501D">
        <w:rPr>
          <w:rFonts w:asciiTheme="majorBidi" w:eastAsia="Times New Roman" w:hAnsiTheme="majorBidi" w:cstheme="majorBidi"/>
          <w:szCs w:val="24"/>
          <w:lang w:eastAsia="en-ID"/>
        </w:rPr>
        <w:t xml:space="preserve"> </w:t>
      </w:r>
      <w:r w:rsidR="00020A2C" w:rsidRPr="00C8501D">
        <w:rPr>
          <w:rFonts w:asciiTheme="majorBidi" w:eastAsia="Times New Roman" w:hAnsiTheme="majorBidi" w:cstheme="majorBidi"/>
          <w:szCs w:val="24"/>
          <w:lang w:eastAsia="en-ID"/>
        </w:rPr>
        <w:fldChar w:fldCharType="begin" w:fldLock="1"/>
      </w:r>
      <w:r w:rsidR="00EC477A">
        <w:rPr>
          <w:rFonts w:asciiTheme="majorBidi" w:eastAsia="Times New Roman" w:hAnsiTheme="majorBidi" w:cstheme="majorBidi"/>
          <w:szCs w:val="24"/>
          <w:lang w:eastAsia="en-ID"/>
        </w:rPr>
        <w:instrText>ADDIN CSL_CITATION {"citationItems":[{"id":"ITEM-1","itemData":{"DOI":"10.7324/JAPS.2024.194416","author":[{"dropping-particle":"","family":"Krisnadewi","given":"Kadek Ida","non-dropping-particle":"","parse-names":false,"suffix":""},{"dropping-particle":"","family":"Kristina","given":"Susi Ari","non-dropping-particle":"","parse-names":false,"suffix":""},{"dropping-particle":"","family":"Andayani","given":"Tri Murti","non-dropping-particle":"","parse-names":false,"suffix":""},{"dropping-particle":"","family":"Endarti","given":"Dwi","non-dropping-particle":"","parse-names":false,"suffix":""}],"container-title":"Journal of Applied Pharmaceutical Science","id":"ITEM-1","issue":"01","issued":{"date-parts":[["2025"]]},"page":"153-161","title":"Implementation preventive program for diabetic mellitus ( PROLANIS ) at Community Health Center in Indonesia : A qualitative study","type":"article-journal","volume":"15"},"uris":["http://www.mendeley.com/documents/?uuid=0740d4fe-26f4-4dd1-822d-8bab7a9e24f1"]}],"mendeley":{"formattedCitation":"(Krisnadewi et al., 2025)","plainTextFormattedCitation":"(Krisnadewi et al., 2025)","previouslyFormattedCitation":"(Krisnadewi et al., 2025)"},"properties":{"noteIndex":0},"schema":"https://github.com/citation-style-language/schema/raw/master/csl-citation.json"}</w:instrText>
      </w:r>
      <w:r w:rsidR="00020A2C" w:rsidRPr="00C8501D">
        <w:rPr>
          <w:rFonts w:asciiTheme="majorBidi" w:eastAsia="Times New Roman" w:hAnsiTheme="majorBidi" w:cstheme="majorBidi"/>
          <w:szCs w:val="24"/>
          <w:lang w:eastAsia="en-ID"/>
        </w:rPr>
        <w:fldChar w:fldCharType="separate"/>
      </w:r>
      <w:r w:rsidR="00AF4670" w:rsidRPr="00C8501D">
        <w:rPr>
          <w:rFonts w:asciiTheme="majorBidi" w:eastAsia="Times New Roman" w:hAnsiTheme="majorBidi" w:cstheme="majorBidi"/>
          <w:noProof/>
          <w:szCs w:val="24"/>
          <w:lang w:eastAsia="en-ID"/>
        </w:rPr>
        <w:t>(Krisnadewi et al., 2025)</w:t>
      </w:r>
      <w:r w:rsidR="00020A2C" w:rsidRPr="00C8501D">
        <w:rPr>
          <w:rFonts w:asciiTheme="majorBidi" w:eastAsia="Times New Roman" w:hAnsiTheme="majorBidi" w:cstheme="majorBidi"/>
          <w:szCs w:val="24"/>
          <w:lang w:eastAsia="en-ID"/>
        </w:rPr>
        <w:fldChar w:fldCharType="end"/>
      </w:r>
      <w:r w:rsidR="00BD5284" w:rsidRPr="00C8501D">
        <w:rPr>
          <w:rFonts w:asciiTheme="majorBidi" w:eastAsia="Times New Roman" w:hAnsiTheme="majorBidi" w:cstheme="majorBidi"/>
          <w:szCs w:val="24"/>
          <w:lang w:val="id-ID" w:eastAsia="en-ID"/>
        </w:rPr>
        <w:t>.</w:t>
      </w:r>
      <w:r w:rsidR="00C8501D">
        <w:rPr>
          <w:rFonts w:asciiTheme="majorBidi" w:eastAsia="Times New Roman" w:hAnsiTheme="majorBidi" w:cstheme="majorBidi"/>
          <w:szCs w:val="24"/>
          <w:lang w:eastAsia="en-ID"/>
        </w:rPr>
        <w:t xml:space="preserve"> </w:t>
      </w:r>
      <w:r>
        <w:t>Patients living &gt;5 km from health facilities have lower likelihood of participating in chronic disease monitoring programs</w:t>
      </w:r>
      <w:r w:rsidR="00C8501D">
        <w:rPr>
          <w:rFonts w:asciiTheme="majorBidi" w:eastAsia="Times New Roman" w:hAnsiTheme="majorBidi" w:cstheme="majorBidi"/>
          <w:szCs w:val="24"/>
          <w:lang w:eastAsia="en-ID"/>
        </w:rPr>
        <w:t xml:space="preserve"> </w:t>
      </w:r>
      <w:r w:rsidR="00020A2C" w:rsidRPr="00BC63EF">
        <w:rPr>
          <w:rFonts w:asciiTheme="majorBidi" w:eastAsia="Times New Roman" w:hAnsiTheme="majorBidi" w:cstheme="majorBidi"/>
          <w:szCs w:val="24"/>
          <w:lang w:eastAsia="en-ID"/>
        </w:rPr>
        <w:fldChar w:fldCharType="begin" w:fldLock="1"/>
      </w:r>
      <w:r w:rsidR="00EC477A">
        <w:rPr>
          <w:rFonts w:asciiTheme="majorBidi" w:eastAsia="Times New Roman" w:hAnsiTheme="majorBidi" w:cstheme="majorBidi"/>
          <w:szCs w:val="24"/>
          <w:lang w:eastAsia="en-ID"/>
        </w:rPr>
        <w:instrText>ADDIN CSL_CITATION {"citationItems":[{"id":"ITEM-1","itemData":{"DOI":"10.47191/ijcsrr/V6-i6-71","author":[{"dropping-particle":"","family":"Sugianto","given":"Anelia Arifanny","non-dropping-particle":"","parse-names":false,"suffix":""},{"dropping-particle":"","family":"Kurniawan","given":"Betta","non-dropping-particle":"","parse-names":false,"suffix":""},{"dropping-particle":"","family":"Udayana","given":"Samsu","non-dropping-particle":"","parse-names":false,"suffix":""}],"container-title":"International Journal of Current Science Research and Review","id":"ITEM-1","issue":"06","issued":{"date-parts":[["2023"]]},"page":"3815-3821","title":"Individual Determinant Factors of Patients with Hypertension and the Utilization of Chronic Disease Management Program ( Prolanis ) Services in First-Level Healthcare Facilities in Pesawaran District , Lampung , Indonesia","type":"article-journal","volume":"06"},"uris":["http://www.mendeley.com/documents/?uuid=039101d5-476b-411f-bfce-dd2e53df0ed2"]}],"mendeley":{"formattedCitation":"(Sugianto et al., 2023)","plainTextFormattedCitation":"(Sugianto et al., 2023)","previouslyFormattedCitation":"(Sugianto et al., 2023)"},"properties":{"noteIndex":0},"schema":"https://github.com/citation-style-language/schema/raw/master/csl-citation.json"}</w:instrText>
      </w:r>
      <w:r w:rsidR="00020A2C" w:rsidRPr="00BC63EF">
        <w:rPr>
          <w:rFonts w:asciiTheme="majorBidi" w:eastAsia="Times New Roman" w:hAnsiTheme="majorBidi" w:cstheme="majorBidi"/>
          <w:szCs w:val="24"/>
          <w:lang w:eastAsia="en-ID"/>
        </w:rPr>
        <w:fldChar w:fldCharType="separate"/>
      </w:r>
      <w:r w:rsidR="00AF4670" w:rsidRPr="00BC63EF">
        <w:rPr>
          <w:rFonts w:asciiTheme="majorBidi" w:eastAsia="Times New Roman" w:hAnsiTheme="majorBidi" w:cstheme="majorBidi"/>
          <w:noProof/>
          <w:szCs w:val="24"/>
          <w:lang w:eastAsia="en-ID"/>
        </w:rPr>
        <w:t>(Sugianto et al., 2023)</w:t>
      </w:r>
      <w:r w:rsidR="00020A2C" w:rsidRPr="00BC63EF">
        <w:rPr>
          <w:rFonts w:asciiTheme="majorBidi" w:eastAsia="Times New Roman" w:hAnsiTheme="majorBidi" w:cstheme="majorBidi"/>
          <w:szCs w:val="24"/>
          <w:lang w:eastAsia="en-ID"/>
        </w:rPr>
        <w:fldChar w:fldCharType="end"/>
      </w:r>
      <w:r w:rsidR="00C8501D">
        <w:rPr>
          <w:rFonts w:asciiTheme="majorBidi" w:eastAsia="Times New Roman" w:hAnsiTheme="majorBidi" w:cstheme="majorBidi"/>
          <w:szCs w:val="24"/>
          <w:lang w:eastAsia="en-ID"/>
        </w:rPr>
        <w:t>.</w:t>
      </w:r>
      <w:r w:rsidR="00020A2C" w:rsidRPr="00BC63EF">
        <w:rPr>
          <w:rFonts w:asciiTheme="majorBidi" w:eastAsia="Times New Roman" w:hAnsiTheme="majorBidi" w:cstheme="majorBidi"/>
          <w:szCs w:val="24"/>
          <w:lang w:eastAsia="en-ID"/>
        </w:rPr>
        <w:t xml:space="preserve"> </w:t>
      </w:r>
      <w:r>
        <w:t xml:space="preserve">Perceived ease of access strongly influences participation in long-term health programs, including </w:t>
      </w:r>
      <w:proofErr w:type="spellStart"/>
      <w:r>
        <w:t>Prolanis</w:t>
      </w:r>
      <w:proofErr w:type="spellEnd"/>
      <w:r w:rsidRPr="00BC63EF">
        <w:rPr>
          <w:rFonts w:asciiTheme="majorBidi" w:eastAsia="Times New Roman" w:hAnsiTheme="majorBidi" w:cstheme="majorBidi"/>
          <w:szCs w:val="24"/>
          <w:lang w:eastAsia="en-ID"/>
        </w:rPr>
        <w:t xml:space="preserve"> </w:t>
      </w:r>
      <w:r w:rsidR="00020A2C" w:rsidRPr="00BC63EF">
        <w:rPr>
          <w:rFonts w:asciiTheme="majorBidi" w:eastAsia="Times New Roman" w:hAnsiTheme="majorBidi" w:cstheme="majorBidi"/>
          <w:szCs w:val="24"/>
          <w:lang w:eastAsia="en-ID"/>
        </w:rPr>
        <w:fldChar w:fldCharType="begin" w:fldLock="1"/>
      </w:r>
      <w:r w:rsidR="00EC477A">
        <w:rPr>
          <w:rFonts w:asciiTheme="majorBidi" w:eastAsia="Times New Roman" w:hAnsiTheme="majorBidi" w:cstheme="majorBidi"/>
          <w:szCs w:val="24"/>
          <w:lang w:eastAsia="en-ID"/>
        </w:rPr>
        <w:instrText>ADDIN CSL_CITATION {"citationItems":[{"id":"ITEM-1","itemData":{"author":[{"dropping-particle":"","family":"Zafasia","given":"Annisa Fatma","non-dropping-particle":"","parse-names":false,"suffix":""},{"dropping-particle":"","family":"Deli","given":"Hellena","non-dropping-particle":"","parse-names":false,"suffix":""},{"dropping-particle":"","family":"Arneliwati","given":"","non-dropping-particle":"","parse-names":false,"suffix":""}],"container-title":"JOM (Journal Of Management)","id":"ITEM-1","issue":"2","issued":{"date-parts":[["2021"]]},"page":"161-168","title":"Hubungan jarak rumah dan waktu tempuh dengan pemanfaatan pelayanan kesehatan selama pandemi","type":"article-journal","volume":"9"},"uris":["http://www.mendeley.com/documents/?uuid=0cd95be8-61b8-4883-8493-a5468c78711b"]}],"mendeley":{"formattedCitation":"(Zafasia et al., 2021)","plainTextFormattedCitation":"(Zafasia et al., 2021)","previouslyFormattedCitation":"(Zafasia et al., 2021)"},"properties":{"noteIndex":0},"schema":"https://github.com/citation-style-language/schema/raw/master/csl-citation.json"}</w:instrText>
      </w:r>
      <w:r w:rsidR="00020A2C" w:rsidRPr="00BC63EF">
        <w:rPr>
          <w:rFonts w:asciiTheme="majorBidi" w:eastAsia="Times New Roman" w:hAnsiTheme="majorBidi" w:cstheme="majorBidi"/>
          <w:szCs w:val="24"/>
          <w:lang w:eastAsia="en-ID"/>
        </w:rPr>
        <w:fldChar w:fldCharType="separate"/>
      </w:r>
      <w:r w:rsidR="00AF4670" w:rsidRPr="00BC63EF">
        <w:rPr>
          <w:rFonts w:asciiTheme="majorBidi" w:eastAsia="Times New Roman" w:hAnsiTheme="majorBidi" w:cstheme="majorBidi"/>
          <w:noProof/>
          <w:szCs w:val="24"/>
          <w:lang w:eastAsia="en-ID"/>
        </w:rPr>
        <w:t>(Zafasia et al., 2021)</w:t>
      </w:r>
      <w:r w:rsidR="00020A2C" w:rsidRPr="00BC63EF">
        <w:rPr>
          <w:rFonts w:asciiTheme="majorBidi" w:eastAsia="Times New Roman" w:hAnsiTheme="majorBidi" w:cstheme="majorBidi"/>
          <w:szCs w:val="24"/>
          <w:lang w:eastAsia="en-ID"/>
        </w:rPr>
        <w:fldChar w:fldCharType="end"/>
      </w:r>
      <w:r w:rsidR="00C8501D">
        <w:rPr>
          <w:rFonts w:asciiTheme="majorBidi" w:eastAsia="Times New Roman" w:hAnsiTheme="majorBidi" w:cstheme="majorBidi"/>
          <w:szCs w:val="24"/>
          <w:lang w:eastAsia="en-ID"/>
        </w:rPr>
        <w:t xml:space="preserve">. </w:t>
      </w:r>
    </w:p>
    <w:p w14:paraId="59FCF5A2" w14:textId="4B058810" w:rsidR="006553BF" w:rsidRPr="006553BF" w:rsidRDefault="006553BF" w:rsidP="00453DB9">
      <w:pPr>
        <w:pStyle w:val="ListParagraph"/>
        <w:numPr>
          <w:ilvl w:val="8"/>
          <w:numId w:val="1"/>
        </w:numPr>
        <w:suppressAutoHyphens w:val="0"/>
        <w:ind w:leftChars="0" w:left="284" w:firstLineChars="0" w:hanging="286"/>
        <w:textDirection w:val="lrTb"/>
        <w:textAlignment w:val="auto"/>
        <w:outlineLvl w:val="9"/>
        <w:rPr>
          <w:rFonts w:asciiTheme="majorBidi" w:hAnsiTheme="majorBidi" w:cstheme="majorBidi"/>
          <w:b/>
          <w:bCs/>
          <w:color w:val="000000" w:themeColor="text1"/>
          <w:szCs w:val="24"/>
        </w:rPr>
      </w:pPr>
      <w:r w:rsidRPr="006553BF">
        <w:rPr>
          <w:rFonts w:asciiTheme="majorBidi" w:hAnsiTheme="majorBidi" w:cstheme="majorBidi"/>
          <w:b/>
          <w:bCs/>
          <w:color w:val="000000" w:themeColor="text1"/>
          <w:szCs w:val="24"/>
        </w:rPr>
        <w:t xml:space="preserve">Relationship Between Perceived Need and </w:t>
      </w:r>
      <w:proofErr w:type="spellStart"/>
      <w:r w:rsidRPr="006553BF">
        <w:rPr>
          <w:rFonts w:asciiTheme="majorBidi" w:hAnsiTheme="majorBidi" w:cstheme="majorBidi"/>
          <w:b/>
          <w:bCs/>
          <w:color w:val="000000" w:themeColor="text1"/>
          <w:szCs w:val="24"/>
        </w:rPr>
        <w:t>Prolanis</w:t>
      </w:r>
      <w:proofErr w:type="spellEnd"/>
      <w:r w:rsidRPr="006553BF">
        <w:rPr>
          <w:rFonts w:asciiTheme="majorBidi" w:hAnsiTheme="majorBidi" w:cstheme="majorBidi"/>
          <w:b/>
          <w:bCs/>
          <w:color w:val="000000" w:themeColor="text1"/>
          <w:szCs w:val="24"/>
        </w:rPr>
        <w:t xml:space="preserve"> Utilization</w:t>
      </w:r>
    </w:p>
    <w:p w14:paraId="7149655F" w14:textId="3F99932C" w:rsidR="00C8501D" w:rsidRDefault="006553BF" w:rsidP="00453DB9">
      <w:pPr>
        <w:pStyle w:val="ListParagraph"/>
        <w:ind w:leftChars="129" w:left="284" w:firstLineChars="236" w:firstLine="566"/>
        <w:rPr>
          <w:rFonts w:asciiTheme="majorBidi" w:eastAsia="Times New Roman" w:hAnsiTheme="majorBidi" w:cstheme="majorBidi"/>
          <w:szCs w:val="24"/>
          <w:lang w:eastAsia="en-ID"/>
        </w:rPr>
      </w:pPr>
      <w:r>
        <w:t xml:space="preserve">The findings show that 58.3% of respondents reported “high need,” while 41.7% reported “no need.” Although more than half perceived </w:t>
      </w:r>
      <w:proofErr w:type="spellStart"/>
      <w:r>
        <w:t>Prolanis</w:t>
      </w:r>
      <w:proofErr w:type="spellEnd"/>
      <w:r>
        <w:t xml:space="preserve"> as important, a significant proportion remained unsure about the necessity of attending regularly. These findings align with studies demonstrating that perceived health service needs significantly affect participation in disease management (p = 0.003)</w:t>
      </w:r>
      <w:r w:rsidRPr="00BC63EF">
        <w:rPr>
          <w:rFonts w:asciiTheme="majorBidi" w:eastAsia="Times New Roman" w:hAnsiTheme="majorBidi" w:cstheme="majorBidi"/>
          <w:szCs w:val="24"/>
          <w:lang w:eastAsia="en-ID"/>
        </w:rPr>
        <w:t xml:space="preserve"> </w:t>
      </w:r>
      <w:r w:rsidR="00020A2C" w:rsidRPr="00BC63EF">
        <w:rPr>
          <w:rFonts w:asciiTheme="majorBidi" w:eastAsia="Times New Roman" w:hAnsiTheme="majorBidi" w:cstheme="majorBidi"/>
          <w:szCs w:val="24"/>
          <w:lang w:eastAsia="en-ID"/>
        </w:rPr>
        <w:fldChar w:fldCharType="begin" w:fldLock="1"/>
      </w:r>
      <w:r w:rsidR="00EC477A">
        <w:rPr>
          <w:rFonts w:asciiTheme="majorBidi" w:eastAsia="Times New Roman" w:hAnsiTheme="majorBidi" w:cstheme="majorBidi"/>
          <w:szCs w:val="24"/>
          <w:lang w:eastAsia="en-ID"/>
        </w:rPr>
        <w:instrText>ADDIN CSL_CITATION {"citationItems":[{"id":"ITEM-1","itemData":{"DOI":"https://doi.org/10.70248/jophs.v2i2.2189","author":[{"dropping-particle":"","family":"Azhari","given":"M Rizki","non-dropping-particle":"","parse-names":false,"suffix":""},{"dropping-particle":"V","family":"Li","given":"Priska","non-dropping-particle":"","parse-names":false,"suffix":""},{"dropping-particle":"","family":"Firmansyah","given":"F","non-dropping-particle":"","parse-names":false,"suffix":""}],"container-title":"Journal of Public Health Science (JoPHS)","id":"ITEM-1","issue":"2","issued":{"date-parts":[["2025"]]},"page":"154-165","title":"The Analysis of Health Workers' Support and Perceived Health Services Needs Factors to Improve The Use Of The Chronic Disease Management Program (Prolanis) In Diabetic Patients In Kamonji Public Health Center, Palu City","type":"article-journal","volume":"2"},"uris":["http://www.mendeley.com/documents/?uuid=cc90abb3-d191-4489-b695-39438b8572a5"]}],"mendeley":{"formattedCitation":"(Azhari et al., 2025)","plainTextFormattedCitation":"(Azhari et al., 2025)","previouslyFormattedCitation":"(Azhari et al., 2025)"},"properties":{"noteIndex":0},"schema":"https://github.com/citation-style-language/schema/raw/master/csl-citation.json"}</w:instrText>
      </w:r>
      <w:r w:rsidR="00020A2C" w:rsidRPr="00BC63EF">
        <w:rPr>
          <w:rFonts w:asciiTheme="majorBidi" w:eastAsia="Times New Roman" w:hAnsiTheme="majorBidi" w:cstheme="majorBidi"/>
          <w:szCs w:val="24"/>
          <w:lang w:eastAsia="en-ID"/>
        </w:rPr>
        <w:fldChar w:fldCharType="separate"/>
      </w:r>
      <w:r w:rsidR="00AF4670" w:rsidRPr="00BC63EF">
        <w:rPr>
          <w:rFonts w:asciiTheme="majorBidi" w:eastAsia="Times New Roman" w:hAnsiTheme="majorBidi" w:cstheme="majorBidi"/>
          <w:noProof/>
          <w:szCs w:val="24"/>
          <w:lang w:eastAsia="en-ID"/>
        </w:rPr>
        <w:t>(Azhari et al., 2025)</w:t>
      </w:r>
      <w:r w:rsidR="00020A2C" w:rsidRPr="00BC63EF">
        <w:rPr>
          <w:rFonts w:asciiTheme="majorBidi" w:eastAsia="Times New Roman" w:hAnsiTheme="majorBidi" w:cstheme="majorBidi"/>
          <w:szCs w:val="24"/>
          <w:lang w:eastAsia="en-ID"/>
        </w:rPr>
        <w:fldChar w:fldCharType="end"/>
      </w:r>
      <w:r w:rsidR="00C8501D">
        <w:rPr>
          <w:rFonts w:asciiTheme="majorBidi" w:eastAsia="Times New Roman" w:hAnsiTheme="majorBidi" w:cstheme="majorBidi"/>
          <w:szCs w:val="24"/>
          <w:lang w:eastAsia="en-ID"/>
        </w:rPr>
        <w:t xml:space="preserve">. </w:t>
      </w:r>
      <w:r>
        <w:t>Access, family involvement, and perceived program benefits contribute to attendance levels</w:t>
      </w:r>
      <w:r w:rsidRPr="00BC63EF">
        <w:rPr>
          <w:rFonts w:asciiTheme="majorBidi" w:eastAsia="Times New Roman" w:hAnsiTheme="majorBidi" w:cstheme="majorBidi"/>
          <w:szCs w:val="24"/>
          <w:lang w:eastAsia="en-ID"/>
        </w:rPr>
        <w:t xml:space="preserve"> </w:t>
      </w:r>
      <w:r w:rsidR="00020A2C" w:rsidRPr="00BC63EF">
        <w:rPr>
          <w:rFonts w:asciiTheme="majorBidi" w:eastAsia="Times New Roman" w:hAnsiTheme="majorBidi" w:cstheme="majorBidi"/>
          <w:szCs w:val="24"/>
          <w:lang w:eastAsia="en-ID"/>
        </w:rPr>
        <w:fldChar w:fldCharType="begin" w:fldLock="1"/>
      </w:r>
      <w:r w:rsidR="00EC477A">
        <w:rPr>
          <w:rFonts w:asciiTheme="majorBidi" w:eastAsia="Times New Roman" w:hAnsiTheme="majorBidi" w:cstheme="majorBidi"/>
          <w:szCs w:val="24"/>
          <w:lang w:eastAsia="en-ID"/>
        </w:rPr>
        <w:instrText>ADDIN CSL_CITATION {"citationItems":[{"id":"ITEM-1","itemData":{"DOI":"https://doi.org/10.15294/higeia.v7i4.68109","author":[{"dropping-particle":"","family":"Sabrina","given":"Legal Yuniar","non-dropping-particle":"","parse-names":false,"suffix":""},{"dropping-particle":"","family":"Rahayu","given":"Sri Ratna","non-dropping-particle":"","parse-names":false,"suffix":""}],"container-title":"Higeia Journal Of Public Health Research And Development","id":"ITEM-1","issue":"4","issued":{"date-parts":[["2023"]]},"page":"610-624","title":"Determinan Pemanfaatan Program Pengelolaan Penyakit Kronis (Prolanis)","type":"article-journal","volume":"7"},"uris":["http://www.mendeley.com/documents/?uuid=311a086f-5cb3-4dc5-83b6-f0d9be59e410"]}],"mendeley":{"formattedCitation":"(Sabrina &amp; Rahayu, 2023)","plainTextFormattedCitation":"(Sabrina &amp; Rahayu, 2023)","previouslyFormattedCitation":"(Sabrina &amp; Rahayu, 2023)"},"properties":{"noteIndex":0},"schema":"https://github.com/citation-style-language/schema/raw/master/csl-citation.json"}</w:instrText>
      </w:r>
      <w:r w:rsidR="00020A2C" w:rsidRPr="00BC63EF">
        <w:rPr>
          <w:rFonts w:asciiTheme="majorBidi" w:eastAsia="Times New Roman" w:hAnsiTheme="majorBidi" w:cstheme="majorBidi"/>
          <w:szCs w:val="24"/>
          <w:lang w:eastAsia="en-ID"/>
        </w:rPr>
        <w:fldChar w:fldCharType="separate"/>
      </w:r>
      <w:r w:rsidR="00AF4670" w:rsidRPr="00BC63EF">
        <w:rPr>
          <w:rFonts w:asciiTheme="majorBidi" w:eastAsia="Times New Roman" w:hAnsiTheme="majorBidi" w:cstheme="majorBidi"/>
          <w:noProof/>
          <w:szCs w:val="24"/>
          <w:lang w:eastAsia="en-ID"/>
        </w:rPr>
        <w:t>(Sabrina &amp; Rahayu, 2023)</w:t>
      </w:r>
      <w:r w:rsidR="00020A2C" w:rsidRPr="00BC63EF">
        <w:rPr>
          <w:rFonts w:asciiTheme="majorBidi" w:eastAsia="Times New Roman" w:hAnsiTheme="majorBidi" w:cstheme="majorBidi"/>
          <w:szCs w:val="24"/>
          <w:lang w:eastAsia="en-ID"/>
        </w:rPr>
        <w:fldChar w:fldCharType="end"/>
      </w:r>
      <w:r w:rsidR="00C8501D">
        <w:rPr>
          <w:rFonts w:asciiTheme="majorBidi" w:eastAsia="Times New Roman" w:hAnsiTheme="majorBidi" w:cstheme="majorBidi"/>
          <w:szCs w:val="24"/>
          <w:lang w:eastAsia="en-ID"/>
        </w:rPr>
        <w:t xml:space="preserve">, </w:t>
      </w:r>
      <w:r w:rsidR="00020A2C" w:rsidRPr="00BC63EF">
        <w:rPr>
          <w:rFonts w:asciiTheme="majorBidi" w:eastAsia="Times New Roman" w:hAnsiTheme="majorBidi" w:cstheme="majorBidi"/>
          <w:szCs w:val="24"/>
          <w:lang w:eastAsia="en-ID"/>
        </w:rPr>
        <w:fldChar w:fldCharType="begin" w:fldLock="1"/>
      </w:r>
      <w:r w:rsidR="00EC477A">
        <w:rPr>
          <w:rFonts w:asciiTheme="majorBidi" w:eastAsia="Times New Roman" w:hAnsiTheme="majorBidi" w:cstheme="majorBidi"/>
          <w:szCs w:val="24"/>
          <w:lang w:eastAsia="en-ID"/>
        </w:rPr>
        <w:instrText>ADDIN CSL_CITATION {"citationItems":[{"id":"ITEM-1","itemData":{"author":[{"dropping-particle":"","family":"Marwati","given":"Tri Ani","non-dropping-particle":"","parse-names":false,"suffix":""},{"dropping-particle":"","family":"Kusmayanti","given":"Nur Aini","non-dropping-particle":"","parse-names":false,"suffix":""},{"dropping-particle":"","family":"Rosyidah","given":"Rosyidah","non-dropping-particle":"","parse-names":false,"suffix":""}],"container-title":"Epidemiology and Society Health Review","id":"ITEM-1","issue":"2","issued":{"date-parts":[["2022"]]},"page":"76-86","title":"Quality of Life Among Diabetes Mellitus Patients in Indonesian Chronic Disease Management Program (Prolanis)","type":"article-journal","volume":"4"},"uris":["http://www.mendeley.com/documents/?uuid=48d2f680-2fc4-4771-aa5d-7daac1e721dc"]}],"mendeley":{"formattedCitation":"(Marwati et al., 2022)","plainTextFormattedCitation":"(Marwati et al., 2022)","previouslyFormattedCitation":"(Marwati et al., 2022)"},"properties":{"noteIndex":0},"schema":"https://github.com/citation-style-language/schema/raw/master/csl-citation.json"}</w:instrText>
      </w:r>
      <w:r w:rsidR="00020A2C" w:rsidRPr="00BC63EF">
        <w:rPr>
          <w:rFonts w:asciiTheme="majorBidi" w:eastAsia="Times New Roman" w:hAnsiTheme="majorBidi" w:cstheme="majorBidi"/>
          <w:szCs w:val="24"/>
          <w:lang w:eastAsia="en-ID"/>
        </w:rPr>
        <w:fldChar w:fldCharType="separate"/>
      </w:r>
      <w:r w:rsidR="00AF4670" w:rsidRPr="00BC63EF">
        <w:rPr>
          <w:rFonts w:asciiTheme="majorBidi" w:eastAsia="Times New Roman" w:hAnsiTheme="majorBidi" w:cstheme="majorBidi"/>
          <w:noProof/>
          <w:szCs w:val="24"/>
          <w:lang w:eastAsia="en-ID"/>
        </w:rPr>
        <w:t>(Marwati et al., 2022)</w:t>
      </w:r>
      <w:r w:rsidR="00020A2C" w:rsidRPr="00BC63EF">
        <w:rPr>
          <w:rFonts w:asciiTheme="majorBidi" w:eastAsia="Times New Roman" w:hAnsiTheme="majorBidi" w:cstheme="majorBidi"/>
          <w:szCs w:val="24"/>
          <w:lang w:eastAsia="en-ID"/>
        </w:rPr>
        <w:fldChar w:fldCharType="end"/>
      </w:r>
      <w:r w:rsidR="00C8501D">
        <w:rPr>
          <w:rFonts w:asciiTheme="majorBidi" w:eastAsia="Times New Roman" w:hAnsiTheme="majorBidi" w:cstheme="majorBidi"/>
          <w:szCs w:val="24"/>
          <w:lang w:eastAsia="en-ID"/>
        </w:rPr>
        <w:t xml:space="preserve">. </w:t>
      </w:r>
      <w:r>
        <w:t xml:space="preserve">The implementation of </w:t>
      </w:r>
      <w:proofErr w:type="spellStart"/>
      <w:r>
        <w:t>Prolanis</w:t>
      </w:r>
      <w:proofErr w:type="spellEnd"/>
      <w:r>
        <w:t xml:space="preserve"> in several community health centers shows limitations in human resources, infrastructure, and overlapping tasks, which become obstacles to service delivery; as a result, not all program </w:t>
      </w:r>
      <w:r>
        <w:lastRenderedPageBreak/>
        <w:t>activities can be carried out, thereby influencing patients’ perceived value and need</w:t>
      </w:r>
      <w:r>
        <w:t xml:space="preserve">s </w:t>
      </w:r>
      <w:r w:rsidR="00020A2C" w:rsidRPr="00BC63EF">
        <w:rPr>
          <w:rFonts w:asciiTheme="majorBidi" w:eastAsia="Times New Roman" w:hAnsiTheme="majorBidi" w:cstheme="majorBidi"/>
          <w:szCs w:val="24"/>
          <w:lang w:eastAsia="en-ID"/>
        </w:rPr>
        <w:fldChar w:fldCharType="begin" w:fldLock="1"/>
      </w:r>
      <w:r w:rsidR="00EC477A">
        <w:rPr>
          <w:rFonts w:asciiTheme="majorBidi" w:eastAsia="Times New Roman" w:hAnsiTheme="majorBidi" w:cstheme="majorBidi"/>
          <w:szCs w:val="24"/>
          <w:lang w:eastAsia="en-ID"/>
        </w:rPr>
        <w:instrText>ADDIN CSL_CITATION {"citationItems":[{"id":"ITEM-1","itemData":{"DOI":"https://doi.org/10.56466/orkes/Vol1.Iss2.17","author":[{"dropping-particle":"","family":"Latifah","given":"Nurul","non-dropping-particle":"","parse-names":false,"suffix":""},{"dropping-particle":"","family":"Hanafi","given":"Ahmad","non-dropping-particle":"","parse-names":false,"suffix":""},{"dropping-particle":"","family":"Abidin","given":"Zainal","non-dropping-particle":"","parse-names":false,"suffix":""},{"dropping-particle":"","family":"Yanthi","given":"Dami","non-dropping-particle":"","parse-names":false,"suffix":""},{"dropping-particle":"","family":"Kamal","given":"Yanwir","non-dropping-particle":"","parse-names":false,"suffix":""}],"container-title":"Jurnal Olahraga dan Kesehatan","id":"ITEM-1","issue":"2","issued":{"date-parts":[["2022"]]},"page":"190-198","title":"Analisis Pelaksanaan Program Pengelolaan Penyakit Kronis ( Prolanis ) Pada Pasien Diabetes Melitus Peserta BPJS Kesehatan Di Puskesmas Rejosari Kota Pekanbaru Analysis of the Implementation of the Chronic Disease Management Program ( Prolanis ) in Diabete","type":"article-journal","volume":"1"},"uris":["http://www.mendeley.com/documents/?uuid=03f036db-c669-4701-8fee-d715d1511782"]}],"mendeley":{"formattedCitation":"(Latifah et al., 2022)","plainTextFormattedCitation":"(Latifah et al., 2022)","previouslyFormattedCitation":"(Latifah et al., 2022)"},"properties":{"noteIndex":0},"schema":"https://github.com/citation-style-language/schema/raw/master/csl-citation.json"}</w:instrText>
      </w:r>
      <w:r w:rsidR="00020A2C" w:rsidRPr="00BC63EF">
        <w:rPr>
          <w:rFonts w:asciiTheme="majorBidi" w:eastAsia="Times New Roman" w:hAnsiTheme="majorBidi" w:cstheme="majorBidi"/>
          <w:szCs w:val="24"/>
          <w:lang w:eastAsia="en-ID"/>
        </w:rPr>
        <w:fldChar w:fldCharType="separate"/>
      </w:r>
      <w:r w:rsidR="00AF4670" w:rsidRPr="00BC63EF">
        <w:rPr>
          <w:rFonts w:asciiTheme="majorBidi" w:eastAsia="Times New Roman" w:hAnsiTheme="majorBidi" w:cstheme="majorBidi"/>
          <w:noProof/>
          <w:szCs w:val="24"/>
          <w:lang w:eastAsia="en-ID"/>
        </w:rPr>
        <w:t>(Latifah et al., 2022)</w:t>
      </w:r>
      <w:r w:rsidR="00020A2C" w:rsidRPr="00BC63EF">
        <w:rPr>
          <w:rFonts w:asciiTheme="majorBidi" w:eastAsia="Times New Roman" w:hAnsiTheme="majorBidi" w:cstheme="majorBidi"/>
          <w:szCs w:val="24"/>
          <w:lang w:eastAsia="en-ID"/>
        </w:rPr>
        <w:fldChar w:fldCharType="end"/>
      </w:r>
      <w:r w:rsidR="00C8501D">
        <w:rPr>
          <w:rFonts w:asciiTheme="majorBidi" w:eastAsia="Times New Roman" w:hAnsiTheme="majorBidi" w:cstheme="majorBidi"/>
          <w:szCs w:val="24"/>
          <w:lang w:eastAsia="en-ID"/>
        </w:rPr>
        <w:t xml:space="preserve">. </w:t>
      </w:r>
    </w:p>
    <w:p w14:paraId="6244A1AB" w14:textId="77345676" w:rsidR="00C8501D" w:rsidRDefault="006553BF" w:rsidP="00453DB9">
      <w:pPr>
        <w:pStyle w:val="ListParagraph"/>
        <w:ind w:leftChars="129" w:left="284" w:firstLineChars="236" w:firstLine="566"/>
        <w:rPr>
          <w:rFonts w:asciiTheme="majorBidi" w:hAnsiTheme="majorBidi" w:cstheme="majorBidi"/>
          <w:szCs w:val="24"/>
        </w:rPr>
      </w:pPr>
      <w:r>
        <w:t xml:space="preserve">Perceived need is influenced by knowledge, supporting the interpretation that perceived needs involve not only access or schedules but also understanding of disease progression, long-term benefits, and how </w:t>
      </w:r>
      <w:proofErr w:type="spellStart"/>
      <w:r>
        <w:t>Prolanis</w:t>
      </w:r>
      <w:proofErr w:type="spellEnd"/>
      <w:r>
        <w:t xml:space="preserve"> contributes to quality of life </w:t>
      </w:r>
      <w:r w:rsidR="00020A2C" w:rsidRPr="00BC63EF">
        <w:rPr>
          <w:rFonts w:asciiTheme="majorBidi" w:eastAsia="Times New Roman" w:hAnsiTheme="majorBidi" w:cstheme="majorBidi"/>
          <w:szCs w:val="24"/>
          <w:lang w:eastAsia="en-ID"/>
        </w:rPr>
        <w:fldChar w:fldCharType="begin" w:fldLock="1"/>
      </w:r>
      <w:r w:rsidR="00EC477A">
        <w:rPr>
          <w:rFonts w:asciiTheme="majorBidi" w:eastAsia="Times New Roman" w:hAnsiTheme="majorBidi" w:cstheme="majorBidi"/>
          <w:szCs w:val="24"/>
          <w:lang w:eastAsia="en-ID"/>
        </w:rPr>
        <w:instrText>ADDIN CSL_CITATION {"citationItems":[{"id":"ITEM-1","itemData":{"author":[{"dropping-particle":"","family":"Hariadi","given":"","non-dropping-particle":"","parse-names":false,"suffix":""}],"container-title":"Journal Health Society","id":"ITEM-1","issue":"1","issued":{"date-parts":[["2024"]]},"page":"57-64","title":"Hubungan Pengetahuan Pasien Penderita Diabetes Melitus Dengan Pemanfaatan Program Pengelolaan Penyakit Kronis (Prolanis) Di Desa Bantarsari Wilayah Kerja Puskesmas Pabuaran Kabupaten Sukabumi","type":"article-journal","volume":"13"},"uris":["http://www.mendeley.com/documents/?uuid=f6227bf4-50f4-4991-a9a7-3450dcb23200"]}],"mendeley":{"formattedCitation":"(Hariadi, 2024)","plainTextFormattedCitation":"(Hariadi, 2024)","previouslyFormattedCitation":"(Hariadi, 2024)"},"properties":{"noteIndex":0},"schema":"https://github.com/citation-style-language/schema/raw/master/csl-citation.json"}</w:instrText>
      </w:r>
      <w:r w:rsidR="00020A2C" w:rsidRPr="00BC63EF">
        <w:rPr>
          <w:rFonts w:asciiTheme="majorBidi" w:eastAsia="Times New Roman" w:hAnsiTheme="majorBidi" w:cstheme="majorBidi"/>
          <w:szCs w:val="24"/>
          <w:lang w:eastAsia="en-ID"/>
        </w:rPr>
        <w:fldChar w:fldCharType="separate"/>
      </w:r>
      <w:r w:rsidR="00AF4670" w:rsidRPr="00BC63EF">
        <w:rPr>
          <w:rFonts w:asciiTheme="majorBidi" w:eastAsia="Times New Roman" w:hAnsiTheme="majorBidi" w:cstheme="majorBidi"/>
          <w:noProof/>
          <w:szCs w:val="24"/>
          <w:lang w:eastAsia="en-ID"/>
        </w:rPr>
        <w:t>(Hariadi, 2024)</w:t>
      </w:r>
      <w:r w:rsidR="00020A2C" w:rsidRPr="00BC63EF">
        <w:rPr>
          <w:rFonts w:asciiTheme="majorBidi" w:eastAsia="Times New Roman" w:hAnsiTheme="majorBidi" w:cstheme="majorBidi"/>
          <w:szCs w:val="24"/>
          <w:lang w:eastAsia="en-ID"/>
        </w:rPr>
        <w:fldChar w:fldCharType="end"/>
      </w:r>
      <w:r w:rsidR="00C8501D">
        <w:rPr>
          <w:rFonts w:asciiTheme="majorBidi" w:eastAsia="Times New Roman" w:hAnsiTheme="majorBidi" w:cstheme="majorBidi"/>
          <w:szCs w:val="24"/>
          <w:lang w:eastAsia="en-ID"/>
        </w:rPr>
        <w:t xml:space="preserve">. </w:t>
      </w:r>
      <w:r>
        <w:t xml:space="preserve">Psychosocial components such as sense of belonging in </w:t>
      </w:r>
      <w:proofErr w:type="spellStart"/>
      <w:r>
        <w:t>Prolanis</w:t>
      </w:r>
      <w:proofErr w:type="spellEnd"/>
      <w:r>
        <w:t xml:space="preserve"> groups also shape perceived need </w:t>
      </w:r>
      <w:r w:rsidR="00020A2C" w:rsidRPr="00BC63EF">
        <w:rPr>
          <w:rFonts w:asciiTheme="majorBidi" w:eastAsia="Times New Roman" w:hAnsiTheme="majorBidi" w:cstheme="majorBidi"/>
          <w:szCs w:val="24"/>
          <w:lang w:eastAsia="en-ID"/>
        </w:rPr>
        <w:fldChar w:fldCharType="begin" w:fldLock="1"/>
      </w:r>
      <w:r w:rsidR="00EC477A">
        <w:rPr>
          <w:rFonts w:asciiTheme="majorBidi" w:eastAsia="Times New Roman" w:hAnsiTheme="majorBidi" w:cstheme="majorBidi"/>
          <w:szCs w:val="24"/>
          <w:lang w:eastAsia="en-ID"/>
        </w:rPr>
        <w:instrText>ADDIN CSL_CITATION {"citationItems":[{"id":"ITEM-1","itemData":{"DOI":"10.7324/JAPS.2024.194416","author":[{"dropping-particle":"","family":"Krisnadewi","given":"Kadek Ida","non-dropping-particle":"","parse-names":false,"suffix":""},{"dropping-particle":"","family":"Kristina","given":"Susi Ari","non-dropping-particle":"","parse-names":false,"suffix":""},{"dropping-particle":"","family":"Andayani","given":"Tri Murti","non-dropping-particle":"","parse-names":false,"suffix":""},{"dropping-particle":"","family":"Endarti","given":"Dwi","non-dropping-particle":"","parse-names":false,"suffix":""}],"container-title":"Journal of Applied Pharmaceutical Science","id":"ITEM-1","issue":"01","issued":{"date-parts":[["2025"]]},"page":"153-161","title":"Implementation preventive program for diabetic mellitus ( PROLANIS ) at Community Health Center in Indonesia : A qualitative study","type":"article-journal","volume":"15"},"uris":["http://www.mendeley.com/documents/?uuid=0740d4fe-26f4-4dd1-822d-8bab7a9e24f1"]}],"mendeley":{"formattedCitation":"(Krisnadewi et al., 2025)","plainTextFormattedCitation":"(Krisnadewi et al., 2025)","previouslyFormattedCitation":"(Krisnadewi et al., 2025)"},"properties":{"noteIndex":0},"schema":"https://github.com/citation-style-language/schema/raw/master/csl-citation.json"}</w:instrText>
      </w:r>
      <w:r w:rsidR="00020A2C" w:rsidRPr="00BC63EF">
        <w:rPr>
          <w:rFonts w:asciiTheme="majorBidi" w:eastAsia="Times New Roman" w:hAnsiTheme="majorBidi" w:cstheme="majorBidi"/>
          <w:szCs w:val="24"/>
          <w:lang w:eastAsia="en-ID"/>
        </w:rPr>
        <w:fldChar w:fldCharType="separate"/>
      </w:r>
      <w:r w:rsidR="00AF4670" w:rsidRPr="00BC63EF">
        <w:rPr>
          <w:rFonts w:asciiTheme="majorBidi" w:eastAsia="Times New Roman" w:hAnsiTheme="majorBidi" w:cstheme="majorBidi"/>
          <w:noProof/>
          <w:szCs w:val="24"/>
          <w:lang w:eastAsia="en-ID"/>
        </w:rPr>
        <w:t>(Krisnadewi et al., 2025)</w:t>
      </w:r>
      <w:r w:rsidR="00020A2C" w:rsidRPr="00BC63EF">
        <w:rPr>
          <w:rFonts w:asciiTheme="majorBidi" w:eastAsia="Times New Roman" w:hAnsiTheme="majorBidi" w:cstheme="majorBidi"/>
          <w:szCs w:val="24"/>
          <w:lang w:eastAsia="en-ID"/>
        </w:rPr>
        <w:fldChar w:fldCharType="end"/>
      </w:r>
      <w:r w:rsidR="00C8501D">
        <w:rPr>
          <w:rFonts w:asciiTheme="majorBidi" w:eastAsia="Times New Roman" w:hAnsiTheme="majorBidi" w:cstheme="majorBidi"/>
          <w:szCs w:val="24"/>
          <w:lang w:eastAsia="en-ID"/>
        </w:rPr>
        <w:t xml:space="preserve">. </w:t>
      </w:r>
      <w:r>
        <w:t xml:space="preserve">Although 75% of participants report satisfaction with </w:t>
      </w:r>
      <w:proofErr w:type="spellStart"/>
      <w:r>
        <w:t>Prolanis</w:t>
      </w:r>
      <w:proofErr w:type="spellEnd"/>
      <w:r>
        <w:t xml:space="preserve"> services, unmet expectations remain in service procedures, product quality, and staff attitudes</w:t>
      </w:r>
      <w:r>
        <w:t xml:space="preserve"> </w:t>
      </w:r>
      <w:r w:rsidR="00020A2C" w:rsidRPr="00BC63EF">
        <w:rPr>
          <w:rFonts w:asciiTheme="majorBidi" w:eastAsia="Times New Roman" w:hAnsiTheme="majorBidi" w:cstheme="majorBidi"/>
          <w:szCs w:val="24"/>
          <w:lang w:eastAsia="en-ID"/>
        </w:rPr>
        <w:fldChar w:fldCharType="begin" w:fldLock="1"/>
      </w:r>
      <w:r w:rsidR="00EC477A">
        <w:rPr>
          <w:rFonts w:asciiTheme="majorBidi" w:eastAsia="Times New Roman" w:hAnsiTheme="majorBidi" w:cstheme="majorBidi"/>
          <w:szCs w:val="24"/>
          <w:lang w:eastAsia="en-ID"/>
        </w:rPr>
        <w:instrText>ADDIN CSL_CITATION {"citationItems":[{"id":"ITEM-1","itemData":{"DOI":"https://doi.org/10.15850/amj.v11n1.2780","author":[{"dropping-particle":"","family":"Kusumawardana","given":"Ramza Aurum","non-dropping-particle":"","parse-names":false,"suffix":""},{"dropping-particle":"","family":"Sunjaya","given":"Deni Kurniadi","non-dropping-particle":"","parse-names":false,"suffix":""},{"dropping-particle":"","family":"Gondodiputro","given":"Sharon","non-dropping-particle":"","parse-names":false,"suffix":""},{"dropping-particle":"","family":"Raksanagara","given":"Ardini Saptaningsih","non-dropping-particle":"","parse-names":false,"suffix":""},{"dropping-particle":"","family":"Ardisasmita","given":"Mulya Nurmansyah","non-dropping-particle":"","parse-names":false,"suffix":""},{"dropping-particle":"","family":"Widjajakusuma","given":"Anggraini","non-dropping-particle":"","parse-names":false,"suffix":""}],"container-title":"Althea Medical Journal","id":"ITEM-1","issue":"1","issued":{"date-parts":[["2024"]]},"page":"32-38","title":"Patients Satisfaction with the Chronic Disease Management Program in Indonesia Using the Importance-Performance Matrix","type":"article-journal","volume":"11"},"uris":["http://www.mendeley.com/documents/?uuid=1c1636c4-378b-463f-9dec-807106b35038"]}],"mendeley":{"formattedCitation":"(Kusumawardana et al., 2024)","plainTextFormattedCitation":"(Kusumawardana et al., 2024)","previouslyFormattedCitation":"(Kusumawardana et al., 2024)"},"properties":{"noteIndex":0},"schema":"https://github.com/citation-style-language/schema/raw/master/csl-citation.json"}</w:instrText>
      </w:r>
      <w:r w:rsidR="00020A2C" w:rsidRPr="00BC63EF">
        <w:rPr>
          <w:rFonts w:asciiTheme="majorBidi" w:eastAsia="Times New Roman" w:hAnsiTheme="majorBidi" w:cstheme="majorBidi"/>
          <w:szCs w:val="24"/>
          <w:lang w:eastAsia="en-ID"/>
        </w:rPr>
        <w:fldChar w:fldCharType="separate"/>
      </w:r>
      <w:r w:rsidR="00AF4670" w:rsidRPr="00BC63EF">
        <w:rPr>
          <w:rFonts w:asciiTheme="majorBidi" w:eastAsia="Times New Roman" w:hAnsiTheme="majorBidi" w:cstheme="majorBidi"/>
          <w:noProof/>
          <w:szCs w:val="24"/>
          <w:lang w:eastAsia="en-ID"/>
        </w:rPr>
        <w:t>(Kusumawardana et al., 2024)</w:t>
      </w:r>
      <w:r w:rsidR="00020A2C" w:rsidRPr="00BC63EF">
        <w:rPr>
          <w:rFonts w:asciiTheme="majorBidi" w:eastAsia="Times New Roman" w:hAnsiTheme="majorBidi" w:cstheme="majorBidi"/>
          <w:szCs w:val="24"/>
          <w:lang w:eastAsia="en-ID"/>
        </w:rPr>
        <w:fldChar w:fldCharType="end"/>
      </w:r>
      <w:r w:rsidR="00C8501D">
        <w:rPr>
          <w:rFonts w:asciiTheme="majorBidi" w:eastAsia="Times New Roman" w:hAnsiTheme="majorBidi" w:cstheme="majorBidi"/>
          <w:szCs w:val="24"/>
          <w:lang w:eastAsia="en-ID"/>
        </w:rPr>
        <w:t xml:space="preserve">. </w:t>
      </w:r>
      <w:r>
        <w:t>Some participants acknowledged its benefits, while others perceived more barriers than benefits (access, transportation, scheduling)</w:t>
      </w:r>
      <w:r w:rsidR="00C8501D">
        <w:rPr>
          <w:rFonts w:asciiTheme="majorBidi" w:eastAsia="Times New Roman" w:hAnsiTheme="majorBidi" w:cstheme="majorBidi"/>
          <w:szCs w:val="24"/>
          <w:lang w:eastAsia="en-ID"/>
        </w:rPr>
        <w:t xml:space="preserve"> </w:t>
      </w:r>
      <w:r w:rsidR="00020A2C" w:rsidRPr="00BC63EF">
        <w:rPr>
          <w:rFonts w:asciiTheme="majorBidi" w:eastAsia="Times New Roman" w:hAnsiTheme="majorBidi" w:cstheme="majorBidi"/>
          <w:szCs w:val="24"/>
          <w:lang w:eastAsia="en-ID"/>
        </w:rPr>
        <w:fldChar w:fldCharType="begin" w:fldLock="1"/>
      </w:r>
      <w:r w:rsidR="00EC477A">
        <w:rPr>
          <w:rFonts w:asciiTheme="majorBidi" w:eastAsia="Times New Roman" w:hAnsiTheme="majorBidi" w:cstheme="majorBidi"/>
          <w:szCs w:val="24"/>
          <w:lang w:eastAsia="en-ID"/>
        </w:rPr>
        <w:instrText>ADDIN CSL_CITATION {"citationItems":[{"id":"ITEM-1","itemData":{"DOI":"https://doi.org/10.36685/phi.v10i2.753","author":[{"dropping-particle":"","family":"Fadlilah","given":"Siti","non-dropping-particle":"","parse-names":false,"suffix":""},{"dropping-particle":"","family":"Nugroho","given":"A","non-dropping-particle":"","parse-names":false,"suffix":""},{"dropping-particle":"","family":"Bistara","given":"DN","non-dropping-particle":"","parse-names":false,"suffix":""}],"container-title":"Public Health of Indonesia","id":"ITEM-1","issue":"2","issued":{"date-parts":[["2024"]]},"page":"247-261","title":"The Role of The Chronic Disease Management Program in Indonesia (PROLANIS) As A Diabetes Mellitus Management Strategy : A Scoping Review","type":"article-journal","volume":"10"},"uris":["http://www.mendeley.com/documents/?uuid=a1375efb-ca5b-467e-b585-65cf2947ec66"]}],"mendeley":{"formattedCitation":"(Fadlilah et al., 2024)","plainTextFormattedCitation":"(Fadlilah et al., 2024)","previouslyFormattedCitation":"(Fadlilah et al., 2024)"},"properties":{"noteIndex":0},"schema":"https://github.com/citation-style-language/schema/raw/master/csl-citation.json"}</w:instrText>
      </w:r>
      <w:r w:rsidR="00020A2C" w:rsidRPr="00BC63EF">
        <w:rPr>
          <w:rFonts w:asciiTheme="majorBidi" w:eastAsia="Times New Roman" w:hAnsiTheme="majorBidi" w:cstheme="majorBidi"/>
          <w:szCs w:val="24"/>
          <w:lang w:eastAsia="en-ID"/>
        </w:rPr>
        <w:fldChar w:fldCharType="separate"/>
      </w:r>
      <w:r w:rsidR="00AF4670" w:rsidRPr="00BC63EF">
        <w:rPr>
          <w:rFonts w:asciiTheme="majorBidi" w:eastAsia="Times New Roman" w:hAnsiTheme="majorBidi" w:cstheme="majorBidi"/>
          <w:noProof/>
          <w:szCs w:val="24"/>
          <w:lang w:eastAsia="en-ID"/>
        </w:rPr>
        <w:t>(Fadlilah et al., 2024)</w:t>
      </w:r>
      <w:r w:rsidR="00020A2C" w:rsidRPr="00BC63EF">
        <w:rPr>
          <w:rFonts w:asciiTheme="majorBidi" w:eastAsia="Times New Roman" w:hAnsiTheme="majorBidi" w:cstheme="majorBidi"/>
          <w:szCs w:val="24"/>
          <w:lang w:eastAsia="en-ID"/>
        </w:rPr>
        <w:fldChar w:fldCharType="end"/>
      </w:r>
      <w:r w:rsidR="004B0B6F">
        <w:rPr>
          <w:rFonts w:asciiTheme="majorBidi" w:eastAsia="Times New Roman" w:hAnsiTheme="majorBidi" w:cstheme="majorBidi"/>
          <w:szCs w:val="24"/>
          <w:lang w:eastAsia="en-ID"/>
        </w:rPr>
        <w:t xml:space="preserve">, </w:t>
      </w:r>
      <w:r w:rsidR="00020A2C" w:rsidRPr="00BC63EF">
        <w:rPr>
          <w:rFonts w:asciiTheme="majorBidi" w:hAnsiTheme="majorBidi" w:cstheme="majorBidi"/>
          <w:szCs w:val="24"/>
        </w:rPr>
        <w:fldChar w:fldCharType="begin" w:fldLock="1"/>
      </w:r>
      <w:r w:rsidR="00EC477A">
        <w:rPr>
          <w:rFonts w:asciiTheme="majorBidi" w:hAnsiTheme="majorBidi" w:cstheme="majorBidi"/>
          <w:szCs w:val="24"/>
        </w:rPr>
        <w:instrText>ADDIN CSL_CITATION {"citationItems":[{"id":"ITEM-1","itemData":{"DOI":"https://doi.org/10.2196/39474","ISSN":"2371-4379","abstract":"Background The trend of an exponential increase in prediabetes and type 2 diabetes (T2D) is projected to continue rising worldwide. Physical activity could help prevent T2D and the progression and complications of the disease. Therefore, we need to create opportunities for individuals to acquire the necessary knowledge and skills to self-manage their chronic condition through physical activity. eHealth is a potential resource that could facilitate self-management and thus improve population health. However, there is limited research on users’ perception of eHealth in promoting physical activity in primary care settings. Objective This study aims to explore the perspectives of health care professionals and individuals with prediabetes and T2D on eHealth to promote physical activity in primary care. Methods A qualitative approach was applied using focus group discussions among individuals with prediabetes or T2D (14 participants in four groups) and health care professionals (10 participants in two groups). The discussions were audio-recorded and transcribed verbatim. Qualitative content analysis was used inductively to code the data. Results Three main categories emerged: utility, adoption process, and accountability. The utility of eHealth was described as a motivational, entertaining, and stimulating tool. Registration of daily medical measurements and lifestyle parameters in a cohesive digital platform was recognized as a potential resource for strengthening self-management skills. The adoption process includes eHealth to increase the accessibility of care and personalize the support of physical activity. However, participants stated that digital technology might only suit some and could increase health care providers’ administrative burden. Accountability refers to the knowledge and skills to optimize eHealth and ensure data integrity and security. Conclusions People with prediabetes and T2D and health care professionals positively viewed an integration of eHealth technology in primary care to promote physical activity. A cohesive platform using personal metrics, goal-setting, and social support to promote physical activity was suggested. This study identified eHealth illiteracy, inequality, privacy, confidentiality, and an increased workload on health care professionals as factors of concern when integrating eHealth into primary care. Continuous development of eHealth competence was reported as necessary to optimize the implementation of eHealth tech…","author":[{"dropping-particle":"","family":"Woldamanuel","given":"Yohannes","non-dropping-particle":"","parse-names":false,"suffix":""},{"dropping-particle":"","family":"Rossen","given":"Jenny","non-dropping-particle":"","parse-names":false,"suffix":""},{"dropping-particle":"","family":"Andermo","given":"Susanne","non-dropping-particle":"","parse-names":false,"suffix":""},{"dropping-particle":"","family":"Bergman","given":"Patrik","non-dropping-particle":"","parse-names":false,"suffix":""},{"dropping-particle":"","family":"Åberg","given":"Linda","non-dropping-particle":"","parse-names":false,"suffix":""},{"dropping-particle":"","family":"Hagströmer","given":"Maria","non-dropping-particle":"","parse-names":false,"suffix":""},{"dropping-particle":"","family":"Johansson","given":"Unn-Britt","non-dropping-particle":"","parse-names":false,"suffix":""}],"container-title":"JMIR Diabetes","id":"ITEM-1","issued":{"date-parts":[["2023"]]},"title":"Perspectives on Promoting Physical Activity Using eHealth in Primary Care by Health Care Professionals and Individuals With Prediabetes and Type 2 Diabetes: Qualitative Study","type":"article-journal","volume":"8"},"uris":["http://www.mendeley.com/documents/?uuid=8f1a5a9a-838c-4c52-bc1a-498c48cea70b"]}],"mendeley":{"formattedCitation":"(Woldamanuel et al., 2023)","plainTextFormattedCitation":"(Woldamanuel et al., 2023)","previouslyFormattedCitation":"(Woldamanuel et al., 2023)"},"properties":{"noteIndex":0},"schema":"https://github.com/citation-style-language/schema/raw/master/csl-citation.json"}</w:instrText>
      </w:r>
      <w:r w:rsidR="00020A2C" w:rsidRPr="00BC63EF">
        <w:rPr>
          <w:rFonts w:asciiTheme="majorBidi" w:hAnsiTheme="majorBidi" w:cstheme="majorBidi"/>
          <w:szCs w:val="24"/>
        </w:rPr>
        <w:fldChar w:fldCharType="separate"/>
      </w:r>
      <w:r w:rsidR="00AF4670" w:rsidRPr="00BC63EF">
        <w:rPr>
          <w:rFonts w:asciiTheme="majorBidi" w:hAnsiTheme="majorBidi" w:cstheme="majorBidi"/>
          <w:noProof/>
          <w:szCs w:val="24"/>
        </w:rPr>
        <w:t>(Woldamanuel et al., 2023)</w:t>
      </w:r>
      <w:r w:rsidR="00020A2C" w:rsidRPr="00BC63EF">
        <w:rPr>
          <w:rFonts w:asciiTheme="majorBidi" w:hAnsiTheme="majorBidi" w:cstheme="majorBidi"/>
          <w:szCs w:val="24"/>
        </w:rPr>
        <w:fldChar w:fldCharType="end"/>
      </w:r>
      <w:r w:rsidR="004B0B6F">
        <w:rPr>
          <w:rFonts w:asciiTheme="majorBidi" w:hAnsiTheme="majorBidi" w:cstheme="majorBidi"/>
          <w:szCs w:val="24"/>
        </w:rPr>
        <w:t xml:space="preserve">, </w:t>
      </w:r>
      <w:r w:rsidR="00020A2C" w:rsidRPr="00BC63EF">
        <w:rPr>
          <w:rFonts w:asciiTheme="majorBidi" w:hAnsiTheme="majorBidi" w:cstheme="majorBidi"/>
          <w:szCs w:val="24"/>
        </w:rPr>
        <w:fldChar w:fldCharType="begin" w:fldLock="1"/>
      </w:r>
      <w:r w:rsidR="00EC477A">
        <w:rPr>
          <w:rFonts w:asciiTheme="majorBidi" w:hAnsiTheme="majorBidi" w:cstheme="majorBidi"/>
          <w:szCs w:val="24"/>
        </w:rPr>
        <w:instrText>ADDIN CSL_CITATION {"citationItems":[{"id":"ITEM-1","itemData":{"DOI":"10.1016/j.pcd.2022.01.004","ISSN":"1751-9918","author":[{"dropping-particle":"","family":"Daly","given":"Barbara M","non-dropping-particle":"","parse-names":false,"suffix":""},{"dropping-particle":"","family":"Arroll","given":"Bruce","non-dropping-particle":"","parse-names":false,"suffix":""},{"dropping-particle":"","family":"Scragg","given":"Robert Keith Rhodes","non-dropping-particle":"","parse-names":false,"suffix":""}],"container-title":"Primary Care Diabetes","id":"ITEM-1","issue":"2","issued":{"date-parts":[["2022","4","1"]]},"note":"doi: 10.1016/j.pcd.2022.01.004","page":"318-324","publisher":"Elsevier","title":"Nurse's contribution to the diabetes annual review and funded programmes in Auckland, New Zealand","type":"article-journal","volume":"16"},"uris":["http://www.mendeley.com/documents/?uuid=65f906c8-377e-4f49-b8e0-2f917d538849"]}],"mendeley":{"formattedCitation":"(Daly et al., 2022)","plainTextFormattedCitation":"(Daly et al., 2022)","previouslyFormattedCitation":"(Daly et al., 2022)"},"properties":{"noteIndex":0},"schema":"https://github.com/citation-style-language/schema/raw/master/csl-citation.json"}</w:instrText>
      </w:r>
      <w:r w:rsidR="00020A2C" w:rsidRPr="00BC63EF">
        <w:rPr>
          <w:rFonts w:asciiTheme="majorBidi" w:hAnsiTheme="majorBidi" w:cstheme="majorBidi"/>
          <w:szCs w:val="24"/>
        </w:rPr>
        <w:fldChar w:fldCharType="separate"/>
      </w:r>
      <w:r w:rsidR="00AF4670" w:rsidRPr="00BC63EF">
        <w:rPr>
          <w:rFonts w:asciiTheme="majorBidi" w:hAnsiTheme="majorBidi" w:cstheme="majorBidi"/>
          <w:noProof/>
          <w:szCs w:val="24"/>
        </w:rPr>
        <w:t>(Daly et al., 2022)</w:t>
      </w:r>
      <w:r w:rsidR="00020A2C" w:rsidRPr="00BC63EF">
        <w:rPr>
          <w:rFonts w:asciiTheme="majorBidi" w:hAnsiTheme="majorBidi" w:cstheme="majorBidi"/>
          <w:szCs w:val="24"/>
        </w:rPr>
        <w:fldChar w:fldCharType="end"/>
      </w:r>
      <w:r w:rsidR="004B0B6F">
        <w:rPr>
          <w:rFonts w:asciiTheme="majorBidi" w:hAnsiTheme="majorBidi" w:cstheme="majorBidi"/>
          <w:szCs w:val="24"/>
        </w:rPr>
        <w:t xml:space="preserve">, </w:t>
      </w:r>
      <w:r w:rsidR="00020A2C" w:rsidRPr="00BC63EF">
        <w:rPr>
          <w:rFonts w:asciiTheme="majorBidi" w:hAnsiTheme="majorBidi" w:cstheme="majorBidi"/>
          <w:szCs w:val="24"/>
        </w:rPr>
        <w:fldChar w:fldCharType="begin" w:fldLock="1"/>
      </w:r>
      <w:r w:rsidR="00EC477A">
        <w:rPr>
          <w:rFonts w:asciiTheme="majorBidi" w:hAnsiTheme="majorBidi" w:cstheme="majorBidi"/>
          <w:szCs w:val="24"/>
        </w:rPr>
        <w:instrText>ADDIN CSL_CITATION {"citationItems":[{"id":"ITEM-1","itemData":{"DOI":"10.1177/17423953231185385","ISSN":"1745-9206 (Electronic)","PMID":"37403449","abstract":"OBJECTIVE: This study aimed to assess the perceptions towards chronic disease  self-management and its program among patients with chronic diseases. METHODS: A cross-sectional study using pre-validated questionnaire was conducted among patients with chronic diseases at outpatient pharmacy in a hospital in Penang, Malaysia from April to June 2021. RESULTS: Of 270 patients participated in this study, 87.8% were interested in chronic disease self-management. Nonetheless, they faced common barriers including time constraint (71.1%), no health monitoring devices (44.1%) and poor health knowledge (43.0%). More than half of the patients expressed that having a better knowledge of the disease and its treatment (64.1%), getting supportive guidance from healthcare providers (59.6%) and having monitoring devices (58.1%) were the top three facilitators to self-management. The patients preferred chronic disease self-management programs that (a) discuss the topic of motivation (b) are available both as mobile applications and hands-on training, (c) individual session, (d) range between 1 and 5 sessions with a duration of 1 to 2 h/session, (e) occurring on monthly basis, (f) conducted by doctor or healthcare professionals and (g) fully sponsored by government or at affordable fee. CONCLUSION: The findings serve as pre-requisite step in future design and development of chronic disease self-management program, targeting the patients' needs and preferences.","author":[{"dropping-particle":"","family":"Halim","given":"Nur Atiyah Abdul","non-dropping-particle":"","parse-names":false,"suffix":""},{"dropping-particle":"","family":"Sopri","given":"Nur Hikmah Ahmad","non-dropping-particle":"","parse-names":false,"suffix":""},{"dropping-particle":"","family":"Wong","given":"Yuet Yen","non-dropping-particle":"","parse-names":false,"suffix":""},{"dropping-particle":"","family":"Mustafa","given":"Qarem Mohamed","non-dropping-particle":"","parse-names":false,"suffix":""},{"dropping-particle":"","family":"Lean","given":"Qi Ying","non-dropping-particle":"","parse-names":false,"suffix":""}],"container-title":"Chronic illness","id":"ITEM-1","issue":"4","issued":{"date-parts":[["2024","12"]]},"language":"eng","page":"640-654","publisher-place":"United States","title":"Patients' perception towards chronic disease self-management and its program: A  cross-sectional survey.","type":"article-journal","volume":"20"},"uris":["http://www.mendeley.com/documents/?uuid=3ddea749-291a-4a18-b990-ee127768c1f0"]}],"mendeley":{"formattedCitation":"(Halim et al., 2024)","plainTextFormattedCitation":"(Halim et al., 2024)","previouslyFormattedCitation":"(Halim et al., 2024)"},"properties":{"noteIndex":0},"schema":"https://github.com/citation-style-language/schema/raw/master/csl-citation.json"}</w:instrText>
      </w:r>
      <w:r w:rsidR="00020A2C" w:rsidRPr="00BC63EF">
        <w:rPr>
          <w:rFonts w:asciiTheme="majorBidi" w:hAnsiTheme="majorBidi" w:cstheme="majorBidi"/>
          <w:szCs w:val="24"/>
        </w:rPr>
        <w:fldChar w:fldCharType="separate"/>
      </w:r>
      <w:r w:rsidR="00AF4670" w:rsidRPr="00BC63EF">
        <w:rPr>
          <w:rFonts w:asciiTheme="majorBidi" w:hAnsiTheme="majorBidi" w:cstheme="majorBidi"/>
          <w:noProof/>
          <w:szCs w:val="24"/>
        </w:rPr>
        <w:t>(Halim et al., 2024)</w:t>
      </w:r>
      <w:r w:rsidR="00020A2C" w:rsidRPr="00BC63EF">
        <w:rPr>
          <w:rFonts w:asciiTheme="majorBidi" w:hAnsiTheme="majorBidi" w:cstheme="majorBidi"/>
          <w:szCs w:val="24"/>
        </w:rPr>
        <w:fldChar w:fldCharType="end"/>
      </w:r>
      <w:r w:rsidR="00C8501D">
        <w:rPr>
          <w:rFonts w:asciiTheme="majorBidi" w:hAnsiTheme="majorBidi" w:cstheme="majorBidi"/>
          <w:szCs w:val="24"/>
        </w:rPr>
        <w:t>.</w:t>
      </w:r>
    </w:p>
    <w:p w14:paraId="7C2E9D8D" w14:textId="63312DCC" w:rsidR="00020A2C" w:rsidRPr="00BC63EF" w:rsidRDefault="006553BF" w:rsidP="006553BF">
      <w:pPr>
        <w:pStyle w:val="ListParagraph"/>
        <w:ind w:leftChars="129" w:left="284" w:firstLineChars="236" w:firstLine="566"/>
        <w:rPr>
          <w:rFonts w:asciiTheme="majorBidi" w:eastAsia="Times New Roman" w:hAnsiTheme="majorBidi" w:cstheme="majorBidi"/>
          <w:szCs w:val="24"/>
          <w:lang w:eastAsia="en-ID"/>
        </w:rPr>
      </w:pPr>
      <w:r>
        <w:t xml:space="preserve">A significant association was found between perceived need and </w:t>
      </w:r>
      <w:proofErr w:type="spellStart"/>
      <w:r>
        <w:t>Prolanis</w:t>
      </w:r>
      <w:proofErr w:type="spellEnd"/>
      <w:r>
        <w:t xml:space="preserve"> utilization (p = 0.000). Respondents with low perceived need were 22 times more likely not to utilize </w:t>
      </w:r>
      <w:proofErr w:type="spellStart"/>
      <w:r>
        <w:t>Prolanis</w:t>
      </w:r>
      <w:proofErr w:type="spellEnd"/>
      <w:r>
        <w:t xml:space="preserve"> (OR = 22.6). Perceived need is part of the Health Belief Model (HBM) constructs—particularly perceived need and perceived susceptibility—and is a strong predictor of health-seeking behavior among chronic disease patients</w:t>
      </w:r>
      <w:r>
        <w:t xml:space="preserve"> </w:t>
      </w:r>
      <w:r w:rsidR="004B0B6F" w:rsidRPr="00BC63EF">
        <w:rPr>
          <w:rFonts w:asciiTheme="majorBidi" w:eastAsia="Times New Roman" w:hAnsiTheme="majorBidi" w:cstheme="majorBidi"/>
          <w:szCs w:val="24"/>
          <w:lang w:eastAsia="en-ID"/>
        </w:rPr>
        <w:fldChar w:fldCharType="begin" w:fldLock="1"/>
      </w:r>
      <w:r w:rsidR="00EC477A">
        <w:rPr>
          <w:rFonts w:asciiTheme="majorBidi" w:eastAsia="Times New Roman" w:hAnsiTheme="majorBidi" w:cstheme="majorBidi"/>
          <w:szCs w:val="24"/>
          <w:lang w:eastAsia="en-ID"/>
        </w:rPr>
        <w:instrText>ADDIN CSL_CITATION {"citationItems":[{"id":"ITEM-1","itemData":{"author":[{"dropping-particle":"","family":"Syafa’at","given":"Arga Wildan","non-dropping-particle":"","parse-names":false,"suffix":""},{"dropping-particle":"","family":"Pulungan","given":"Rafiah Maharani","non-dropping-particle":"","parse-names":false,"suffix":""},{"dropping-particle":"","family":"Permatasari","given":"Putri","non-dropping-particle":"","parse-names":false,"suffix":""}],"container-title":"Media Kesehatan Masyarakat Indonesia","id":"ITEM-1","issue":"4","issued":{"date-parts":[["2021"]]},"page":"1-8","title":"Pemanfaatan Prolanis di Fasilitas Kesehatan Tingkat Pertama Wilayah Kota Depok","type":"article-journal","volume":"18"},"uris":["http://www.mendeley.com/documents/?uuid=41d3c63a-7086-4954-848d-02717726d78d"]}],"mendeley":{"formattedCitation":"(Syafa’at et al., 2021)","plainTextFormattedCitation":"(Syafa’at et al., 2021)","previouslyFormattedCitation":"(Syafa’at et al., 2021)"},"properties":{"noteIndex":0},"schema":"https://github.com/citation-style-language/schema/raw/master/csl-citation.json"}</w:instrText>
      </w:r>
      <w:r w:rsidR="004B0B6F" w:rsidRPr="00BC63EF">
        <w:rPr>
          <w:rFonts w:asciiTheme="majorBidi" w:eastAsia="Times New Roman" w:hAnsiTheme="majorBidi" w:cstheme="majorBidi"/>
          <w:szCs w:val="24"/>
          <w:lang w:eastAsia="en-ID"/>
        </w:rPr>
        <w:fldChar w:fldCharType="separate"/>
      </w:r>
      <w:r w:rsidR="004B0B6F" w:rsidRPr="00BC63EF">
        <w:rPr>
          <w:rFonts w:asciiTheme="majorBidi" w:eastAsia="Times New Roman" w:hAnsiTheme="majorBidi" w:cstheme="majorBidi"/>
          <w:noProof/>
          <w:szCs w:val="24"/>
          <w:lang w:eastAsia="en-ID"/>
        </w:rPr>
        <w:t>(Syafa’at et al., 2021)</w:t>
      </w:r>
      <w:r w:rsidR="004B0B6F" w:rsidRPr="00BC63EF">
        <w:rPr>
          <w:rFonts w:asciiTheme="majorBidi" w:eastAsia="Times New Roman" w:hAnsiTheme="majorBidi" w:cstheme="majorBidi"/>
          <w:szCs w:val="24"/>
          <w:lang w:eastAsia="en-ID"/>
        </w:rPr>
        <w:fldChar w:fldCharType="end"/>
      </w:r>
      <w:r w:rsidR="00020A2C" w:rsidRPr="00BC63EF">
        <w:rPr>
          <w:rFonts w:asciiTheme="majorBidi" w:eastAsia="Times New Roman" w:hAnsiTheme="majorBidi" w:cstheme="majorBidi"/>
          <w:szCs w:val="24"/>
          <w:lang w:eastAsia="en-ID"/>
        </w:rPr>
        <w:t xml:space="preserve">. </w:t>
      </w:r>
      <w:r>
        <w:t>Individuals with high perceived need are 4–6 times more likely to engage in health programs</w:t>
      </w:r>
      <w:r>
        <w:t xml:space="preserve"> </w:t>
      </w:r>
      <w:r w:rsidR="00020A2C" w:rsidRPr="00BC63EF">
        <w:rPr>
          <w:rFonts w:asciiTheme="majorBidi" w:eastAsia="Times New Roman" w:hAnsiTheme="majorBidi" w:cstheme="majorBidi"/>
          <w:szCs w:val="24"/>
          <w:lang w:eastAsia="en-ID"/>
        </w:rPr>
        <w:fldChar w:fldCharType="begin" w:fldLock="1"/>
      </w:r>
      <w:r w:rsidR="00EC477A">
        <w:rPr>
          <w:rFonts w:asciiTheme="majorBidi" w:eastAsia="Times New Roman" w:hAnsiTheme="majorBidi" w:cstheme="majorBidi"/>
          <w:szCs w:val="24"/>
          <w:lang w:eastAsia="en-ID"/>
        </w:rPr>
        <w:instrText>ADDIN CSL_CITATION {"citationItems":[{"id":"ITEM-1","itemData":{"ISBN":"6281141202","author":[{"dropping-particle":"","family":"Firmansyah","given":"","non-dropping-particle":"","parse-names":false,"suffix":""},{"dropping-particle":"","family":"Syam","given":"Sadli","non-dropping-particle":"","parse-names":false,"suffix":""},{"dropping-particle":"","family":"Ashari","given":"Muhammad Rizki","non-dropping-particle":"","parse-names":false,"suffix":""},{"dropping-particle":"","family":"Li","given":"Priska Veina","non-dropping-particle":"","parse-names":false,"suffix":""},{"dropping-particle":"","family":"Al-hijrah","given":"Muhammad Fuzar","non-dropping-particle":"","parse-names":false,"suffix":""}],"container-title":"Preventif: Jurnal Kesehatan Masyarakat","id":"ITEM-1","issue":"4","issued":{"date-parts":[["2022"]]},"page":"635-644","title":"Hubungan Pengetahuan Dan Sikap Dengan Pemanfaatan Prolanis Pada Pasien Diabetes Melitus di Wilayah Kerja Puskesmas Kamonji Kota Palu","type":"article-journal","volume":"13"},"uris":["http://www.mendeley.com/documents/?uuid=a46fc22b-1e91-4256-a40a-bdeb41664a54"]}],"mendeley":{"formattedCitation":"(Firmansyah et al., 2022)","plainTextFormattedCitation":"(Firmansyah et al., 2022)","previouslyFormattedCitation":"(Firmansyah et al., 2022)"},"properties":{"noteIndex":0},"schema":"https://github.com/citation-style-language/schema/raw/master/csl-citation.json"}</w:instrText>
      </w:r>
      <w:r w:rsidR="00020A2C" w:rsidRPr="00BC63EF">
        <w:rPr>
          <w:rFonts w:asciiTheme="majorBidi" w:eastAsia="Times New Roman" w:hAnsiTheme="majorBidi" w:cstheme="majorBidi"/>
          <w:szCs w:val="24"/>
          <w:lang w:eastAsia="en-ID"/>
        </w:rPr>
        <w:fldChar w:fldCharType="separate"/>
      </w:r>
      <w:r w:rsidR="00AF4670" w:rsidRPr="00BC63EF">
        <w:rPr>
          <w:rFonts w:asciiTheme="majorBidi" w:eastAsia="Times New Roman" w:hAnsiTheme="majorBidi" w:cstheme="majorBidi"/>
          <w:noProof/>
          <w:szCs w:val="24"/>
          <w:lang w:eastAsia="en-ID"/>
        </w:rPr>
        <w:t>(Firmansyah et al., 2022)</w:t>
      </w:r>
      <w:r w:rsidR="00020A2C" w:rsidRPr="00BC63EF">
        <w:rPr>
          <w:rFonts w:asciiTheme="majorBidi" w:eastAsia="Times New Roman" w:hAnsiTheme="majorBidi" w:cstheme="majorBidi"/>
          <w:szCs w:val="24"/>
          <w:lang w:eastAsia="en-ID"/>
        </w:rPr>
        <w:fldChar w:fldCharType="end"/>
      </w:r>
      <w:r w:rsidR="004B0B6F">
        <w:rPr>
          <w:rFonts w:asciiTheme="majorBidi" w:eastAsia="Times New Roman" w:hAnsiTheme="majorBidi" w:cstheme="majorBidi"/>
          <w:szCs w:val="24"/>
          <w:lang w:eastAsia="en-ID"/>
        </w:rPr>
        <w:t xml:space="preserve">. </w:t>
      </w:r>
      <w:r>
        <w:t>Low perceived need often arises when patients believe diabetes can be managed solely with medication without requiring education or routine monitoring</w:t>
      </w:r>
      <w:r>
        <w:t xml:space="preserve"> </w:t>
      </w:r>
      <w:r w:rsidR="00020A2C" w:rsidRPr="00BC63EF">
        <w:rPr>
          <w:rFonts w:asciiTheme="majorBidi" w:eastAsia="Times New Roman" w:hAnsiTheme="majorBidi" w:cstheme="majorBidi"/>
          <w:szCs w:val="24"/>
          <w:lang w:eastAsia="en-ID"/>
        </w:rPr>
        <w:fldChar w:fldCharType="begin" w:fldLock="1"/>
      </w:r>
      <w:r w:rsidR="00EC477A">
        <w:rPr>
          <w:rFonts w:asciiTheme="majorBidi" w:eastAsia="Times New Roman" w:hAnsiTheme="majorBidi" w:cstheme="majorBidi"/>
          <w:szCs w:val="24"/>
          <w:lang w:eastAsia="en-ID"/>
        </w:rPr>
        <w:instrText>ADDIN CSL_CITATION {"citationItems":[{"id":"ITEM-1","itemData":{"DOI":"https://doi.org/10.36685/phi.v10i2.753","author":[{"dropping-particle":"","family":"Fadlilah","given":"Siti","non-dropping-particle":"","parse-names":false,"suffix":""},{"dropping-particle":"","family":"Nugroho","given":"A","non-dropping-particle":"","parse-names":false,"suffix":""},{"dropping-particle":"","family":"Bistara","given":"DN","non-dropping-particle":"","parse-names":false,"suffix":""}],"container-title":"Public Health of Indonesia","id":"ITEM-1","issue":"2","issued":{"date-parts":[["2024"]]},"page":"247-261","title":"The Role of The Chronic Disease Management Program in Indonesia (PROLANIS) As A Diabetes Mellitus Management Strategy : A Scoping Review","type":"article-journal","volume":"10"},"uris":["http://www.mendeley.com/documents/?uuid=a1375efb-ca5b-467e-b585-65cf2947ec66"]}],"mendeley":{"formattedCitation":"(Fadlilah et al., 2024)","plainTextFormattedCitation":"(Fadlilah et al., 2024)","previouslyFormattedCitation":"(Fadlilah et al., 2024)"},"properties":{"noteIndex":0},"schema":"https://github.com/citation-style-language/schema/raw/master/csl-citation.json"}</w:instrText>
      </w:r>
      <w:r w:rsidR="00020A2C" w:rsidRPr="00BC63EF">
        <w:rPr>
          <w:rFonts w:asciiTheme="majorBidi" w:eastAsia="Times New Roman" w:hAnsiTheme="majorBidi" w:cstheme="majorBidi"/>
          <w:szCs w:val="24"/>
          <w:lang w:eastAsia="en-ID"/>
        </w:rPr>
        <w:fldChar w:fldCharType="separate"/>
      </w:r>
      <w:r w:rsidR="00AF4670" w:rsidRPr="00BC63EF">
        <w:rPr>
          <w:rFonts w:asciiTheme="majorBidi" w:eastAsia="Times New Roman" w:hAnsiTheme="majorBidi" w:cstheme="majorBidi"/>
          <w:noProof/>
          <w:szCs w:val="24"/>
          <w:lang w:eastAsia="en-ID"/>
        </w:rPr>
        <w:t>(Fadlilah et al., 2024)</w:t>
      </w:r>
      <w:r w:rsidR="00020A2C" w:rsidRPr="00BC63EF">
        <w:rPr>
          <w:rFonts w:asciiTheme="majorBidi" w:eastAsia="Times New Roman" w:hAnsiTheme="majorBidi" w:cstheme="majorBidi"/>
          <w:szCs w:val="24"/>
          <w:lang w:eastAsia="en-ID"/>
        </w:rPr>
        <w:fldChar w:fldCharType="end"/>
      </w:r>
      <w:r w:rsidR="004B0B6F">
        <w:rPr>
          <w:rFonts w:asciiTheme="majorBidi" w:eastAsia="Times New Roman" w:hAnsiTheme="majorBidi" w:cstheme="majorBidi"/>
          <w:szCs w:val="24"/>
          <w:lang w:eastAsia="en-ID"/>
        </w:rPr>
        <w:t xml:space="preserve">. </w:t>
      </w:r>
      <w:r>
        <w:t>Enhancing perceived need requires structured education, individualized counseling, and effective communication between providers and patients</w:t>
      </w:r>
      <w:r>
        <w:t xml:space="preserve"> </w:t>
      </w:r>
      <w:r w:rsidR="001E3074" w:rsidRPr="00BC63EF">
        <w:rPr>
          <w:rFonts w:asciiTheme="majorBidi" w:eastAsia="Times New Roman" w:hAnsiTheme="majorBidi" w:cstheme="majorBidi"/>
          <w:szCs w:val="24"/>
          <w:lang w:eastAsia="en-ID"/>
        </w:rPr>
        <w:fldChar w:fldCharType="begin" w:fldLock="1"/>
      </w:r>
      <w:r w:rsidR="00EC477A">
        <w:rPr>
          <w:rFonts w:asciiTheme="majorBidi" w:eastAsia="Times New Roman" w:hAnsiTheme="majorBidi" w:cstheme="majorBidi"/>
          <w:szCs w:val="24"/>
          <w:lang w:eastAsia="en-ID"/>
        </w:rPr>
        <w:instrText>ADDIN CSL_CITATION {"citationItems":[{"id":"ITEM-1","itemData":{"author":[{"dropping-particle":"","family":"Susanto","given":"Joko","non-dropping-particle":"","parse-names":false,"suffix":""},{"dropping-particle":"","family":"Umam","given":"Khotibul","non-dropping-particle":"","parse-names":false,"suffix":""},{"dropping-particle":"","family":"Hidaayah","given":"Nur","non-dropping-particle":"","parse-names":false,"suffix":""}],"container-title":"Jurnal 'Aisyiyah; Jurnal Ilmu Kesehatan","id":"ITEM-1","issue":"1","issued":{"date-parts":[["2025"]]},"page":"445-455","title":"Self-efficacy and Utilization of Prolanis Health Services for Type 2 Diabetes Mellitus Patients","type":"article-journal","volume":"10"},"uris":["http://www.mendeley.com/documents/?uuid=076f56c1-a02e-47c6-85c1-0facbe536e0a"]}],"mendeley":{"formattedCitation":"(Susanto et al., 2025)","plainTextFormattedCitation":"(Susanto et al., 2025)","previouslyFormattedCitation":"(Susanto et al., 2025)"},"properties":{"noteIndex":0},"schema":"https://github.com/citation-style-language/schema/raw/master/csl-citation.json"}</w:instrText>
      </w:r>
      <w:r w:rsidR="001E3074" w:rsidRPr="00BC63EF">
        <w:rPr>
          <w:rFonts w:asciiTheme="majorBidi" w:eastAsia="Times New Roman" w:hAnsiTheme="majorBidi" w:cstheme="majorBidi"/>
          <w:szCs w:val="24"/>
          <w:lang w:eastAsia="en-ID"/>
        </w:rPr>
        <w:fldChar w:fldCharType="separate"/>
      </w:r>
      <w:r w:rsidR="001E3074" w:rsidRPr="00BC63EF">
        <w:rPr>
          <w:rFonts w:asciiTheme="majorBidi" w:eastAsia="Times New Roman" w:hAnsiTheme="majorBidi" w:cstheme="majorBidi"/>
          <w:noProof/>
          <w:szCs w:val="24"/>
          <w:lang w:eastAsia="en-ID"/>
        </w:rPr>
        <w:t>(Susanto et al., 2025)</w:t>
      </w:r>
      <w:r w:rsidR="001E3074" w:rsidRPr="00BC63EF">
        <w:rPr>
          <w:rFonts w:asciiTheme="majorBidi" w:eastAsia="Times New Roman" w:hAnsiTheme="majorBidi" w:cstheme="majorBidi"/>
          <w:szCs w:val="24"/>
          <w:lang w:eastAsia="en-ID"/>
        </w:rPr>
        <w:fldChar w:fldCharType="end"/>
      </w:r>
      <w:r w:rsidR="00020A2C" w:rsidRPr="00BC63EF">
        <w:rPr>
          <w:rFonts w:asciiTheme="majorBidi" w:eastAsia="Times New Roman" w:hAnsiTheme="majorBidi" w:cstheme="majorBidi"/>
          <w:szCs w:val="24"/>
          <w:lang w:eastAsia="en-ID"/>
        </w:rPr>
        <w:t xml:space="preserve">. </w:t>
      </w:r>
      <w:r>
        <w:t>These strategies align with the Global Diabetes Management Guidelines (2023), which emphasize patient understanding as a key determinant of chronic disease management success</w:t>
      </w:r>
      <w:r w:rsidR="00020A2C" w:rsidRPr="00BC63EF">
        <w:rPr>
          <w:rFonts w:asciiTheme="majorBidi" w:eastAsia="Times New Roman" w:hAnsiTheme="majorBidi" w:cstheme="majorBidi"/>
          <w:szCs w:val="24"/>
          <w:lang w:eastAsia="en-ID"/>
        </w:rPr>
        <w:t>.</w:t>
      </w:r>
    </w:p>
    <w:p w14:paraId="31B96CE7" w14:textId="5EAA102B" w:rsidR="006553BF" w:rsidRPr="006553BF" w:rsidRDefault="006553BF" w:rsidP="00453DB9">
      <w:pPr>
        <w:pStyle w:val="ListParagraph"/>
        <w:numPr>
          <w:ilvl w:val="8"/>
          <w:numId w:val="1"/>
        </w:numPr>
        <w:suppressAutoHyphens w:val="0"/>
        <w:ind w:leftChars="0" w:left="284" w:firstLineChars="0" w:hanging="284"/>
        <w:textDirection w:val="lrTb"/>
        <w:textAlignment w:val="auto"/>
        <w:outlineLvl w:val="9"/>
        <w:rPr>
          <w:rFonts w:asciiTheme="majorBidi" w:hAnsiTheme="majorBidi" w:cstheme="majorBidi"/>
          <w:b/>
          <w:bCs/>
          <w:iCs/>
          <w:color w:val="000000" w:themeColor="text1"/>
          <w:szCs w:val="24"/>
        </w:rPr>
      </w:pPr>
      <w:r w:rsidRPr="006553BF">
        <w:rPr>
          <w:rFonts w:asciiTheme="majorBidi" w:hAnsiTheme="majorBidi" w:cstheme="majorBidi"/>
          <w:b/>
          <w:bCs/>
          <w:iCs/>
          <w:color w:val="000000" w:themeColor="text1"/>
          <w:szCs w:val="24"/>
        </w:rPr>
        <w:t xml:space="preserve">Factors Associated with </w:t>
      </w:r>
      <w:proofErr w:type="spellStart"/>
      <w:r w:rsidRPr="006553BF">
        <w:rPr>
          <w:rFonts w:asciiTheme="majorBidi" w:hAnsiTheme="majorBidi" w:cstheme="majorBidi"/>
          <w:b/>
          <w:bCs/>
          <w:iCs/>
          <w:color w:val="000000" w:themeColor="text1"/>
          <w:szCs w:val="24"/>
        </w:rPr>
        <w:t>Prolanis</w:t>
      </w:r>
      <w:proofErr w:type="spellEnd"/>
      <w:r w:rsidRPr="006553BF">
        <w:rPr>
          <w:rFonts w:asciiTheme="majorBidi" w:hAnsiTheme="majorBidi" w:cstheme="majorBidi"/>
          <w:b/>
          <w:bCs/>
          <w:iCs/>
          <w:color w:val="000000" w:themeColor="text1"/>
          <w:szCs w:val="24"/>
        </w:rPr>
        <w:t xml:space="preserve"> Utilizatio</w:t>
      </w:r>
      <w:r w:rsidRPr="006553BF">
        <w:rPr>
          <w:rFonts w:asciiTheme="majorBidi" w:hAnsiTheme="majorBidi" w:cstheme="majorBidi"/>
          <w:b/>
          <w:bCs/>
          <w:iCs/>
          <w:color w:val="000000" w:themeColor="text1"/>
          <w:szCs w:val="24"/>
        </w:rPr>
        <w:t>n</w:t>
      </w:r>
    </w:p>
    <w:p w14:paraId="491BB08F" w14:textId="6FDA3DE2" w:rsidR="006D5CF0" w:rsidRDefault="00190D5D" w:rsidP="00453DB9">
      <w:pPr>
        <w:pStyle w:val="ListParagraph"/>
        <w:ind w:leftChars="129" w:left="284" w:firstLineChars="236" w:firstLine="566"/>
        <w:rPr>
          <w:rFonts w:asciiTheme="majorBidi" w:eastAsia="Times New Roman" w:hAnsiTheme="majorBidi" w:cstheme="majorBidi"/>
          <w:szCs w:val="24"/>
          <w:lang w:eastAsia="en-ID"/>
        </w:rPr>
      </w:pPr>
      <w:r>
        <w:t xml:space="preserve">The results showed that all independent variables—knowledge, family support, health worker support, service access, and perceived need—had a significant effect on </w:t>
      </w:r>
      <w:proofErr w:type="spellStart"/>
      <w:r>
        <w:t>Prolanis</w:t>
      </w:r>
      <w:proofErr w:type="spellEnd"/>
      <w:r>
        <w:t xml:space="preserve"> utilization (p &lt; 0.05). The coefficients and odds ratios (Exp(B)) indicate that patients with good knowledge are approximately 24.9 times more likely to use </w:t>
      </w:r>
      <w:proofErr w:type="spellStart"/>
      <w:r>
        <w:t>Prolanis</w:t>
      </w:r>
      <w:proofErr w:type="spellEnd"/>
      <w:r>
        <w:t xml:space="preserve"> compared to those with poor knowledge. Family support shows an OR ≈ 39.9, meaning patients who receive strong family support are far more likely to participate in </w:t>
      </w:r>
      <w:proofErr w:type="spellStart"/>
      <w:r>
        <w:t>Prolanis</w:t>
      </w:r>
      <w:proofErr w:type="spellEnd"/>
      <w:r>
        <w:t xml:space="preserve">. Support from health workers is also significant (OR ≈ 10.9), service access increases the likelihood by about six times, and perceived need shows an OR ≈ 20.8, indicating a very strong influence. The </w:t>
      </w:r>
      <w:r>
        <w:lastRenderedPageBreak/>
        <w:t xml:space="preserve">highest odds ratio is found in family support, which increases the likelihood of </w:t>
      </w:r>
      <w:proofErr w:type="spellStart"/>
      <w:r>
        <w:t>Prolanis</w:t>
      </w:r>
      <w:proofErr w:type="spellEnd"/>
      <w:r>
        <w:t xml:space="preserve"> utilization by up to 40 times compared to patients who do not receive family support.</w:t>
      </w:r>
      <w:r w:rsidR="00020A2C" w:rsidRPr="00BC63EF">
        <w:rPr>
          <w:rFonts w:asciiTheme="majorBidi" w:eastAsia="Times New Roman" w:hAnsiTheme="majorBidi" w:cstheme="majorBidi"/>
          <w:szCs w:val="24"/>
          <w:lang w:eastAsia="en-ID"/>
        </w:rPr>
        <w:t xml:space="preserve"> </w:t>
      </w:r>
    </w:p>
    <w:p w14:paraId="77189508" w14:textId="0297D9AB" w:rsidR="006D5CF0" w:rsidRDefault="00190D5D" w:rsidP="00453DB9">
      <w:pPr>
        <w:pStyle w:val="ListParagraph"/>
        <w:ind w:leftChars="129" w:left="284" w:firstLineChars="236" w:firstLine="566"/>
        <w:rPr>
          <w:rFonts w:asciiTheme="majorBidi" w:eastAsia="Times New Roman" w:hAnsiTheme="majorBidi" w:cstheme="majorBidi"/>
          <w:szCs w:val="24"/>
          <w:lang w:eastAsia="en-ID"/>
        </w:rPr>
      </w:pPr>
      <w:r>
        <w:t xml:space="preserve">Family support emerges as the strongest factor in the model (Exp(B) = 39.868). Patients with strong family support have nearly 40 times higher odds of utilizing </w:t>
      </w:r>
      <w:proofErr w:type="spellStart"/>
      <w:r>
        <w:t>Prolanis</w:t>
      </w:r>
      <w:proofErr w:type="spellEnd"/>
      <w:r>
        <w:t xml:space="preserve">. This highlights the crucial role of families in facilitating transportation, motivation, appointment reminders, and emotional support. Research at </w:t>
      </w:r>
      <w:proofErr w:type="spellStart"/>
      <w:r>
        <w:t>Puskesmas</w:t>
      </w:r>
      <w:proofErr w:type="spellEnd"/>
      <w:r>
        <w:t xml:space="preserve"> </w:t>
      </w:r>
      <w:proofErr w:type="spellStart"/>
      <w:r>
        <w:t>Kamonji</w:t>
      </w:r>
      <w:proofErr w:type="spellEnd"/>
      <w:r>
        <w:t xml:space="preserve"> </w:t>
      </w:r>
      <w:r w:rsidR="00020A2C" w:rsidRPr="00BC63EF">
        <w:rPr>
          <w:rFonts w:asciiTheme="majorBidi" w:hAnsiTheme="majorBidi" w:cstheme="majorBidi"/>
          <w:szCs w:val="24"/>
        </w:rPr>
        <w:fldChar w:fldCharType="begin" w:fldLock="1"/>
      </w:r>
      <w:r w:rsidR="00EC477A">
        <w:rPr>
          <w:rFonts w:asciiTheme="majorBidi" w:hAnsiTheme="majorBidi" w:cstheme="majorBidi"/>
          <w:szCs w:val="24"/>
        </w:rPr>
        <w:instrText>ADDIN CSL_CITATION {"citationItems":[{"id":"ITEM-1","itemData":{"ISBN":"6281141202","author":[{"dropping-particle":"","family":"Firmansyah","given":"","non-dropping-particle":"","parse-names":false,"suffix":""},{"dropping-particle":"","family":"Syam","given":"Sadli","non-dropping-particle":"","parse-names":false,"suffix":""},{"dropping-particle":"","family":"Ashari","given":"Muhammad Rizki","non-dropping-particle":"","parse-names":false,"suffix":""},{"dropping-particle":"","family":"Li","given":"Priska Veina","non-dropping-particle":"","parse-names":false,"suffix":""},{"dropping-particle":"","family":"Al-hijrah","given":"Muhammad Fuzar","non-dropping-particle":"","parse-names":false,"suffix":""}],"container-title":"Preventif: Jurnal Kesehatan Masyarakat","id":"ITEM-1","issue":"4","issued":{"date-parts":[["2022"]]},"page":"635-644","title":"Hubungan Pengetahuan Dan Sikap Dengan Pemanfaatan Prolanis Pada Pasien Diabetes Melitus di Wilayah Kerja Puskesmas Kamonji Kota Palu","type":"article-journal","volume":"13"},"uris":["http://www.mendeley.com/documents/?uuid=a46fc22b-1e91-4256-a40a-bdeb41664a54"]}],"mendeley":{"formattedCitation":"(Firmansyah et al., 2022)","plainTextFormattedCitation":"(Firmansyah et al., 2022)","previouslyFormattedCitation":"(Firmansyah et al., 2022)"},"properties":{"noteIndex":0},"schema":"https://github.com/citation-style-language/schema/raw/master/csl-citation.json"}</w:instrText>
      </w:r>
      <w:r w:rsidR="00020A2C" w:rsidRPr="00BC63EF">
        <w:rPr>
          <w:rFonts w:asciiTheme="majorBidi" w:hAnsiTheme="majorBidi" w:cstheme="majorBidi"/>
          <w:szCs w:val="24"/>
        </w:rPr>
        <w:fldChar w:fldCharType="separate"/>
      </w:r>
      <w:r w:rsidR="00AF4670" w:rsidRPr="00BC63EF">
        <w:rPr>
          <w:rFonts w:asciiTheme="majorBidi" w:hAnsiTheme="majorBidi" w:cstheme="majorBidi"/>
          <w:noProof/>
          <w:szCs w:val="24"/>
        </w:rPr>
        <w:t>(Firmansyah et al., 2022)</w:t>
      </w:r>
      <w:r w:rsidR="00020A2C" w:rsidRPr="00BC63EF">
        <w:rPr>
          <w:rFonts w:asciiTheme="majorBidi" w:hAnsiTheme="majorBidi" w:cstheme="majorBidi"/>
          <w:szCs w:val="24"/>
        </w:rPr>
        <w:fldChar w:fldCharType="end"/>
      </w:r>
      <w:r>
        <w:rPr>
          <w:rFonts w:asciiTheme="majorBidi" w:hAnsiTheme="majorBidi" w:cstheme="majorBidi"/>
          <w:szCs w:val="24"/>
        </w:rPr>
        <w:t xml:space="preserve">, </w:t>
      </w:r>
      <w:r>
        <w:t xml:space="preserve">also demonstrates that family support helps patients feel more capable and assisted in following </w:t>
      </w:r>
      <w:proofErr w:type="spellStart"/>
      <w:r>
        <w:t>Prolanis</w:t>
      </w:r>
      <w:proofErr w:type="spellEnd"/>
      <w:r w:rsidR="006D5CF0">
        <w:rPr>
          <w:rFonts w:asciiTheme="majorBidi" w:eastAsia="Times New Roman" w:hAnsiTheme="majorBidi" w:cstheme="majorBidi"/>
          <w:szCs w:val="24"/>
          <w:lang w:eastAsia="en-ID"/>
        </w:rPr>
        <w:t xml:space="preserve"> </w:t>
      </w:r>
      <w:r w:rsidR="00020A2C" w:rsidRPr="00BC63EF">
        <w:rPr>
          <w:rFonts w:asciiTheme="majorBidi" w:eastAsia="Times New Roman" w:hAnsiTheme="majorBidi" w:cstheme="majorBidi"/>
          <w:szCs w:val="24"/>
          <w:lang w:eastAsia="en-ID"/>
        </w:rPr>
        <w:fldChar w:fldCharType="begin" w:fldLock="1"/>
      </w:r>
      <w:r w:rsidR="00EC477A">
        <w:rPr>
          <w:rFonts w:asciiTheme="majorBidi" w:eastAsia="Times New Roman" w:hAnsiTheme="majorBidi" w:cstheme="majorBidi"/>
          <w:szCs w:val="24"/>
          <w:lang w:eastAsia="en-ID"/>
        </w:rPr>
        <w:instrText>ADDIN CSL_CITATION {"citationItems":[{"id":"ITEM-1","itemData":{"author":[{"dropping-particle":"","family":"Aini","given":"Zahratul","non-dropping-particle":"","parse-names":false,"suffix":""},{"dropping-particle":"","family":"Suardi","given":"Hijra Novia","non-dropping-particle":"","parse-names":false,"suffix":""},{"dropping-particle":"","family":"Dewi","given":"Fitria Meutia","non-dropping-particle":"","parse-names":false,"suffix":""},{"dropping-particle":"","family":"Ibrahim","given":"Tilaili","non-dropping-particle":"","parse-names":false,"suffix":""},{"dropping-particle":"","family":"Waraztuty","given":"Ika","non-dropping-particle":"","parse-names":false,"suffix":""},{"dropping-particle":"","family":"Mulia","given":"Vera Dewi","non-dropping-particle":"","parse-names":false,"suffix":""}],"container-title":"Majalah Kedokteran Bandung (MKB)","id":"ITEM-1","issue":"3","issued":{"date-parts":[["2025"]]},"page":"203-211","title":"Family Support and Medication Adherence in Patients in Prolanis Program","type":"article-journal","volume":"57"},"uris":["http://www.mendeley.com/documents/?uuid=ed79e167-8e8c-4fd7-9c45-3e8fae6917c1"]}],"mendeley":{"formattedCitation":"(Aini et al., 2025)","plainTextFormattedCitation":"(Aini et al., 2025)","previouslyFormattedCitation":"(Aini et al., 2025)"},"properties":{"noteIndex":0},"schema":"https://github.com/citation-style-language/schema/raw/master/csl-citation.json"}</w:instrText>
      </w:r>
      <w:r w:rsidR="00020A2C" w:rsidRPr="00BC63EF">
        <w:rPr>
          <w:rFonts w:asciiTheme="majorBidi" w:eastAsia="Times New Roman" w:hAnsiTheme="majorBidi" w:cstheme="majorBidi"/>
          <w:szCs w:val="24"/>
          <w:lang w:eastAsia="en-ID"/>
        </w:rPr>
        <w:fldChar w:fldCharType="separate"/>
      </w:r>
      <w:r w:rsidR="00AF4670" w:rsidRPr="00BC63EF">
        <w:rPr>
          <w:rFonts w:asciiTheme="majorBidi" w:eastAsia="Times New Roman" w:hAnsiTheme="majorBidi" w:cstheme="majorBidi"/>
          <w:noProof/>
          <w:szCs w:val="24"/>
          <w:lang w:eastAsia="en-ID"/>
        </w:rPr>
        <w:t>(Aini et al., 2025)</w:t>
      </w:r>
      <w:r w:rsidR="00020A2C" w:rsidRPr="00BC63EF">
        <w:rPr>
          <w:rFonts w:asciiTheme="majorBidi" w:eastAsia="Times New Roman" w:hAnsiTheme="majorBidi" w:cstheme="majorBidi"/>
          <w:szCs w:val="24"/>
          <w:lang w:eastAsia="en-ID"/>
        </w:rPr>
        <w:fldChar w:fldCharType="end"/>
      </w:r>
      <w:r w:rsidR="006D5CF0">
        <w:rPr>
          <w:rFonts w:asciiTheme="majorBidi" w:eastAsia="Times New Roman" w:hAnsiTheme="majorBidi" w:cstheme="majorBidi"/>
          <w:szCs w:val="24"/>
          <w:lang w:eastAsia="en-ID"/>
        </w:rPr>
        <w:t xml:space="preserve">. </w:t>
      </w:r>
      <w:r>
        <w:t xml:space="preserve">Knowledge is identified as the second strongest factor, with patients possessing good knowledge showing 24.8 times higher odds of utilizing </w:t>
      </w:r>
      <w:proofErr w:type="spellStart"/>
      <w:r>
        <w:t>Prolanis</w:t>
      </w:r>
      <w:proofErr w:type="spellEnd"/>
      <w:r>
        <w:t xml:space="preserve"> (p = 0.013). Patients with diabetes who have higher health literacy are more aware of chronic complications, making them more motivated to join chronic disease management programs such as </w:t>
      </w:r>
      <w:proofErr w:type="spellStart"/>
      <w:r>
        <w:t>Prolanis</w:t>
      </w:r>
      <w:proofErr w:type="spellEnd"/>
      <w:r>
        <w:t xml:space="preserve"> </w:t>
      </w:r>
      <w:r w:rsidR="00020A2C" w:rsidRPr="00BC63EF">
        <w:rPr>
          <w:rFonts w:asciiTheme="majorBidi" w:hAnsiTheme="majorBidi" w:cstheme="majorBidi"/>
          <w:szCs w:val="24"/>
        </w:rPr>
        <w:fldChar w:fldCharType="begin" w:fldLock="1"/>
      </w:r>
      <w:r w:rsidR="00EC477A">
        <w:rPr>
          <w:rFonts w:asciiTheme="majorBidi" w:hAnsiTheme="majorBidi" w:cstheme="majorBidi"/>
          <w:szCs w:val="24"/>
        </w:rPr>
        <w:instrText>ADDIN CSL_CITATION {"citationItems":[{"id":"ITEM-1","itemData":{"author":[{"dropping-particle":"","family":"Susanto","given":"Joko","non-dropping-particle":"","parse-names":false,"suffix":""},{"dropping-particle":"","family":"Umam","given":"Khotibul","non-dropping-particle":"","parse-names":false,"suffix":""},{"dropping-particle":"","family":"Hidaayah","given":"Nur","non-dropping-particle":"","parse-names":false,"suffix":""}],"container-title":"Jurnal 'Aisyiyah; Jurnal Ilmu Kesehatan","id":"ITEM-1","issue":"1","issued":{"date-parts":[["2025"]]},"page":"445-455","title":"Self-efficacy and Utilization of Prolanis Health Services for Type 2 Diabetes Mellitus Patients","type":"article-journal","volume":"10"},"uris":["http://www.mendeley.com/documents/?uuid=076f56c1-a02e-47c6-85c1-0facbe536e0a"]}],"mendeley":{"formattedCitation":"(Susanto et al., 2025)","plainTextFormattedCitation":"(Susanto et al., 2025)","previouslyFormattedCitation":"(Susanto et al., 2025)"},"properties":{"noteIndex":0},"schema":"https://github.com/citation-style-language/schema/raw/master/csl-citation.json"}</w:instrText>
      </w:r>
      <w:r w:rsidR="00020A2C" w:rsidRPr="00BC63EF">
        <w:rPr>
          <w:rFonts w:asciiTheme="majorBidi" w:hAnsiTheme="majorBidi" w:cstheme="majorBidi"/>
          <w:szCs w:val="24"/>
        </w:rPr>
        <w:fldChar w:fldCharType="separate"/>
      </w:r>
      <w:r w:rsidR="00AF4670" w:rsidRPr="00BC63EF">
        <w:rPr>
          <w:rFonts w:asciiTheme="majorBidi" w:hAnsiTheme="majorBidi" w:cstheme="majorBidi"/>
          <w:noProof/>
          <w:szCs w:val="24"/>
        </w:rPr>
        <w:t>(Susanto et al., 2025)</w:t>
      </w:r>
      <w:r w:rsidR="00020A2C" w:rsidRPr="00BC63EF">
        <w:rPr>
          <w:rFonts w:asciiTheme="majorBidi" w:hAnsiTheme="majorBidi" w:cstheme="majorBidi"/>
          <w:szCs w:val="24"/>
        </w:rPr>
        <w:fldChar w:fldCharType="end"/>
      </w:r>
      <w:r w:rsidR="006D5CF0">
        <w:rPr>
          <w:rFonts w:asciiTheme="majorBidi" w:hAnsiTheme="majorBidi" w:cstheme="majorBidi"/>
          <w:szCs w:val="24"/>
        </w:rPr>
        <w:t xml:space="preserve">. </w:t>
      </w:r>
      <w:r>
        <w:t>Other studies have also shown that knowledge and self-awareness significantly influence interest and participation in chronic disease management programs</w:t>
      </w:r>
      <w:r>
        <w:t xml:space="preserve"> </w:t>
      </w:r>
      <w:r w:rsidR="00020A2C" w:rsidRPr="00BC63EF">
        <w:rPr>
          <w:rFonts w:asciiTheme="majorBidi" w:hAnsiTheme="majorBidi" w:cstheme="majorBidi"/>
          <w:szCs w:val="24"/>
        </w:rPr>
        <w:fldChar w:fldCharType="begin" w:fldLock="1"/>
      </w:r>
      <w:r w:rsidR="00EC477A">
        <w:rPr>
          <w:rFonts w:asciiTheme="majorBidi" w:hAnsiTheme="majorBidi" w:cstheme="majorBidi"/>
          <w:szCs w:val="24"/>
        </w:rPr>
        <w:instrText>ADDIN CSL_CITATION {"citationItems":[{"id":"ITEM-1","itemData":{"DOI":"10.1177/17423953231185385","ISSN":"1745-9206 (Electronic)","PMID":"37403449","abstract":"OBJECTIVE: This study aimed to assess the perceptions towards chronic disease  self-management and its program among patients with chronic diseases. METHODS: A cross-sectional study using pre-validated questionnaire was conducted among patients with chronic diseases at outpatient pharmacy in a hospital in Penang, Malaysia from April to June 2021. RESULTS: Of 270 patients participated in this study, 87.8% were interested in chronic disease self-management. Nonetheless, they faced common barriers including time constraint (71.1%), no health monitoring devices (44.1%) and poor health knowledge (43.0%). More than half of the patients expressed that having a better knowledge of the disease and its treatment (64.1%), getting supportive guidance from healthcare providers (59.6%) and having monitoring devices (58.1%) were the top three facilitators to self-management. The patients preferred chronic disease self-management programs that (a) discuss the topic of motivation (b) are available both as mobile applications and hands-on training, (c) individual session, (d) range between 1 and 5 sessions with a duration of 1 to 2 h/session, (e) occurring on monthly basis, (f) conducted by doctor or healthcare professionals and (g) fully sponsored by government or at affordable fee. CONCLUSION: The findings serve as pre-requisite step in future design and development of chronic disease self-management program, targeting the patients' needs and preferences.","author":[{"dropping-particle":"","family":"Halim","given":"Nur Atiyah Abdul","non-dropping-particle":"","parse-names":false,"suffix":""},{"dropping-particle":"","family":"Sopri","given":"Nur Hikmah Ahmad","non-dropping-particle":"","parse-names":false,"suffix":""},{"dropping-particle":"","family":"Wong","given":"Yuet Yen","non-dropping-particle":"","parse-names":false,"suffix":""},{"dropping-particle":"","family":"Mustafa","given":"Qarem Mohamed","non-dropping-particle":"","parse-names":false,"suffix":""},{"dropping-particle":"","family":"Lean","given":"Qi Ying","non-dropping-particle":"","parse-names":false,"suffix":""}],"container-title":"Chronic illness","id":"ITEM-1","issue":"4","issued":{"date-parts":[["2024","12"]]},"language":"eng","page":"640-654","publisher-place":"United States","title":"Patients' perception towards chronic disease self-management and its program: A  cross-sectional survey.","type":"article-journal","volume":"20"},"uris":["http://www.mendeley.com/documents/?uuid=3ddea749-291a-4a18-b990-ee127768c1f0"]}],"mendeley":{"formattedCitation":"(Halim et al., 2024)","plainTextFormattedCitation":"(Halim et al., 2024)","previouslyFormattedCitation":"(Halim et al., 2024)"},"properties":{"noteIndex":0},"schema":"https://github.com/citation-style-language/schema/raw/master/csl-citation.json"}</w:instrText>
      </w:r>
      <w:r w:rsidR="00020A2C" w:rsidRPr="00BC63EF">
        <w:rPr>
          <w:rFonts w:asciiTheme="majorBidi" w:hAnsiTheme="majorBidi" w:cstheme="majorBidi"/>
          <w:szCs w:val="24"/>
        </w:rPr>
        <w:fldChar w:fldCharType="separate"/>
      </w:r>
      <w:r w:rsidR="00AF4670" w:rsidRPr="00BC63EF">
        <w:rPr>
          <w:rFonts w:asciiTheme="majorBidi" w:hAnsiTheme="majorBidi" w:cstheme="majorBidi"/>
          <w:noProof/>
          <w:szCs w:val="24"/>
        </w:rPr>
        <w:t>(Halim et al., 2024)</w:t>
      </w:r>
      <w:r w:rsidR="00020A2C" w:rsidRPr="00BC63EF">
        <w:rPr>
          <w:rFonts w:asciiTheme="majorBidi" w:hAnsiTheme="majorBidi" w:cstheme="majorBidi"/>
          <w:szCs w:val="24"/>
        </w:rPr>
        <w:fldChar w:fldCharType="end"/>
      </w:r>
      <w:r w:rsidR="006D5CF0">
        <w:rPr>
          <w:rFonts w:asciiTheme="majorBidi" w:eastAsia="Times New Roman" w:hAnsiTheme="majorBidi" w:cstheme="majorBidi"/>
          <w:szCs w:val="24"/>
          <w:lang w:eastAsia="en-ID"/>
        </w:rPr>
        <w:t>.</w:t>
      </w:r>
    </w:p>
    <w:p w14:paraId="30120BA4" w14:textId="7BD9FFE2" w:rsidR="00020A2C" w:rsidRPr="006D5CF0" w:rsidRDefault="00190D5D" w:rsidP="00453DB9">
      <w:pPr>
        <w:pStyle w:val="ListParagraph"/>
        <w:ind w:leftChars="129" w:left="284" w:firstLineChars="236" w:firstLine="566"/>
        <w:rPr>
          <w:rFonts w:asciiTheme="majorBidi" w:eastAsia="Times New Roman" w:hAnsiTheme="majorBidi" w:cstheme="majorBidi"/>
          <w:szCs w:val="24"/>
          <w:lang w:eastAsia="en-ID"/>
        </w:rPr>
      </w:pPr>
      <w:r>
        <w:t xml:space="preserve">Perceived need significantly affects </w:t>
      </w:r>
      <w:proofErr w:type="spellStart"/>
      <w:r>
        <w:t>Prolanis</w:t>
      </w:r>
      <w:proofErr w:type="spellEnd"/>
      <w:r>
        <w:t xml:space="preserve"> utilization (Exp(B) = 20.778) and is the third strongest factor. Patients who feel the need for routine diabetes monitoring services are more likely to join activities such as exercise sessions, educational meetings, and regular check-ups. Studies indicate that perceived need is a primary determinant of health-seeking behavior, particularly in long-term chronic conditions</w:t>
      </w:r>
      <w:r>
        <w:t xml:space="preserve"> </w:t>
      </w:r>
      <w:r w:rsidR="00020A2C" w:rsidRPr="006D5CF0">
        <w:rPr>
          <w:rFonts w:asciiTheme="majorBidi" w:hAnsiTheme="majorBidi" w:cstheme="majorBidi"/>
          <w:szCs w:val="24"/>
        </w:rPr>
        <w:fldChar w:fldCharType="begin" w:fldLock="1"/>
      </w:r>
      <w:r w:rsidR="00EC477A">
        <w:rPr>
          <w:rFonts w:asciiTheme="majorBidi" w:hAnsiTheme="majorBidi" w:cstheme="majorBidi"/>
          <w:szCs w:val="24"/>
        </w:rPr>
        <w:instrText>ADDIN CSL_CITATION {"citationItems":[{"id":"ITEM-1","itemData":{"author":[{"dropping-particle":"","family":"Ariana","given":"Risman","non-dropping-particle":"","parse-names":false,"suffix":""},{"dropping-particle":"","family":"Windani","given":"C","non-dropping-particle":"","parse-names":false,"suffix":""},{"dropping-particle":"","family":"Kurniawan","given":"Titis","non-dropping-particle":"","parse-names":false,"suffix":""}],"container-title":"NurseLine Journal","id":"ITEM-1","issue":"2","issued":{"date-parts":[["2021"]]},"page":"103-110","title":"Perception Of Prolanis Participants About Chronic Disease Management Program Activities (Prolanis) In The Primary Health Service Universitas Padjadjaran","type":"article-journal","volume":"4"},"uris":["http://www.mendeley.com/documents/?uuid=79dcc2dd-d7a8-4335-ba6d-8d2743df8c95"]}],"mendeley":{"formattedCitation":"(Ariana et al., 2021)","plainTextFormattedCitation":"(Ariana et al., 2021)","previouslyFormattedCitation":"(Ariana et al., 2021)"},"properties":{"noteIndex":0},"schema":"https://github.com/citation-style-language/schema/raw/master/csl-citation.json"}</w:instrText>
      </w:r>
      <w:r w:rsidR="00020A2C" w:rsidRPr="006D5CF0">
        <w:rPr>
          <w:rFonts w:asciiTheme="majorBidi" w:hAnsiTheme="majorBidi" w:cstheme="majorBidi"/>
          <w:szCs w:val="24"/>
        </w:rPr>
        <w:fldChar w:fldCharType="separate"/>
      </w:r>
      <w:r w:rsidR="00AF4670" w:rsidRPr="006D5CF0">
        <w:rPr>
          <w:rFonts w:asciiTheme="majorBidi" w:hAnsiTheme="majorBidi" w:cstheme="majorBidi"/>
          <w:noProof/>
          <w:szCs w:val="24"/>
        </w:rPr>
        <w:t>(Ariana et al., 2021)</w:t>
      </w:r>
      <w:r w:rsidR="00020A2C" w:rsidRPr="006D5CF0">
        <w:rPr>
          <w:rFonts w:asciiTheme="majorBidi" w:hAnsiTheme="majorBidi" w:cstheme="majorBidi"/>
          <w:szCs w:val="24"/>
        </w:rPr>
        <w:fldChar w:fldCharType="end"/>
      </w:r>
      <w:r w:rsidR="006D5CF0">
        <w:rPr>
          <w:rFonts w:asciiTheme="majorBidi" w:hAnsiTheme="majorBidi" w:cstheme="majorBidi"/>
          <w:szCs w:val="24"/>
        </w:rPr>
        <w:t xml:space="preserve">. </w:t>
      </w:r>
      <w:r>
        <w:t xml:space="preserve">Support from health workers also contributes to increased utilization (Exp(B) = 10.948). Support in the form of education, effective communication, appointment reminders, and a friendly attitude can improve patients’ trust and engagement </w:t>
      </w:r>
      <w:r w:rsidR="00020A2C" w:rsidRPr="006D5CF0">
        <w:rPr>
          <w:rFonts w:asciiTheme="majorBidi" w:hAnsiTheme="majorBidi" w:cstheme="majorBidi"/>
          <w:szCs w:val="24"/>
        </w:rPr>
        <w:fldChar w:fldCharType="begin" w:fldLock="1"/>
      </w:r>
      <w:r w:rsidR="00EC477A">
        <w:rPr>
          <w:rFonts w:asciiTheme="majorBidi" w:hAnsiTheme="majorBidi" w:cstheme="majorBidi"/>
          <w:szCs w:val="24"/>
        </w:rPr>
        <w:instrText>ADDIN CSL_CITATION {"citationItems":[{"id":"ITEM-1","itemData":{"DOI":"https://doi.org/10.70248/jophs.v2i2.2189","author":[{"dropping-particle":"","family":"Azhari","given":"M Rizki","non-dropping-particle":"","parse-names":false,"suffix":""},{"dropping-particle":"V","family":"Li","given":"Priska","non-dropping-particle":"","parse-names":false,"suffix":""},{"dropping-particle":"","family":"Firmansyah","given":"F","non-dropping-particle":"","parse-names":false,"suffix":""}],"container-title":"Journal of Public Health Science (JoPHS)","id":"ITEM-1","issue":"2","issued":{"date-parts":[["2025"]]},"page":"154-165","title":"The Analysis of Health Workers' Support and Perceived Health Services Needs Factors to Improve The Use Of The Chronic Disease Management Program (Prolanis) In Diabetic Patients In Kamonji Public Health Center, Palu City","type":"article-journal","volume":"2"},"uris":["http://www.mendeley.com/documents/?uuid=cc90abb3-d191-4489-b695-39438b8572a5"]}],"mendeley":{"formattedCitation":"(Azhari et al., 2025)","plainTextFormattedCitation":"(Azhari et al., 2025)","previouslyFormattedCitation":"(Azhari et al., 2025)"},"properties":{"noteIndex":0},"schema":"https://github.com/citation-style-language/schema/raw/master/csl-citation.json"}</w:instrText>
      </w:r>
      <w:r w:rsidR="00020A2C" w:rsidRPr="006D5CF0">
        <w:rPr>
          <w:rFonts w:asciiTheme="majorBidi" w:hAnsiTheme="majorBidi" w:cstheme="majorBidi"/>
          <w:szCs w:val="24"/>
        </w:rPr>
        <w:fldChar w:fldCharType="separate"/>
      </w:r>
      <w:r w:rsidR="00AF4670" w:rsidRPr="006D5CF0">
        <w:rPr>
          <w:rFonts w:asciiTheme="majorBidi" w:hAnsiTheme="majorBidi" w:cstheme="majorBidi"/>
          <w:noProof/>
          <w:szCs w:val="24"/>
        </w:rPr>
        <w:t>(Azhari et al., 2025)</w:t>
      </w:r>
      <w:r w:rsidR="00020A2C" w:rsidRPr="006D5CF0">
        <w:rPr>
          <w:rFonts w:asciiTheme="majorBidi" w:hAnsiTheme="majorBidi" w:cstheme="majorBidi"/>
          <w:szCs w:val="24"/>
        </w:rPr>
        <w:fldChar w:fldCharType="end"/>
      </w:r>
      <w:r w:rsidR="006D5CF0">
        <w:rPr>
          <w:rFonts w:asciiTheme="majorBidi" w:hAnsiTheme="majorBidi" w:cstheme="majorBidi"/>
          <w:szCs w:val="24"/>
        </w:rPr>
        <w:t xml:space="preserve">. </w:t>
      </w:r>
      <w:r>
        <w:t xml:space="preserve">Service access is also significantly associated with utilization, with patients who have good access being six times more likely to use </w:t>
      </w:r>
      <w:proofErr w:type="spellStart"/>
      <w:r>
        <w:t>Prolanis</w:t>
      </w:r>
      <w:proofErr w:type="spellEnd"/>
      <w:r>
        <w:t xml:space="preserve">. Previous research notes that poor access is a major barrier to </w:t>
      </w:r>
      <w:proofErr w:type="spellStart"/>
      <w:r>
        <w:t>Prolanis</w:t>
      </w:r>
      <w:proofErr w:type="spellEnd"/>
      <w:r>
        <w:t xml:space="preserve"> participation, especially in rural areas. Similar studies among chronic disease patients in developing countries found that easier access increases patient retention in chronic disease management programs</w:t>
      </w:r>
      <w:r>
        <w:t xml:space="preserve"> </w:t>
      </w:r>
      <w:r w:rsidR="00020A2C" w:rsidRPr="006D5CF0">
        <w:rPr>
          <w:rFonts w:asciiTheme="majorBidi" w:hAnsiTheme="majorBidi" w:cstheme="majorBidi"/>
          <w:szCs w:val="24"/>
        </w:rPr>
        <w:fldChar w:fldCharType="begin" w:fldLock="1"/>
      </w:r>
      <w:r w:rsidR="00EC477A">
        <w:rPr>
          <w:rFonts w:asciiTheme="majorBidi" w:hAnsiTheme="majorBidi" w:cstheme="majorBidi"/>
          <w:szCs w:val="24"/>
        </w:rPr>
        <w:instrText>ADDIN CSL_CITATION {"citationItems":[{"id":"ITEM-1","itemData":{"abstract":"Diabetes melitus (DM) merupakan penyakit multifaktorial yang dapat menimbulkan komplikasi baik akut maupun kronis serta dapat menurunkan kualitas hidup penderitanya. Prevalensi DM di seluruh dunia terus meningkat setiap saat. DM sendiri dibedakan menjadi 4 yaitu DM tipe 1, DM tipe 2, DM tipe lain dan diabetes gestasional. Skrining terhadap DM sangat penting karena dapat berimplikasi pada semakin dini terapi diberikan, yang pada akhirnya menurunkan perkembangan DM. Sangat sulit untuk mendiagnosis DM pada fase awal penyakit karena gejalanya biasanya tidak menunjukkan gejala. Pelayanan kesehatan primer (PHC) merupakan pintu masuk awal bagi pasien dalam sistem pelayanan kesehatan khususnya di Indonesia. Puskesmas lebih bergerak pada bidang kesehatan masyarakat dan merupakan tempat yang strategis dalam melakukan skrining dan diagnosis dini penyakit DM. Skrining DM tergantung pada jenis DM dimana tidak dianjurkan untuk melakukan skrining DM tipe 1, skrining setiap 3 bulan pada orang berisiko tinggi/umur &gt; 45 tahun untuk DM tipe 2, dan skrining pada saat diketahui kehamilan untuk diabetes gestasional. Diagnosis DM di Puskesmas dilakukan sesuai dengan pedoman diagnosis DM yang dikeluarkan oleh Kementerian Kesehatan RI atau Perkeni.","author":[{"dropping-particle":"","family":"Nugraha","given":"Ida Bagus Aditya","non-dropping-particle":"","parse-names":false,"suffix":""},{"dropping-particle":"","family":"Pramana","given":"Gede AbiYoga","non-dropping-particle":"","parse-names":false,"suffix":""},{"dropping-particle":"","family":"Gotera","given":"Wira","non-dropping-particle":"","parse-names":false,"suffix":""}],"container-title":"Ganesha Medicina Journal","id":"ITEM-1","issue":"1","issued":{"date-parts":[["2025"]]},"page":"20-26","title":"Penapisan Dan Diagnosis Diabetes Melitus Pada Pelayanan Kesehatan Primer","type":"article-journal","volume":"5"},"uris":["http://www.mendeley.com/documents/?uuid=45c3cfb1-bbad-49bd-9156-5be89c033e10"]}],"mendeley":{"formattedCitation":"(Nugraha et al., 2025)","plainTextFormattedCitation":"(Nugraha et al., 2025)","previouslyFormattedCitation":"(Nugraha et al., 2025)"},"properties":{"noteIndex":0},"schema":"https://github.com/citation-style-language/schema/raw/master/csl-citation.json"}</w:instrText>
      </w:r>
      <w:r w:rsidR="00020A2C" w:rsidRPr="006D5CF0">
        <w:rPr>
          <w:rFonts w:asciiTheme="majorBidi" w:hAnsiTheme="majorBidi" w:cstheme="majorBidi"/>
          <w:szCs w:val="24"/>
        </w:rPr>
        <w:fldChar w:fldCharType="separate"/>
      </w:r>
      <w:r w:rsidR="00AF4670" w:rsidRPr="006D5CF0">
        <w:rPr>
          <w:rFonts w:asciiTheme="majorBidi" w:hAnsiTheme="majorBidi" w:cstheme="majorBidi"/>
          <w:noProof/>
          <w:szCs w:val="24"/>
        </w:rPr>
        <w:t>(Nugraha et al., 2025)</w:t>
      </w:r>
      <w:r w:rsidR="00020A2C" w:rsidRPr="006D5CF0">
        <w:rPr>
          <w:rFonts w:asciiTheme="majorBidi" w:hAnsiTheme="majorBidi" w:cstheme="majorBidi"/>
          <w:szCs w:val="24"/>
        </w:rPr>
        <w:fldChar w:fldCharType="end"/>
      </w:r>
      <w:r w:rsidR="006D5CF0">
        <w:rPr>
          <w:rFonts w:asciiTheme="majorBidi" w:hAnsiTheme="majorBidi" w:cstheme="majorBidi"/>
          <w:szCs w:val="24"/>
        </w:rPr>
        <w:t>.</w:t>
      </w:r>
    </w:p>
    <w:p w14:paraId="71F465B0" w14:textId="558FC6E2" w:rsidR="00190D5D" w:rsidRDefault="00190D5D" w:rsidP="00453DB9">
      <w:pPr>
        <w:pStyle w:val="ListParagraph"/>
        <w:numPr>
          <w:ilvl w:val="8"/>
          <w:numId w:val="1"/>
        </w:numPr>
        <w:suppressAutoHyphens w:val="0"/>
        <w:ind w:leftChars="0" w:left="284" w:firstLineChars="0" w:hanging="286"/>
        <w:textDirection w:val="lrTb"/>
        <w:textAlignment w:val="auto"/>
        <w:outlineLvl w:val="9"/>
        <w:rPr>
          <w:rFonts w:asciiTheme="majorBidi" w:hAnsiTheme="majorBidi" w:cstheme="majorBidi"/>
          <w:b/>
          <w:bCs/>
          <w:iCs/>
          <w:color w:val="000000" w:themeColor="text1"/>
          <w:szCs w:val="24"/>
        </w:rPr>
      </w:pPr>
      <w:r w:rsidRPr="00190D5D">
        <w:rPr>
          <w:rFonts w:asciiTheme="majorBidi" w:hAnsiTheme="majorBidi" w:cstheme="majorBidi"/>
          <w:b/>
          <w:bCs/>
          <w:iCs/>
          <w:color w:val="000000" w:themeColor="text1"/>
          <w:szCs w:val="24"/>
        </w:rPr>
        <w:t>Research Limitations</w:t>
      </w:r>
    </w:p>
    <w:p w14:paraId="1E0BD9CB" w14:textId="424D2C75" w:rsidR="00190D5D" w:rsidRPr="006D5CF0" w:rsidRDefault="00190D5D" w:rsidP="00453DB9">
      <w:pPr>
        <w:pStyle w:val="ListParagraph"/>
        <w:suppressAutoHyphens w:val="0"/>
        <w:ind w:leftChars="0" w:left="284" w:firstLineChars="0" w:firstLine="567"/>
        <w:textDirection w:val="lrTb"/>
        <w:textAlignment w:val="auto"/>
        <w:outlineLvl w:val="9"/>
        <w:rPr>
          <w:rFonts w:eastAsia="Times New Roman" w:cs="Times New Roman"/>
          <w:position w:val="0"/>
          <w:szCs w:val="24"/>
          <w:lang w:val="en-ID" w:eastAsia="en-ID"/>
        </w:rPr>
      </w:pPr>
      <w:r>
        <w:t xml:space="preserve">The limitations of this study include its restricted scope, which was limited to </w:t>
      </w:r>
      <w:proofErr w:type="spellStart"/>
      <w:r>
        <w:t>Demak</w:t>
      </w:r>
      <w:proofErr w:type="spellEnd"/>
      <w:r>
        <w:t xml:space="preserve"> Regency, making the findings less generalizable to other regions that may have different characteristics and variations in </w:t>
      </w:r>
      <w:proofErr w:type="spellStart"/>
      <w:r>
        <w:t>Prolanis</w:t>
      </w:r>
      <w:proofErr w:type="spellEnd"/>
      <w:r>
        <w:t xml:space="preserve"> implementation. This study also relied on respondents’ honesty without objective verification through data such as </w:t>
      </w:r>
      <w:proofErr w:type="spellStart"/>
      <w:r>
        <w:t>Prolanis</w:t>
      </w:r>
      <w:proofErr w:type="spellEnd"/>
      <w:r>
        <w:t xml:space="preserve"> attendance records or medical records. Additionally, variations in </w:t>
      </w:r>
      <w:proofErr w:type="spellStart"/>
      <w:r>
        <w:t>Prolanis</w:t>
      </w:r>
      <w:proofErr w:type="spellEnd"/>
      <w:r>
        <w:t xml:space="preserve"> implementation across </w:t>
      </w:r>
      <w:r>
        <w:lastRenderedPageBreak/>
        <w:t>primary healthcare facilities (FKTP) were not controlled, even though differences in scheduling, frequency of education, availability of healthcare workers, and quality of monitoring could influence program utilization but were not further analyzed.</w:t>
      </w:r>
    </w:p>
    <w:p w14:paraId="69049C76" w14:textId="77777777" w:rsidR="006D5CF0" w:rsidRDefault="006D5CF0" w:rsidP="006D5CF0">
      <w:pPr>
        <w:spacing w:after="0" w:line="360" w:lineRule="auto"/>
        <w:ind w:left="0" w:hanging="2"/>
        <w:jc w:val="both"/>
        <w:rPr>
          <w:rFonts w:ascii="Times New Roman" w:eastAsia="Times New Roman" w:hAnsi="Times New Roman" w:cs="Times New Roman"/>
          <w:b/>
          <w:sz w:val="24"/>
          <w:szCs w:val="24"/>
        </w:rPr>
      </w:pPr>
    </w:p>
    <w:p w14:paraId="6F71B80D" w14:textId="50EE6EF5" w:rsidR="005852D4" w:rsidRDefault="002678EE" w:rsidP="006D5CF0">
      <w:pPr>
        <w:spacing w:after="0" w:line="360" w:lineRule="auto"/>
        <w:ind w:left="0" w:hanging="2"/>
        <w:jc w:val="both"/>
        <w:rPr>
          <w:rFonts w:asciiTheme="majorBidi" w:eastAsia="Times New Roman" w:hAnsiTheme="majorBidi" w:cstheme="majorBidi"/>
          <w:b/>
          <w:sz w:val="24"/>
          <w:szCs w:val="24"/>
        </w:rPr>
      </w:pPr>
      <w:r w:rsidRPr="006D5CF0">
        <w:rPr>
          <w:rFonts w:asciiTheme="majorBidi" w:eastAsia="Times New Roman" w:hAnsiTheme="majorBidi" w:cstheme="majorBidi"/>
          <w:b/>
          <w:sz w:val="24"/>
          <w:szCs w:val="24"/>
        </w:rPr>
        <w:t>CONCLUSIONS</w:t>
      </w:r>
    </w:p>
    <w:p w14:paraId="00B7689E" w14:textId="77777777" w:rsidR="00190D5D" w:rsidRDefault="00190D5D" w:rsidP="00190D5D">
      <w:pPr>
        <w:spacing w:after="0" w:line="360" w:lineRule="auto"/>
        <w:ind w:left="-2" w:firstLineChars="236" w:firstLine="566"/>
        <w:jc w:val="both"/>
        <w:rPr>
          <w:rFonts w:ascii="Times New Roman" w:eastAsia="Times New Roman" w:hAnsi="Times New Roman" w:cs="Times New Roman"/>
          <w:position w:val="0"/>
          <w:sz w:val="24"/>
          <w:szCs w:val="24"/>
          <w:lang w:val="en-ID" w:eastAsia="en-ID"/>
        </w:rPr>
      </w:pPr>
      <w:r w:rsidRPr="00190D5D">
        <w:rPr>
          <w:rFonts w:ascii="Times New Roman" w:eastAsia="Times New Roman" w:hAnsi="Times New Roman" w:cs="Times New Roman"/>
          <w:position w:val="0"/>
          <w:sz w:val="24"/>
          <w:szCs w:val="24"/>
          <w:lang w:val="en-ID" w:eastAsia="en-ID"/>
        </w:rPr>
        <w:t xml:space="preserve">The results of the study show a significant relationship between knowledge level (p = 0.000; OR = 38.5), family support (p = 0.000; OR = 49), healthcare worker support (p = 0.000; OR = 23.2), service access (p = 0.000; OR = 6.1), and perceived need (p = 0.000; OR = 22.6) with </w:t>
      </w:r>
      <w:proofErr w:type="spellStart"/>
      <w:r w:rsidRPr="00190D5D">
        <w:rPr>
          <w:rFonts w:ascii="Times New Roman" w:eastAsia="Times New Roman" w:hAnsi="Times New Roman" w:cs="Times New Roman"/>
          <w:position w:val="0"/>
          <w:sz w:val="24"/>
          <w:szCs w:val="24"/>
          <w:lang w:val="en-ID" w:eastAsia="en-ID"/>
        </w:rPr>
        <w:t>Prolanis</w:t>
      </w:r>
      <w:proofErr w:type="spellEnd"/>
      <w:r w:rsidRPr="00190D5D">
        <w:rPr>
          <w:rFonts w:ascii="Times New Roman" w:eastAsia="Times New Roman" w:hAnsi="Times New Roman" w:cs="Times New Roman"/>
          <w:position w:val="0"/>
          <w:sz w:val="24"/>
          <w:szCs w:val="24"/>
          <w:lang w:val="en-ID" w:eastAsia="en-ID"/>
        </w:rPr>
        <w:t xml:space="preserve"> utilization. Logistic regression analysis indicated that all variables (knowledge, family support, healthcare worker support, access, and perceived need) significantly affected </w:t>
      </w:r>
      <w:proofErr w:type="spellStart"/>
      <w:r w:rsidRPr="00190D5D">
        <w:rPr>
          <w:rFonts w:ascii="Times New Roman" w:eastAsia="Times New Roman" w:hAnsi="Times New Roman" w:cs="Times New Roman"/>
          <w:position w:val="0"/>
          <w:sz w:val="24"/>
          <w:szCs w:val="24"/>
          <w:lang w:val="en-ID" w:eastAsia="en-ID"/>
        </w:rPr>
        <w:t>Prolanis</w:t>
      </w:r>
      <w:proofErr w:type="spellEnd"/>
      <w:r w:rsidRPr="00190D5D">
        <w:rPr>
          <w:rFonts w:ascii="Times New Roman" w:eastAsia="Times New Roman" w:hAnsi="Times New Roman" w:cs="Times New Roman"/>
          <w:position w:val="0"/>
          <w:sz w:val="24"/>
          <w:szCs w:val="24"/>
          <w:lang w:val="en-ID" w:eastAsia="en-ID"/>
        </w:rPr>
        <w:t xml:space="preserve"> utilization (p &lt; 0.05). Family support was the dominant factor with the highest Exp(B) value (39.868), followed by knowledge (24.877), perceived need (20.778), healthcare worker support (10.948), and service access (6.036).</w:t>
      </w:r>
    </w:p>
    <w:p w14:paraId="4B477B36" w14:textId="590A71AA" w:rsidR="00190D5D" w:rsidRPr="00190D5D" w:rsidRDefault="00190D5D" w:rsidP="00190D5D">
      <w:pPr>
        <w:spacing w:after="0" w:line="360" w:lineRule="auto"/>
        <w:ind w:left="-2" w:firstLineChars="236" w:firstLine="566"/>
        <w:jc w:val="both"/>
        <w:rPr>
          <w:rFonts w:ascii="Times New Roman" w:eastAsia="Times New Roman" w:hAnsi="Times New Roman" w:cs="Times New Roman"/>
          <w:position w:val="0"/>
          <w:sz w:val="24"/>
          <w:szCs w:val="24"/>
          <w:lang w:val="en-ID" w:eastAsia="en-ID"/>
        </w:rPr>
      </w:pPr>
      <w:r w:rsidRPr="00190D5D">
        <w:rPr>
          <w:rFonts w:ascii="Times New Roman" w:eastAsia="Times New Roman" w:hAnsi="Times New Roman" w:cs="Times New Roman"/>
          <w:position w:val="0"/>
          <w:sz w:val="24"/>
          <w:szCs w:val="24"/>
          <w:lang w:val="en-ID" w:eastAsia="en-ID"/>
        </w:rPr>
        <w:t xml:space="preserve">Based on these findings, it is recommended that patients improve their understanding of diabetes and the importance of participating in </w:t>
      </w:r>
      <w:proofErr w:type="spellStart"/>
      <w:r w:rsidRPr="00190D5D">
        <w:rPr>
          <w:rFonts w:ascii="Times New Roman" w:eastAsia="Times New Roman" w:hAnsi="Times New Roman" w:cs="Times New Roman"/>
          <w:position w:val="0"/>
          <w:sz w:val="24"/>
          <w:szCs w:val="24"/>
          <w:lang w:val="en-ID" w:eastAsia="en-ID"/>
        </w:rPr>
        <w:t>Prolanis</w:t>
      </w:r>
      <w:proofErr w:type="spellEnd"/>
      <w:r w:rsidRPr="00190D5D">
        <w:rPr>
          <w:rFonts w:ascii="Times New Roman" w:eastAsia="Times New Roman" w:hAnsi="Times New Roman" w:cs="Times New Roman"/>
          <w:position w:val="0"/>
          <w:sz w:val="24"/>
          <w:szCs w:val="24"/>
          <w:lang w:val="en-ID" w:eastAsia="en-ID"/>
        </w:rPr>
        <w:t xml:space="preserve"> routinely by optimizing their involvement in educational sessions, exercise activities, and regular health check-ups. Families are encouraged to provide emotional and practical support, including reminding patients of scheduled visits, assisting with transportation, and participating in healthy eating practices and medication supervision. Primary health </w:t>
      </w:r>
      <w:proofErr w:type="spellStart"/>
      <w:r w:rsidRPr="00190D5D">
        <w:rPr>
          <w:rFonts w:ascii="Times New Roman" w:eastAsia="Times New Roman" w:hAnsi="Times New Roman" w:cs="Times New Roman"/>
          <w:position w:val="0"/>
          <w:sz w:val="24"/>
          <w:szCs w:val="24"/>
          <w:lang w:val="en-ID" w:eastAsia="en-ID"/>
        </w:rPr>
        <w:t>centers</w:t>
      </w:r>
      <w:proofErr w:type="spellEnd"/>
      <w:r w:rsidRPr="00190D5D">
        <w:rPr>
          <w:rFonts w:ascii="Times New Roman" w:eastAsia="Times New Roman" w:hAnsi="Times New Roman" w:cs="Times New Roman"/>
          <w:position w:val="0"/>
          <w:sz w:val="24"/>
          <w:szCs w:val="24"/>
          <w:lang w:val="en-ID" w:eastAsia="en-ID"/>
        </w:rPr>
        <w:t xml:space="preserve"> (</w:t>
      </w:r>
      <w:proofErr w:type="spellStart"/>
      <w:r w:rsidRPr="00190D5D">
        <w:rPr>
          <w:rFonts w:ascii="Times New Roman" w:eastAsia="Times New Roman" w:hAnsi="Times New Roman" w:cs="Times New Roman"/>
          <w:position w:val="0"/>
          <w:sz w:val="24"/>
          <w:szCs w:val="24"/>
          <w:lang w:val="en-ID" w:eastAsia="en-ID"/>
        </w:rPr>
        <w:t>Puskesmas</w:t>
      </w:r>
      <w:proofErr w:type="spellEnd"/>
      <w:r w:rsidRPr="00190D5D">
        <w:rPr>
          <w:rFonts w:ascii="Times New Roman" w:eastAsia="Times New Roman" w:hAnsi="Times New Roman" w:cs="Times New Roman"/>
          <w:position w:val="0"/>
          <w:sz w:val="24"/>
          <w:szCs w:val="24"/>
          <w:lang w:val="en-ID" w:eastAsia="en-ID"/>
        </w:rPr>
        <w:t xml:space="preserve">) and BPJS Kesehatan should improve </w:t>
      </w:r>
      <w:proofErr w:type="spellStart"/>
      <w:r w:rsidRPr="00190D5D">
        <w:rPr>
          <w:rFonts w:ascii="Times New Roman" w:eastAsia="Times New Roman" w:hAnsi="Times New Roman" w:cs="Times New Roman"/>
          <w:position w:val="0"/>
          <w:sz w:val="24"/>
          <w:szCs w:val="24"/>
          <w:lang w:val="en-ID" w:eastAsia="en-ID"/>
        </w:rPr>
        <w:t>Prolanis</w:t>
      </w:r>
      <w:proofErr w:type="spellEnd"/>
      <w:r w:rsidRPr="00190D5D">
        <w:rPr>
          <w:rFonts w:ascii="Times New Roman" w:eastAsia="Times New Roman" w:hAnsi="Times New Roman" w:cs="Times New Roman"/>
          <w:position w:val="0"/>
          <w:sz w:val="24"/>
          <w:szCs w:val="24"/>
          <w:lang w:val="en-ID" w:eastAsia="en-ID"/>
        </w:rPr>
        <w:t xml:space="preserve"> access through flexible scheduling, community-based services, and further optimization of program activities such as </w:t>
      </w:r>
      <w:proofErr w:type="spellStart"/>
      <w:r w:rsidRPr="00190D5D">
        <w:rPr>
          <w:rFonts w:ascii="Times New Roman" w:eastAsia="Times New Roman" w:hAnsi="Times New Roman" w:cs="Times New Roman"/>
          <w:position w:val="0"/>
          <w:sz w:val="24"/>
          <w:szCs w:val="24"/>
          <w:lang w:val="en-ID" w:eastAsia="en-ID"/>
        </w:rPr>
        <w:t>Prolanis</w:t>
      </w:r>
      <w:proofErr w:type="spellEnd"/>
      <w:r w:rsidRPr="00190D5D">
        <w:rPr>
          <w:rFonts w:ascii="Times New Roman" w:eastAsia="Times New Roman" w:hAnsi="Times New Roman" w:cs="Times New Roman"/>
          <w:position w:val="0"/>
          <w:sz w:val="24"/>
          <w:szCs w:val="24"/>
          <w:lang w:val="en-ID" w:eastAsia="en-ID"/>
        </w:rPr>
        <w:t xml:space="preserve"> clubs, regular education, and attendance monitoring.</w:t>
      </w:r>
    </w:p>
    <w:p w14:paraId="2DC17FA5" w14:textId="77777777" w:rsidR="005852D4" w:rsidRPr="006D5CF0" w:rsidRDefault="005852D4" w:rsidP="00EC477A">
      <w:pPr>
        <w:spacing w:after="0" w:line="360" w:lineRule="auto"/>
        <w:ind w:left="0" w:hanging="2"/>
        <w:jc w:val="both"/>
        <w:rPr>
          <w:rFonts w:asciiTheme="majorBidi" w:eastAsia="Times New Roman" w:hAnsiTheme="majorBidi" w:cstheme="majorBidi"/>
          <w:color w:val="000000"/>
          <w:sz w:val="24"/>
          <w:szCs w:val="24"/>
        </w:rPr>
      </w:pPr>
    </w:p>
    <w:p w14:paraId="734A9AAE" w14:textId="77777777" w:rsidR="005852D4" w:rsidRPr="006D5CF0" w:rsidRDefault="002678EE" w:rsidP="00EC477A">
      <w:pPr>
        <w:spacing w:after="0" w:line="360" w:lineRule="auto"/>
        <w:ind w:left="0" w:hanging="2"/>
        <w:jc w:val="both"/>
        <w:rPr>
          <w:rFonts w:asciiTheme="majorBidi" w:eastAsia="Times New Roman" w:hAnsiTheme="majorBidi" w:cstheme="majorBidi"/>
          <w:sz w:val="24"/>
          <w:szCs w:val="24"/>
        </w:rPr>
      </w:pPr>
      <w:r w:rsidRPr="006D5CF0">
        <w:rPr>
          <w:rFonts w:asciiTheme="majorBidi" w:eastAsia="Times New Roman" w:hAnsiTheme="majorBidi" w:cstheme="majorBidi"/>
          <w:b/>
          <w:sz w:val="24"/>
          <w:szCs w:val="24"/>
        </w:rPr>
        <w:t>REFERENCE</w:t>
      </w:r>
    </w:p>
    <w:p w14:paraId="3A4C5381" w14:textId="4C7683B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 xml:space="preserve">ADDIN Mendeley Bibliography CSL_BIBLIOGRAPHY </w:instrText>
      </w:r>
      <w:r>
        <w:rPr>
          <w:rFonts w:ascii="Times New Roman" w:eastAsia="Times New Roman" w:hAnsi="Times New Roman" w:cs="Times New Roman"/>
          <w:sz w:val="24"/>
          <w:szCs w:val="24"/>
        </w:rPr>
        <w:fldChar w:fldCharType="separate"/>
      </w:r>
      <w:r w:rsidRPr="00190D5D">
        <w:rPr>
          <w:rFonts w:ascii="Times New Roman" w:hAnsi="Times New Roman" w:cs="Times New Roman"/>
          <w:noProof/>
          <w:sz w:val="24"/>
          <w:szCs w:val="24"/>
        </w:rPr>
        <w:t xml:space="preserve">Aini, Z., Suardi, H. N., Dewi, F. M., Ibrahim, T., Waraztuty, I., &amp; Mulia, V. D. (2025). Family Support and Medication Adherence in Patients in Prolanis Program. </w:t>
      </w:r>
      <w:r w:rsidRPr="00190D5D">
        <w:rPr>
          <w:rFonts w:ascii="Times New Roman" w:hAnsi="Times New Roman" w:cs="Times New Roman"/>
          <w:i/>
          <w:iCs/>
          <w:noProof/>
          <w:sz w:val="24"/>
          <w:szCs w:val="24"/>
        </w:rPr>
        <w:t>Majalah Kedokteran Bandung (MKB)</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57</w:t>
      </w:r>
      <w:r w:rsidRPr="00190D5D">
        <w:rPr>
          <w:rFonts w:ascii="Times New Roman" w:hAnsi="Times New Roman" w:cs="Times New Roman"/>
          <w:noProof/>
          <w:sz w:val="24"/>
          <w:szCs w:val="24"/>
        </w:rPr>
        <w:t>(3), 203–211.</w:t>
      </w:r>
    </w:p>
    <w:p w14:paraId="1D2C46B8"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Alanzi, T. M., Alanzi, N., Majrabi, A., Alhajri, A. S., Alzahrani, L., Alqahtani, N., Alqadhibi, A., Alenazi, S., Alsaedi, H., Alghamdi, E., Bin Hamad, N., Habib, W., Alharthi, N. H., Alharbi, M., &amp; Alyahya, N. N. (2024). Exploring Patient Preferences Related to Shared Decision-Making in Chronic  Disease Management. </w:t>
      </w:r>
      <w:r w:rsidRPr="00190D5D">
        <w:rPr>
          <w:rFonts w:ascii="Times New Roman" w:hAnsi="Times New Roman" w:cs="Times New Roman"/>
          <w:i/>
          <w:iCs/>
          <w:noProof/>
          <w:sz w:val="24"/>
          <w:szCs w:val="24"/>
        </w:rPr>
        <w:t>Cureus</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16</w:t>
      </w:r>
      <w:r w:rsidRPr="00190D5D">
        <w:rPr>
          <w:rFonts w:ascii="Times New Roman" w:hAnsi="Times New Roman" w:cs="Times New Roman"/>
          <w:noProof/>
          <w:sz w:val="24"/>
          <w:szCs w:val="24"/>
        </w:rPr>
        <w:t>(9), e70214. https://doi.org/10.7759/cureus.70214</w:t>
      </w:r>
    </w:p>
    <w:p w14:paraId="46A1C5ED"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Alkaff, F. F., Illavi, F., Salamah, S., Setiyawati, W., Ramadhani, R., Purwantini, E., &amp; Tahapary, D. L. (2021). The Impact of the Indonesian Chronic Disease Management Program (PROLANIS) on  Metabolic Control and Renal Function of Type 2 Diabetes Mellitus Patients in Primary Care Setting. </w:t>
      </w:r>
      <w:r w:rsidRPr="00190D5D">
        <w:rPr>
          <w:rFonts w:ascii="Times New Roman" w:hAnsi="Times New Roman" w:cs="Times New Roman"/>
          <w:i/>
          <w:iCs/>
          <w:noProof/>
          <w:sz w:val="24"/>
          <w:szCs w:val="24"/>
        </w:rPr>
        <w:t>Journal of Primary Care &amp; Community Health</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12</w:t>
      </w:r>
      <w:r w:rsidRPr="00190D5D">
        <w:rPr>
          <w:rFonts w:ascii="Times New Roman" w:hAnsi="Times New Roman" w:cs="Times New Roman"/>
          <w:noProof/>
          <w:sz w:val="24"/>
          <w:szCs w:val="24"/>
        </w:rPr>
        <w:t>, 2150132720984409. https://doi.org/10.1177/2150132720984409</w:t>
      </w:r>
    </w:p>
    <w:p w14:paraId="47330112"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lastRenderedPageBreak/>
        <w:t xml:space="preserve">Ambarita, A. T., &amp; Nurwahyuni, A. (2022). Analysis of Implementation Chronic Disease Program (PROLANIS) During Pandemic COVID-19 on Primary Health Care. </w:t>
      </w:r>
      <w:r w:rsidRPr="00190D5D">
        <w:rPr>
          <w:rFonts w:ascii="Times New Roman" w:hAnsi="Times New Roman" w:cs="Times New Roman"/>
          <w:i/>
          <w:iCs/>
          <w:noProof/>
          <w:sz w:val="24"/>
          <w:szCs w:val="24"/>
        </w:rPr>
        <w:t>J-Kesmas: Jurnal Fakultas Kesehatan Masyarakat (The Indonesian Journal of Public Health)</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09</w:t>
      </w:r>
      <w:r w:rsidRPr="00190D5D">
        <w:rPr>
          <w:rFonts w:ascii="Times New Roman" w:hAnsi="Times New Roman" w:cs="Times New Roman"/>
          <w:noProof/>
          <w:sz w:val="24"/>
          <w:szCs w:val="24"/>
        </w:rPr>
        <w:t>(1), 24–30.</w:t>
      </w:r>
    </w:p>
    <w:p w14:paraId="0ABCDF91"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American Diabetes Association (ADA). (2024). </w:t>
      </w:r>
      <w:r w:rsidRPr="00190D5D">
        <w:rPr>
          <w:rFonts w:ascii="Times New Roman" w:hAnsi="Times New Roman" w:cs="Times New Roman"/>
          <w:i/>
          <w:iCs/>
          <w:noProof/>
          <w:sz w:val="24"/>
          <w:szCs w:val="24"/>
        </w:rPr>
        <w:t>Standars od Medical Care In Diabetes</w:t>
      </w:r>
      <w:r w:rsidRPr="00190D5D">
        <w:rPr>
          <w:rFonts w:ascii="Times New Roman" w:hAnsi="Times New Roman" w:cs="Times New Roman"/>
          <w:noProof/>
          <w:sz w:val="24"/>
          <w:szCs w:val="24"/>
        </w:rPr>
        <w:t>. ADA. www.diabetesjournals.org</w:t>
      </w:r>
    </w:p>
    <w:p w14:paraId="0AD970DB"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Ariana, R., Windani, C., &amp; Kurniawan, T. (2021). Perception Of Prolanis Participants About Chronic Disease Management Program Activities (Prolanis) In The Primary Health Service Universitas Padjadjaran. </w:t>
      </w:r>
      <w:r w:rsidRPr="00190D5D">
        <w:rPr>
          <w:rFonts w:ascii="Times New Roman" w:hAnsi="Times New Roman" w:cs="Times New Roman"/>
          <w:i/>
          <w:iCs/>
          <w:noProof/>
          <w:sz w:val="24"/>
          <w:szCs w:val="24"/>
        </w:rPr>
        <w:t>NurseLine Journal</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4</w:t>
      </w:r>
      <w:r w:rsidRPr="00190D5D">
        <w:rPr>
          <w:rFonts w:ascii="Times New Roman" w:hAnsi="Times New Roman" w:cs="Times New Roman"/>
          <w:noProof/>
          <w:sz w:val="24"/>
          <w:szCs w:val="24"/>
        </w:rPr>
        <w:t>(2), 103–110.</w:t>
      </w:r>
    </w:p>
    <w:p w14:paraId="52CB375B"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Azhari, M. R., Li, P. V, &amp; Firmansyah, F. (2025). The Analysis of Health Workers’ Support and Perceived Health Services Needs Factors to Improve The Use Of The Chronic Disease Management Program (Prolanis) In Diabetic Patients In Kamonji Public Health Center, Palu City. </w:t>
      </w:r>
      <w:r w:rsidRPr="00190D5D">
        <w:rPr>
          <w:rFonts w:ascii="Times New Roman" w:hAnsi="Times New Roman" w:cs="Times New Roman"/>
          <w:i/>
          <w:iCs/>
          <w:noProof/>
          <w:sz w:val="24"/>
          <w:szCs w:val="24"/>
        </w:rPr>
        <w:t>Journal of Public Health Science (JoPHS)</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2</w:t>
      </w:r>
      <w:r w:rsidRPr="00190D5D">
        <w:rPr>
          <w:rFonts w:ascii="Times New Roman" w:hAnsi="Times New Roman" w:cs="Times New Roman"/>
          <w:noProof/>
          <w:sz w:val="24"/>
          <w:szCs w:val="24"/>
        </w:rPr>
        <w:t>(2), 154–165. https://doi.org/https://doi.org/10.70248/jophs.v2i2.2189</w:t>
      </w:r>
    </w:p>
    <w:p w14:paraId="591787EE"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Barrio-Cortes, J., Soria-Ruiz-Ogarrio, M., Martínez-Cuevas, M., Castaño-Reguillo, A., Bandeira-de Oliveira, M., Beca-Martínez, M. T., López-Rodríguez, M. C., &amp; Jaime-Sisó, M. Á. (2021). Use of primary and hospital care health services by chronic patients according to  risk level by adjusted morbidity groups. </w:t>
      </w:r>
      <w:r w:rsidRPr="00190D5D">
        <w:rPr>
          <w:rFonts w:ascii="Times New Roman" w:hAnsi="Times New Roman" w:cs="Times New Roman"/>
          <w:i/>
          <w:iCs/>
          <w:noProof/>
          <w:sz w:val="24"/>
          <w:szCs w:val="24"/>
        </w:rPr>
        <w:t>BMC Health Services Research</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21</w:t>
      </w:r>
      <w:r w:rsidRPr="00190D5D">
        <w:rPr>
          <w:rFonts w:ascii="Times New Roman" w:hAnsi="Times New Roman" w:cs="Times New Roman"/>
          <w:noProof/>
          <w:sz w:val="24"/>
          <w:szCs w:val="24"/>
        </w:rPr>
        <w:t>(1), 1046. https://doi.org/10.1186/s12913-021-07020-z</w:t>
      </w:r>
    </w:p>
    <w:p w14:paraId="76C6A88C"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Belete, A. M., Gemeda, B. N., Akalu, T. Y., Aynalem, Y. A., &amp; Shiferaw, W. S. (2023). What is the effect of mobile phone text message reminders on medication adherence  among adult type 2 diabetes mellitus patients: a systematic review and meta-analysis of randomized controlled trials. </w:t>
      </w:r>
      <w:r w:rsidRPr="00190D5D">
        <w:rPr>
          <w:rFonts w:ascii="Times New Roman" w:hAnsi="Times New Roman" w:cs="Times New Roman"/>
          <w:i/>
          <w:iCs/>
          <w:noProof/>
          <w:sz w:val="24"/>
          <w:szCs w:val="24"/>
        </w:rPr>
        <w:t>BMC Endocrine Disorders</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23</w:t>
      </w:r>
      <w:r w:rsidRPr="00190D5D">
        <w:rPr>
          <w:rFonts w:ascii="Times New Roman" w:hAnsi="Times New Roman" w:cs="Times New Roman"/>
          <w:noProof/>
          <w:sz w:val="24"/>
          <w:szCs w:val="24"/>
        </w:rPr>
        <w:t>(1), 18. https://doi.org/10.1186/s12902-023-01268-8</w:t>
      </w:r>
    </w:p>
    <w:p w14:paraId="3E3D0310"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Cahyaningrum, I., Rosdiana, Y., &amp; Pajojang, A. L. (2024). Factors Influencing Active Participation in the Chronic Disease Management Program ( Prolanis ). </w:t>
      </w:r>
      <w:r w:rsidRPr="00190D5D">
        <w:rPr>
          <w:rFonts w:ascii="Times New Roman" w:hAnsi="Times New Roman" w:cs="Times New Roman"/>
          <w:i/>
          <w:iCs/>
          <w:noProof/>
          <w:sz w:val="24"/>
          <w:szCs w:val="24"/>
        </w:rPr>
        <w:t>Care: Jurnal Ilmiah Ilmu Kesehatan</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12</w:t>
      </w:r>
      <w:r w:rsidRPr="00190D5D">
        <w:rPr>
          <w:rFonts w:ascii="Times New Roman" w:hAnsi="Times New Roman" w:cs="Times New Roman"/>
          <w:noProof/>
          <w:sz w:val="24"/>
          <w:szCs w:val="24"/>
        </w:rPr>
        <w:t>(2), 195–204. https://doi.org/https://doi.org/10.33366/jc.v12i2.5746</w:t>
      </w:r>
    </w:p>
    <w:p w14:paraId="45AB4E8F"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Chimezie, R. O. (2023). Health Awareness : A Significant Factor in Chronic Diseases Prevention and Access to Care. </w:t>
      </w:r>
      <w:r w:rsidRPr="00190D5D">
        <w:rPr>
          <w:rFonts w:ascii="Times New Roman" w:hAnsi="Times New Roman" w:cs="Times New Roman"/>
          <w:i/>
          <w:iCs/>
          <w:noProof/>
          <w:sz w:val="24"/>
          <w:szCs w:val="24"/>
        </w:rPr>
        <w:t>Journal of Biosciences and Medicines</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11</w:t>
      </w:r>
      <w:r w:rsidRPr="00190D5D">
        <w:rPr>
          <w:rFonts w:ascii="Times New Roman" w:hAnsi="Times New Roman" w:cs="Times New Roman"/>
          <w:noProof/>
          <w:sz w:val="24"/>
          <w:szCs w:val="24"/>
        </w:rPr>
        <w:t>, 64–79. https://doi.org/10.4236/jbm.2023.112005</w:t>
      </w:r>
    </w:p>
    <w:p w14:paraId="57F1A44E"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Cong, C., Lei, X., Jian, Y., Qian, H., Yuan, Y., &amp; Fan, Z. (2024). Among Patient with Chronic Diseases Based on the. </w:t>
      </w:r>
      <w:r w:rsidRPr="00190D5D">
        <w:rPr>
          <w:rFonts w:ascii="Times New Roman" w:hAnsi="Times New Roman" w:cs="Times New Roman"/>
          <w:i/>
          <w:iCs/>
          <w:noProof/>
          <w:sz w:val="24"/>
          <w:szCs w:val="24"/>
        </w:rPr>
        <w:t>Med Discoveries</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3</w:t>
      </w:r>
      <w:r w:rsidRPr="00190D5D">
        <w:rPr>
          <w:rFonts w:ascii="Times New Roman" w:hAnsi="Times New Roman" w:cs="Times New Roman"/>
          <w:noProof/>
          <w:sz w:val="24"/>
          <w:szCs w:val="24"/>
        </w:rPr>
        <w:t>(2), 1–8.</w:t>
      </w:r>
    </w:p>
    <w:p w14:paraId="6C3934CD"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Dahlan, A., Journal, M., &amp; Mulyani, A. (2023). Tingkat Pengetahuan Pasien Program Pengelolaan Penyakit Kronis ( PROLANIS ) Sebelum dan Sesudah Penyuluhan Di Klinik Pratama Sido Waras Knowledge Level of Chronic Disease Management Program ( PROLANIS ) Patients Before and After Counseling at Sido Waras P. </w:t>
      </w:r>
      <w:r w:rsidRPr="00190D5D">
        <w:rPr>
          <w:rFonts w:ascii="Times New Roman" w:hAnsi="Times New Roman" w:cs="Times New Roman"/>
          <w:i/>
          <w:iCs/>
          <w:noProof/>
          <w:sz w:val="24"/>
          <w:szCs w:val="24"/>
        </w:rPr>
        <w:t>Ahmad Dahlan Medical Journal</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4</w:t>
      </w:r>
      <w:r w:rsidRPr="00190D5D">
        <w:rPr>
          <w:rFonts w:ascii="Times New Roman" w:hAnsi="Times New Roman" w:cs="Times New Roman"/>
          <w:noProof/>
          <w:sz w:val="24"/>
          <w:szCs w:val="24"/>
        </w:rPr>
        <w:t>(1), 58–63.</w:t>
      </w:r>
    </w:p>
    <w:p w14:paraId="69AB8EF6"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Dailah, H. G. (2024). The Influence of Nurse-Led Interventions on Diseases Management in Patients with  Diabetes Mellitus: A Narrative Review. </w:t>
      </w:r>
      <w:r w:rsidRPr="00190D5D">
        <w:rPr>
          <w:rFonts w:ascii="Times New Roman" w:hAnsi="Times New Roman" w:cs="Times New Roman"/>
          <w:i/>
          <w:iCs/>
          <w:noProof/>
          <w:sz w:val="24"/>
          <w:szCs w:val="24"/>
        </w:rPr>
        <w:t>Healthcare (Basel, Switzerland)</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12</w:t>
      </w:r>
      <w:r w:rsidRPr="00190D5D">
        <w:rPr>
          <w:rFonts w:ascii="Times New Roman" w:hAnsi="Times New Roman" w:cs="Times New Roman"/>
          <w:noProof/>
          <w:sz w:val="24"/>
          <w:szCs w:val="24"/>
        </w:rPr>
        <w:t>(3). https://doi.org/10.3390/healthcare12030352</w:t>
      </w:r>
    </w:p>
    <w:p w14:paraId="7598622F"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Daly, B. M., Arroll, B., &amp; Scragg, R. K. R. (2022). Nurse’s contribution to the diabetes annual review and funded programmes in Auckland, New Zealand. </w:t>
      </w:r>
      <w:r w:rsidRPr="00190D5D">
        <w:rPr>
          <w:rFonts w:ascii="Times New Roman" w:hAnsi="Times New Roman" w:cs="Times New Roman"/>
          <w:i/>
          <w:iCs/>
          <w:noProof/>
          <w:sz w:val="24"/>
          <w:szCs w:val="24"/>
        </w:rPr>
        <w:t>Primary Care Diabetes</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16</w:t>
      </w:r>
      <w:r w:rsidRPr="00190D5D">
        <w:rPr>
          <w:rFonts w:ascii="Times New Roman" w:hAnsi="Times New Roman" w:cs="Times New Roman"/>
          <w:noProof/>
          <w:sz w:val="24"/>
          <w:szCs w:val="24"/>
        </w:rPr>
        <w:t>(2), 318–324. https://doi.org/10.1016/j.pcd.2022.01.004</w:t>
      </w:r>
    </w:p>
    <w:p w14:paraId="71FB97B6"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lastRenderedPageBreak/>
        <w:t xml:space="preserve">Darmayanti, O., Darmawan, Kusumawardani, E. F., Safrizal, &amp; Siregar, S. M. F. (2025). Utilization of the Chronic Disease Management Program (Prolanis) at Suak Ribee Primary Health Center, Indonesia. </w:t>
      </w:r>
      <w:r w:rsidRPr="00190D5D">
        <w:rPr>
          <w:rFonts w:ascii="Times New Roman" w:hAnsi="Times New Roman" w:cs="Times New Roman"/>
          <w:i/>
          <w:iCs/>
          <w:noProof/>
          <w:sz w:val="24"/>
          <w:szCs w:val="24"/>
        </w:rPr>
        <w:t>An Idea Health Journal</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5</w:t>
      </w:r>
      <w:r w:rsidRPr="00190D5D">
        <w:rPr>
          <w:rFonts w:ascii="Times New Roman" w:hAnsi="Times New Roman" w:cs="Times New Roman"/>
          <w:noProof/>
          <w:sz w:val="24"/>
          <w:szCs w:val="24"/>
        </w:rPr>
        <w:t>(03), 225–233.</w:t>
      </w:r>
    </w:p>
    <w:p w14:paraId="5BF81E05"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Ding, H., Chen, Y., Yu, M., Zhong, J., Hu, R., Chen, X., Wang, C., Xie, K., &amp; Eggleston, K. (2021). The Effects of Chronic Disease Management in Primary Health Care: Evidence from Rural China. </w:t>
      </w:r>
      <w:r w:rsidRPr="00190D5D">
        <w:rPr>
          <w:rFonts w:ascii="Times New Roman" w:hAnsi="Times New Roman" w:cs="Times New Roman"/>
          <w:i/>
          <w:iCs/>
          <w:noProof/>
          <w:sz w:val="24"/>
          <w:szCs w:val="24"/>
        </w:rPr>
        <w:t>Journal of Health Economics</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80</w:t>
      </w:r>
      <w:r w:rsidRPr="00190D5D">
        <w:rPr>
          <w:rFonts w:ascii="Times New Roman" w:hAnsi="Times New Roman" w:cs="Times New Roman"/>
          <w:noProof/>
          <w:sz w:val="24"/>
          <w:szCs w:val="24"/>
        </w:rPr>
        <w:t>, 102539. https://doi.org/https://doi.org/10.1016/j.jhealeco.2021.102539</w:t>
      </w:r>
    </w:p>
    <w:p w14:paraId="58A49E3A"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Dinkes Demak. (2024). Profil Kesehatan Kabupaten Demak 2022. In </w:t>
      </w:r>
      <w:r w:rsidRPr="00190D5D">
        <w:rPr>
          <w:rFonts w:ascii="Times New Roman" w:hAnsi="Times New Roman" w:cs="Times New Roman"/>
          <w:i/>
          <w:iCs/>
          <w:noProof/>
          <w:sz w:val="24"/>
          <w:szCs w:val="24"/>
        </w:rPr>
        <w:t>Dinas Kesehatan Kab. Demak</w:t>
      </w:r>
      <w:r w:rsidRPr="00190D5D">
        <w:rPr>
          <w:rFonts w:ascii="Times New Roman" w:hAnsi="Times New Roman" w:cs="Times New Roman"/>
          <w:noProof/>
          <w:sz w:val="24"/>
          <w:szCs w:val="24"/>
        </w:rPr>
        <w:t>. Dinkes Demak.</w:t>
      </w:r>
    </w:p>
    <w:p w14:paraId="3E56ECF0"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Dinkes Jateng. (2024). </w:t>
      </w:r>
      <w:r w:rsidRPr="00190D5D">
        <w:rPr>
          <w:rFonts w:ascii="Times New Roman" w:hAnsi="Times New Roman" w:cs="Times New Roman"/>
          <w:i/>
          <w:iCs/>
          <w:noProof/>
          <w:sz w:val="24"/>
          <w:szCs w:val="24"/>
        </w:rPr>
        <w:t>Profil Kesehatan Propinsi Jawa Tengah</w:t>
      </w:r>
      <w:r w:rsidRPr="00190D5D">
        <w:rPr>
          <w:rFonts w:ascii="Times New Roman" w:hAnsi="Times New Roman" w:cs="Times New Roman"/>
          <w:noProof/>
          <w:sz w:val="24"/>
          <w:szCs w:val="24"/>
        </w:rPr>
        <w:t>. Dinkes Jateng. https://dinkes.jatengprov.go.id</w:t>
      </w:r>
    </w:p>
    <w:p w14:paraId="27CC932C"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Fadila, R., &amp; Ahmad, A. N. (2021). Determinan Rendahnya Partisipasi dalam Program Pengelolaan Penyakit Kronis di Puskesmas. </w:t>
      </w:r>
      <w:r w:rsidRPr="00190D5D">
        <w:rPr>
          <w:rFonts w:ascii="Times New Roman" w:hAnsi="Times New Roman" w:cs="Times New Roman"/>
          <w:i/>
          <w:iCs/>
          <w:noProof/>
          <w:sz w:val="24"/>
          <w:szCs w:val="24"/>
        </w:rPr>
        <w:t>Jurnal Kesehatan Vokasional</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6</w:t>
      </w:r>
      <w:r w:rsidRPr="00190D5D">
        <w:rPr>
          <w:rFonts w:ascii="Times New Roman" w:hAnsi="Times New Roman" w:cs="Times New Roman"/>
          <w:noProof/>
          <w:sz w:val="24"/>
          <w:szCs w:val="24"/>
        </w:rPr>
        <w:t>(4), 208. https://doi.org/10.22146/jkesvo.66299</w:t>
      </w:r>
    </w:p>
    <w:p w14:paraId="6E36CC9C"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Fadlilah, S., Nugroho, A., &amp; Bistara, D. (2024). The Role of The Chronic Disease Management Program in Indonesia (PROLANIS) As A Diabetes Mellitus Management Strategy : A Scoping Review. </w:t>
      </w:r>
      <w:r w:rsidRPr="00190D5D">
        <w:rPr>
          <w:rFonts w:ascii="Times New Roman" w:hAnsi="Times New Roman" w:cs="Times New Roman"/>
          <w:i/>
          <w:iCs/>
          <w:noProof/>
          <w:sz w:val="24"/>
          <w:szCs w:val="24"/>
        </w:rPr>
        <w:t>Public Health of Indonesia</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10</w:t>
      </w:r>
      <w:r w:rsidRPr="00190D5D">
        <w:rPr>
          <w:rFonts w:ascii="Times New Roman" w:hAnsi="Times New Roman" w:cs="Times New Roman"/>
          <w:noProof/>
          <w:sz w:val="24"/>
          <w:szCs w:val="24"/>
        </w:rPr>
        <w:t>(2), 247–261. https://doi.org/https://doi.org/10.36685/phi.v10i2.753</w:t>
      </w:r>
    </w:p>
    <w:p w14:paraId="47545D67"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Firmansyah, Syam, S., Ashari, M. R., Li, P. V., &amp; Al-hijrah, M. F. (2022). Hubungan Pengetahuan Dan Sikap Dengan Pemanfaatan Prolanis Pada Pasien Diabetes Melitus di Wilayah Kerja Puskesmas Kamonji Kota Palu. </w:t>
      </w:r>
      <w:r w:rsidRPr="00190D5D">
        <w:rPr>
          <w:rFonts w:ascii="Times New Roman" w:hAnsi="Times New Roman" w:cs="Times New Roman"/>
          <w:i/>
          <w:iCs/>
          <w:noProof/>
          <w:sz w:val="24"/>
          <w:szCs w:val="24"/>
        </w:rPr>
        <w:t>Preventif: Jurnal Kesehatan Masyarakat</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13</w:t>
      </w:r>
      <w:r w:rsidRPr="00190D5D">
        <w:rPr>
          <w:rFonts w:ascii="Times New Roman" w:hAnsi="Times New Roman" w:cs="Times New Roman"/>
          <w:noProof/>
          <w:sz w:val="24"/>
          <w:szCs w:val="24"/>
        </w:rPr>
        <w:t>(4), 635–644.</w:t>
      </w:r>
    </w:p>
    <w:p w14:paraId="0A902571"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Gustika, E., Budiati, E., Rahayu, D., Adyas, A., Utama, D., &amp; Putri, P. (2025). Factors Related to the Utilization of Chronic Disease Management Programs in Patients with Type 2 Diabetes Mellitus Health Dynamics. </w:t>
      </w:r>
      <w:r w:rsidRPr="00190D5D">
        <w:rPr>
          <w:rFonts w:ascii="Times New Roman" w:hAnsi="Times New Roman" w:cs="Times New Roman"/>
          <w:i/>
          <w:iCs/>
          <w:noProof/>
          <w:sz w:val="24"/>
          <w:szCs w:val="24"/>
        </w:rPr>
        <w:t>Health Dynamics</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2</w:t>
      </w:r>
      <w:r w:rsidRPr="00190D5D">
        <w:rPr>
          <w:rFonts w:ascii="Times New Roman" w:hAnsi="Times New Roman" w:cs="Times New Roman"/>
          <w:noProof/>
          <w:sz w:val="24"/>
          <w:szCs w:val="24"/>
        </w:rPr>
        <w:t>(3), 359–365. https://doi.org/https://doi.org/10.33846/hd20806</w:t>
      </w:r>
    </w:p>
    <w:p w14:paraId="56F91E8A"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Halim, N. A. A., Sopri, N. H. A., Wong, Y. Y., Mustafa, Q. M., &amp; Lean, Q. Y. (2024). Patients’ perception towards chronic disease self-management and its program: A  cross-sectional survey. </w:t>
      </w:r>
      <w:r w:rsidRPr="00190D5D">
        <w:rPr>
          <w:rFonts w:ascii="Times New Roman" w:hAnsi="Times New Roman" w:cs="Times New Roman"/>
          <w:i/>
          <w:iCs/>
          <w:noProof/>
          <w:sz w:val="24"/>
          <w:szCs w:val="24"/>
        </w:rPr>
        <w:t>Chronic Illness</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20</w:t>
      </w:r>
      <w:r w:rsidRPr="00190D5D">
        <w:rPr>
          <w:rFonts w:ascii="Times New Roman" w:hAnsi="Times New Roman" w:cs="Times New Roman"/>
          <w:noProof/>
          <w:sz w:val="24"/>
          <w:szCs w:val="24"/>
        </w:rPr>
        <w:t>(4), 640–654. https://doi.org/10.1177/17423953231185385</w:t>
      </w:r>
    </w:p>
    <w:p w14:paraId="2E1580B5"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Hamidah, L. Z., &amp; Budiarto, W. (2023). Faktor Individu Yang Berhubungan Dengan Pemanfaatan Prolanis: Scoping Review. </w:t>
      </w:r>
      <w:r w:rsidRPr="00190D5D">
        <w:rPr>
          <w:rFonts w:ascii="Times New Roman" w:hAnsi="Times New Roman" w:cs="Times New Roman"/>
          <w:i/>
          <w:iCs/>
          <w:noProof/>
          <w:sz w:val="24"/>
          <w:szCs w:val="24"/>
        </w:rPr>
        <w:t>Jurnal Kesehatan Tambusai</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4</w:t>
      </w:r>
      <w:r w:rsidRPr="00190D5D">
        <w:rPr>
          <w:rFonts w:ascii="Times New Roman" w:hAnsi="Times New Roman" w:cs="Times New Roman"/>
          <w:noProof/>
          <w:sz w:val="24"/>
          <w:szCs w:val="24"/>
        </w:rPr>
        <w:t>(4), 5853–5864. https://doi.org/https://doi.org/10.31004/jkt.v4i4.16890</w:t>
      </w:r>
    </w:p>
    <w:p w14:paraId="09F75ACD"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Handayani, N. S., Retrialisca, F., Purwanti, E., Qomari, Y. M., Ferrari, R. M., &amp; Wijianto, B. (2025). Optimalisasi Manajemen Diri Pencegahan dan Pengendalian Diabetes Melitus Melalui Praktik Pemeriksaan Mandiri dan Aplikasi Diary DM. </w:t>
      </w:r>
      <w:r w:rsidRPr="00190D5D">
        <w:rPr>
          <w:rFonts w:ascii="Times New Roman" w:hAnsi="Times New Roman" w:cs="Times New Roman"/>
          <w:i/>
          <w:iCs/>
          <w:noProof/>
          <w:sz w:val="24"/>
          <w:szCs w:val="24"/>
        </w:rPr>
        <w:t>Jurnal Layanan Masyarakat</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9</w:t>
      </w:r>
      <w:r w:rsidRPr="00190D5D">
        <w:rPr>
          <w:rFonts w:ascii="Times New Roman" w:hAnsi="Times New Roman" w:cs="Times New Roman"/>
          <w:noProof/>
          <w:sz w:val="24"/>
          <w:szCs w:val="24"/>
        </w:rPr>
        <w:t>(1), 63–73.</w:t>
      </w:r>
    </w:p>
    <w:p w14:paraId="7163230A"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Hariadi. (2024). Hubungan Pengetahuan Pasien Penderita Diabetes Melitus Dengan Pemanfaatan Program Pengelolaan Penyakit Kronis (Prolanis) Di Desa Bantarsari Wilayah Kerja Puskesmas Pabuaran Kabupaten Sukabumi. </w:t>
      </w:r>
      <w:r w:rsidRPr="00190D5D">
        <w:rPr>
          <w:rFonts w:ascii="Times New Roman" w:hAnsi="Times New Roman" w:cs="Times New Roman"/>
          <w:i/>
          <w:iCs/>
          <w:noProof/>
          <w:sz w:val="24"/>
          <w:szCs w:val="24"/>
        </w:rPr>
        <w:t>Journal Health Society</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13</w:t>
      </w:r>
      <w:r w:rsidRPr="00190D5D">
        <w:rPr>
          <w:rFonts w:ascii="Times New Roman" w:hAnsi="Times New Roman" w:cs="Times New Roman"/>
          <w:noProof/>
          <w:sz w:val="24"/>
          <w:szCs w:val="24"/>
        </w:rPr>
        <w:t>(1), 57–64.</w:t>
      </w:r>
    </w:p>
    <w:p w14:paraId="03443C29"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Hu, H., Jian, W., Fu, H., Zhang, H., Pan, J., &amp; Yip, W. (2021). Health service underutilization and its associated factors for chronic diseases  patients in poverty-stricken areas in China: a multilevel analysis. </w:t>
      </w:r>
      <w:r w:rsidRPr="00190D5D">
        <w:rPr>
          <w:rFonts w:ascii="Times New Roman" w:hAnsi="Times New Roman" w:cs="Times New Roman"/>
          <w:i/>
          <w:iCs/>
          <w:noProof/>
          <w:sz w:val="24"/>
          <w:szCs w:val="24"/>
        </w:rPr>
        <w:t>BMC Health Services Research</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21</w:t>
      </w:r>
      <w:r w:rsidRPr="00190D5D">
        <w:rPr>
          <w:rFonts w:ascii="Times New Roman" w:hAnsi="Times New Roman" w:cs="Times New Roman"/>
          <w:noProof/>
          <w:sz w:val="24"/>
          <w:szCs w:val="24"/>
        </w:rPr>
        <w:t>(1), 707. https://doi.org/10.1186/s12913-021-06725-5</w:t>
      </w:r>
    </w:p>
    <w:p w14:paraId="6BC49861"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lastRenderedPageBreak/>
        <w:t xml:space="preserve">International Diabetes Federation (IDF). (2024). </w:t>
      </w:r>
      <w:r w:rsidRPr="00190D5D">
        <w:rPr>
          <w:rFonts w:ascii="Times New Roman" w:hAnsi="Times New Roman" w:cs="Times New Roman"/>
          <w:i/>
          <w:iCs/>
          <w:noProof/>
          <w:sz w:val="24"/>
          <w:szCs w:val="24"/>
        </w:rPr>
        <w:t>IDF Diabetes Atlas 7th Edition</w:t>
      </w:r>
      <w:r w:rsidRPr="00190D5D">
        <w:rPr>
          <w:rFonts w:ascii="Times New Roman" w:hAnsi="Times New Roman" w:cs="Times New Roman"/>
          <w:noProof/>
          <w:sz w:val="24"/>
          <w:szCs w:val="24"/>
        </w:rPr>
        <w:t>. International Diabetes Federation. http://www.diabetesatlas.org/</w:t>
      </w:r>
    </w:p>
    <w:p w14:paraId="7016B6E0"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Jing, R., Zhang, H., &amp; Hu, H. (2024). Exploring Residents’ Healthcare Utilization under the Family Physician Contract Service System in China : Implications for Primary Healthcare. </w:t>
      </w:r>
      <w:r w:rsidRPr="00190D5D">
        <w:rPr>
          <w:rFonts w:ascii="Times New Roman" w:hAnsi="Times New Roman" w:cs="Times New Roman"/>
          <w:i/>
          <w:iCs/>
          <w:noProof/>
          <w:sz w:val="24"/>
          <w:szCs w:val="24"/>
        </w:rPr>
        <w:t>Health &amp; Social Care in the Community</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2024</w:t>
      </w:r>
      <w:r w:rsidRPr="00190D5D">
        <w:rPr>
          <w:rFonts w:ascii="Times New Roman" w:hAnsi="Times New Roman" w:cs="Times New Roman"/>
          <w:noProof/>
          <w:sz w:val="24"/>
          <w:szCs w:val="24"/>
        </w:rPr>
        <w:t>, 1–13. https://doi.org/https://doi.org/10.1155/2024/2745653</w:t>
      </w:r>
    </w:p>
    <w:p w14:paraId="3272A709"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Kartika, A. W. (2021). Diabetes Self-Management Education (DSME) untuk Meningkatkan Manajemen Perawatan Diri Kelompok Diabetesi Diabetes Self-Management Education (DSME) Intervention to Improve Self-Care Management of Diabetes Mellitus Patients. </w:t>
      </w:r>
      <w:r w:rsidRPr="00190D5D">
        <w:rPr>
          <w:rFonts w:ascii="Times New Roman" w:hAnsi="Times New Roman" w:cs="Times New Roman"/>
          <w:i/>
          <w:iCs/>
          <w:noProof/>
          <w:sz w:val="24"/>
          <w:szCs w:val="24"/>
        </w:rPr>
        <w:t>Journal of Nursing Science</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9</w:t>
      </w:r>
      <w:r w:rsidRPr="00190D5D">
        <w:rPr>
          <w:rFonts w:ascii="Times New Roman" w:hAnsi="Times New Roman" w:cs="Times New Roman"/>
          <w:noProof/>
          <w:sz w:val="24"/>
          <w:szCs w:val="24"/>
        </w:rPr>
        <w:t>(2), 151–157. https://doi.org/https://doi.org/10.21776/ub.jik.2021.009.02.2</w:t>
      </w:r>
    </w:p>
    <w:p w14:paraId="737EE141"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Kemenkes RI. (2021). </w:t>
      </w:r>
      <w:r w:rsidRPr="00190D5D">
        <w:rPr>
          <w:rFonts w:ascii="Times New Roman" w:hAnsi="Times New Roman" w:cs="Times New Roman"/>
          <w:i/>
          <w:iCs/>
          <w:noProof/>
          <w:sz w:val="24"/>
          <w:szCs w:val="24"/>
        </w:rPr>
        <w:t>Situasi dan Analisis Diabetes</w:t>
      </w:r>
      <w:r w:rsidRPr="00190D5D">
        <w:rPr>
          <w:rFonts w:ascii="Times New Roman" w:hAnsi="Times New Roman" w:cs="Times New Roman"/>
          <w:noProof/>
          <w:sz w:val="24"/>
          <w:szCs w:val="24"/>
        </w:rPr>
        <w:t>. Kementerian Kesehatan RI. http://www.kemenkes.go.id</w:t>
      </w:r>
    </w:p>
    <w:p w14:paraId="65946469"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Kemenkes RI. (2022a). </w:t>
      </w:r>
      <w:r w:rsidRPr="00190D5D">
        <w:rPr>
          <w:rFonts w:ascii="Times New Roman" w:hAnsi="Times New Roman" w:cs="Times New Roman"/>
          <w:i/>
          <w:iCs/>
          <w:noProof/>
          <w:sz w:val="24"/>
          <w:szCs w:val="24"/>
        </w:rPr>
        <w:t>Faktor Risiko Penyakit Diabetes Melitus (DM)-Faktor Risiko yang Bisa Diubah</w:t>
      </w:r>
      <w:r w:rsidRPr="00190D5D">
        <w:rPr>
          <w:rFonts w:ascii="Times New Roman" w:hAnsi="Times New Roman" w:cs="Times New Roman"/>
          <w:noProof/>
          <w:sz w:val="24"/>
          <w:szCs w:val="24"/>
        </w:rPr>
        <w:t>. Kementerian Kesehatan RI. https://p2ptm.kemkes.go.id/infographic-p2ptm/penyakit-diabetes-melitus</w:t>
      </w:r>
    </w:p>
    <w:p w14:paraId="08DCFC45"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Kemenkes RI. (2022b). Panduan Layanan Peserta Jaminan Kesehatan Nasional Kartu Indonesia Sehat (JKN-KIS). In </w:t>
      </w:r>
      <w:r w:rsidRPr="00190D5D">
        <w:rPr>
          <w:rFonts w:ascii="Times New Roman" w:hAnsi="Times New Roman" w:cs="Times New Roman"/>
          <w:i/>
          <w:iCs/>
          <w:noProof/>
          <w:sz w:val="24"/>
          <w:szCs w:val="24"/>
        </w:rPr>
        <w:t>Jaminan Kesehatan Nasional</w:t>
      </w:r>
      <w:r w:rsidRPr="00190D5D">
        <w:rPr>
          <w:rFonts w:ascii="Times New Roman" w:hAnsi="Times New Roman" w:cs="Times New Roman"/>
          <w:noProof/>
          <w:sz w:val="24"/>
          <w:szCs w:val="24"/>
        </w:rPr>
        <w:t>. Kemenkes RI.</w:t>
      </w:r>
    </w:p>
    <w:p w14:paraId="20C69AAA"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Kemenkes RI. (2023). Survei Kesehatan Indonesia (SKI) 2023: Penyakit Tidak Menular. In </w:t>
      </w:r>
      <w:r w:rsidRPr="00190D5D">
        <w:rPr>
          <w:rFonts w:ascii="Times New Roman" w:hAnsi="Times New Roman" w:cs="Times New Roman"/>
          <w:i/>
          <w:iCs/>
          <w:noProof/>
          <w:sz w:val="24"/>
          <w:szCs w:val="24"/>
        </w:rPr>
        <w:t>Buletin Jendela Data dan Informasi Kesehatan</w:t>
      </w:r>
      <w:r w:rsidRPr="00190D5D">
        <w:rPr>
          <w:rFonts w:ascii="Times New Roman" w:hAnsi="Times New Roman" w:cs="Times New Roman"/>
          <w:noProof/>
          <w:sz w:val="24"/>
          <w:szCs w:val="24"/>
        </w:rPr>
        <w:t>. Kemenkes RI.</w:t>
      </w:r>
    </w:p>
    <w:p w14:paraId="7E283D0D"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Kemenkes RI. (2024). </w:t>
      </w:r>
      <w:r w:rsidRPr="00190D5D">
        <w:rPr>
          <w:rFonts w:ascii="Times New Roman" w:hAnsi="Times New Roman" w:cs="Times New Roman"/>
          <w:i/>
          <w:iCs/>
          <w:noProof/>
          <w:sz w:val="24"/>
          <w:szCs w:val="24"/>
        </w:rPr>
        <w:t>Profil Kesehatan Indonesia</w:t>
      </w:r>
      <w:r w:rsidRPr="00190D5D">
        <w:rPr>
          <w:rFonts w:ascii="Times New Roman" w:hAnsi="Times New Roman" w:cs="Times New Roman"/>
          <w:noProof/>
          <w:sz w:val="24"/>
          <w:szCs w:val="24"/>
        </w:rPr>
        <w:t>. Kemenkes RI. http://kemenkes.go.id</w:t>
      </w:r>
    </w:p>
    <w:p w14:paraId="68BB1EFF"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Kostiuk, M., Moore, S. L., Kramer, E. S., Gilens, J. F., Sarwal, A., Saxon, D., Thomas, J. F., &amp; Oser, T. K. (2025). Assessment and Intervention for Diabetes Distress in Primary Care Using Clinical and Technological Interventions: Protocol for a Single-Arm Pilot Trial. </w:t>
      </w:r>
      <w:r w:rsidRPr="00190D5D">
        <w:rPr>
          <w:rFonts w:ascii="Times New Roman" w:hAnsi="Times New Roman" w:cs="Times New Roman"/>
          <w:i/>
          <w:iCs/>
          <w:noProof/>
          <w:sz w:val="24"/>
          <w:szCs w:val="24"/>
        </w:rPr>
        <w:t>JMIR Research Protocols</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14</w:t>
      </w:r>
      <w:r w:rsidRPr="00190D5D">
        <w:rPr>
          <w:rFonts w:ascii="Times New Roman" w:hAnsi="Times New Roman" w:cs="Times New Roman"/>
          <w:noProof/>
          <w:sz w:val="24"/>
          <w:szCs w:val="24"/>
        </w:rPr>
        <w:t>. https://doi.org/https://doi.org/10.2196/62916</w:t>
      </w:r>
    </w:p>
    <w:p w14:paraId="6DA0FF77"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Krisnadewi, K. I., Kristina, S. A., Andayani, T. M., &amp; Endarti, D. (2025). Implementation preventive program for diabetic mellitus ( PROLANIS ) at Community Health Center in Indonesia : A qualitative study. </w:t>
      </w:r>
      <w:r w:rsidRPr="00190D5D">
        <w:rPr>
          <w:rFonts w:ascii="Times New Roman" w:hAnsi="Times New Roman" w:cs="Times New Roman"/>
          <w:i/>
          <w:iCs/>
          <w:noProof/>
          <w:sz w:val="24"/>
          <w:szCs w:val="24"/>
        </w:rPr>
        <w:t>Journal of Applied Pharmaceutical Science</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15</w:t>
      </w:r>
      <w:r w:rsidRPr="00190D5D">
        <w:rPr>
          <w:rFonts w:ascii="Times New Roman" w:hAnsi="Times New Roman" w:cs="Times New Roman"/>
          <w:noProof/>
          <w:sz w:val="24"/>
          <w:szCs w:val="24"/>
        </w:rPr>
        <w:t>(01), 153–161. https://doi.org/10.7324/JAPS.2024.194416</w:t>
      </w:r>
    </w:p>
    <w:p w14:paraId="54756879"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Kusumawardana, R. A., Sunjaya, D. K., Gondodiputro, S., Raksanagara, A. S., Ardisasmita, M. N., &amp; Widjajakusuma, A. (2024). Patients Satisfaction with the Chronic Disease Management Program in Indonesia Using the Importance-Performance Matrix. </w:t>
      </w:r>
      <w:r w:rsidRPr="00190D5D">
        <w:rPr>
          <w:rFonts w:ascii="Times New Roman" w:hAnsi="Times New Roman" w:cs="Times New Roman"/>
          <w:i/>
          <w:iCs/>
          <w:noProof/>
          <w:sz w:val="24"/>
          <w:szCs w:val="24"/>
        </w:rPr>
        <w:t>Althea Medical Journal</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11</w:t>
      </w:r>
      <w:r w:rsidRPr="00190D5D">
        <w:rPr>
          <w:rFonts w:ascii="Times New Roman" w:hAnsi="Times New Roman" w:cs="Times New Roman"/>
          <w:noProof/>
          <w:sz w:val="24"/>
          <w:szCs w:val="24"/>
        </w:rPr>
        <w:t>(1), 32–38. https://doi.org/https://doi.org/10.15850/amj.v11n1.2780</w:t>
      </w:r>
    </w:p>
    <w:p w14:paraId="3735C7B1"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Latifah, N., Hanafi, A., Abidin, Z., Yanthi, D., &amp; Kamal, Y. (2022). Analisis Pelaksanaan Program Pengelolaan Penyakit Kronis ( Prolanis ) Pada Pasien Diabetes Melitus Peserta BPJS Kesehatan Di Puskesmas Rejosari Kota Pekanbaru Analysis of the Implementation of the Chronic Disease Management Program ( Prolanis ) in Diabete. </w:t>
      </w:r>
      <w:r w:rsidRPr="00190D5D">
        <w:rPr>
          <w:rFonts w:ascii="Times New Roman" w:hAnsi="Times New Roman" w:cs="Times New Roman"/>
          <w:i/>
          <w:iCs/>
          <w:noProof/>
          <w:sz w:val="24"/>
          <w:szCs w:val="24"/>
        </w:rPr>
        <w:t>Jurnal Olahraga Dan Kesehatan</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1</w:t>
      </w:r>
      <w:r w:rsidRPr="00190D5D">
        <w:rPr>
          <w:rFonts w:ascii="Times New Roman" w:hAnsi="Times New Roman" w:cs="Times New Roman"/>
          <w:noProof/>
          <w:sz w:val="24"/>
          <w:szCs w:val="24"/>
        </w:rPr>
        <w:t>(2), 190–198. https://doi.org/https://doi.org/10.56466/orkes/Vol1.Iss2.17</w:t>
      </w:r>
    </w:p>
    <w:p w14:paraId="253AB40F"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Lestari, F., &amp; Isnaini, N. (2025). Identifying Type 2 Diabetes Mellitus Risk Factors among Patients at Public Health Care Centre in Indonesia. </w:t>
      </w:r>
      <w:r w:rsidRPr="00190D5D">
        <w:rPr>
          <w:rFonts w:ascii="Times New Roman" w:hAnsi="Times New Roman" w:cs="Times New Roman"/>
          <w:i/>
          <w:iCs/>
          <w:noProof/>
          <w:sz w:val="24"/>
          <w:szCs w:val="24"/>
        </w:rPr>
        <w:t>International Journal of Care Scholars</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8</w:t>
      </w:r>
      <w:r w:rsidRPr="00190D5D">
        <w:rPr>
          <w:rFonts w:ascii="Times New Roman" w:hAnsi="Times New Roman" w:cs="Times New Roman"/>
          <w:noProof/>
          <w:sz w:val="24"/>
          <w:szCs w:val="24"/>
        </w:rPr>
        <w:t>(December 2024), 25–30. https://doi.org/10.31436/ijcs.v8i1.410</w:t>
      </w:r>
    </w:p>
    <w:p w14:paraId="581A665C"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Li, X., Li, J., Shao, W., Ma, J., Zhou, A., Song, Y., &amp; Zhang, L. (2023). The Relationship between Family Doctor Contract Services Policy and Perceived Participation in Primary </w:t>
      </w:r>
      <w:r w:rsidRPr="00190D5D">
        <w:rPr>
          <w:rFonts w:ascii="Times New Roman" w:hAnsi="Times New Roman" w:cs="Times New Roman"/>
          <w:noProof/>
          <w:sz w:val="24"/>
          <w:szCs w:val="24"/>
        </w:rPr>
        <w:lastRenderedPageBreak/>
        <w:t xml:space="preserve">Health Care among Chronic Disease Patients in China : The Mediating Role of the Patient Trust. </w:t>
      </w:r>
      <w:r w:rsidRPr="00190D5D">
        <w:rPr>
          <w:rFonts w:ascii="Times New Roman" w:hAnsi="Times New Roman" w:cs="Times New Roman"/>
          <w:i/>
          <w:iCs/>
          <w:noProof/>
          <w:sz w:val="24"/>
          <w:szCs w:val="24"/>
        </w:rPr>
        <w:t>Health &amp; Social Care in the Community</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2</w:t>
      </w:r>
      <w:r w:rsidRPr="00190D5D">
        <w:rPr>
          <w:rFonts w:ascii="Times New Roman" w:hAnsi="Times New Roman" w:cs="Times New Roman"/>
          <w:noProof/>
          <w:sz w:val="24"/>
          <w:szCs w:val="24"/>
        </w:rPr>
        <w:t>, 1–11. https://doi.org/https://doi.org/10.1155/2023/6854131</w:t>
      </w:r>
    </w:p>
    <w:p w14:paraId="07D5B922"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Liao, K., Lin, K.-C., &amp; Chiou, S.-J. (2021). Self-efficacy remains a vital factor in reducing the risk of dialysis in type 2  diabetes care. </w:t>
      </w:r>
      <w:r w:rsidRPr="00190D5D">
        <w:rPr>
          <w:rFonts w:ascii="Times New Roman" w:hAnsi="Times New Roman" w:cs="Times New Roman"/>
          <w:i/>
          <w:iCs/>
          <w:noProof/>
          <w:sz w:val="24"/>
          <w:szCs w:val="24"/>
        </w:rPr>
        <w:t>Medicine</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100</w:t>
      </w:r>
      <w:r w:rsidRPr="00190D5D">
        <w:rPr>
          <w:rFonts w:ascii="Times New Roman" w:hAnsi="Times New Roman" w:cs="Times New Roman"/>
          <w:noProof/>
          <w:sz w:val="24"/>
          <w:szCs w:val="24"/>
        </w:rPr>
        <w:t>(28), e26644. https://doi.org/10.1097/MD.0000000000026644</w:t>
      </w:r>
    </w:p>
    <w:p w14:paraId="2D2BFB6F"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Luo, Z.-N., Li, K., Chen, A.-Q., Qiu, Y.-C., Yang, X.-X., Lin, Z.-W., Liu, J.-H., Wu, Y.-B., &amp; Chen, J.-Y. (2024). The influence of family health on self-efficacy in patients with chronic  diseases: the mediating role of perceived social support and the moderating role of health literacy. </w:t>
      </w:r>
      <w:r w:rsidRPr="00190D5D">
        <w:rPr>
          <w:rFonts w:ascii="Times New Roman" w:hAnsi="Times New Roman" w:cs="Times New Roman"/>
          <w:i/>
          <w:iCs/>
          <w:noProof/>
          <w:sz w:val="24"/>
          <w:szCs w:val="24"/>
        </w:rPr>
        <w:t>BMC Public Health</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24</w:t>
      </w:r>
      <w:r w:rsidRPr="00190D5D">
        <w:rPr>
          <w:rFonts w:ascii="Times New Roman" w:hAnsi="Times New Roman" w:cs="Times New Roman"/>
          <w:noProof/>
          <w:sz w:val="24"/>
          <w:szCs w:val="24"/>
        </w:rPr>
        <w:t>(1), 3398. https://doi.org/10.1186/s12889-024-20906-x</w:t>
      </w:r>
    </w:p>
    <w:p w14:paraId="0B59A001"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Marwati, T. A., Kusmayanti, N. A., &amp; Rosyidah, R. (2022). Quality of Life Among Diabetes Mellitus Patients in Indonesian Chronic Disease Management Program (Prolanis). </w:t>
      </w:r>
      <w:r w:rsidRPr="00190D5D">
        <w:rPr>
          <w:rFonts w:ascii="Times New Roman" w:hAnsi="Times New Roman" w:cs="Times New Roman"/>
          <w:i/>
          <w:iCs/>
          <w:noProof/>
          <w:sz w:val="24"/>
          <w:szCs w:val="24"/>
        </w:rPr>
        <w:t>Epidemiology and Society Health Review</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4</w:t>
      </w:r>
      <w:r w:rsidRPr="00190D5D">
        <w:rPr>
          <w:rFonts w:ascii="Times New Roman" w:hAnsi="Times New Roman" w:cs="Times New Roman"/>
          <w:noProof/>
          <w:sz w:val="24"/>
          <w:szCs w:val="24"/>
        </w:rPr>
        <w:t>(2), 76–86.</w:t>
      </w:r>
    </w:p>
    <w:p w14:paraId="085BEF34"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Mustafa, S., Rodrigues, M., Lawrenson, R., Scott-Jones, J., Papa, V., Zhao, J., Crosswell, R., Kenealy, T., Murphy, R., Keenan, R., Moffitt, A., Paul, R., &amp; Chepulis, L. (2025). Type 2 Diabetes Management in Aotearoa New Zealand: A Comparison of Urban and  Rural Primary Care Clinics. </w:t>
      </w:r>
      <w:r w:rsidRPr="00190D5D">
        <w:rPr>
          <w:rFonts w:ascii="Times New Roman" w:hAnsi="Times New Roman" w:cs="Times New Roman"/>
          <w:i/>
          <w:iCs/>
          <w:noProof/>
          <w:sz w:val="24"/>
          <w:szCs w:val="24"/>
        </w:rPr>
        <w:t>The Australian Journal of Rural Health</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33</w:t>
      </w:r>
      <w:r w:rsidRPr="00190D5D">
        <w:rPr>
          <w:rFonts w:ascii="Times New Roman" w:hAnsi="Times New Roman" w:cs="Times New Roman"/>
          <w:noProof/>
          <w:sz w:val="24"/>
          <w:szCs w:val="24"/>
        </w:rPr>
        <w:t>(5), e70098. https://doi.org/10.1111/ajr.70098</w:t>
      </w:r>
    </w:p>
    <w:p w14:paraId="49F45124"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Nappoe, S. A., Djasri, H., &amp; Kurniawan, M. F. (2024). </w:t>
      </w:r>
      <w:r w:rsidRPr="00190D5D">
        <w:rPr>
          <w:rFonts w:ascii="Times New Roman" w:hAnsi="Times New Roman" w:cs="Times New Roman"/>
          <w:i/>
          <w:iCs/>
          <w:noProof/>
          <w:sz w:val="24"/>
          <w:szCs w:val="24"/>
        </w:rPr>
        <w:t>Chronic disease management programme (PROLANIS) in Indonesia</w:t>
      </w:r>
      <w:r w:rsidRPr="00190D5D">
        <w:rPr>
          <w:rFonts w:ascii="Times New Roman" w:hAnsi="Times New Roman" w:cs="Times New Roman"/>
          <w:noProof/>
          <w:sz w:val="24"/>
          <w:szCs w:val="24"/>
        </w:rPr>
        <w:t>. WHO. https://iris.who.int/server/api/core</w:t>
      </w:r>
    </w:p>
    <w:p w14:paraId="3CD9B535"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Nasution, S. M., Nasution, S. K., &amp; Zulfendri. (2024). Hubungan Dukungan Keluarga Dan Peran Tenaga Kesehatan Dengan Pemanfataan Prolanis Pada Penderita Diabetes Melitus Di Wilayah Kerja Puskesmas Helvetia. </w:t>
      </w:r>
      <w:r w:rsidRPr="00190D5D">
        <w:rPr>
          <w:rFonts w:ascii="Times New Roman" w:hAnsi="Times New Roman" w:cs="Times New Roman"/>
          <w:i/>
          <w:iCs/>
          <w:noProof/>
          <w:sz w:val="24"/>
          <w:szCs w:val="24"/>
        </w:rPr>
        <w:t>Mahesa: Malahayati Health Student Journal</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4</w:t>
      </w:r>
      <w:r w:rsidRPr="00190D5D">
        <w:rPr>
          <w:rFonts w:ascii="Times New Roman" w:hAnsi="Times New Roman" w:cs="Times New Roman"/>
          <w:noProof/>
          <w:sz w:val="24"/>
          <w:szCs w:val="24"/>
        </w:rPr>
        <w:t>(10), 4569–4581. https://doi.org/https://doi.org/10.33024/mahesa.v4i10.15753</w:t>
      </w:r>
    </w:p>
    <w:p w14:paraId="07099803"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Nugraha, I. B. A., Pramana, G. A., &amp; Gotera, W. (2025). Penapisan Dan Diagnosis Diabetes Melitus Pada Pelayanan Kesehatan Primer. </w:t>
      </w:r>
      <w:r w:rsidRPr="00190D5D">
        <w:rPr>
          <w:rFonts w:ascii="Times New Roman" w:hAnsi="Times New Roman" w:cs="Times New Roman"/>
          <w:i/>
          <w:iCs/>
          <w:noProof/>
          <w:sz w:val="24"/>
          <w:szCs w:val="24"/>
        </w:rPr>
        <w:t>Ganesha Medicina Journal</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5</w:t>
      </w:r>
      <w:r w:rsidRPr="00190D5D">
        <w:rPr>
          <w:rFonts w:ascii="Times New Roman" w:hAnsi="Times New Roman" w:cs="Times New Roman"/>
          <w:noProof/>
          <w:sz w:val="24"/>
          <w:szCs w:val="24"/>
        </w:rPr>
        <w:t>(1), 20–26.</w:t>
      </w:r>
    </w:p>
    <w:p w14:paraId="161951D5"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Nurmaulina, W., Samino, Riyanto, &amp; Widiani, N. (2022). Pemanfaatan Program Prolanis Penderita Diabetes Melitus. </w:t>
      </w:r>
      <w:r w:rsidRPr="00190D5D">
        <w:rPr>
          <w:rFonts w:ascii="Times New Roman" w:hAnsi="Times New Roman" w:cs="Times New Roman"/>
          <w:i/>
          <w:iCs/>
          <w:noProof/>
          <w:sz w:val="24"/>
          <w:szCs w:val="24"/>
        </w:rPr>
        <w:t>Jurnal Ilmu Kedokteran Dan Kesehatan</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9</w:t>
      </w:r>
      <w:r w:rsidRPr="00190D5D">
        <w:rPr>
          <w:rFonts w:ascii="Times New Roman" w:hAnsi="Times New Roman" w:cs="Times New Roman"/>
          <w:noProof/>
          <w:sz w:val="24"/>
          <w:szCs w:val="24"/>
        </w:rPr>
        <w:t>(3), 1073–1080.</w:t>
      </w:r>
    </w:p>
    <w:p w14:paraId="64650855"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PERKENI. (2021). </w:t>
      </w:r>
      <w:r w:rsidRPr="00190D5D">
        <w:rPr>
          <w:rFonts w:ascii="Times New Roman" w:hAnsi="Times New Roman" w:cs="Times New Roman"/>
          <w:i/>
          <w:iCs/>
          <w:noProof/>
          <w:sz w:val="24"/>
          <w:szCs w:val="24"/>
        </w:rPr>
        <w:t>Konsensus Pengelolaan dan Pencegahan Diabetes Melitus Tipe 2 di Indonesia</w:t>
      </w:r>
      <w:r w:rsidRPr="00190D5D">
        <w:rPr>
          <w:rFonts w:ascii="Times New Roman" w:hAnsi="Times New Roman" w:cs="Times New Roman"/>
          <w:noProof/>
          <w:sz w:val="24"/>
          <w:szCs w:val="24"/>
        </w:rPr>
        <w:t>.</w:t>
      </w:r>
    </w:p>
    <w:p w14:paraId="12FD8850"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Poudel, S., Parajuli, A., Duwadi, N., Bhatta, B. K., Paudel, S., Khatri, D., Paneru, D. P., &amp; Sharma, Y. P. (2025). Social health insurance, family support, and chronic diseases as determinants of health service utilization among senior citizens in rural Nepal. </w:t>
      </w:r>
      <w:r w:rsidRPr="00190D5D">
        <w:rPr>
          <w:rFonts w:ascii="Times New Roman" w:hAnsi="Times New Roman" w:cs="Times New Roman"/>
          <w:i/>
          <w:iCs/>
          <w:noProof/>
          <w:sz w:val="24"/>
          <w:szCs w:val="24"/>
        </w:rPr>
        <w:t>BMC Public Health</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25</w:t>
      </w:r>
      <w:r w:rsidRPr="00190D5D">
        <w:rPr>
          <w:rFonts w:ascii="Times New Roman" w:hAnsi="Times New Roman" w:cs="Times New Roman"/>
          <w:noProof/>
          <w:sz w:val="24"/>
          <w:szCs w:val="24"/>
        </w:rPr>
        <w:t>. https://api.semanticscholar.org/CorpusID:278028487</w:t>
      </w:r>
    </w:p>
    <w:p w14:paraId="236319F7"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Pradipta, I. S., Aprilio, K., &amp; Ningsih, Y. F. (2025). How Does Indonesian Chronic Disease Patient Adhere to Their Treatment ? A Cross-Sectional Analysis of 11 , 408 Subjects How Does Indonesian Chronic Disease Patient Adhere to Their Treatment ? A Cross-Sectional Analysis of 11 , 408 Subjects. </w:t>
      </w:r>
      <w:r w:rsidRPr="00190D5D">
        <w:rPr>
          <w:rFonts w:ascii="Times New Roman" w:hAnsi="Times New Roman" w:cs="Times New Roman"/>
          <w:i/>
          <w:iCs/>
          <w:noProof/>
          <w:sz w:val="24"/>
          <w:szCs w:val="24"/>
        </w:rPr>
        <w:t>Dovepres</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19</w:t>
      </w:r>
      <w:r w:rsidRPr="00190D5D">
        <w:rPr>
          <w:rFonts w:ascii="Times New Roman" w:hAnsi="Times New Roman" w:cs="Times New Roman"/>
          <w:noProof/>
          <w:sz w:val="24"/>
          <w:szCs w:val="24"/>
        </w:rPr>
        <w:t>(2), 173–179. https://doi.org/10.2147/PPA.S503601</w:t>
      </w:r>
    </w:p>
    <w:p w14:paraId="2BE7D559"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Pradipta, I. S., Aprilio, K., Ningsih, Y. F., Pratama, M. A. A., Gatera, V. A., Alfian, S. D., Iskandarsyah, A., &amp; Abdulah, R. (2025). How Does Indonesian Chronic Disease Patient Adhere to Their Treatment? A  Cross-Sectional Analysis of 11,408 Subjects. </w:t>
      </w:r>
      <w:r w:rsidRPr="00190D5D">
        <w:rPr>
          <w:rFonts w:ascii="Times New Roman" w:hAnsi="Times New Roman" w:cs="Times New Roman"/>
          <w:i/>
          <w:iCs/>
          <w:noProof/>
          <w:sz w:val="24"/>
          <w:szCs w:val="24"/>
        </w:rPr>
        <w:t>Patient Preference and Adherence</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19</w:t>
      </w:r>
      <w:r w:rsidRPr="00190D5D">
        <w:rPr>
          <w:rFonts w:ascii="Times New Roman" w:hAnsi="Times New Roman" w:cs="Times New Roman"/>
          <w:noProof/>
          <w:sz w:val="24"/>
          <w:szCs w:val="24"/>
        </w:rPr>
        <w:t>, 173–184. https://doi.org/10.2147/PPA.S503601</w:t>
      </w:r>
    </w:p>
    <w:p w14:paraId="77F08F25"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lastRenderedPageBreak/>
        <w:t xml:space="preserve">Pratama, Y. Y., Senjarani, B. B., Annisa, M., &amp; Luthfi Adnan, M. (2024). Manajemen Pasien Diabetes Berdasarkan Pendekatan Holistik: Sebuah Laporan Kasus. </w:t>
      </w:r>
      <w:r w:rsidRPr="00190D5D">
        <w:rPr>
          <w:rFonts w:ascii="Times New Roman" w:hAnsi="Times New Roman" w:cs="Times New Roman"/>
          <w:i/>
          <w:iCs/>
          <w:noProof/>
          <w:sz w:val="24"/>
          <w:szCs w:val="24"/>
        </w:rPr>
        <w:t>Berkala Ilmiah Kedokteran Dan Kesehatan Masyarakat (Scientific Periodical Journal Of Medicine And Public Health)</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2</w:t>
      </w:r>
      <w:r w:rsidRPr="00190D5D">
        <w:rPr>
          <w:rFonts w:ascii="Times New Roman" w:hAnsi="Times New Roman" w:cs="Times New Roman"/>
          <w:noProof/>
          <w:sz w:val="24"/>
          <w:szCs w:val="24"/>
        </w:rPr>
        <w:t>(2), 164–173. https://doi.org/10.20885/bikkm.vol2.iss2.art8</w:t>
      </w:r>
    </w:p>
    <w:p w14:paraId="62B07A25"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Rahayu, N. M., Sudiyanto, H., Anggreni, D., &amp; Knowledge, K. (2025). Analisis Pengaruh Pengetahuan, Peran Petugas Kesehatan dan Dukungan Keluarga terhadap Keaktifan Pemanfaatan Prolanis. </w:t>
      </w:r>
      <w:r w:rsidRPr="00190D5D">
        <w:rPr>
          <w:rFonts w:ascii="Times New Roman" w:hAnsi="Times New Roman" w:cs="Times New Roman"/>
          <w:i/>
          <w:iCs/>
          <w:noProof/>
          <w:sz w:val="24"/>
          <w:szCs w:val="24"/>
        </w:rPr>
        <w:t>JUMANTIK (Jurnal Ilmiah Penelitian Kesehatan)</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10</w:t>
      </w:r>
      <w:r w:rsidRPr="00190D5D">
        <w:rPr>
          <w:rFonts w:ascii="Times New Roman" w:hAnsi="Times New Roman" w:cs="Times New Roman"/>
          <w:noProof/>
          <w:sz w:val="24"/>
          <w:szCs w:val="24"/>
        </w:rPr>
        <w:t>(2), 278–287. https://doi.org/10.30829/jumantik.v10i2.25843</w:t>
      </w:r>
    </w:p>
    <w:p w14:paraId="274AD973"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Rong, Y., Hua, J. I. N., Ling, S. H. I., Chuntao, Y. I., Jin, H. O. U., Chen, C., Hongmei, H., Hengru, N. I., &amp; Dehua, Y. U. (2024). A survey on the quality of standardized diabetes management in primary care facilities. </w:t>
      </w:r>
      <w:r w:rsidRPr="00190D5D">
        <w:rPr>
          <w:rFonts w:ascii="Times New Roman" w:hAnsi="Times New Roman" w:cs="Times New Roman"/>
          <w:i/>
          <w:iCs/>
          <w:noProof/>
          <w:sz w:val="24"/>
          <w:szCs w:val="24"/>
        </w:rPr>
        <w:t>Chinese General Practice Journal</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1</w:t>
      </w:r>
      <w:r w:rsidRPr="00190D5D">
        <w:rPr>
          <w:rFonts w:ascii="Times New Roman" w:hAnsi="Times New Roman" w:cs="Times New Roman"/>
          <w:noProof/>
          <w:sz w:val="24"/>
          <w:szCs w:val="24"/>
        </w:rPr>
        <w:t>(4), 100032. https://doi.org/https://doi.org/10.1016/j.cgpj.2024.11.001</w:t>
      </w:r>
    </w:p>
    <w:p w14:paraId="7D84DBDA"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Sabrina, L. Y., &amp; Rahayu, S. R. (2023). Determinan Pemanfaatan Program Pengelolaan Penyakit Kronis (Prolanis). </w:t>
      </w:r>
      <w:r w:rsidRPr="00190D5D">
        <w:rPr>
          <w:rFonts w:ascii="Times New Roman" w:hAnsi="Times New Roman" w:cs="Times New Roman"/>
          <w:i/>
          <w:iCs/>
          <w:noProof/>
          <w:sz w:val="24"/>
          <w:szCs w:val="24"/>
        </w:rPr>
        <w:t>Higeia Journal Of Public Health Research And Development</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7</w:t>
      </w:r>
      <w:r w:rsidRPr="00190D5D">
        <w:rPr>
          <w:rFonts w:ascii="Times New Roman" w:hAnsi="Times New Roman" w:cs="Times New Roman"/>
          <w:noProof/>
          <w:sz w:val="24"/>
          <w:szCs w:val="24"/>
        </w:rPr>
        <w:t>(4), 610–624. https://doi.org/https://doi.org/10.15294/higeia.v7i4.68109</w:t>
      </w:r>
    </w:p>
    <w:p w14:paraId="6CF33A8C"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Setianingrum, R., Hariyati, R. T. S., &amp; Fitri, D. (2021). Pendidikan Berkelanjutan Melalui E-Learning Bagi Perawat Suatu Program Inovasi. </w:t>
      </w:r>
      <w:r w:rsidRPr="00190D5D">
        <w:rPr>
          <w:rFonts w:ascii="Times New Roman" w:hAnsi="Times New Roman" w:cs="Times New Roman"/>
          <w:i/>
          <w:iCs/>
          <w:noProof/>
          <w:sz w:val="24"/>
          <w:szCs w:val="24"/>
        </w:rPr>
        <w:t>Journal of Telenursing (JOTING)</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3</w:t>
      </w:r>
      <w:r w:rsidRPr="00190D5D">
        <w:rPr>
          <w:rFonts w:ascii="Times New Roman" w:hAnsi="Times New Roman" w:cs="Times New Roman"/>
          <w:noProof/>
          <w:sz w:val="24"/>
          <w:szCs w:val="24"/>
        </w:rPr>
        <w:t>(1), 54–62.</w:t>
      </w:r>
    </w:p>
    <w:p w14:paraId="4A19EC8B"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Setiyawati, Y., Hariyati, R. T. S., &amp; Anisah, S. (2022). Optimalisasi Pemberian Edukasi Pada Pasien Dan Keluarga Melalui Terbentuknya Tim Perawat Edukator Di Rumah Sakit: A Pilot Study. </w:t>
      </w:r>
      <w:r w:rsidRPr="00190D5D">
        <w:rPr>
          <w:rFonts w:ascii="Times New Roman" w:hAnsi="Times New Roman" w:cs="Times New Roman"/>
          <w:i/>
          <w:iCs/>
          <w:noProof/>
          <w:sz w:val="24"/>
          <w:szCs w:val="24"/>
        </w:rPr>
        <w:t>Journal of Telenursing (JOTING)</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4</w:t>
      </w:r>
      <w:r w:rsidRPr="00190D5D">
        <w:rPr>
          <w:rFonts w:ascii="Times New Roman" w:hAnsi="Times New Roman" w:cs="Times New Roman"/>
          <w:noProof/>
          <w:sz w:val="24"/>
          <w:szCs w:val="24"/>
        </w:rPr>
        <w:t>(1), 297–310.</w:t>
      </w:r>
    </w:p>
    <w:p w14:paraId="5F9468AF"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Setyawan, B., &amp; Lestari, R. (2022). A Study of Chronic Disease Management in Indonesian Primary Health Care. </w:t>
      </w:r>
      <w:r w:rsidRPr="00190D5D">
        <w:rPr>
          <w:rFonts w:ascii="Times New Roman" w:hAnsi="Times New Roman" w:cs="Times New Roman"/>
          <w:i/>
          <w:iCs/>
          <w:noProof/>
          <w:sz w:val="24"/>
          <w:szCs w:val="24"/>
        </w:rPr>
        <w:t>Indian Journal of Forensic Medicine &amp; Toxicology</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16</w:t>
      </w:r>
      <w:r w:rsidRPr="00190D5D">
        <w:rPr>
          <w:rFonts w:ascii="Times New Roman" w:hAnsi="Times New Roman" w:cs="Times New Roman"/>
          <w:noProof/>
          <w:sz w:val="24"/>
          <w:szCs w:val="24"/>
        </w:rPr>
        <w:t>(1), 472–479.</w:t>
      </w:r>
    </w:p>
    <w:p w14:paraId="5B80F9C2"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Shao, Y., Hu, H., Liang, Y., Hong, Y., Yu, Y., Liu, C., &amp; Xu, Y. (2023). Health literacy interventions among patients with chronic diseases: A  meta-analysis of randomized controlled trials. </w:t>
      </w:r>
      <w:r w:rsidRPr="00190D5D">
        <w:rPr>
          <w:rFonts w:ascii="Times New Roman" w:hAnsi="Times New Roman" w:cs="Times New Roman"/>
          <w:i/>
          <w:iCs/>
          <w:noProof/>
          <w:sz w:val="24"/>
          <w:szCs w:val="24"/>
        </w:rPr>
        <w:t>Patient Education and Counseling</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114</w:t>
      </w:r>
      <w:r w:rsidRPr="00190D5D">
        <w:rPr>
          <w:rFonts w:ascii="Times New Roman" w:hAnsi="Times New Roman" w:cs="Times New Roman"/>
          <w:noProof/>
          <w:sz w:val="24"/>
          <w:szCs w:val="24"/>
        </w:rPr>
        <w:t>, 107829. https://doi.org/10.1016/j.pec.2023.107829</w:t>
      </w:r>
    </w:p>
    <w:p w14:paraId="7DFA6ECD"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Sharifi, A., Farzi, Y., Roshani, S., Ghamari, A., Tabatabaei-Malazy, O., Djalalinia, S., Seyfi, S., Gorgani, F., Haghshenas, R., Abdolhamidi, E., Mohammadi Fateh, S., Moghimi, M., Rahimi, S., Farzadfar, F., &amp; Larijani, B. (2022). A new model for optimization of diabetes clinics with the case study in Iran. </w:t>
      </w:r>
      <w:r w:rsidRPr="00190D5D">
        <w:rPr>
          <w:rFonts w:ascii="Times New Roman" w:hAnsi="Times New Roman" w:cs="Times New Roman"/>
          <w:i/>
          <w:iCs/>
          <w:noProof/>
          <w:sz w:val="24"/>
          <w:szCs w:val="24"/>
        </w:rPr>
        <w:t>Journal of Diabetes &amp; Metabolic Disorders</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21</w:t>
      </w:r>
      <w:r w:rsidRPr="00190D5D">
        <w:rPr>
          <w:rFonts w:ascii="Times New Roman" w:hAnsi="Times New Roman" w:cs="Times New Roman"/>
          <w:noProof/>
          <w:sz w:val="24"/>
          <w:szCs w:val="24"/>
        </w:rPr>
        <w:t>(1), 817–822. https://doi.org/10.1007/s40200-021-00939-4</w:t>
      </w:r>
    </w:p>
    <w:p w14:paraId="0B799AD3"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Shi, Y., &amp; Liang, X. (2024). Effectiveness of Nurse-led Educational Interventions on Glycemic Control and Self-care Behaviors of Type 2 Diabetics : A Systematic Review. </w:t>
      </w:r>
      <w:r w:rsidRPr="00190D5D">
        <w:rPr>
          <w:rFonts w:ascii="Times New Roman" w:hAnsi="Times New Roman" w:cs="Times New Roman"/>
          <w:i/>
          <w:iCs/>
          <w:noProof/>
          <w:sz w:val="24"/>
          <w:szCs w:val="24"/>
        </w:rPr>
        <w:t>Research in Health Science</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9</w:t>
      </w:r>
      <w:r w:rsidRPr="00190D5D">
        <w:rPr>
          <w:rFonts w:ascii="Times New Roman" w:hAnsi="Times New Roman" w:cs="Times New Roman"/>
          <w:noProof/>
          <w:sz w:val="24"/>
          <w:szCs w:val="24"/>
        </w:rPr>
        <w:t>(1), 1–8. https://doi.org/10.22158/rhs.v9n1p1</w:t>
      </w:r>
    </w:p>
    <w:p w14:paraId="533536F1"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Siregar, W. Y. M., Ikhsan, R., Ikhsan, M., Dewi, R., Muna, Z., Zara, N., &amp; Debbyousha, M. (2023). Upaya Pengelolaan Diabetes Mellitus Tipe 2 dengan Pendekatan Pelayanan Kedokteran Keluarga. </w:t>
      </w:r>
      <w:r w:rsidRPr="00190D5D">
        <w:rPr>
          <w:rFonts w:ascii="Times New Roman" w:hAnsi="Times New Roman" w:cs="Times New Roman"/>
          <w:i/>
          <w:iCs/>
          <w:noProof/>
          <w:sz w:val="24"/>
          <w:szCs w:val="24"/>
        </w:rPr>
        <w:t>GALENICAL : Jurnal Kedokteran Dan Kesehatan Mahasiswa Malikussaleh</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2</w:t>
      </w:r>
      <w:r w:rsidRPr="00190D5D">
        <w:rPr>
          <w:rFonts w:ascii="Times New Roman" w:hAnsi="Times New Roman" w:cs="Times New Roman"/>
          <w:noProof/>
          <w:sz w:val="24"/>
          <w:szCs w:val="24"/>
        </w:rPr>
        <w:t>(4), 54. https://doi.org/10.29103/jkkmm.v2i4.9983</w:t>
      </w:r>
    </w:p>
    <w:p w14:paraId="3B898E6C"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Sitompul, E. M. S., &amp; As-Shidieq, F. H. (2024). Effectiveness of Diabetes Mellitus Type 2 Management in Prolanis Participants at the BPJS Kesehatan Sibolga. </w:t>
      </w:r>
      <w:r w:rsidRPr="00190D5D">
        <w:rPr>
          <w:rFonts w:ascii="Times New Roman" w:hAnsi="Times New Roman" w:cs="Times New Roman"/>
          <w:i/>
          <w:iCs/>
          <w:noProof/>
          <w:sz w:val="24"/>
          <w:szCs w:val="24"/>
        </w:rPr>
        <w:t>Jurnal Jaminan Kesehatan Nasional</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4</w:t>
      </w:r>
      <w:r w:rsidRPr="00190D5D">
        <w:rPr>
          <w:rFonts w:ascii="Times New Roman" w:hAnsi="Times New Roman" w:cs="Times New Roman"/>
          <w:noProof/>
          <w:sz w:val="24"/>
          <w:szCs w:val="24"/>
        </w:rPr>
        <w:t>(2), 251–268.</w:t>
      </w:r>
    </w:p>
    <w:p w14:paraId="27299B07"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Strooij, B. T., Remmelzwaal, S., Muilwijk, M., Overbeek, J. A., Herings, R. M. C., Elders, P. </w:t>
      </w:r>
      <w:r w:rsidRPr="00190D5D">
        <w:rPr>
          <w:rFonts w:ascii="Times New Roman" w:hAnsi="Times New Roman" w:cs="Times New Roman"/>
          <w:noProof/>
          <w:sz w:val="24"/>
          <w:szCs w:val="24"/>
        </w:rPr>
        <w:lastRenderedPageBreak/>
        <w:t xml:space="preserve">J. M., van Hout, H. P. J., Maarsingh, O. R., van Valkengoed, I. G. M., &amp; Blom, M. T. (2025). Type 2 diabetes monitoring and control in migrants and non-migrants: A population-based cohort study in primary care in the Netherlands. </w:t>
      </w:r>
      <w:r w:rsidRPr="00190D5D">
        <w:rPr>
          <w:rFonts w:ascii="Times New Roman" w:hAnsi="Times New Roman" w:cs="Times New Roman"/>
          <w:i/>
          <w:iCs/>
          <w:noProof/>
          <w:sz w:val="24"/>
          <w:szCs w:val="24"/>
        </w:rPr>
        <w:t>Primary Care Diabetes</w:t>
      </w:r>
      <w:r w:rsidRPr="00190D5D">
        <w:rPr>
          <w:rFonts w:ascii="Times New Roman" w:hAnsi="Times New Roman" w:cs="Times New Roman"/>
          <w:noProof/>
          <w:sz w:val="24"/>
          <w:szCs w:val="24"/>
        </w:rPr>
        <w:t>. https://doi.org/https://doi.org/10.1016/j.pcd.2025.10.003</w:t>
      </w:r>
    </w:p>
    <w:p w14:paraId="022D3490"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Subandi, A., Noerjoedianto, D., &amp; Amir, A. (2021). Relationship of Family Support to the Referral Program for Patients with Chronic Diseases in BPJS Health Participants in Rawasari Health Center. </w:t>
      </w:r>
      <w:r w:rsidRPr="00190D5D">
        <w:rPr>
          <w:rFonts w:ascii="Times New Roman" w:hAnsi="Times New Roman" w:cs="Times New Roman"/>
          <w:i/>
          <w:iCs/>
          <w:noProof/>
          <w:sz w:val="24"/>
          <w:szCs w:val="24"/>
        </w:rPr>
        <w:t>Budapest International Research and Critics Institute-Journal (BIRCI-Journal)</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4</w:t>
      </w:r>
      <w:r w:rsidRPr="00190D5D">
        <w:rPr>
          <w:rFonts w:ascii="Times New Roman" w:hAnsi="Times New Roman" w:cs="Times New Roman"/>
          <w:noProof/>
          <w:sz w:val="24"/>
          <w:szCs w:val="24"/>
        </w:rPr>
        <w:t>(3), 6376–6384.</w:t>
      </w:r>
    </w:p>
    <w:p w14:paraId="1B4623B3"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Suciawati, A., Kundaryanti, R., &amp; Nursyifa, M. (2025). Factors Related To The Coverage Of The Chronic Disease Management. </w:t>
      </w:r>
      <w:r w:rsidRPr="00190D5D">
        <w:rPr>
          <w:rFonts w:ascii="Times New Roman" w:hAnsi="Times New Roman" w:cs="Times New Roman"/>
          <w:i/>
          <w:iCs/>
          <w:noProof/>
          <w:sz w:val="24"/>
          <w:szCs w:val="24"/>
        </w:rPr>
        <w:t>JKM (Jurnal Kebidanan Malahayati)</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11</w:t>
      </w:r>
      <w:r w:rsidRPr="00190D5D">
        <w:rPr>
          <w:rFonts w:ascii="Times New Roman" w:hAnsi="Times New Roman" w:cs="Times New Roman"/>
          <w:noProof/>
          <w:sz w:val="24"/>
          <w:szCs w:val="24"/>
        </w:rPr>
        <w:t>(1), 6–15. https://doi.org/http://ejurnalmalahayati.ac.id/index.php/kebidanan</w:t>
      </w:r>
    </w:p>
    <w:p w14:paraId="6CD44406"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Sugianto, A. A., Kurniawan, B., &amp; Udayana, S. (2023). Individual Determinant Factors of Patients with Hypertension and the Utilization of Chronic Disease Management Program ( Prolanis ) Services in First-Level Healthcare Facilities in Pesawaran District , Lampung , Indonesia. </w:t>
      </w:r>
      <w:r w:rsidRPr="00190D5D">
        <w:rPr>
          <w:rFonts w:ascii="Times New Roman" w:hAnsi="Times New Roman" w:cs="Times New Roman"/>
          <w:i/>
          <w:iCs/>
          <w:noProof/>
          <w:sz w:val="24"/>
          <w:szCs w:val="24"/>
        </w:rPr>
        <w:t>International Journal of Current Science Research and Review</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06</w:t>
      </w:r>
      <w:r w:rsidRPr="00190D5D">
        <w:rPr>
          <w:rFonts w:ascii="Times New Roman" w:hAnsi="Times New Roman" w:cs="Times New Roman"/>
          <w:noProof/>
          <w:sz w:val="24"/>
          <w:szCs w:val="24"/>
        </w:rPr>
        <w:t>(06), 3815–3821. https://doi.org/10.47191/ijcsrr/V6-i6-71</w:t>
      </w:r>
    </w:p>
    <w:p w14:paraId="26427B4A"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Susanto, J., Umam, K., &amp; Hidaayah, N. (2025). Self-efficacy and Utilization of Prolanis Health Services for Type 2 Diabetes Mellitus Patients. </w:t>
      </w:r>
      <w:r w:rsidRPr="00190D5D">
        <w:rPr>
          <w:rFonts w:ascii="Times New Roman" w:hAnsi="Times New Roman" w:cs="Times New Roman"/>
          <w:i/>
          <w:iCs/>
          <w:noProof/>
          <w:sz w:val="24"/>
          <w:szCs w:val="24"/>
        </w:rPr>
        <w:t>Jurnal ’Aisyiyah; Jurnal Ilmu Kesehatan</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10</w:t>
      </w:r>
      <w:r w:rsidRPr="00190D5D">
        <w:rPr>
          <w:rFonts w:ascii="Times New Roman" w:hAnsi="Times New Roman" w:cs="Times New Roman"/>
          <w:noProof/>
          <w:sz w:val="24"/>
          <w:szCs w:val="24"/>
        </w:rPr>
        <w:t>(1), 445–455.</w:t>
      </w:r>
    </w:p>
    <w:p w14:paraId="5F8088F1"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Syafa’at, A. W., Pulungan, R. M., &amp; Permatasari, P. (2021). Pemanfaatan Prolanis di Fasilitas Kesehatan Tingkat Pertama Wilayah Kota Depok. </w:t>
      </w:r>
      <w:r w:rsidRPr="00190D5D">
        <w:rPr>
          <w:rFonts w:ascii="Times New Roman" w:hAnsi="Times New Roman" w:cs="Times New Roman"/>
          <w:i/>
          <w:iCs/>
          <w:noProof/>
          <w:sz w:val="24"/>
          <w:szCs w:val="24"/>
        </w:rPr>
        <w:t>Media Kesehatan Masyarakat Indonesia</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18</w:t>
      </w:r>
      <w:r w:rsidRPr="00190D5D">
        <w:rPr>
          <w:rFonts w:ascii="Times New Roman" w:hAnsi="Times New Roman" w:cs="Times New Roman"/>
          <w:noProof/>
          <w:sz w:val="24"/>
          <w:szCs w:val="24"/>
        </w:rPr>
        <w:t>(4), 1–8.</w:t>
      </w:r>
    </w:p>
    <w:p w14:paraId="61127531"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Thepwongsa, I., Nonjui, P., Muthukumar, R., &amp; Sripa, P. (2025). Impact of Motivational Interviewing Education on General Practitioners’ and Trainees’ Learning and Diabetes Outcomes in Primary Care: Mixed Methods Study. </w:t>
      </w:r>
      <w:r w:rsidRPr="00190D5D">
        <w:rPr>
          <w:rFonts w:ascii="Times New Roman" w:hAnsi="Times New Roman" w:cs="Times New Roman"/>
          <w:i/>
          <w:iCs/>
          <w:noProof/>
          <w:sz w:val="24"/>
          <w:szCs w:val="24"/>
        </w:rPr>
        <w:t>JMIR Medical Education</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11</w:t>
      </w:r>
      <w:r w:rsidRPr="00190D5D">
        <w:rPr>
          <w:rFonts w:ascii="Times New Roman" w:hAnsi="Times New Roman" w:cs="Times New Roman"/>
          <w:noProof/>
          <w:sz w:val="24"/>
          <w:szCs w:val="24"/>
        </w:rPr>
        <w:t>. https://doi.org/https://doi.org/10.2196/75916</w:t>
      </w:r>
    </w:p>
    <w:p w14:paraId="1C26CB5E"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Versluis, A., Boels, A. M., Huijden, M. C. G., Mijnsbergen, M. D., Rutten, G. E. H. M., &amp; Vos, R. C. (2025). Diabetes self-management education and support delivered by mobile health  (mHealth) interventions for adults with type 2 diabetes-A systematic review and meta-analysis. </w:t>
      </w:r>
      <w:r w:rsidRPr="00190D5D">
        <w:rPr>
          <w:rFonts w:ascii="Times New Roman" w:hAnsi="Times New Roman" w:cs="Times New Roman"/>
          <w:i/>
          <w:iCs/>
          <w:noProof/>
          <w:sz w:val="24"/>
          <w:szCs w:val="24"/>
        </w:rPr>
        <w:t>Diabetic Medicine : A Journal of the British Diabetic Association</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42</w:t>
      </w:r>
      <w:r w:rsidRPr="00190D5D">
        <w:rPr>
          <w:rFonts w:ascii="Times New Roman" w:hAnsi="Times New Roman" w:cs="Times New Roman"/>
          <w:noProof/>
          <w:sz w:val="24"/>
          <w:szCs w:val="24"/>
        </w:rPr>
        <w:t>(5), e70002. https://doi.org/10.1111/dme.70002</w:t>
      </w:r>
    </w:p>
    <w:p w14:paraId="1754A493"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Widianingtyas, A., Purbowati, M. R., &amp; Dewantoro, L. (2020). Hubungan Keikutsertaan Prolanis (Program Pengelolaan Penyakit Kronis) dengan Tingkat Efikasi Diri Pasien Diabetes Mellitus Tipe 2 di Puskesmas 1 Kembaran. </w:t>
      </w:r>
      <w:r w:rsidRPr="00190D5D">
        <w:rPr>
          <w:rFonts w:ascii="Times New Roman" w:hAnsi="Times New Roman" w:cs="Times New Roman"/>
          <w:i/>
          <w:iCs/>
          <w:noProof/>
          <w:sz w:val="24"/>
          <w:szCs w:val="24"/>
        </w:rPr>
        <w:t>Muhammadiyah Journal of Geriatric</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1</w:t>
      </w:r>
      <w:r w:rsidRPr="00190D5D">
        <w:rPr>
          <w:rFonts w:ascii="Times New Roman" w:hAnsi="Times New Roman" w:cs="Times New Roman"/>
          <w:noProof/>
          <w:sz w:val="24"/>
          <w:szCs w:val="24"/>
        </w:rPr>
        <w:t>(2), 33–39. https://doi.org/10.24853/mujg.1.2.33-39</w:t>
      </w:r>
    </w:p>
    <w:p w14:paraId="253A638F"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Woldamanuel, Y., Rossen, J., Andermo, S., Bergman, P., Åberg, L., Hagströmer, M., &amp; Johansson, U.-B. (2023). Perspectives on Promoting Physical Activity Using eHealth in Primary Care by Health Care Professionals and Individuals With Prediabetes and Type 2 Diabetes: Qualitative Study. </w:t>
      </w:r>
      <w:r w:rsidRPr="00190D5D">
        <w:rPr>
          <w:rFonts w:ascii="Times New Roman" w:hAnsi="Times New Roman" w:cs="Times New Roman"/>
          <w:i/>
          <w:iCs/>
          <w:noProof/>
          <w:sz w:val="24"/>
          <w:szCs w:val="24"/>
        </w:rPr>
        <w:t>JMIR Diabetes</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8</w:t>
      </w:r>
      <w:r w:rsidRPr="00190D5D">
        <w:rPr>
          <w:rFonts w:ascii="Times New Roman" w:hAnsi="Times New Roman" w:cs="Times New Roman"/>
          <w:noProof/>
          <w:sz w:val="24"/>
          <w:szCs w:val="24"/>
        </w:rPr>
        <w:t>. https://doi.org/https://doi.org/10.2196/39474</w:t>
      </w:r>
    </w:p>
    <w:p w14:paraId="4C0A3BB7"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World Health Organization (WHO). (2024). </w:t>
      </w:r>
      <w:r w:rsidRPr="00190D5D">
        <w:rPr>
          <w:rFonts w:ascii="Times New Roman" w:hAnsi="Times New Roman" w:cs="Times New Roman"/>
          <w:i/>
          <w:iCs/>
          <w:noProof/>
          <w:sz w:val="24"/>
          <w:szCs w:val="24"/>
        </w:rPr>
        <w:t>Global Report on Diabetes. 1. Diabetes Mellitus – epidemiology. 2. Diabetes Mellitus – prevention and control. 3. Diabetes, Gestational. 4. Chronic Disease. 5.</w:t>
      </w:r>
      <w:r w:rsidRPr="00190D5D">
        <w:rPr>
          <w:rFonts w:ascii="Times New Roman" w:hAnsi="Times New Roman" w:cs="Times New Roman"/>
          <w:noProof/>
          <w:sz w:val="24"/>
          <w:szCs w:val="24"/>
        </w:rPr>
        <w:t xml:space="preserve"> Public Health. http://apps.who.int/iris/bitstream</w:t>
      </w:r>
    </w:p>
    <w:p w14:paraId="3FA1C25B"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szCs w:val="24"/>
        </w:rPr>
      </w:pPr>
      <w:r w:rsidRPr="00190D5D">
        <w:rPr>
          <w:rFonts w:ascii="Times New Roman" w:hAnsi="Times New Roman" w:cs="Times New Roman"/>
          <w:noProof/>
          <w:sz w:val="24"/>
          <w:szCs w:val="24"/>
        </w:rPr>
        <w:t xml:space="preserve">Yusianto, W., Teguh, R., Wahyuni, D., Kesehatan, T., &amp; Utama, C. (2024). Knowledge and Compliance of Diabetes Mellitus Patients in Following the Chronic Disease Management </w:t>
      </w:r>
      <w:r w:rsidRPr="00190D5D">
        <w:rPr>
          <w:rFonts w:ascii="Times New Roman" w:hAnsi="Times New Roman" w:cs="Times New Roman"/>
          <w:noProof/>
          <w:sz w:val="24"/>
          <w:szCs w:val="24"/>
        </w:rPr>
        <w:lastRenderedPageBreak/>
        <w:t xml:space="preserve">Program ( Prolanis ) Pengetahuan dan Kepatuhan Pasien Diabetes Melitus dalam Mengikuti Program Pengelolaan Penyakit Kronis ( Prolanis ). </w:t>
      </w:r>
      <w:r w:rsidRPr="00190D5D">
        <w:rPr>
          <w:rFonts w:ascii="Times New Roman" w:hAnsi="Times New Roman" w:cs="Times New Roman"/>
          <w:i/>
          <w:iCs/>
          <w:noProof/>
          <w:sz w:val="24"/>
          <w:szCs w:val="24"/>
        </w:rPr>
        <w:t>Menara Journal of Health Science</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3</w:t>
      </w:r>
      <w:r w:rsidRPr="00190D5D">
        <w:rPr>
          <w:rFonts w:ascii="Times New Roman" w:hAnsi="Times New Roman" w:cs="Times New Roman"/>
          <w:noProof/>
          <w:sz w:val="24"/>
          <w:szCs w:val="24"/>
        </w:rPr>
        <w:t>(2), 302–312.</w:t>
      </w:r>
    </w:p>
    <w:p w14:paraId="3BAA05F5" w14:textId="77777777" w:rsidR="00190D5D" w:rsidRPr="00190D5D" w:rsidRDefault="00190D5D" w:rsidP="00190D5D">
      <w:pPr>
        <w:widowControl w:val="0"/>
        <w:autoSpaceDE w:val="0"/>
        <w:autoSpaceDN w:val="0"/>
        <w:adjustRightInd w:val="0"/>
        <w:spacing w:after="120" w:line="240" w:lineRule="auto"/>
        <w:ind w:left="567" w:hangingChars="237" w:hanging="569"/>
        <w:jc w:val="both"/>
        <w:rPr>
          <w:rFonts w:ascii="Times New Roman" w:hAnsi="Times New Roman" w:cs="Times New Roman"/>
          <w:noProof/>
          <w:sz w:val="24"/>
        </w:rPr>
      </w:pPr>
      <w:r w:rsidRPr="00190D5D">
        <w:rPr>
          <w:rFonts w:ascii="Times New Roman" w:hAnsi="Times New Roman" w:cs="Times New Roman"/>
          <w:noProof/>
          <w:sz w:val="24"/>
          <w:szCs w:val="24"/>
        </w:rPr>
        <w:t xml:space="preserve">Zafasia, A. F., Deli, H., &amp; Arneliwati. (2021). Hubungan jarak rumah dan waktu tempuh dengan pemanfaatan pelayanan kesehatan selama pandemi. </w:t>
      </w:r>
      <w:r w:rsidRPr="00190D5D">
        <w:rPr>
          <w:rFonts w:ascii="Times New Roman" w:hAnsi="Times New Roman" w:cs="Times New Roman"/>
          <w:i/>
          <w:iCs/>
          <w:noProof/>
          <w:sz w:val="24"/>
          <w:szCs w:val="24"/>
        </w:rPr>
        <w:t>JOM (Journal Of Management)</w:t>
      </w:r>
      <w:r w:rsidRPr="00190D5D">
        <w:rPr>
          <w:rFonts w:ascii="Times New Roman" w:hAnsi="Times New Roman" w:cs="Times New Roman"/>
          <w:noProof/>
          <w:sz w:val="24"/>
          <w:szCs w:val="24"/>
        </w:rPr>
        <w:t xml:space="preserve">, </w:t>
      </w:r>
      <w:r w:rsidRPr="00190D5D">
        <w:rPr>
          <w:rFonts w:ascii="Times New Roman" w:hAnsi="Times New Roman" w:cs="Times New Roman"/>
          <w:i/>
          <w:iCs/>
          <w:noProof/>
          <w:sz w:val="24"/>
          <w:szCs w:val="24"/>
        </w:rPr>
        <w:t>9</w:t>
      </w:r>
      <w:r w:rsidRPr="00190D5D">
        <w:rPr>
          <w:rFonts w:ascii="Times New Roman" w:hAnsi="Times New Roman" w:cs="Times New Roman"/>
          <w:noProof/>
          <w:sz w:val="24"/>
          <w:szCs w:val="24"/>
        </w:rPr>
        <w:t>(2), 161–168.</w:t>
      </w:r>
    </w:p>
    <w:p w14:paraId="2C7A0D96" w14:textId="27DFB6DA" w:rsidR="00190D5D" w:rsidRDefault="00190D5D" w:rsidP="00190D5D">
      <w:pPr>
        <w:widowControl w:val="0"/>
        <w:autoSpaceDE w:val="0"/>
        <w:autoSpaceDN w:val="0"/>
        <w:adjustRightInd w:val="0"/>
        <w:spacing w:after="120" w:line="240" w:lineRule="auto"/>
        <w:ind w:left="567" w:hangingChars="237" w:hanging="56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w:t>
      </w:r>
    </w:p>
    <w:p w14:paraId="01609920" w14:textId="0CBC5218" w:rsidR="005852D4" w:rsidRDefault="005852D4" w:rsidP="00EC477A">
      <w:pPr>
        <w:widowControl w:val="0"/>
        <w:spacing w:after="120" w:line="240" w:lineRule="auto"/>
        <w:ind w:left="425" w:hangingChars="178" w:hanging="427"/>
        <w:jc w:val="both"/>
        <w:rPr>
          <w:rFonts w:ascii="Times New Roman" w:eastAsia="Times New Roman" w:hAnsi="Times New Roman" w:cs="Times New Roman"/>
          <w:sz w:val="24"/>
          <w:szCs w:val="24"/>
        </w:rPr>
      </w:pPr>
    </w:p>
    <w:sectPr w:rsidR="005852D4">
      <w:headerReference w:type="even" r:id="rId13"/>
      <w:headerReference w:type="default" r:id="rId14"/>
      <w:footerReference w:type="even" r:id="rId15"/>
      <w:headerReference w:type="first" r:id="rId16"/>
      <w:footerReference w:type="first" r:id="rId17"/>
      <w:type w:val="continuous"/>
      <w:pgSz w:w="11906" w:h="16838"/>
      <w:pgMar w:top="1440" w:right="1440" w:bottom="1440" w:left="1440"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B000D9" w14:textId="77777777" w:rsidR="00A04C80" w:rsidRDefault="00A04C80">
      <w:pPr>
        <w:spacing w:after="0" w:line="240" w:lineRule="auto"/>
        <w:ind w:left="0" w:hanging="2"/>
      </w:pPr>
      <w:r>
        <w:separator/>
      </w:r>
    </w:p>
  </w:endnote>
  <w:endnote w:type="continuationSeparator" w:id="0">
    <w:p w14:paraId="7EB7334A" w14:textId="77777777" w:rsidR="00A04C80" w:rsidRDefault="00A04C80">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notTrueType/>
    <w:pitch w:val="default"/>
  </w:font>
  <w:font w:name="BatangChe">
    <w:charset w:val="81"/>
    <w:family w:val="modern"/>
    <w:pitch w:val="fixed"/>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venir LT Std 55 Roman">
    <w:altName w:val="Cambria"/>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GaramondPro-Regular">
    <w:altName w:val="MS Gothic"/>
    <w:panose1 w:val="00000000000000000000"/>
    <w:charset w:val="80"/>
    <w:family w:val="roman"/>
    <w:notTrueType/>
    <w:pitch w:val="default"/>
    <w:sig w:usb0="00000001" w:usb1="08070000" w:usb2="00000010" w:usb3="00000000" w:csb0="00020000" w:csb1="00000000"/>
  </w:font>
  <w:font w:name="ArialMT">
    <w:altName w:val="Arial"/>
    <w:charset w:val="A1"/>
    <w:family w:val="auto"/>
    <w:pitch w:val="default"/>
    <w:sig w:usb0="00000000" w:usb1="00000000" w:usb2="00000000" w:usb3="00000000" w:csb0="00000008"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35794" w14:textId="77777777" w:rsidR="005852D4" w:rsidRDefault="002678EE">
    <w:pPr>
      <w:pBdr>
        <w:top w:val="nil"/>
        <w:left w:val="nil"/>
        <w:bottom w:val="nil"/>
        <w:right w:val="nil"/>
        <w:between w:val="nil"/>
      </w:pBdr>
      <w:spacing w:after="0" w:line="240" w:lineRule="auto"/>
      <w:ind w:left="0" w:hanging="2"/>
      <w:rPr>
        <w:color w:val="000000"/>
      </w:rPr>
    </w:pPr>
    <w:r>
      <w:rPr>
        <w:color w:val="000000"/>
      </w:rPr>
      <w:t>Vol 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DFE83" w14:textId="77777777" w:rsidR="005852D4" w:rsidRDefault="005852D4">
    <w:pPr>
      <w:pBdr>
        <w:top w:val="nil"/>
        <w:left w:val="nil"/>
        <w:bottom w:val="nil"/>
        <w:right w:val="nil"/>
        <w:between w:val="nil"/>
      </w:pBdr>
      <w:spacing w:after="0" w:line="240" w:lineRule="auto"/>
      <w:ind w:left="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23052" w14:textId="77777777" w:rsidR="005852D4" w:rsidRDefault="005852D4">
    <w:pPr>
      <w:pBdr>
        <w:top w:val="nil"/>
        <w:left w:val="nil"/>
        <w:bottom w:val="nil"/>
        <w:right w:val="nil"/>
        <w:between w:val="nil"/>
      </w:pBdr>
      <w:spacing w:after="0"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655D6F" w14:textId="77777777" w:rsidR="00A04C80" w:rsidRDefault="00A04C80">
      <w:pPr>
        <w:spacing w:after="0" w:line="240" w:lineRule="auto"/>
        <w:ind w:left="0" w:hanging="2"/>
      </w:pPr>
      <w:r>
        <w:separator/>
      </w:r>
    </w:p>
  </w:footnote>
  <w:footnote w:type="continuationSeparator" w:id="0">
    <w:p w14:paraId="68DE6E13" w14:textId="77777777" w:rsidR="00A04C80" w:rsidRDefault="00A04C80">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13569" w14:textId="77777777" w:rsidR="005852D4" w:rsidRDefault="00A04C80">
    <w:pPr>
      <w:pBdr>
        <w:top w:val="nil"/>
        <w:left w:val="nil"/>
        <w:bottom w:val="nil"/>
        <w:right w:val="nil"/>
        <w:between w:val="nil"/>
      </w:pBdr>
      <w:spacing w:after="0" w:line="240" w:lineRule="auto"/>
      <w:ind w:left="0" w:hanging="2"/>
      <w:rPr>
        <w:color w:val="000000"/>
      </w:rPr>
    </w:pPr>
    <w:r>
      <w:rPr>
        <w:color w:val="000000"/>
      </w:rPr>
      <w:pict w14:anchorId="38CD4A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2" type="#_x0000_t75" alt="" style="position:absolute;margin-left:0;margin-top:0;width:351pt;height:329pt;z-index:-251658240;visibility:visible;mso-position-horizontal:center;mso-position-horizontal-relative:left-margin-area;mso-position-vertical:center;mso-position-vertical-relative:top-margin-area">
          <v:imagedata r:id="rId1" o:title="image3" gain="19661f" blacklevel="22938f"/>
          <v:path o:extrusionok="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A6604" w14:textId="77777777" w:rsidR="005852D4" w:rsidRDefault="002678EE">
    <w:pPr>
      <w:spacing w:line="240" w:lineRule="auto"/>
      <w:ind w:left="0" w:hanging="2"/>
      <w:jc w:val="center"/>
      <w:rPr>
        <w:rFonts w:ascii="Cambria" w:eastAsia="Cambria" w:hAnsi="Cambria" w:cs="Cambria"/>
        <w:sz w:val="14"/>
        <w:szCs w:val="14"/>
      </w:rPr>
    </w:pPr>
    <w:r>
      <w:rPr>
        <w:noProof/>
      </w:rPr>
      <mc:AlternateContent>
        <mc:Choice Requires="wps">
          <w:drawing>
            <wp:anchor distT="0" distB="0" distL="114300" distR="114300" simplePos="0" relativeHeight="251654144" behindDoc="0" locked="0" layoutInCell="1" hidden="0" allowOverlap="1" wp14:anchorId="36A1E25A" wp14:editId="7B757507">
              <wp:simplePos x="0" y="0"/>
              <wp:positionH relativeFrom="page">
                <wp:posOffset>6929438</wp:posOffset>
              </wp:positionH>
              <wp:positionV relativeFrom="page">
                <wp:posOffset>7784148</wp:posOffset>
              </wp:positionV>
              <wp:extent cx="542290" cy="2192655"/>
              <wp:effectExtent l="0" t="0" r="0" b="0"/>
              <wp:wrapNone/>
              <wp:docPr id="4" name="Rectangle 4"/>
              <wp:cNvGraphicFramePr/>
              <a:graphic xmlns:a="http://schemas.openxmlformats.org/drawingml/2006/main">
                <a:graphicData uri="http://schemas.microsoft.com/office/word/2010/wordprocessingShape">
                  <wps:wsp>
                    <wps:cNvSpPr/>
                    <wps:spPr>
                      <a:xfrm rot="-5400000">
                        <a:off x="4254436" y="3513617"/>
                        <a:ext cx="2183130" cy="532765"/>
                      </a:xfrm>
                      <a:prstGeom prst="rect">
                        <a:avLst/>
                      </a:prstGeom>
                      <a:noFill/>
                      <a:ln>
                        <a:noFill/>
                      </a:ln>
                    </wps:spPr>
                    <wps:txbx>
                      <w:txbxContent>
                        <w:p w14:paraId="594AE935" w14:textId="77777777" w:rsidR="005852D4" w:rsidRDefault="002678EE">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92</w:t>
                          </w:r>
                        </w:p>
                        <w:p w14:paraId="29E17424" w14:textId="77777777" w:rsidR="005852D4" w:rsidRDefault="005852D4">
                          <w:pPr>
                            <w:spacing w:line="275" w:lineRule="auto"/>
                            <w:ind w:left="0" w:hanging="2"/>
                          </w:pPr>
                        </w:p>
                      </w:txbxContent>
                    </wps:txbx>
                    <wps:bodyPr spcFirstLastPara="1" wrap="square" lIns="91425" tIns="45700" rIns="91425" bIns="45700" anchor="ctr" anchorCtr="0">
                      <a:noAutofit/>
                    </wps:bodyPr>
                  </wps:wsp>
                </a:graphicData>
              </a:graphic>
            </wp:anchor>
          </w:drawing>
        </mc:Choice>
        <mc:Fallback>
          <w:pict>
            <v:rect w14:anchorId="36A1E25A" id="Rectangle 4" o:spid="_x0000_s1026" style="position:absolute;left:0;text-align:left;margin-left:545.65pt;margin-top:612.95pt;width:42.7pt;height:172.65pt;rotation:-90;z-index:251654144;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oGu3AEAAJEDAAAOAAAAZHJzL2Uyb0RvYy54bWysU9uO0zAQfUfiHyy/b3Nvl6jpCrEqQlpB&#10;xcIHuI7TWHJsM3ab9O8ZO9mlwBsiD5bnojPnHE+2D9OgyEWAk0Y3NFullAjNTSv1qaHfv+3v7ilx&#10;numWKaNFQ6/C0Yfd2zfb0dYiN71RrQCCINrVo21o772tk8TxXgzMrYwVGoudgYF5DOGUtMBGRB9U&#10;kqfpOhkNtBYMF85h9nEu0l3E7zrB/Zeuc8IT1VDk5uMJ8TyGM9ltWX0CZnvJFxrsH1gMTGoc+gr1&#10;yDwjZ5B/QQ2Sg3Gm8ytuhsR0neQiakA1WfqHmueeWRG1oDnOvtrk/h8s/3w5AJFtQ0tKNBvwib6i&#10;aUyflCBlsGe0rsauZ3uAJXJ4DVqnDgYCBj29q8o0fNECFEUmxMursizWlFwbWlRZsc42s9ti8oRj&#10;Q57dF1mBj8KxoyryzboKDckMHAZYcP6jMAMJl4YCEosT2OXJ+bn1pSW0a7OXSmGe1Ur/lkDMkEmC&#10;lpl9uPnpOC2Sjqa9og/O8r3EWU/M+QMD3ISMkhG3o6Hux5mBoER90mj/uwzl4TrFoKw2KJ3AbeV4&#10;W2Ga9waXjnugZA4++LiEM8v3Z286GRUFXjOZhS6+e/Rk2dGwWLdx7Pr1J+1+AgAA//8DAFBLAwQU&#10;AAYACAAAACEAfvfxieIAAAAOAQAADwAAAGRycy9kb3ducmV2LnhtbEyPwW7CMAyG75P2DpEn7TbS&#10;riWCrimaJqGN44ChHUMS2rLGqZoA3dvPnNjN1vfr9+dyMbqOne0QWo8S0kkCzKL2psVawnazfJoB&#10;C1GhUZ1HK+HXBlhU93elKoy/4Kc9r2PNqARDoSQ0MfYF50E31qkw8b1FYgc/OBVpHWpuBnWhctfx&#10;5yQR3KkW6UKjevvWWP2zPjkJH+9ip4/f21UaNzO1O6yWOj9+Sfn4ML6+AIt2jLcwXPVJHSpy2vsT&#10;msA6CXORZhQlkE2nc2DXSJYIAWxPU54T5VXJ/79R/QEAAP//AwBQSwECLQAUAAYACAAAACEAtoM4&#10;kv4AAADhAQAAEwAAAAAAAAAAAAAAAAAAAAAAW0NvbnRlbnRfVHlwZXNdLnhtbFBLAQItABQABgAI&#10;AAAAIQA4/SH/1gAAAJQBAAALAAAAAAAAAAAAAAAAAC8BAABfcmVscy8ucmVsc1BLAQItABQABgAI&#10;AAAAIQDZsoGu3AEAAJEDAAAOAAAAAAAAAAAAAAAAAC4CAABkcnMvZTJvRG9jLnhtbFBLAQItABQA&#10;BgAIAAAAIQB+9/GJ4gAAAA4BAAAPAAAAAAAAAAAAAAAAADYEAABkcnMvZG93bnJldi54bWxQSwUG&#10;AAAAAAQABADzAAAARQUAAAAA&#10;" filled="f" stroked="f">
              <v:textbox inset="2.53958mm,1.2694mm,2.53958mm,1.2694mm">
                <w:txbxContent>
                  <w:p w14:paraId="594AE935" w14:textId="77777777" w:rsidR="005852D4" w:rsidRDefault="002678EE">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92</w:t>
                    </w:r>
                  </w:p>
                  <w:p w14:paraId="29E17424" w14:textId="77777777" w:rsidR="005852D4" w:rsidRDefault="005852D4">
                    <w:pPr>
                      <w:spacing w:line="275" w:lineRule="auto"/>
                      <w:ind w:left="0" w:hanging="2"/>
                    </w:pPr>
                  </w:p>
                </w:txbxContent>
              </v:textbox>
              <w10:wrap anchorx="page" anchory="page"/>
            </v:rect>
          </w:pict>
        </mc:Fallback>
      </mc:AlternateContent>
    </w:r>
    <w:r>
      <w:rPr>
        <w:rFonts w:ascii="Times New Roman" w:eastAsia="Times New Roman" w:hAnsi="Times New Roman" w:cs="Times New Roman"/>
        <w:color w:val="000000"/>
        <w:sz w:val="20"/>
        <w:szCs w:val="20"/>
      </w:rPr>
      <w:t xml:space="preserve"> </w:t>
    </w:r>
    <w:r>
      <w:rPr>
        <w:rFonts w:ascii="Cambria" w:eastAsia="Cambria" w:hAnsi="Cambria" w:cs="Cambria"/>
        <w:sz w:val="14"/>
        <w:szCs w:val="14"/>
      </w:rPr>
      <w:t xml:space="preserve">Ahmad Taufik dkk </w:t>
    </w:r>
    <w:r>
      <w:rPr>
        <w:rFonts w:ascii="Cambria" w:eastAsia="Cambria" w:hAnsi="Cambria" w:cs="Cambria"/>
        <w:color w:val="000000"/>
        <w:sz w:val="14"/>
        <w:szCs w:val="14"/>
      </w:rPr>
      <w:t xml:space="preserve">/ </w:t>
    </w:r>
    <w:r>
      <w:rPr>
        <w:rFonts w:ascii="Cambria" w:eastAsia="Cambria" w:hAnsi="Cambria" w:cs="Cambria"/>
        <w:sz w:val="14"/>
        <w:szCs w:val="14"/>
      </w:rPr>
      <w:t>Scientific Periodical of Public Health and Coastal4(2),2020 , halaman 91-99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81373" w14:textId="77777777" w:rsidR="005852D4" w:rsidRDefault="002678EE">
    <w:pPr>
      <w:spacing w:after="403" w:line="259" w:lineRule="auto"/>
      <w:ind w:left="0" w:hanging="2"/>
      <w:rPr>
        <w:sz w:val="24"/>
        <w:szCs w:val="24"/>
      </w:rPr>
    </w:pPr>
    <w:r>
      <w:rPr>
        <w:noProof/>
      </w:rPr>
      <mc:AlternateContent>
        <mc:Choice Requires="wps">
          <w:drawing>
            <wp:anchor distT="0" distB="0" distL="114300" distR="114300" simplePos="0" relativeHeight="251655168" behindDoc="0" locked="0" layoutInCell="1" hidden="0" allowOverlap="1" wp14:anchorId="641781AE" wp14:editId="74D6DF07">
              <wp:simplePos x="0" y="0"/>
              <wp:positionH relativeFrom="page">
                <wp:posOffset>6929438</wp:posOffset>
              </wp:positionH>
              <wp:positionV relativeFrom="page">
                <wp:posOffset>7784148</wp:posOffset>
              </wp:positionV>
              <wp:extent cx="542290" cy="2192655"/>
              <wp:effectExtent l="0" t="0" r="0" b="0"/>
              <wp:wrapNone/>
              <wp:docPr id="2" name="Rectangle 2"/>
              <wp:cNvGraphicFramePr/>
              <a:graphic xmlns:a="http://schemas.openxmlformats.org/drawingml/2006/main">
                <a:graphicData uri="http://schemas.microsoft.com/office/word/2010/wordprocessingShape">
                  <wps:wsp>
                    <wps:cNvSpPr/>
                    <wps:spPr>
                      <a:xfrm rot="-5400000">
                        <a:off x="4254436" y="3513617"/>
                        <a:ext cx="2183130" cy="532765"/>
                      </a:xfrm>
                      <a:prstGeom prst="rect">
                        <a:avLst/>
                      </a:prstGeom>
                      <a:noFill/>
                      <a:ln>
                        <a:noFill/>
                      </a:ln>
                    </wps:spPr>
                    <wps:txbx>
                      <w:txbxContent>
                        <w:p w14:paraId="04599DD1" w14:textId="77777777" w:rsidR="005852D4" w:rsidRDefault="002678EE">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91</w:t>
                          </w:r>
                        </w:p>
                        <w:p w14:paraId="7D081704" w14:textId="77777777" w:rsidR="005852D4" w:rsidRDefault="005852D4">
                          <w:pPr>
                            <w:spacing w:line="275" w:lineRule="auto"/>
                            <w:ind w:left="0" w:hanging="2"/>
                          </w:pPr>
                        </w:p>
                      </w:txbxContent>
                    </wps:txbx>
                    <wps:bodyPr spcFirstLastPara="1" wrap="square" lIns="91425" tIns="45700" rIns="91425" bIns="45700" anchor="ctr" anchorCtr="0">
                      <a:noAutofit/>
                    </wps:bodyPr>
                  </wps:wsp>
                </a:graphicData>
              </a:graphic>
            </wp:anchor>
          </w:drawing>
        </mc:Choice>
        <mc:Fallback>
          <w:pict>
            <v:rect w14:anchorId="641781AE" id="Rectangle 2" o:spid="_x0000_s1027" style="position:absolute;margin-left:545.65pt;margin-top:612.95pt;width:42.7pt;height:172.65pt;rotation:-90;z-index:251655168;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Tca4QEAAJgDAAAOAAAAZHJzL2Uyb0RvYy54bWysU9uO0zAQfUfiHyy/b9Pc2iWqu0KsipBW&#10;ULHwAa5jN5YS24zdJv17xk53KfCGyIPlGY/OnHNmsnmYhp6cJXhtDaP5YkmJNMK22hwZ/f5td3dP&#10;iQ/ctLy3RjJ6kZ4+bN++2YyukYXtbN9KIAhifDM6RrsQXJNlXnRy4H5hnTT4qCwMPGAIx6wFPiL6&#10;0GfFcrnKRgutAyuk95h9nB/pNuErJUX4opSXgfSMIreQTkjnIZ7ZdsObI3DXaXGlwf+BxcC1waav&#10;UI88cHIC/RfUoAVYb1VYCDtkViktZNKAavLlH2qeO+5k0oLmePdqk/9/sOLzeQ9Et4wWlBg+4Ii+&#10;omncHHtJimjP6HyDVc9uD9fI4zVqnRQMBCx6eldXy/glC1AUmRitirqqyhUlF0bLOi9X+Xp2W06B&#10;CCwo8vsyL3EoAivqsliv6liQzcCxgQMfPko7kHhhFJBY6sDPTz7MpS8lsdzYne57zPOmN78lEDNm&#10;sqhlZh9vYTpMSXr+ovNg2wva4Z3YaWz5xH3Yc8CFyCkZcUkY9T9OHCQl/SeDU3iXo0rcqhRU9Rod&#10;IHD7crh94UZ0FndPBKBkDj6EtIsz2fenYJVOwiK9mcyVNY4/WXNd1bhft3Gq+vVDbX8CAAD//wMA&#10;UEsDBBQABgAIAAAAIQB+9/GJ4gAAAA4BAAAPAAAAZHJzL2Rvd25yZXYueG1sTI/BbsIwDIbvk/YO&#10;kSftNtKuJYKuKZomoY3jgKEdQxLassapmgDd28+c2M3W9+v353Ixuo6d7RBajxLSSQLMovamxVrC&#10;drN8mgELUaFRnUcr4dcGWFT3d6UqjL/gpz2vY82oBEOhJDQx9gXnQTfWqTDxvUViBz84FWkdam4G&#10;daFy1/HnJBHcqRbpQqN6+9ZY/bM+OQkf72Knj9/bVRo3M7U7rJY6P35J+fgwvr4Ai3aMtzBc9Ukd&#10;KnLa+xOawDoJc5FmFCWQTadzYNdIlggBbE9TnhPlVcn/v1H9AQAA//8DAFBLAQItABQABgAIAAAA&#10;IQC2gziS/gAAAOEBAAATAAAAAAAAAAAAAAAAAAAAAABbQ29udGVudF9UeXBlc10ueG1sUEsBAi0A&#10;FAAGAAgAAAAhADj9If/WAAAAlAEAAAsAAAAAAAAAAAAAAAAALwEAAF9yZWxzLy5yZWxzUEsBAi0A&#10;FAAGAAgAAAAhAIBtNxrhAQAAmAMAAA4AAAAAAAAAAAAAAAAALgIAAGRycy9lMm9Eb2MueG1sUEsB&#10;Ai0AFAAGAAgAAAAhAH738YniAAAADgEAAA8AAAAAAAAAAAAAAAAAOwQAAGRycy9kb3ducmV2Lnht&#10;bFBLBQYAAAAABAAEAPMAAABKBQAAAAA=&#10;" filled="f" stroked="f">
              <v:textbox inset="2.53958mm,1.2694mm,2.53958mm,1.2694mm">
                <w:txbxContent>
                  <w:p w14:paraId="04599DD1" w14:textId="77777777" w:rsidR="005852D4" w:rsidRDefault="002678EE">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91</w:t>
                    </w:r>
                  </w:p>
                  <w:p w14:paraId="7D081704" w14:textId="77777777" w:rsidR="005852D4" w:rsidRDefault="005852D4">
                    <w:pPr>
                      <w:spacing w:line="275" w:lineRule="auto"/>
                      <w:ind w:left="0" w:hanging="2"/>
                    </w:pPr>
                  </w:p>
                </w:txbxContent>
              </v:textbox>
              <w10:wrap anchorx="page" anchory="page"/>
            </v:rect>
          </w:pict>
        </mc:Fallback>
      </mc:AlternateContent>
    </w:r>
    <w:r>
      <w:rPr>
        <w:noProof/>
      </w:rPr>
      <mc:AlternateContent>
        <mc:Choice Requires="wpg">
          <w:drawing>
            <wp:anchor distT="0" distB="0" distL="114300" distR="114300" simplePos="0" relativeHeight="251656192" behindDoc="0" locked="0" layoutInCell="1" hidden="0" allowOverlap="1" wp14:anchorId="7237022E" wp14:editId="435B9B9E">
              <wp:simplePos x="0" y="0"/>
              <wp:positionH relativeFrom="column">
                <wp:posOffset>2108200</wp:posOffset>
              </wp:positionH>
              <wp:positionV relativeFrom="paragraph">
                <wp:posOffset>-177799</wp:posOffset>
              </wp:positionV>
              <wp:extent cx="4076700" cy="638175"/>
              <wp:effectExtent l="0" t="0" r="0" b="0"/>
              <wp:wrapNone/>
              <wp:docPr id="1" name="Group 1"/>
              <wp:cNvGraphicFramePr/>
              <a:graphic xmlns:a="http://schemas.openxmlformats.org/drawingml/2006/main">
                <a:graphicData uri="http://schemas.microsoft.com/office/word/2010/wordprocessingGroup">
                  <wpg:wgp>
                    <wpg:cNvGrpSpPr/>
                    <wpg:grpSpPr>
                      <a:xfrm>
                        <a:off x="0" y="0"/>
                        <a:ext cx="4076700" cy="638175"/>
                        <a:chOff x="3302875" y="3311600"/>
                        <a:chExt cx="4262850" cy="860750"/>
                      </a:xfrm>
                    </wpg:grpSpPr>
                    <wpg:grpSp>
                      <wpg:cNvPr id="3" name="Group 3"/>
                      <wpg:cNvGrpSpPr/>
                      <wpg:grpSpPr>
                        <a:xfrm>
                          <a:off x="3307650" y="3460913"/>
                          <a:ext cx="4076700" cy="638175"/>
                          <a:chOff x="0" y="0"/>
                          <a:chExt cx="4076700" cy="638175"/>
                        </a:xfrm>
                      </wpg:grpSpPr>
                      <wps:wsp>
                        <wps:cNvPr id="5" name="Rectangle 5"/>
                        <wps:cNvSpPr/>
                        <wps:spPr>
                          <a:xfrm>
                            <a:off x="0" y="0"/>
                            <a:ext cx="4076700" cy="638175"/>
                          </a:xfrm>
                          <a:prstGeom prst="rect">
                            <a:avLst/>
                          </a:prstGeom>
                          <a:noFill/>
                          <a:ln>
                            <a:noFill/>
                          </a:ln>
                        </wps:spPr>
                        <wps:txbx>
                          <w:txbxContent>
                            <w:p w14:paraId="3F44783F" w14:textId="77777777" w:rsidR="005852D4" w:rsidRDefault="005852D4">
                              <w:pPr>
                                <w:spacing w:after="0" w:line="240" w:lineRule="auto"/>
                                <w:ind w:left="0" w:hanging="2"/>
                              </w:pPr>
                            </w:p>
                          </w:txbxContent>
                        </wps:txbx>
                        <wps:bodyPr spcFirstLastPara="1" wrap="square" lIns="91425" tIns="91425" rIns="91425" bIns="91425" anchor="ctr" anchorCtr="0">
                          <a:noAutofit/>
                        </wps:bodyPr>
                      </wps:wsp>
                      <wps:wsp>
                        <wps:cNvPr id="6" name="Rectangle 6"/>
                        <wps:cNvSpPr/>
                        <wps:spPr>
                          <a:xfrm>
                            <a:off x="0" y="219075"/>
                            <a:ext cx="3834765" cy="419100"/>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14:paraId="029AAB1E" w14:textId="77777777" w:rsidR="005852D4" w:rsidRDefault="005852D4">
                              <w:pPr>
                                <w:spacing w:after="0" w:line="240" w:lineRule="auto"/>
                                <w:ind w:left="0" w:hanging="2"/>
                              </w:pPr>
                            </w:p>
                          </w:txbxContent>
                        </wps:txbx>
                        <wps:bodyPr spcFirstLastPara="1" wrap="square" lIns="91425" tIns="91425" rIns="91425" bIns="91425" anchor="ctr" anchorCtr="0">
                          <a:noAutofit/>
                        </wps:bodyPr>
                      </wps:wsp>
                      <pic:pic xmlns:pic="http://schemas.openxmlformats.org/drawingml/2006/picture">
                        <pic:nvPicPr>
                          <pic:cNvPr id="7" name="Shape 5"/>
                          <pic:cNvPicPr preferRelativeResize="0"/>
                        </pic:nvPicPr>
                        <pic:blipFill rotWithShape="1">
                          <a:blip r:embed="rId1">
                            <a:alphaModFix/>
                          </a:blip>
                          <a:srcRect/>
                          <a:stretch/>
                        </pic:blipFill>
                        <pic:spPr>
                          <a:xfrm>
                            <a:off x="3667125" y="0"/>
                            <a:ext cx="409575" cy="542925"/>
                          </a:xfrm>
                          <a:prstGeom prst="roundRect">
                            <a:avLst>
                              <a:gd name="adj" fmla="val 16667"/>
                            </a:avLst>
                          </a:prstGeom>
                          <a:noFill/>
                          <a:ln>
                            <a:noFill/>
                          </a:ln>
                          <a:effectLst>
                            <a:outerShdw blurRad="152400" dist="12000" dir="900000" sy="98000" kx="110000" ky="200000" algn="tl" rotWithShape="0">
                              <a:srgbClr val="000000">
                                <a:alpha val="29803"/>
                              </a:srgbClr>
                            </a:outerShdw>
                          </a:effectLst>
                        </pic:spPr>
                      </pic:pic>
                      <wps:wsp>
                        <wps:cNvPr id="8" name="Straight Arrow Connector 8"/>
                        <wps:cNvCnPr/>
                        <wps:spPr>
                          <a:xfrm>
                            <a:off x="0" y="542925"/>
                            <a:ext cx="3667125" cy="0"/>
                          </a:xfrm>
                          <a:prstGeom prst="straightConnector1">
                            <a:avLst/>
                          </a:prstGeom>
                          <a:noFill/>
                          <a:ln w="28575" cap="flat" cmpd="sng">
                            <a:solidFill>
                              <a:srgbClr val="7030A0"/>
                            </a:solidFill>
                            <a:prstDash val="solid"/>
                            <a:miter lim="800000"/>
                            <a:headEnd type="none" w="sm" len="sm"/>
                            <a:tailEnd type="none" w="sm" len="sm"/>
                          </a:ln>
                        </wps:spPr>
                        <wps:bodyPr/>
                      </wps:wsp>
                    </wpg:grpSp>
                  </wpg:wgp>
                </a:graphicData>
              </a:graphic>
            </wp:anchor>
          </w:drawing>
        </mc:Choice>
        <mc:Fallback>
          <w:pict>
            <v:group w14:anchorId="7237022E" id="Group 1" o:spid="_x0000_s1028" style="position:absolute;margin-left:166pt;margin-top:-14pt;width:321pt;height:50.25pt;z-index:251656192" coordorigin="33028,33116" coordsize="42628,860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lsym/xgQAAEMOAAAOAAAAZHJzL2Uyb0RvYy54bWzMV21v2zYQ/j5g&#10;/4HQ98Z6sWVbiFMESVMU6LYg2bDPtERJXCmSI2nL2a/fHSn5JUmRNAWKGohD0qfjvTz33On8/a4T&#10;ZMuM5UquouQsjgiTpaq4bFbRX3/evFtExDoqKyqUZKvogdno/cWvv5z3umCpapWomCGgRNqi16uo&#10;dU4Xk4ktW9ZRe6Y0k/BjrUxHHWxNM6kM7UF7JyZpHOeTXplKG1Uya+H0OvwYXXj9dc1K90ddW+aI&#10;WEVgm/Pfxn+v8XtycU6LxlDd8nIwg77Bio5yCZfuVV1TR8nG8CeqOl4aZVXtzkrVTVRd85J5H8Cb&#10;JH7kzUejNtr70hR9o/dhgtA+itOb1Za/b28N4RXkLiKSdpAifytJMDS9bgqQ+Gj0vb41w0ETdujt&#10;rjYd/gc/yM4H9WEfVLZzpITDaTzP5zHEvoTf8myRzGch6mULqcHHsixOF3BKQCDLkiQHaZ+Xsv0w&#10;KknzdDEblCzyeA5rEJmMJkzQ0r1h+83eg8HH7NTHDHV8o49g7DxHS9DYaR4vE6+FFq/3Nzz81Mfn&#10;A/VVH6Fg7AET9vswcd9SzTzULGZ8iBfkJGDiDgqJykYw4pPXay+1B4UtLODjOxGxd5QW2lj3kamO&#10;4GIVGbjdVxfdfrYu5H0UwUuluuFCeMgIeXIAOvEE4DGaiCu3W+885tMAAFusVfUAPltd3nC48jO1&#10;7pYaYAKoih7YYRXZfzfUsIiITxJCvUymKQTHHW/M8WZ9vKGybBWQTulMRMLmynkSCsZebpyquXcM&#10;zQvGDFZDjhGjPyDZ+dNk52N8ABKvTXaaLKE88cFDTWSLbApVEzhgmiyTUOFvz7hVgleYdLzFmmZ9&#10;JQzZUiD5G//B60H7iZiQpIfMzTBxJaa0FtTBstPAflY2HmEnT7xSMULxmto2GOA1BPc77qC5Cd6t&#10;okWMn3DcMlp9kBVxDxroVkJfBJCBCR2gi0EXhYWPnqNcvCz3AsQHjhtR9dNCXPOygL+hx8HqCZ+9&#10;PAvAU26DRRrmie5VOjpqvmz0O2jHmjq+5oK7Bz9aAB7QKLm95SWSG24O1Dgfq8UzZ6DFUQLlgbpY&#10;zcwdA5DxLbtjlv8H2Q5t64neteAa4UyMcn9z13qlyD6Ib/xxcAlI41HnfyYqYaq4VuWmY9KFMcl4&#10;O5S0Ldc2IqZg3ZoB7s2nKlxChW7pbwqKahdqB28N1VUi+3tEWmeYK1sUQBdGq0NsvtICsjyfJ1hz&#10;z40Gyxn2fZwMZtN0CVLh7nGuGEl+7ANqIys0xofFNwO0sKmGLkWrfyJSdwJ4G7iAJDlcPWgchKFY&#10;Rp345IuNAyjMD5HQdlBebaCg79uqJ2uxMXcUx6ZZOsXppuLYqRKYSf0GErUMJU8seLfE+o/IF5h2&#10;EiA/v4ZjlMY1FQ3UvROQmJP8x97RExryT4Rzn7JAOilc4CsdSS/QoSfAvcF+d+SLz1/ImF9COn9Q&#10;m4EXgjBT3DtDedM6cmmM6smVkhJSqwxZYM6w5UG1Xclh7hz79zjxPRo6D/A56joj8hBfp/PiAQYD&#10;tADZ3pi9FUNVvGLgQO6G4dQD+dvbyjzO4svRuJPu8zO2lTCaYJEOI4lfDaP3sIY3FY+24a0KX4WO&#10;917q8O538T8AAAD//wMAUEsDBAoAAAAAAAAAIQBsNp03FTUAABU1AAAUAAAAZHJzL21lZGlhL2lt&#10;YWdlMS5qcGf/2P/gABBKRklGAAEBAQDcANwAAP/bAEMAAgEBAgEBAgICAgICAgIDBQMDAwMDBgQE&#10;AwUHBgcHBwYHBwgJCwkICAoIBwcKDQoKCwwMDAwHCQ4PDQwOCwwMDP/bAEMBAgICAwMDBgMDBgwI&#10;BwgMDAwMDAwMDAwMDAwMDAwMDAwMDAwMDAwMDAwMDAwMDAwMDAwMDAwMDAwMDAwMDAwMDP/AABEI&#10;AK4Ag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1a+MV/4f1n4K+LrI+FbFre+0W8t5B5nzbHgdTg7cg4PXPFfjH+wd8e9Jh/Zv8Ahvfa5Pq3&#10;9l+BfFHiTQdTbSLeRphDfaZZTQophHmq+61kAcFcjzOWG7H3hq37TX7XWtwyR3f7IOgzxTKVkSTx&#10;XEyODwQQZ8EH3rx7wF8N/jb8M/D+raTof7DPgnT7DWtWTWbqGHxJGFe4TAVv+PjjA444xnivTxmS&#10;zrRdqkFpb+JD/wCSPrsHw3iqE1OUqTtf/l9T7eUum/56H0b/AME5f2xbXW0+JFxbxXmm2NndW00i&#10;6hBgxhbYKWTDEspREOeSTkdsV85fDr9sfxh8Wv8AgoknxM1TUrzTvD9tNfeENG1k2drd6bot1OkB&#10;jt0cFg/mFEXzflJWUAqrCVq7P4deMv2lPhnbX0eh/sX+E7Jb2JVuNvieL94qLtXOZ+cKcY9KzfhN&#10;pf7RHwYk1q10L9iPwfGmvXsGqXkB8TQypJcxMGinIa4Yb1ZVIbjBRT1AqMPkdaNOnCU4e7v78Ne3&#10;Uqtw5iZVJzU6Xvf9Pqfz+0fE/wC11/wU4/ac8K/t9WPiuS6Xw78UPDehf2J9kstBTyHsw0kzHyJ/&#10;ODK29m8wYBUgqQK7D4X/APB0X+0BqN5b6Zqnhv4f+Ip1LO7RQzWs10FQsVAWbbvODgKBk4AGTX1J&#10;8RtG/aG+IXxs0X4hap+xN4UHjbw5CLKw1iPxXHHc2yHzGCBluBxiWQYOQRIQeDivJfFX7EvjzxF4&#10;jvtSvv2Bvh615fTPdTk+Jo8s7sWZsfae5JNetUwfNJtezS/xw/8AkjyaPBuPhBKVenJ9X7Wn/wDJ&#10;Hhfxx+PPi79ozxj4i8f6PNNoPiTxLq1xDaNFcS272TsgiDxvE5ZckMRtc8P1Oef0C8Bft/eHPgh4&#10;Y8NfDjxNe+LL7VtN0SziuNR1eeAxajIsaK7m4kmAd8kkkn8TivnXRP2e/iD4Sjg+x/sL+CrL7FlI&#10;jH4nEbQsSGyp+0ZDZUEMOR2NeoeKvF/7QHxQ060tb79jHwjqC2AIidvEsbSoCACQ3n55AGT6gHri&#10;vJllmNpRlKjKlKXTmnG2/lK6/E9efCjryjGrVhGOt+WtSuu28tT53/bR8dweJf2gdH+J2jtpPh/4&#10;cXdmIdVuUvLG4ElyC8UYYWssqu3mGJwWIOEYAHHHvH7APxP8OX1lql94stdJ1bw/rlz52lailo8p&#10;t2jHltHKrRhmD4Uqyb1G07ipIBr+JPAnxs8XfCrT/Bd7+w14Hk8Nabcefb2H/CQRJCHJLElVnG4l&#10;uSWySeSa7L4Rax+0n8Ifh2/hvwz+xT4WsNAaaV47ZPFEW2Lf98KWnJwTk8HqSaxqcO154uGOqVYO&#10;cIuKXPDls23/ADLq/wDgX1PW+pYqOVVMlo+xVKc1Nv21Pm0VktZNJWXrfrbQz/GXxE8P+K/iV4K1&#10;bT9N1jxB4g0fTpEj0m7tJPs2oySBreLe7KzZ+d1HUL5ag4U7xyP/AASqnt/Dvx++KXg/VvtWpa34&#10;PS3nj0iW43LpNxMZftZVJNsYLt5KjYzbF+U7SzA+raX8Sv2qdK1KC6h/Yx8M+dajZC48SxExDG3g&#10;+f6cfn61n+Cdb/ac+HXjLWvEWj/sR+AtJ1fxBLJNqN/Z6xZWt7eNI/mMZbhJRK4Lc4ZsZA44FepR&#10;wOJ5vaVJU+bXVVI9Ur/a8vS3Q+bqcH13T9jCpS5dN6tJ7NtL4vP1vsz6uimuFZTNpP8AZsZjDxvc&#10;yQ7ZDxlQPMGSMnoeo4qj4N8b3HiTSZpr/SZtFuLe6lt/JuQv7xUbaJEIJJRsZBIGR7Yz4bF8fP2w&#10;AGaP9jnw0N/LMviiDL/U+fk/jTV+PX7X27d/wxz4abjGf+EogOf/ACPXV9UqXvzQ/wDA4f8AyRw/&#10;6k4u2lSl/wCDqf8A8l/mfRTa5vVhGu7GOBC3P4ng/hTU8QK52rDJn6DH64r55Hx7/a9WH/kzfw3t&#10;H/U0wY/9HU2P4+fte5+X9jfw/wCvy+J4dv8A6Op/VZ/zQ/8AA4f/ACQv9ScZ/wA/aX/g6n/8kfRT&#10;aspPLKvsSvFFeceCfH37Q+ueGLW61j9mTR9M1KXf51sviRGEWHYLyJscqAfxorBwkna8f/Ao/wCZ&#10;yy4TxCdnUp/+DIf5nh+oakvhfw5JqWueKrPT7eN9stzdXIhgRuy7zJgscHAzk44FP8Caxp3i/XJG&#10;t/GGn61LY7Ybu3sJUYwO+WRWAYspZeQG4bBx7ecfHz4ZeLPGnxV+E/i3TdLh1ix8A6vPfX2jW10k&#10;UkyP5fl3MQmMaNLHsLbWKkHAUnk1d/ad1Lx18Wvh7qkPhPS9S8N6pBqdi8lw2r21veeILFBIbmBG&#10;ilPkFf3YDSuu4F1BALA/n8MHSlCD51eW92ko+9bVbvTX59k2fYU8PCUYu+r32017bnr1xoFyt3HI&#10;txqCW7ZzEoK8D0J5B/A1d0zw+qXTS41pkLZUyTybSemAM7cfh+Yr5/0uLxKv7QfifUNJhubXwLee&#10;GhaRaO86COfUQ25p4YVdkixCPLYnbvYg4b748s8I/D74raJ8CPhPbo2uDxh4b8Urd6uf7bEky2Pn&#10;3DSqzNOY5I2RoB5S5zhsjlslPA0pa+1S27dU336NWdr2bXoWsDF6c6W35X11PrLUvHrW/iabQ4Lu&#10;xnurREu5LC4ul+0WsIO1XEIBbZuAAY4GehzxVHxJJofibVEm8QWmk3M8yiF5pYS0rLjGN2FYHHoe&#10;Mn614PoPwZ8SWX7aes+Mm0abVNJ1DSrWKzvg8TfZ7mKWPdvWSZHThWIKgjB45OKzfEWh/FDxefh3&#10;fSeG5NEvtD8WrLraR6wt5cTaWZSZVmu5LtzdxlMfIY1wDtUYGKn6jTm0lVVmk9Wt2m2rXvo1Z6fp&#10;dxwNN2cZ9F2/zPaNM/Zz8By60lxpPhZZriOd7iU3M8l1DISmwlleRlYlQB8wPA6cCumh1jwvp2tD&#10;w7bBNJ1G5sPPWysp/s7NbAmPdsC/dBUj8K+R/Heo3fiq2+Nc1xdeMV8NxeIDFB4g0+GO+bw/b2jI&#10;8yWzC6i2I3zoEC8KcsZGOF9Y8OaHrmoftOeFvFGhrqkPw5uPAcduJ53EcbXbvJLE8truV2k8logW&#10;8vqNuQBx0f2e6ULyqdG+yuoppeurVt9PQKmWwUeab6P/AD3PStS+GOiaprVrcNJdpeWaEQOt0VkV&#10;T1yAADkjrXQaJBrGl2FvpsOqXkemxx7IkWSTcpByCX3gev8AD6HPGK+d/D/wY+L+pfA/wvbI2qQf&#10;Eaz8Tm91PxLJqSNDPZ+bKWYkSb5LdomiQW3l8FD8ijmuh1b4QeNNb/aS+J2qXGk60vhPWPCqWmjB&#10;L7yYXvhFHnbEsilX3BvndR8wJznBojh1CTtXWl9VbWzS0163uutk7pGMsupP3ZTVv8vn5n0PpnxH&#10;1rw66yKra8iuPMF3fTfuhzzgOoPbqc5+ldba/HiRlbzvDXh+63IqszxTu2BjHzecT269evrXzp+y&#10;3o3izw5+zx4U07xp9t/4SnT7aWC/+1XK3MmRcS+XukVmDYh8sA5OAMdq9EjeW2lX76kjIYjGf8+t&#10;cdbE1adWVPn5km1fRp2e68mcFXB0oScElp1R7lYfto6pGiKvh/TXEabF2CfCg/Vm5oi/be1N5Ps9&#10;xpenO1s5V4453RgpXhGDBjnBBzxn05NeJ3E0ycPMDuxysgOfyJqnHpjP++WSNlyeHmO0ewzRHMq6&#10;0T/BGH1Gk+h9GWn7dcdvt87w4spJyx+3Alj2/wCWY6f59auWf7c2jo2H8NXiLyfkvAf/AEIexNfL&#10;upQTSGPy7iSEI25tpDBsevtVVNSPlBVl8xlGN5Awx9e36Vqs1rbO33Ef2fSPqKX9srR9/wC70/WY&#10;0AACtLG5HHqXyaK+X/ttx/eH4UVX9qVeyF9RphHLcXNlNCIdQurhWwwt7I43d9uex9eTzWPq2keK&#10;tahktf7C14WvGxo7cozfiW598gda/TiD9lbwfD961vJf965b+mK8N+IP7TX7O/wP8a6toPjGO68O&#10;X2jaudJm+2ieQN/oSXaTgRu5EcqvsiBAeVwwRG2sR+afVPEOr8OHwlP/ABVqsv8A0mij2vr+SR+1&#10;Ul6RivzkfHGh/DnxZcQJt0W9t25GJ1VT9Cdx/T/9fY6Z4H8VWVku3RbU3CKfmkmRtxPHqPbsK928&#10;Y/8ABSP9l/wdp11caTBfeLvsd/pmmMukaLc3G651A3QtowZAoZmFpI2ASdhVhkHNdBdf8FF/2cfD&#10;fjfTtNuobWz0bVvD0HiKz8Ry6KDps8c17cWaQg7TN5he1ncN5flmONnDlVJqo5H4hS3q4KHpGvP8&#10;5QJlm2TraFV/OK/RnzbL8M/FmpIGkt7G3YgDYXRlHqOB/WpX+CGuXkSrJNpqtkMQrPGM++0c/j1r&#10;6H8Wf8FcP2a/AnwwXxRDqUN7HJcLFDp9porJfSRm7a2afZIiBI02mRvMKsqNGCoeWNH7TUv+Cl3w&#10;h0vxnqWgaPqE2t6houhS+ItQWwtPLW0tFu7S1jcmXywwla8V42TcjRxO27BTfp/qfxxV/iZpQp/4&#10;cNKX/pVYz/tzK4/Dh5v1ml+UD5T0b9mjVGuln8m2muAwZZUt3lkXHTDMuePbpXQWn7LHifUL1pPJ&#10;1KZWIOI9MkZie+T3r6Ej/wCCvP7Oc6as8XxKs5o9Bt1utQeLSr+RLOJpYYQzssBAHm3EKH0aQA4O&#10;RUfir/grN8F/Cvw78aeKJNeurzSvBmqS6GxtbR5JNVv4oBK9tbpwdwY+VmTYpkKgNhlLa/6g8Vy0&#10;q56/+3cNSX/pTmTLiLBPbCffUk/ySPJ7T9mHxlcwLF9k1ry1GFX+zjGB+daNt+x94uuoyjWesyKx&#10;/wCWjxKR7ZOPT/HNdrrn/BYP4P8Ag2w8RSeIZfEPh+bw34tl8JTQXmmktcvDfLZTXkTRlkNtG5kd&#10;izLIFhkHlltqtFd/8Fi/hDZ/BXQfHDNr39n61cW9tLbi0TztLa4tLy6i+0Nv8pcrYzLhXYglSQEO&#10;+rXhlms/94zzEP8AwxoQ/KkzP/Wakv4eEh83N/8Atxx8n/BPnXNWh2TabeR/7S6lFE35owNa+lf8&#10;E+datmXhVVRtIm1Avn3JAJ/WtXxd/wAFpvgLoYX+x/EGo+L86Xdaq66LpssjQpCPlRxIEKtJiQKT&#10;8g8l97Jxnttf/wCCnfwJ8JQW8mrfEDT9N+0WNrqQFxZ3SmKC58zyXf8AdfJuMTrhsFWAUgEgGl4R&#10;03rVzbGy/wC40Y/+kU4k/wCtVX7OHpL/ALdb/OTONt/+Cfl7KuJm0faeoa5mf/2WtXTv2B5LWDyz&#10;qGnRrnPCyyY+hbB/Cp9M/wCCqfwhXwvDrmvapfeEdIuLGG9juNXtTGxaS2S6aExRl5FeOGWBmLKF&#10;3XEaKzOSoIP+Cr/wR1bX9O0rSfEt1q+oax4gs/DWnRQ6bPEuoXc93HbMIXlREdYWk3yENwqNt3HA&#10;On/EHcnl/HxOKqf4sVW/SSI/1sxi+CFOPpTj+qZZtv2BLEHMmpWP4aaG/UvWlafsJ6HB97UP+/dj&#10;Gn9TXm+i/wDBcH9n/U9I8UNc+IrzS9Y8LOsUmjXVqftt5I9vbyxpFtLR5drhIhvdfn5OEKu3rX7L&#10;/wC3N4D/AGt9b17TfCsmrR33h/ynmh1Gwe1eaKSNHEqBhyoL7TnDAjONrIzWvBXhB/xMPOf+KvXl&#10;+dVoh8W5p0qJekIL/wBtGp+xV4dVAPt2ofhHGB/6DRXs2KKv/iCnBP8A0AR/8Cn/APJE/wCtmbf8&#10;/n9y/wAjzH9r/wDad039j34F6h491bT7jVNN0q7tIrm3tnCzmGW4jikeMEHe0cbvIE43bMblB3D4&#10;3+KH/BUP9k3VtIuPF2q/DGPWNWvNOm8QWM+o+GrFptTP2qTTWYS7nfd5ls4ZgrMsULPghQD+iVzZ&#10;w3gXzoo5fLO5d6htpwRkZ9iR9Caqv4Y02RNradYsu3bgwLjG7djp03c/Xmv1I+dPzti/br/Z10P9&#10;obxB4E8Rfs/aTba/b3+majp82j+H7fVBqMzwp5V1O/kxrbPFLcLCjuzH97uBUFgG/Br/AIKtfsxf&#10;EKDwfo9v8L9L0m38QaVpt3e2selWjrpdxNdKbS3RFUGXZLf38rcRyQjzmMQMrgfos3h7T3k3Gxsy&#10;3mebuMK537du7p128Z644psfhfTIT8unWK9Olug6HI7evP1oA/Nm3/4KB/svahr+veCfFPwD8K6f&#10;qWhwpexQHRLG7017draO5EjymJWjbzbyddojcDJcsN5C2IP+Cj/7OcHhP4ifEDwr8DvDbSaHrmk6&#10;Jf39zpltYtf2t20Nwbm4kigldY7a7iZpE2yALbJKrMflT9Hj4Z00zGT+z7HzGGC3kLuI+uPYUDwz&#10;pqwyRjT7ERzf6xfIXa/1GOaAPzV8Z/8ABR39kDw54T1i9s/gC1w9xb2MGsWtx4CtbLfpkl9ZZeU7&#10;SGiU4li3jypZbRVWRS0bnobv/go1+yB4b0m60U/CnTx4fvtcENtBbeF9Nkg1S+b7RbNcpCH+5thC&#10;C4ICss8QDYbj9Bz4U0to9h03T9mS237OmMnAJ6f7K/kPSnSeGtNl+9p9i3O7mBTzknPT1Zj+J9aB&#10;n57fHL/gpJ+zdpn7QWp/D/x98HNP1iy00rf6Rf8A9gW+pPqzX66fqG+G3eIEPJd6hN5gDlhLEHIP&#10;mkpO/wDwUd/ZA0RLfSYvhfAIzbTy2tvB4W00wTRWkF4JPLYS+WwSN7uNcHD+e6x7hIc/oJc6DYXi&#10;Ks1nZzKvQPCrAdPUf7I/IelU9H8A6H4ftWgs9K0+CFpri4KrCv8ArLiWSadv+BySyM3qXPrQB+f/&#10;AMC/20v2T/jr8VtJ8I6b8E/Dq+JPE+o6jobbfDmntGljp808SzSswSQIy28ZWEx7j5qhBIoDtD8D&#10;f+Cgn7KH7TniJtHt/g5oY8T3Avmhtrjw9YTwPb2E0yWrSzqCFZ1hQhAr+Uz7csqiRv0Sg8P6fay+&#10;ZFY2cb5zuWFVOcg9ceoB+oHpSR+HdPin8xLGyWQDG8QqGx6ZxQI/NrwJ/wAFOv2Vfi14C8PSeKPg&#10;V5N/NDBpkGnW/guLVbe0ZceVp8MrRR+ZcQpKd9vGm6JllVQ4CPIfD3/gpJ+yPdaH4S8VN8FNG0jX&#10;Lezj164a18P6ZJJ4fu447qcJFNlGkuBNbER7FWRvOgYKu7C/pEnhXS4923TdPXcCGxbp8wJ3HPHc&#10;gH604eGdNVNo0+xC4248hcY546f7Tf8AfR9aAPzw8e/tnfszy2PgvxNZ/s86d4s8HeNBdXOq6jD4&#10;Tt5tQ0uSx/s62sWa1WJ/P8xtRtIY281WjEigAjeE6X4Q/wDBUr9n3wl8UrfTfB3w2uPD+reKPEUH&#10;htZLLRrWxuryWeBJArqCp8xJ2jikiY/utyF2RyIq+7B4f09bYwixs/JZShTyV2lTjIxjGDtHHsPS&#10;kTw1p0ciuun2SsrK4YQLkFeh6dR29KALtFFFADd1G6jNGaADdRuozRnFABuoL4pjyYqCS5xQUolg&#10;zYprXOO9UZr7A61Vm1Tb3quVmigajXWDTDec9a4zxx8V9C+HOli+8Qa1pei2buI1mvrpLdHc9FUs&#10;Rlj2A5NcXF+2n8M21G3tZvGmi2E127R2/wBvlNmtwysFZY2lCq5DEAhSeTiuqnga9SPPCDa7pNo6&#10;KeDrTXNGLa9Gezi8yaetzmudt9aWdFdWVlYZDKcgj2q5baju71zOJi6bRtJLUgfNZ8Fzuq3FJmoM&#10;3El3UbqM0ZoMw3UUZooAM0ZoxRigAJ4qOSTFOc4qrczbRQXFDLi52isu+1ZY22/eb0FM1XUSp2q2&#10;D1J/uivnP9rj9q6P4O+A9UvrOZre1sZ1sZb1FDyTXTf8u8AIILKMtJIwZYwpADvkJ5tfFzlKUKDS&#10;Ufik9bO12orZtLVt+7H+87pevluW1MVU5If8BdNbXer0SSbfQ9i8X/FXS/CUscV9fQQ3M4Jhtl3T&#10;XM4HXZCgLvj/AGQa8z+J37YFn4G8PaheW+h67qk1nH+7gSOK3kllbCxoY5ZFlXc5VcmP+LvXxX4U&#10;/ay8O6nr99I2neI/FWoapc+Xo8V3ffY9L8RSLcqgZijNKP3JaTM7ucKFL7fmrk/jfY/E/wCG3ivU&#10;Nej8YeDvDfw3hmk1m30qK9SKQzQSLcxWbExRq+10A87Ekhwp8tiTj4zL+MMoxOMpQnVnKDnZtOUb&#10;qLSdknCNn5JO2tn0/R8y8PsxyqtSo1MHKpKbWl43t1tBSUrrWOjkuZNWuml91X3w78Oah4e13TfF&#10;eox6x4s1qyjfUPF9jem2m0hmYlraxl+Y2qQyR8KgBICmUOzM58dj/Yz8G+K/HEt14u+I118Q7eYe&#10;RJY3eoqlxfW4ggAWRwvzymVJ38wbMCXcB5n7yvj/AMTftaeLfFegaH4Ohu5Lqx8WRrdy6to199rS&#10;R1LeYH3xrI+1gSwbYxIz9dT4pR3PgXwda65pseqX1z4dhU+RFciNbwK25nkO0s3JJIUgkcDHFaZx&#10;n1LF4uUq9OVSUFFtpO0V8SUUlpFJ3itraH8vcVY7M/7TxGGxuDcp4Z8tRNSXK1ryqKT0UXdaWs7J&#10;H6C+HPE+g/Bnx3pNj4LhvLPwTqF0mj6jpTQuljoF7IjvavaFzxFIEMUiJlDI0bqELSbvdtN1veRz&#10;X5DfsPftZeOv2p/j5a27aLFb+EbEW19qchVluLie0m8+NYtxwzeapKJ97yhOeSfl/UPwv4ph1W0h&#10;uLeZZYZlDI69CDX6VhMZ9cwdLEVG3OSb1Vm43tFvztpfqlGX2kfpmVYyeYZdRxlaLUpptXTTlFNp&#10;S19Gr+SfU9V0+/34rYtZ9wridE1PeBzXTadc7gKicQqQsbkbZFOzUNu+RUw5FYnLIM0UYooJHUUU&#10;UAQTtgVmajPsU1oXR4rF1STANVE3po4H4v8Aiu60Pwoy6fIE1TVp47GyYru8uSVgok2/xCNN0pHc&#10;RtXy5+2boiy+E7HSbSCzbw7opGlzpdRrL9pnmEcjIzyAhHljUxCdhkSXe7IIzX0H8XJiPFvgVT91&#10;dWmI/wB4afeAD8i35Vwt/Z6drvgXW4dYhhuNPvLy/F4swyrIs8i8/REXB6jaPSvmaOV/2plH1Fyc&#10;HVp2clunKKbl6uUk33tZ7n2OErLCSwzUeZNucl/NaTgovukk7f4meR/s0fDz4UeGrS6tdI0u+k0/&#10;VIrm4v5tZupn1OxkZXaa3MbLtiI+dYwAFIAIcn5j4X4v8OfBr9pT4ZXHw/jXXNJ1K68RG1tda1C+&#10;tg0WoQO1qYVtVleSW3YTOxlUbcKCG3KFr1LxJ8IPi58Sfhva+HfAvijUvhRB4Kubia18R+KtIltb&#10;k2778WceqSO7NDtk3bRCsYChNz7MHw39kX9ljUfAXxN1WPxFJpreOtdvvMPxAstS0+41D7KwKmGF&#10;2uFZUZxuMsQLhQFCYxXwOH8P+IKLhRnjU/Zydpezg+aLsnF6373lGKb3PqcVxFh8HP6/leYexqKS&#10;XI5TcvdbtKXu8ktPs80lbTUv/wDBOP4KeD/gF+0hHY694kj8UaNIosre3ttLlkuL2Z5PIj8hs7o9&#10;rMJC67WKopUEcj3/AP4K9/HfxH4P+Euk6f4J8UW+n/YfidpHh3VPs+okzaY8sM8kCSgBt6iPynkR&#10;yM7VznDCto/AzwPonw30vwXod7pui+OPid4b13w1daprGPO0uU6cEfYisCqiZ9+/Bcq7EHY4B8t8&#10;cTeAfG/gj4kax4m8caKPFGq3/h/xVZaV4Y8Sx2X2m5TTxa3MI86IyqPPvrmTa0QkOxM/cYD9Uw8q&#10;eBh9VqybeHT5t9WkpSaSu7LmTW9/uPg88xHE+c5lLMM3anOu7x5Y8q5Yt01KVrRTk4W0SSVtXudd&#10;8NPh9rFj8KND1TS7exk0jWEub/Vby0kVpNG1CO5hggnKEh2V2LEttCFI2DY43+ufCvxh9onsbgR/&#10;ZrfXo2leDORaXqf66L6nDkgYG6Jz1Y1k+C59K8HfsjaHaafo8t14g8aXl1ozXupXa3V1BY2N3LE0&#10;u9UTsHIAUAPPyTwDl+Brkw6IsiNt+zeKLjyj/v3ciP8A+jJBXTlsqk8sw2Jqy5p23d7uKULPXV7z&#10;V35L7Kt9XnlWOJw9Wty25Kj5e/K+ZPZ67KK8o3te9/pDw7qOdvNdtpF1uVa8x8N3XK132gz5QV6V&#10;WJ8PiIHYWcu5avRnIrL06TIFaUJ4rjlueXMkooopGYUVz3w8+KPh/wCK2jm/8P6pbalbq21/Lyrx&#10;H0ZGAZfxAzVfxt4E1TxDqcN9pPirWPD9xDH5fkxRQ3FnPyTmSKRCc84yjIcY54rGnWhUgqlJqSez&#10;TTT9HsYyre5z01zejX4XaX4m/dDIrD1Vcj8a3HR1gVZGV5FADMF2hj3IHOPpmsnU4cg10RO6mzyH&#10;466dMNAt9UtY5Jrrw9eJqUccalnkRQyTqq/xM0EkyqP7zLXl3jWxXXvCninSbST7RDqlrJfWJgk4&#10;uIp0y2xh3Mm85HQSIe4r6F160yDxXhfjbwVeeBr1ZNOjkm0uOVpbXy0LvpbOfnhZVBZ7Vzz8oJib&#10;BwUUeX5VOu8rqqU/4Sd1LpFfyy7JbRekbKMW01d/U4Gp7elCMP4lN3iv5k94rzT96K6tyS1aT+Zv&#10;gb4Ln8QaB4i+G/hz4keOtZuf7dN7o82oWLNBbeTKs8UsrSORKjSLl2wpMiuCm8Hdd8Dfsj+OL34h&#10;ap4XufHnw/0qO4mkOrf2bLNd3ctxJEscisJW3xzNFIuCXyA+VA219HeBfGF54SurptGFrGJGMt3p&#10;N9HuWN25LxspDJvOTuXcjHJ27iTXmukfAnQPCXju68SaboF/BrN3N5zz3fiu6vkJAHl71aJWmEfO&#10;zzHLKGIDYwB9LGCrWr01Cot4t2vG9u/pra+vmfGYrg2nXqQlQk+VafFZ210autb2Tt0Xoj4x/bn+&#10;JeofF749afq3iKH+xfC8enRy+F2vRPcRa1aZKrfvJsLTCbllUjYsYQFQ+6ve/wBnv9vfXPHv7KGt&#10;+C7i38IgaPPFp0OrtpvM9rIkny+UIiu8BMCQqDtPI3fNWz4o+KWn/Fv9mrwH8LdX8P8Ah77b8J9O&#10;ttD1GTU7SOaVbq1gSDfFvU+XFLGqSrj76uhJ4xXy78UPhu/w31KPxZ4bktdHlbU1sWaOxiNgCYHH&#10;3DGUxtXdgqTklq8HMfGDh7O6tTw/wFCdPHxbiqzSVNShrJ81/aXcU1fl5esW0o3++wvgTxhn3LUw&#10;GMp04VPdgpTmuWL2b5YtJdbxvPW/Le56H8LvEGs/AnxFdal4blbXvCun201/r+iWcExj02xjDyzX&#10;cAZFSDy8s7IpCSbmG3eysPq/wBos1tHoOnzbGuoWk1bUCh3IJpC7ED2MsrsvtEa+Uf2dP23/ABN4&#10;Q8A+Nvhbc6X4f8UXnxa0i80XTLjT7GK1uba9mtpIo/N8uJRJbruLvkZRQ75xkH7X+GvgxvDelxxS&#10;SG4umVRNMR94qoUAeigAAD8Tkkk9mV5NjMFhYYfG1VVkm/eV2uX3Wld+89VbXpdbJG2YcC8QcGUV&#10;w9xBWjWqXU1OMpSThZqKTlaej5l78U+3uqN/QfDQxtr0Dw/0WuL8OWWCvFd3oUG1BXoVmfL4qSOl&#10;0w8CtWDoKzdPTC1fkl+z2zSbHk2KW2oMs3sB61585Jas8uepYorj5b3xtfStNbWWg2du5/dw3Ukj&#10;zIP9op8uT1wM4zjJor5d8URv7uFrtd/ZNX87Oz+9J90dH1F9Zx/8CPjLw34Ah+HfxDt5vAvxo+Gn&#10;2qZkSBf+EjhWaVj/AMsWjXcsgzx6N1wOg+x/hf4z166tGs/F1rotnqluMNNYX6SQz9vuHDoT6YI4&#10;PI6V+T8f7JMvjy0+0axZ6H8Mb+RC6zT67aNptw2M8wNObmDOeSglGTgRoBXr37PPgj42eC9Ato4/&#10;EXgHxt4ThARLe71prxbRc42xTxK0kJ64Qnb/ALBr1o5DkGRUp4mhjo06a1kp1IqC87ttL715s/HO&#10;E+I8YscsLjMDVjCe3s05NebpzUZ281byufpk5Ei5U7h6iuB+JPxfsPhbI8viKy1Kw0kdNVit2urN&#10;B/00MeXi+rqE/wBo15P4KuNQ8P28N5puuWmj3kgzcWEs7zRqRzgSeWFkHoSit7V1Om/tl+FrC9/s&#10;zxXqWlaVeMp3GVnt1YdMlJlUgH2zmtuH86yzOJS/smtDFKPxeynGbXq4OVvnc/Yc+wlPA0I1liYw&#10;UtvaLkd+zhNxb9E7nV6J4v0P4i6V9s0LVtN1i1b/AJa2dykyg+hKk4Psay9Z0bdu+WvJfiF+zD8J&#10;fitqEnirwH4207wXrkLh31Hw/qcSwbj08yJXAUk/3SmT1zXUeDLH4q+CraOHWm8P/ETS8Yj1HT5B&#10;Y6iy+rRv+4k/CRfxr6qtg6MVejU16xmuWS+fwv70/I+dyzPsZz8mLo3j0qUpc8H6pWnF/wDbskv5&#10;jB+IPwRtPFN8t5Fd6ppOoRnKXNjcbSuevyMGj54yduSBgnFYMvhTxlo+mNHHrGh6pOv3JLzSfKdh&#10;/tmN9ufdUH0r2a90ObxPBDLG19psS7lngkg2SsSOBu5AwecrkH1xnOUPBF5Zz83z3MPdZoV3/gy7&#10;R+YNfL1sqwXtEvq6d92uVWberabV+90mffUsynUguaW1rXSbfZXs3ZbWei7Hyx8WP2W/EXxc1211&#10;i+vNF0nWrVFh+36SssNxLCCWEMhk3xyR5LYDxkruYoUJJrtP+EV8far8DZfh3qDfCOTwvcIUkg/4&#10;Q+8eY/8ATXzP7RGZ+/mhQQQCAK9wm8Mc/drH0RZNY1vUrRtH1SzjsGVVurhEWG8znPlYYsQMcllX&#10;qMZrtweS4GhXeMp0o+05VHm5Y83KrWXNbmsukb2XY9CfEmMtSpOq0oS5oJJJRktVJcqSTXR7+Z4f&#10;+zj+w/4R/Z51GfU9Nt7rUtfukMUmqX7iSaOMkExRAALFHkDhRltq7mYgGvd9G0XaV+Wrd2LHQU3X&#10;lzDbr6yNipIfHmgabprXr3U0lrGCxlhs5plwOuNqHP4V6spznqceaZ1XxleWIxlVzqS3cm3J+rer&#10;Oi0HStu3itfxJ4y0X4Y+GZtY1/UrXStNtRmSed9qj0A7sx7KMk9ga8u1j9pu4sdKlm8MfDj4heLp&#10;MDyTFpn9n28uc4/e3LRnbx94Keor4n/a/wD+Cl3xi+DXi2z1Pxt8PfAfw30yRhHpr6zdW2p6kTnk&#10;xCGaaTaP4nFttzgHkilQwrq1lTqaX6fafokm/nZpHh4yjjJx5MHDnqPaK95384xd/lpfuj9Jvg78&#10;a4fjIrXmj6LrEOgqMxajfxfZRe+hhiOZGX/acIOeN3ONbxp8VbfQbC6h0yTTr7Wk+SGzkulTdJ23&#10;EZwO5xk+1fE3wn/a58TfGLwRZalcfGbw7Npk8W6SLw7BZTmTODtLsiuHAPKeSrDuoqz8S/jR4duv&#10;Bl1o+oaX4kvLCaPEzvp0+mJfLyMSTRKrbT6BCp444FeFn2InQrexy2hPFSbtKNBwlKn5z9pKmk12&#10;79D5vC5ksPQnDOo1KFXaHtIezU5f3VFVZWvsuWT82WvE37S/xGPiK+/4un4XtSs7gwWd3aSQQEEg&#10;op8tiQp+XlieOTnNFfNM/jvQ9Ime30ZvAulaZGx8i0X4iXMfkg8kbft0eDkkn5F5J4orxf8AVyg9&#10;ZTxifVf8Mmvu0Pjfq/Gsvehl9dp7NUa7TXdP2a07aL0OD8J3/wAYNGgh/wCFveBdJ02wkLL/AGt4&#10;gv4fCWrOFOCULY+0nPVjbTOf71df4c+Ivwt8OeMFfS/jde6TcJEGWe20W8OyUnmFZj5SsB/z0IRT&#10;6CvhnS/2zri5SaS48Ta0fOczTQX5e6juHPVnRt6OT6sDXonwrtNE/aRtoZdQ8afCnwCjOCZ7u5jh&#10;1CQegtEkjhAPqSrD07V9LUwNLN8a5Zrkzw66yhovmna//bl35dv7Gl9G/gHK8H9bz7Ma1WXSWHk4&#10;ST7uCg27f3pP0Pu21/aV1PTpLX+ytYvvGUCOXuJYLywnaZOMA+QJ/LPXO4k8+1dhof7WOg+NbFtO&#10;1jwxfXQY4NrPaC8t1PqxHJP0ir5b0Dwb8Of2TtAXWtQ+Ifwv8RKGLW82o2sbTkjn92InmdiOPuoc&#10;Vy/iT/guFoug6hcW9j4XvNajQFVuINQaGCb0wskIYKfdfwr4nMuAMtp49YjIuFqVSUH7tenV+rzT&#10;b1bTb535tprbY/NJeFuMxlacMhz6vUwj0cMTh1O6WluduNvO2+7R9gaz8N/hzrMpv7Wxm8PS7CN1&#10;vdXFqiuR94pOA+PZAo9MV5P4t/ZA8aXtxNefD7xZ8Pbi5c71zqF34fukbsXuLSeWWQ+7J+FfGvxI&#10;/wCCzHjPxP5iaD4N8EaBGxOJZtPS+uB/wIqq/mhrwTxr+2H8TPH13JNfeL9Uh8w5KWJWxjHbhYQg&#10;H5V+n5RR8Q8Q7Zh7CFPRJOdSVRK3WScoyfnp8zvy36N+T4f97Tqyp1Hq+VQUW/8ACldLy5mfojpv&#10;xU/bS/Zi8Wx2bXmm65Y3WGRLv4mWGpJjnouo2cUxU4OArqeDya9k8N/8FbviV4atfK8aeF/hzb3E&#10;XyvJ/wAJLp1up/75vpST/wAAX6V+NcnxP8XeOI4dNur6/wDEgUYhgvY/t8iKMnCFwzqOp+Ujqa9W&#10;+EX7Png/x58Mm1bxNY+M9Jvo7q83N4c0xtSh8m3iieTeDITE6eZubfgBSvTPH1Vbh1zpWzCV29Hy&#10;JJ/+BJRkfRUfC6hl9p1K7l5crf4c6/U/UXUf+C0mjW06faLzwdb+cP8Al01iC42H0O6Xb+VJaf8A&#10;BXnw9r27y/HPh2zwfmD3NoNnuSN+B71+asv7I3gZ/EKabDb/ABms7u+mtl0+O68INcSXSzO6Y2bo&#10;cNvARcM29ty7QRWZB+zH4Y1TRdPvrh/i/DYJZwTXYi8Fl7dppGXaYpA6qI5FJ2ttc5x94HNfGYnw&#10;nyXES5pYvFryWIqxX3Ra/M9xcP4a3KnTj5qg2/8Ayac1+G59w/Fn/gu5ofgvW5rXTbzWPEpVeL3T&#10;J1jgZuPlG5Uc4yecAehNeU+Jv+C/WqTQsll4X1fUju3B9T1pgAR0O1VIH4c+5r5rP7Ieg3E0sWny&#10;fFbUbqyslvbi1Pgh7eQosoEzcysUjVGVd+G/eEAjlc37j9j3wTf3v/Eu1b4vfZ5riKGBbj4fSeYw&#10;ZZM52zbchkAIz/FgbtjNXbR8J+D4U+SrRqVHreUqtdyd7X1576/592erQyfLKdvaTlJduVRX/kkI&#10;tffbTyPS9d/4LqfEbUY5PsvhjwvDI4IR7lri48v3A3rn8a7T9in/AIJ/W/8AwUD8P+IviT8UfiVr&#10;Gn30t41pbXUM0H2i4ZM58sTLtjiHzqFXGAFOACVHyR8XfhD4H+HfhWOW01rxs+tXFqj21rqvho6f&#10;FPJ5xDsHaQnyxDtxgEl8g4ABPf8A7Jn/AAUW1r9lzwudNjkkmsGzwsnltbngZGVZWUgA4yCGJOTw&#10;B4OZ+F+TZJyY3hjBun7Sdq7pxcqs4KMnFKU5c3Jz8rnFSSkt72sfPeJeCzitksYcNQu+a0otzjzR&#10;85KMppaNaJpya5rRTZo/HW08Xf8ABOH4w61p/wAPfHF9Y2VxEczwPHJBforhMvHt8ouNwIdVwVJx&#10;tOc2/wBn3/gp78TLbxLHa+JviLY2+myk7pdY8PLqFq+TkiU24WcL6bA3XoBXz1+3N+1fJ8e7+71F&#10;G8u81QrawWi3BmaPqqHOFywVzkgAHavfJPFaVYDS9Mt7VW3LbxLGD64AGa+2yPh3LcfCVbH4OLm3&#10;dOrCDqxjtCMpWk20k2ryk4ppXe50eGeX5v8A6vwy/iGrz4mMfemkuZK7UVeUbt2XNeUU7NXSP1cP&#10;7Wvwyu/3l1Z/s2apctzJdrZXEAnbu2w6ZIR+LsT1Jor8q6K+qXD+DSsk/wDwKX+Z7f8AqTi1tmdf&#10;/wAD/wAtD134j+PfD/xt8Qf2X4V8IeF/DMcxz9uvbqKxbGeSWLpEnXp8xI6V6X8KP2MPhzo+o2d9&#10;4u+LXw11mJV3T6XbeIVtYy+eFM4BZlx12qp9DXyvRV5zgcwxbTwmK9j3tCMm/wDwK6S9En5nbQ4R&#10;+p4CGWZXiJ0qUVbWUqk3f/p5UlKS8rNW6H6dX37Rngv4EeHLTQPhx4P/AGf9Tlnj8zzv+EqsEt4R&#10;hsNNNcSLLJJkD5SScHlhwD4N8adF8ZfHyFrjxl8avgf4f0lmCro2h61A0ajg48q1Vg4HPMsh5Xr0&#10;z8fUVvg8DWpQjGrVc2t20k39ySXyR5OX+G+Ey9yr4KaVd/8AL2cXUnfv78mk/RLzue4aj8PfgN4A&#10;I+2/ELxp48uFPzQeH9ATTbcnuPtN1Ize2RAfXmud1f4z+DNGRY/Cfwx0izaI5S+1/UJ9ZvM9iU/d&#10;WjfRrcivMaK6Y4brOTl6u34Ky/A+4p4C38WpKb83b8I8sfvRveKPiZrnjCMxXt8wtM5Wzto0tbOP&#10;/dgiCxL+CivXP2a/F2oaN8KNajtfC+u6zbxLd/aLiw8ZT6OqxstvuR4FO2RNqksAMuGGSBHz4LTo&#10;biS2ctG7RsylSVOCQRgj6EEg+xp1qClDkjp9/wCjRpiMHGpT9nGyV79f0a/M+sNN+MNx4nie4XwL&#10;491K3heFbgj4nXQaOdJGJYlkwHL425B2kE/MWGJtF8capHE9rN8O/iJcSaffTC4eP4k3MDtAJGuV&#10;tWzGVzHDNCrMAC3lBwFJevklp5HhWNnZo4ySqk/KpOM4HvgflTa5XgOz/wDSv/kjheTR2T/9L/8A&#10;k/6+R9b6L8XLq6lNzfeA/iBFqFrb3R069T4iXscsMS3DkJIWzhFULFlNgYxKcEsTVn/hZ+v2lnIs&#10;3gLx99mXUGfT0h+JV3G1qZI7WNVIwQ4Pnz/OArk3zqWATFfH9OgnktZlkjdo5EOVZTtZT7Gh5frd&#10;Nf8Ak3/yRLyWN7p/+l//ACZ9M/Fi5svH17LDffC3xVcaj5Ti0uNR+IMmoSxqySLGymSLDBHVSQAM&#10;rGFIUkvWR4q+Heg3vhK9kl+Beo2L6hbzfYp4vFrNBDvVmhfy5I38wx8ZBYBwpGATkfPstxJOF3uz&#10;+Wu1dxztHoPbmnPeTS20cLSyNDESUQsSqE4yQOgzgflVLBzSSUtP+3v/AJI2jlsoxUVLT1n/APJn&#10;rWqfEr4F3d/FNafAVtLCzwystt4wn4VFw8aF4GKq7EsSdzA4AIGc+RzMrTMY1KRkkqpO4qOwz3pt&#10;FdVHDwpK0L/e3+bOzC4Olh1alf5tv82wooorY6j/2VBLAwQUAAYACAAAACEA8i24ReEAAAAKAQAA&#10;DwAAAGRycy9kb3ducmV2LnhtbEyPzU7DMBCE70i8g7VI3Frnh9IS4lRVBZwqJFokxG0bb5OosR3F&#10;bpK+PcsJbjPa0ew3+XoyrRio942zCuJ5BIJs6XRjKwWfh9fZCoQPaDW2zpKCK3lYF7c3OWbajfaD&#10;hn2oBJdYn6GCOoQuk9KXNRn0c9eR5dvJ9QYD276SuseRy00rkyh6lAYbyx9q7GhbU3neX4yCtxHH&#10;TRq/DLvzaXv9Pizev3YxKXV/N22eQQSawl8YfvEZHQpmOrqL1V60CtI04S1BwSxZseDE0/KBxVHB&#10;MlmALHL5f0LxAwAA//8DAFBLAwQUAAYACAAAACEAN53BGLoAAAAhAQAAGQAAAGRycy9fcmVscy9l&#10;Mm9Eb2MueG1sLnJlbHOEj8sKwjAQRfeC/xBmb9O6EJGmbkRwK/UDhmSaRpsHSRT79wbcKAgu517u&#10;OUy7f9qJPSgm452ApqqBkZNeGacFXPrjagssZXQKJ+9IwEwJ9t1y0Z5pwlxGaTQhsUJxScCYc9hx&#10;nuRIFlPlA7nSDD5azOWMmgeUN9TE13W94fGTAd0Xk52UgHhSDbB+DsX8n+2HwUg6eHm35PIPBTe2&#10;uAsQo6YswJIy+A6b6ho08K7lX491LwAAAP//AwBQSwECLQAUAAYACAAAACEA2vY9+w0BAAAUAgAA&#10;EwAAAAAAAAAAAAAAAAAAAAAAW0NvbnRlbnRfVHlwZXNdLnhtbFBLAQItABQABgAIAAAAIQA4/SH/&#10;1gAAAJQBAAALAAAAAAAAAAAAAAAAAD4BAABfcmVscy8ucmVsc1BLAQItABQABgAIAAAAIQBlsym/&#10;xgQAAEMOAAAOAAAAAAAAAAAAAAAAAD0CAABkcnMvZTJvRG9jLnhtbFBLAQItAAoAAAAAAAAAIQBs&#10;Np03FTUAABU1AAAUAAAAAAAAAAAAAAAAAC8HAABkcnMvbWVkaWEvaW1hZ2UxLmpwZ1BLAQItABQA&#10;BgAIAAAAIQDyLbhF4QAAAAoBAAAPAAAAAAAAAAAAAAAAAHY8AABkcnMvZG93bnJldi54bWxQSwEC&#10;LQAUAAYACAAAACEAN53BGLoAAAAhAQAAGQAAAAAAAAAAAAAAAACEPQAAZHJzL19yZWxzL2Uyb0Rv&#10;Yy54bWwucmVsc1BLBQYAAAAABgAGAHwBAAB1PgAAAAA=&#10;">
              <v:group id="Group 3" o:spid="_x0000_s1029" style="position:absolute;left:33076;top:34609;width:40767;height:6381" coordsize="40767,6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5" o:spid="_x0000_s1030" style="position:absolute;width:40767;height:6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gwBwgAAANoAAAAPAAAAZHJzL2Rvd25yZXYueG1sRI/BbsIw&#10;EETvSPyDtUi9gdOoRW2Ig6BqpZYTBD5giZc4arxOYxfSv6+RkDiOZuaNJl8OthVn6n3jWMHjLAFB&#10;XDndcK3gsP+YvoDwAVlj65gU/JGHZTEe5Zhpd+EdnctQiwhhn6ECE0KXSekrQxb9zHXE0Tu53mKI&#10;sq+l7vES4baVaZLMpcWG44LBjt4MVd/lr1WwfXKUvqd+Xdb21QzH/ebrB+dKPUyG1QJEoCHcw7f2&#10;p1bwDNcr8QbI4h8AAP//AwBQSwECLQAUAAYACAAAACEA2+H2y+4AAACFAQAAEwAAAAAAAAAAAAAA&#10;AAAAAAAAW0NvbnRlbnRfVHlwZXNdLnhtbFBLAQItABQABgAIAAAAIQBa9CxbvwAAABUBAAALAAAA&#10;AAAAAAAAAAAAAB8BAABfcmVscy8ucmVsc1BLAQItABQABgAIAAAAIQBLagwBwgAAANoAAAAPAAAA&#10;AAAAAAAAAAAAAAcCAABkcnMvZG93bnJldi54bWxQSwUGAAAAAAMAAwC3AAAA9gIAAAAA&#10;" filled="f" stroked="f">
                  <v:textbox inset="2.53958mm,2.53958mm,2.53958mm,2.53958mm">
                    <w:txbxContent>
                      <w:p w14:paraId="3F44783F" w14:textId="77777777" w:rsidR="005852D4" w:rsidRDefault="005852D4">
                        <w:pPr>
                          <w:spacing w:after="0" w:line="240" w:lineRule="auto"/>
                          <w:ind w:left="0" w:hanging="2"/>
                        </w:pPr>
                      </w:p>
                    </w:txbxContent>
                  </v:textbox>
                </v:rect>
                <v:rect id="Rectangle 6" o:spid="_x0000_s1031" style="position:absolute;top:2190;width:38347;height:4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GVAwgAAANoAAAAPAAAAZHJzL2Rvd25yZXYueG1sRI9BawIx&#10;FITvgv8hPKE3TWxBZLtZEUEo9KJW7PW5ed3dmrwsSbpu/31TKPQ4zMw3TLkZnRUDhdh51rBcKBDE&#10;tTcdNxrOb/v5GkRMyAatZ9LwTRE21XRSYmH8nY80nFIjMoRjgRralPpCyli35DAufE+cvQ8fHKYs&#10;QyNNwHuGOysflVpJhx3nhRZ72rVU305fToO9HG8W6XDonoZ3eR2ur+pTBa0fZuP2GUSiMf2H/9ov&#10;RsMKfq/kGyCrHwAAAP//AwBQSwECLQAUAAYACAAAACEA2+H2y+4AAACFAQAAEwAAAAAAAAAAAAAA&#10;AAAAAAAAW0NvbnRlbnRfVHlwZXNdLnhtbFBLAQItABQABgAIAAAAIQBa9CxbvwAAABUBAAALAAAA&#10;AAAAAAAAAAAAAB8BAABfcmVscy8ucmVsc1BLAQItABQABgAIAAAAIQBfXGVAwgAAANoAAAAPAAAA&#10;AAAAAAAAAAAAAAcCAABkcnMvZG93bnJldi54bWxQSwUGAAAAAAMAAwC3AAAA9gIAAAAA&#10;" strokecolor="white">
                  <v:stroke startarrowwidth="narrow" startarrowlength="short" endarrowwidth="narrow" endarrowlength="short"/>
                  <v:textbox inset="2.53958mm,2.53958mm,2.53958mm,2.53958mm">
                    <w:txbxContent>
                      <w:p w14:paraId="029AAB1E" w14:textId="77777777" w:rsidR="005852D4" w:rsidRDefault="005852D4">
                        <w:pPr>
                          <w:spacing w:after="0" w:line="240" w:lineRule="auto"/>
                          <w:ind w:left="0" w:hanging="2"/>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5" o:spid="_x0000_s1032" type="#_x0000_t75" style="position:absolute;left:36671;width:4096;height:542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eDIwgAAANoAAAAPAAAAZHJzL2Rvd25yZXYueG1sRI/BasMw&#10;EETvhfyD2EAupZETTOM6UUIoFHxs3X7AxtpYSqyVsZTY/fuqUOhxmJk3zO4wuU7caQjWs4LVMgNB&#10;3HhtuVXw9fn2VIAIEVlj55kUfFOAw372sMNS+5E/6F7HViQIhxIVmBj7UsrQGHIYlr4nTt7ZDw5j&#10;kkMr9YBjgrtOrrPsWTq0nBYM9vRqqLnWN6dA2gvnp/fC2cqcXe4LerkeH5VazKfjFkSkKf6H/9qV&#10;VrCB3yvpBsj9DwAAAP//AwBQSwECLQAUAAYACAAAACEA2+H2y+4AAACFAQAAEwAAAAAAAAAAAAAA&#10;AAAAAAAAW0NvbnRlbnRfVHlwZXNdLnhtbFBLAQItABQABgAIAAAAIQBa9CxbvwAAABUBAAALAAAA&#10;AAAAAAAAAAAAAB8BAABfcmVscy8ucmVsc1BLAQItABQABgAIAAAAIQCc7eDIwgAAANoAAAAPAAAA&#10;AAAAAAAAAAAAAAcCAABkcnMvZG93bnJldi54bWxQSwUGAAAAAAMAAwC3AAAA9gIAAAAA&#10;" adj="3600">
                  <v:imagedata r:id="rId2" o:title=""/>
                  <v:shadow on="t" type="perspective" color="black" opacity="19531f" origin="-.5,-.5" offset=".32197mm,.08628mm" matrix=",2098f,3741f,64225f"/>
                </v:shape>
                <v:shapetype id="_x0000_t32" coordsize="21600,21600" o:spt="32" o:oned="t" path="m,l21600,21600e" filled="f">
                  <v:path arrowok="t" fillok="f" o:connecttype="none"/>
                  <o:lock v:ext="edit" shapetype="t"/>
                </v:shapetype>
                <v:shape id="Straight Arrow Connector 8" o:spid="_x0000_s1033" type="#_x0000_t32" style="position:absolute;top:5429;width:3667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b2IwQAAANoAAAAPAAAAZHJzL2Rvd25yZXYueG1sRE+7bsIw&#10;FN2R+AfrIrGg4pChQikGIR6CDgwE1Pkqvk3SxteRbUjg6+uhEuPReS9WvWnEnZyvLSuYTRMQxIXV&#10;NZcKrpf92xyED8gaG8uk4EEeVsvhYIGZth2f6Z6HUsQQ9hkqqEJoMyl9UZFBP7UtceS+rTMYInSl&#10;1A67GG4amSbJuzRYc2yosKVNRcVvfjMK2s/L7Webn3bnZ3f6codJej0WqVLjUb/+ABGoDy/xv/uo&#10;FcSt8Uq8AXL5BwAA//8DAFBLAQItABQABgAIAAAAIQDb4fbL7gAAAIUBAAATAAAAAAAAAAAAAAAA&#10;AAAAAABbQ29udGVudF9UeXBlc10ueG1sUEsBAi0AFAAGAAgAAAAhAFr0LFu/AAAAFQEAAAsAAAAA&#10;AAAAAAAAAAAAHwEAAF9yZWxzLy5yZWxzUEsBAi0AFAAGAAgAAAAhAHhFvYjBAAAA2gAAAA8AAAAA&#10;AAAAAAAAAAAABwIAAGRycy9kb3ducmV2LnhtbFBLBQYAAAAAAwADALcAAAD1AgAAAAA=&#10;" strokecolor="#7030a0" strokeweight="2.25pt">
                  <v:stroke startarrowwidth="narrow" startarrowlength="short" endarrowwidth="narrow" endarrowlength="short" joinstyle="miter"/>
                </v:shape>
              </v:group>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CB70A" w14:textId="77777777" w:rsidR="005852D4" w:rsidRDefault="00A04C80">
    <w:pPr>
      <w:pBdr>
        <w:top w:val="nil"/>
        <w:left w:val="nil"/>
        <w:bottom w:val="nil"/>
        <w:right w:val="nil"/>
        <w:between w:val="nil"/>
      </w:pBdr>
      <w:spacing w:after="0" w:line="240" w:lineRule="auto"/>
      <w:ind w:left="0" w:hanging="2"/>
      <w:rPr>
        <w:color w:val="000000"/>
      </w:rPr>
    </w:pPr>
    <w:r>
      <w:rPr>
        <w:color w:val="000000"/>
      </w:rPr>
      <w:pict w14:anchorId="2C6DCE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 style="position:absolute;margin-left:0;margin-top:0;width:351pt;height:329pt;z-index:-251655168;visibility:visible;mso-position-horizontal:center;mso-position-horizontal-relative:left-margin-area;mso-position-vertical:center;mso-position-vertical-relative:top-margin-area">
          <v:imagedata r:id="rId1" o:title="image3" gain="19661f" blacklevel="22938f"/>
          <v:path o:extrusionok="t"/>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315C0" w14:textId="77777777" w:rsidR="005852D4" w:rsidRDefault="002678EE">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5B7689">
      <w:rPr>
        <w:rFonts w:ascii="Times New Roman" w:eastAsia="Times New Roman" w:hAnsi="Times New Roman" w:cs="Times New Roman"/>
        <w:noProof/>
        <w:color w:val="000000"/>
        <w:sz w:val="24"/>
        <w:szCs w:val="24"/>
      </w:rPr>
      <w:t>92</w:t>
    </w:r>
    <w:r>
      <w:rPr>
        <w:rFonts w:ascii="Times New Roman" w:eastAsia="Times New Roman" w:hAnsi="Times New Roman" w:cs="Times New Roman"/>
        <w:color w:val="000000"/>
        <w:sz w:val="24"/>
        <w:szCs w:val="24"/>
      </w:rPr>
      <w:fldChar w:fldCharType="end"/>
    </w:r>
  </w:p>
  <w:p w14:paraId="2766143C" w14:textId="77777777" w:rsidR="005852D4" w:rsidRDefault="005852D4">
    <w:pPr>
      <w:pBdr>
        <w:top w:val="nil"/>
        <w:left w:val="nil"/>
        <w:bottom w:val="nil"/>
        <w:right w:val="nil"/>
        <w:between w:val="nil"/>
      </w:pBdr>
      <w:spacing w:after="0" w:line="240" w:lineRule="auto"/>
      <w:ind w:left="0" w:hanging="2"/>
      <w:jc w:val="right"/>
      <w:rPr>
        <w:rFonts w:ascii="Times New Roman" w:eastAsia="Times New Roman" w:hAnsi="Times New Roman" w:cs="Times New Roman"/>
        <w:color w:val="000000"/>
        <w:sz w:val="24"/>
        <w:szCs w:val="24"/>
      </w:rPr>
    </w:pPr>
  </w:p>
  <w:p w14:paraId="1222FF17" w14:textId="77777777" w:rsidR="005852D4" w:rsidRDefault="002678EE">
    <w:pPr>
      <w:spacing w:line="240" w:lineRule="auto"/>
      <w:ind w:left="0" w:hanging="2"/>
      <w:jc w:val="center"/>
      <w:rPr>
        <w:rFonts w:ascii="Cambria" w:eastAsia="Cambria" w:hAnsi="Cambria" w:cs="Cambria"/>
        <w:sz w:val="14"/>
        <w:szCs w:val="14"/>
      </w:rPr>
    </w:pPr>
    <w:r>
      <w:rPr>
        <w:noProof/>
      </w:rPr>
      <mc:AlternateContent>
        <mc:Choice Requires="wps">
          <w:drawing>
            <wp:anchor distT="0" distB="0" distL="114300" distR="114300" simplePos="0" relativeHeight="251657216" behindDoc="0" locked="0" layoutInCell="1" hidden="0" allowOverlap="1" wp14:anchorId="0B95C149" wp14:editId="0B24C725">
              <wp:simplePos x="0" y="0"/>
              <wp:positionH relativeFrom="page">
                <wp:posOffset>6929438</wp:posOffset>
              </wp:positionH>
              <wp:positionV relativeFrom="page">
                <wp:posOffset>7784148</wp:posOffset>
              </wp:positionV>
              <wp:extent cx="542290" cy="2192655"/>
              <wp:effectExtent l="0" t="0" r="0" b="0"/>
              <wp:wrapNone/>
              <wp:docPr id="3" name="Rectangle 3"/>
              <wp:cNvGraphicFramePr/>
              <a:graphic xmlns:a="http://schemas.openxmlformats.org/drawingml/2006/main">
                <a:graphicData uri="http://schemas.microsoft.com/office/word/2010/wordprocessingShape">
                  <wps:wsp>
                    <wps:cNvSpPr/>
                    <wps:spPr>
                      <a:xfrm rot="-5400000">
                        <a:off x="4254436" y="3513617"/>
                        <a:ext cx="2183130" cy="532765"/>
                      </a:xfrm>
                      <a:prstGeom prst="rect">
                        <a:avLst/>
                      </a:prstGeom>
                      <a:noFill/>
                      <a:ln>
                        <a:noFill/>
                      </a:ln>
                    </wps:spPr>
                    <wps:txbx>
                      <w:txbxContent>
                        <w:p w14:paraId="4DC64970" w14:textId="77777777" w:rsidR="005852D4" w:rsidRDefault="002678EE">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95</w:t>
                          </w:r>
                        </w:p>
                        <w:p w14:paraId="4AFC2CEB" w14:textId="77777777" w:rsidR="005852D4" w:rsidRDefault="005852D4">
                          <w:pPr>
                            <w:spacing w:line="275" w:lineRule="auto"/>
                            <w:ind w:left="0" w:hanging="2"/>
                          </w:pPr>
                        </w:p>
                      </w:txbxContent>
                    </wps:txbx>
                    <wps:bodyPr spcFirstLastPara="1" wrap="square" lIns="91425" tIns="45700" rIns="91425" bIns="45700" anchor="ctr" anchorCtr="0">
                      <a:noAutofit/>
                    </wps:bodyPr>
                  </wps:wsp>
                </a:graphicData>
              </a:graphic>
            </wp:anchor>
          </w:drawing>
        </mc:Choice>
        <mc:Fallback>
          <w:pict>
            <v:rect w14:anchorId="0B95C149" id="Rectangle 3" o:spid="_x0000_s1034" style="position:absolute;left:0;text-align:left;margin-left:545.65pt;margin-top:612.95pt;width:42.7pt;height:172.65pt;rotation:-90;z-index:251657216;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lQf4AEAAJgDAAAOAAAAZHJzL2Uyb0RvYy54bWysU9uO0zAQfUfiHyy/b9Pc2iVqukKsipBW&#10;ULHwAa5jN5biC2O3Sf+esdNdCrwh8mB5xqMz55yZbB4mPZCzAK+saWm+WFIiDLedMseWfv+2u7un&#10;xAdmOjZYI1p6EZ4+bN++2YyuEYXt7dAJIAhifDO6lvYhuCbLPO+FZn5hnTD4KC1oFjCEY9YBGxFd&#10;D1mxXK6y0ULnwHLhPWYf50e6TfhSCh6+SOlFIENLkVtIJ6TzEM9su2HNEZjrFb/SYP/AQjNlsOkr&#10;1CMLjJxA/QWlFQfrrQwLbnVmpVRcJA2oJl/+oea5Z04kLWiOd682+f8Hyz+f90BU19KSEsM0jugr&#10;msbMcRCkjPaMzjdY9ez2cI08XqPWSYImYNHTu7paxi9ZgKLI1NKqqKuqXFFyQew6L1f5enZbTIFw&#10;LCjy+zIvcSgcK+qyWK/qWJDNwLGBAx8+CqtJvLQUkFjqwM5PPsylLyWx3NidGgbMs2YwvyUQM2ay&#10;qGVmH29hOkxJevWi82C7C9rhHd8pbPnEfNgzwIXIKRlxSVrqf5wYCEqGTwan8C5HlbhVKajqNTpA&#10;4PblcPvCDO8t7h4PQMkcfAhpF2ey70/BSpWERXozmStrHH+y5rqqcb9u41T164fa/gQAAP//AwBQ&#10;SwMEFAAGAAgAAAAhAH738YniAAAADgEAAA8AAABkcnMvZG93bnJldi54bWxMj8FuwjAMhu+T9g6R&#10;J+020q4lgq4pmiahjeOAoR1DEtqyxqmaAN3bz5zYzdb36/fncjG6jp3tEFqPEtJJAsyi9qbFWsJ2&#10;s3yaAQtRoVGdRyvh1wZYVPd3pSqMv+CnPa9jzagEQ6EkNDH2BedBN9apMPG9RWIHPzgVaR1qbgZ1&#10;oXLX8eckEdypFulCo3r71lj9sz45CR/vYqeP39tVGjcztTusljo/fkn5+DC+vgCLdoy3MFz1SR0q&#10;ctr7E5rAOglzkWYUJZBNp3Ng10iWCAFsT1OeE+VVyf+/Uf0BAAD//wMAUEsBAi0AFAAGAAgAAAAh&#10;ALaDOJL+AAAA4QEAABMAAAAAAAAAAAAAAAAAAAAAAFtDb250ZW50X1R5cGVzXS54bWxQSwECLQAU&#10;AAYACAAAACEAOP0h/9YAAACUAQAACwAAAAAAAAAAAAAAAAAvAQAAX3JlbHMvLnJlbHNQSwECLQAU&#10;AAYACAAAACEAMZJUH+ABAACYAwAADgAAAAAAAAAAAAAAAAAuAgAAZHJzL2Uyb0RvYy54bWxQSwEC&#10;LQAUAAYACAAAACEAfvfxieIAAAAOAQAADwAAAAAAAAAAAAAAAAA6BAAAZHJzL2Rvd25yZXYueG1s&#10;UEsFBgAAAAAEAAQA8wAAAEkFAAAAAA==&#10;" filled="f" stroked="f">
              <v:textbox inset="2.53958mm,1.2694mm,2.53958mm,1.2694mm">
                <w:txbxContent>
                  <w:p w14:paraId="4DC64970" w14:textId="77777777" w:rsidR="005852D4" w:rsidRDefault="002678EE">
                    <w:pPr>
                      <w:spacing w:after="0" w:line="240" w:lineRule="auto"/>
                      <w:ind w:left="0" w:hanging="2"/>
                    </w:pPr>
                    <w:r>
                      <w:rPr>
                        <w:color w:val="000000"/>
                      </w:rPr>
                      <w:t>Page</w:t>
                    </w:r>
                    <w:r>
                      <w:rPr>
                        <w:rFonts w:ascii="Arial" w:eastAsia="Arial" w:hAnsi="Arial" w:cs="Arial"/>
                        <w:color w:val="000000"/>
                      </w:rPr>
                      <w:t xml:space="preserve"> PAGE    \* MERGEFORMAT </w:t>
                    </w:r>
                    <w:r>
                      <w:rPr>
                        <w:color w:val="000000"/>
                        <w:sz w:val="44"/>
                      </w:rPr>
                      <w:t>95</w:t>
                    </w:r>
                  </w:p>
                  <w:p w14:paraId="4AFC2CEB" w14:textId="77777777" w:rsidR="005852D4" w:rsidRDefault="005852D4">
                    <w:pPr>
                      <w:spacing w:line="275" w:lineRule="auto"/>
                      <w:ind w:left="0" w:hanging="2"/>
                    </w:pPr>
                  </w:p>
                </w:txbxContent>
              </v:textbox>
              <w10:wrap anchorx="page" anchory="page"/>
            </v:rect>
          </w:pict>
        </mc:Fallback>
      </mc:AlternateContent>
    </w:r>
    <w:r>
      <w:rPr>
        <w:rFonts w:ascii="Times New Roman" w:eastAsia="Times New Roman" w:hAnsi="Times New Roman" w:cs="Times New Roman"/>
        <w:color w:val="000000"/>
        <w:sz w:val="20"/>
        <w:szCs w:val="20"/>
      </w:rPr>
      <w:t xml:space="preserve"> </w:t>
    </w:r>
    <w:r>
      <w:rPr>
        <w:rFonts w:ascii="Cambria" w:eastAsia="Cambria" w:hAnsi="Cambria" w:cs="Cambria"/>
        <w:sz w:val="14"/>
        <w:szCs w:val="14"/>
      </w:rPr>
      <w:t xml:space="preserve">Author names dkk </w:t>
    </w:r>
    <w:r>
      <w:rPr>
        <w:rFonts w:ascii="Cambria" w:eastAsia="Cambria" w:hAnsi="Cambria" w:cs="Cambria"/>
        <w:color w:val="000000"/>
        <w:sz w:val="14"/>
        <w:szCs w:val="14"/>
      </w:rPr>
      <w:t xml:space="preserve">/ </w:t>
    </w:r>
    <w:r>
      <w:rPr>
        <w:rFonts w:ascii="Cambria" w:eastAsia="Cambria" w:hAnsi="Cambria" w:cs="Cambria"/>
        <w:sz w:val="14"/>
        <w:szCs w:val="14"/>
      </w:rPr>
      <w:t>Scientific Periodical of Public Health and Coastal 4(2),2022 , halaman 87-</w:t>
    </w:r>
    <w:r w:rsidR="00A04C80">
      <w:pict w14:anchorId="1CF87D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 o:spid="_x0000_s2051" type="#_x0000_t75" alt="" style="position:absolute;left:0;text-align:left;margin-left:0;margin-top:0;width:351pt;height:329pt;z-index:-251657216;visibility:visible;mso-position-horizontal:center;mso-position-horizontal-relative:left-margin-area;mso-position-vertical:center;mso-position-vertical-relative:top-margin-area">
          <v:imagedata r:id="rId1" o:title="image3" gain="19661f" blacklevel="22938f"/>
          <v:path o:extrusionok="t"/>
        </v:shape>
      </w:pict>
    </w:r>
    <w:r>
      <w:rPr>
        <w:rFonts w:ascii="Cambria" w:eastAsia="Cambria" w:hAnsi="Cambria" w:cs="Cambria"/>
        <w:sz w:val="14"/>
        <w:szCs w:val="14"/>
      </w:rPr>
      <w:t>99 (10pt, all caps, Cambria, Normal)</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BEC2F" w14:textId="77777777" w:rsidR="005852D4" w:rsidRDefault="00A04C80">
    <w:pPr>
      <w:pBdr>
        <w:top w:val="nil"/>
        <w:left w:val="nil"/>
        <w:bottom w:val="nil"/>
        <w:right w:val="nil"/>
        <w:between w:val="nil"/>
      </w:pBdr>
      <w:spacing w:after="0" w:line="240" w:lineRule="auto"/>
      <w:ind w:left="0" w:hanging="2"/>
      <w:rPr>
        <w:color w:val="000000"/>
      </w:rPr>
    </w:pPr>
    <w:r>
      <w:rPr>
        <w:color w:val="000000"/>
      </w:rPr>
      <w:pict w14:anchorId="03FB43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0" type="#_x0000_t75" alt="" style="position:absolute;margin-left:0;margin-top:0;width:351pt;height:329pt;z-index:-251656192;visibility:visible;mso-position-horizontal:center;mso-position-horizontal-relative:left-margin-area;mso-position-vertical:center;mso-position-vertical-relative:top-margin-area">
          <v:imagedata r:id="rId1" o:title="image3" gain="19661f" blacklevel="22938f"/>
          <v:path o:extrusionok="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B14E45"/>
    <w:multiLevelType w:val="hybridMultilevel"/>
    <w:tmpl w:val="D49E72EC"/>
    <w:lvl w:ilvl="0" w:tplc="0409000F">
      <w:start w:val="1"/>
      <w:numFmt w:val="decimal"/>
      <w:lvlText w:val="%1."/>
      <w:lvlJc w:val="left"/>
      <w:pPr>
        <w:ind w:left="1080" w:hanging="360"/>
      </w:pPr>
      <w:rPr>
        <w:rFonts w:hint="default"/>
      </w:rPr>
    </w:lvl>
    <w:lvl w:ilvl="1" w:tplc="B85C11F2">
      <w:start w:val="1"/>
      <w:numFmt w:val="lowerLetter"/>
      <w:lvlText w:val="%2."/>
      <w:lvlJc w:val="left"/>
      <w:pPr>
        <w:ind w:left="1800" w:hanging="360"/>
      </w:pPr>
      <w:rPr>
        <w:rFonts w:ascii="Arial" w:eastAsia="Times New Roman" w:hAnsi="Arial" w:cs="Arial"/>
      </w:rPr>
    </w:lvl>
    <w:lvl w:ilvl="2" w:tplc="0409001B">
      <w:start w:val="1"/>
      <w:numFmt w:val="lowerRoman"/>
      <w:lvlText w:val="%3."/>
      <w:lvlJc w:val="right"/>
      <w:pPr>
        <w:ind w:left="2520" w:hanging="180"/>
      </w:pPr>
    </w:lvl>
    <w:lvl w:ilvl="3" w:tplc="7D6C1840">
      <w:start w:val="1"/>
      <w:numFmt w:val="lowerLetter"/>
      <w:lvlText w:val="%4."/>
      <w:lvlJc w:val="left"/>
      <w:pPr>
        <w:ind w:left="3240" w:hanging="360"/>
      </w:pPr>
      <w:rPr>
        <w:rFonts w:ascii="Arial" w:eastAsia="Times New Roman" w:hAnsi="Arial" w:cs="Arial"/>
      </w:r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63BEF106">
      <w:start w:val="1"/>
      <w:numFmt w:val="decimal"/>
      <w:lvlText w:val="%7"/>
      <w:lvlJc w:val="left"/>
      <w:pPr>
        <w:ind w:left="5400" w:hanging="360"/>
      </w:pPr>
      <w:rPr>
        <w:rFonts w:hint="default"/>
      </w:rPr>
    </w:lvl>
    <w:lvl w:ilvl="7" w:tplc="933253B0">
      <w:start w:val="1"/>
      <w:numFmt w:val="decimal"/>
      <w:lvlText w:val="%8)"/>
      <w:lvlJc w:val="left"/>
      <w:pPr>
        <w:ind w:left="6120" w:hanging="360"/>
      </w:pPr>
      <w:rPr>
        <w:rFonts w:hint="default"/>
        <w:b w:val="0"/>
      </w:rPr>
    </w:lvl>
    <w:lvl w:ilvl="8" w:tplc="3809000F">
      <w:start w:val="1"/>
      <w:numFmt w:val="decimal"/>
      <w:lvlText w:val="%9."/>
      <w:lvlJc w:val="left"/>
      <w:pPr>
        <w:ind w:left="7020" w:hanging="360"/>
      </w:pPr>
      <w:rPr>
        <w:rFonts w:hint="default"/>
      </w:rPr>
    </w:lvl>
  </w:abstractNum>
  <w:abstractNum w:abstractNumId="1" w15:restartNumberingAfterBreak="0">
    <w:nsid w:val="797D7485"/>
    <w:multiLevelType w:val="hybridMultilevel"/>
    <w:tmpl w:val="A0CC62F8"/>
    <w:lvl w:ilvl="0" w:tplc="04210015">
      <w:start w:val="1"/>
      <w:numFmt w:val="upp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2D4"/>
    <w:rsid w:val="00020A2C"/>
    <w:rsid w:val="000B1322"/>
    <w:rsid w:val="00190D5D"/>
    <w:rsid w:val="001D3DC3"/>
    <w:rsid w:val="001E3074"/>
    <w:rsid w:val="00207019"/>
    <w:rsid w:val="002678EE"/>
    <w:rsid w:val="002B6FBA"/>
    <w:rsid w:val="002D18F6"/>
    <w:rsid w:val="00453DB9"/>
    <w:rsid w:val="004B0B6F"/>
    <w:rsid w:val="004C6BF7"/>
    <w:rsid w:val="005852D4"/>
    <w:rsid w:val="005B7689"/>
    <w:rsid w:val="006553BF"/>
    <w:rsid w:val="006D42A4"/>
    <w:rsid w:val="006D5CF0"/>
    <w:rsid w:val="00730186"/>
    <w:rsid w:val="00866ED4"/>
    <w:rsid w:val="00874F44"/>
    <w:rsid w:val="008E72D1"/>
    <w:rsid w:val="00A04C80"/>
    <w:rsid w:val="00A5017E"/>
    <w:rsid w:val="00A8515E"/>
    <w:rsid w:val="00AF4670"/>
    <w:rsid w:val="00B124C2"/>
    <w:rsid w:val="00B30C99"/>
    <w:rsid w:val="00B72BEA"/>
    <w:rsid w:val="00B762FA"/>
    <w:rsid w:val="00BB5493"/>
    <w:rsid w:val="00BC63EF"/>
    <w:rsid w:val="00BD5284"/>
    <w:rsid w:val="00C8501D"/>
    <w:rsid w:val="00D553C7"/>
    <w:rsid w:val="00DB3CBA"/>
    <w:rsid w:val="00DC28CF"/>
    <w:rsid w:val="00E11126"/>
    <w:rsid w:val="00E21A57"/>
    <w:rsid w:val="00E91508"/>
    <w:rsid w:val="00EC477A"/>
    <w:rsid w:val="00F248B6"/>
    <w:rsid w:val="00F46ED5"/>
    <w:rsid w:val="00F6112B"/>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1CAC1B22"/>
  <w15:docId w15:val="{EB5A29CB-2E1B-4862-BC0D-C3551219F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d-ID" w:eastAsia="en-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ind w:leftChars="-1" w:left="-1" w:hangingChars="1" w:hanging="1"/>
      <w:textDirection w:val="btLr"/>
      <w:textAlignment w:val="top"/>
      <w:outlineLvl w:val="0"/>
    </w:pPr>
    <w:rPr>
      <w:position w:val="-1"/>
      <w:lang w:eastAsia="en-US"/>
    </w:rPr>
  </w:style>
  <w:style w:type="paragraph" w:styleId="Heading1">
    <w:name w:val="heading 1"/>
    <w:basedOn w:val="Normal"/>
    <w:next w:val="Normal"/>
    <w:link w:val="Heading1Char"/>
    <w:uiPriority w:val="9"/>
    <w:qFormat/>
    <w:pPr>
      <w:keepNext/>
      <w:keepLines/>
      <w:spacing w:before="480" w:after="120"/>
    </w:pPr>
    <w:rPr>
      <w:b/>
      <w:sz w:val="48"/>
      <w:szCs w:val="48"/>
    </w:rPr>
  </w:style>
  <w:style w:type="paragraph" w:styleId="Heading2">
    <w:name w:val="heading 2"/>
    <w:basedOn w:val="Normal"/>
    <w:next w:val="Normal"/>
    <w:link w:val="Heading2Char"/>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spacing w:before="240" w:after="60"/>
      <w:outlineLvl w:val="2"/>
    </w:pPr>
    <w:rPr>
      <w:rFonts w:ascii="Calibri Light" w:eastAsia="MS Gothic" w:hAnsi="Calibri Light"/>
      <w:b/>
      <w:bCs/>
      <w:sz w:val="26"/>
      <w:szCs w:val="26"/>
    </w:rPr>
  </w:style>
  <w:style w:type="paragraph" w:styleId="Heading4">
    <w:name w:val="heading 4"/>
    <w:basedOn w:val="Normal"/>
    <w:next w:val="Normal"/>
    <w:link w:val="Heading4Char"/>
    <w:uiPriority w:val="9"/>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pPr>
      <w:keepNext/>
      <w:keepLines/>
      <w:spacing w:before="220" w:after="40"/>
      <w:outlineLvl w:val="4"/>
    </w:pPr>
    <w:rPr>
      <w:b/>
    </w:rPr>
  </w:style>
  <w:style w:type="paragraph" w:styleId="Heading6">
    <w:name w:val="heading 6"/>
    <w:basedOn w:val="Normal"/>
    <w:next w:val="Normal"/>
    <w:link w:val="Heading6Char"/>
    <w:uiPriority w:val="9"/>
    <w:semiHidden/>
    <w:unhideWhenUsed/>
    <w:qFormat/>
    <w:pPr>
      <w:keepNext/>
      <w:keepLines/>
      <w:spacing w:before="200" w:after="40"/>
      <w:outlineLvl w:val="5"/>
    </w:pPr>
    <w:rPr>
      <w:b/>
      <w:sz w:val="20"/>
      <w:szCs w:val="20"/>
    </w:rPr>
  </w:style>
  <w:style w:type="paragraph" w:styleId="Heading8">
    <w:name w:val="heading 8"/>
    <w:basedOn w:val="Normal"/>
    <w:next w:val="Normal"/>
    <w:link w:val="Heading8Char"/>
    <w:uiPriority w:val="9"/>
    <w:unhideWhenUsed/>
    <w:qFormat/>
    <w:rsid w:val="00020A2C"/>
    <w:pPr>
      <w:keepNext/>
      <w:keepLines/>
      <w:suppressAutoHyphens w:val="0"/>
      <w:spacing w:before="200" w:after="0"/>
      <w:ind w:leftChars="0" w:left="0" w:firstLineChars="0" w:firstLine="0"/>
      <w:textDirection w:val="lrTb"/>
      <w:textAlignment w:val="auto"/>
      <w:outlineLvl w:val="7"/>
    </w:pPr>
    <w:rPr>
      <w:rFonts w:asciiTheme="majorHAnsi" w:eastAsiaTheme="majorEastAsia" w:hAnsiTheme="majorHAnsi" w:cstheme="majorBidi"/>
      <w:color w:val="404040" w:themeColor="text1" w:themeTint="BF"/>
      <w:position w:val="0"/>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99"/>
    <w:qFormat/>
    <w:pPr>
      <w:keepNext/>
      <w:keepLines/>
      <w:spacing w:before="480" w:after="120"/>
    </w:pPr>
    <w:rPr>
      <w:b/>
      <w:sz w:val="72"/>
      <w:szCs w:val="72"/>
    </w:rPr>
  </w:style>
  <w:style w:type="paragraph" w:styleId="Header">
    <w:name w:val="header"/>
    <w:basedOn w:val="Normal"/>
    <w:uiPriority w:val="99"/>
    <w:qFormat/>
    <w:pPr>
      <w:spacing w:after="0" w:line="240" w:lineRule="auto"/>
    </w:pPr>
  </w:style>
  <w:style w:type="character" w:customStyle="1" w:styleId="HeaderChar">
    <w:name w:val="Header Char"/>
    <w:basedOn w:val="DefaultParagraphFont"/>
    <w:uiPriority w:val="99"/>
    <w:rPr>
      <w:w w:val="100"/>
      <w:position w:val="-1"/>
      <w:effect w:val="none"/>
      <w:vertAlign w:val="baseline"/>
      <w:cs w:val="0"/>
      <w:em w:val="none"/>
    </w:rPr>
  </w:style>
  <w:style w:type="paragraph" w:styleId="Footer">
    <w:name w:val="footer"/>
    <w:basedOn w:val="Normal"/>
    <w:uiPriority w:val="99"/>
    <w:qFormat/>
    <w:pPr>
      <w:spacing w:after="0" w:line="240" w:lineRule="auto"/>
    </w:pPr>
  </w:style>
  <w:style w:type="character" w:customStyle="1" w:styleId="FooterChar">
    <w:name w:val="Footer Char"/>
    <w:basedOn w:val="DefaultParagraphFont"/>
    <w:uiPriority w:val="99"/>
    <w:rPr>
      <w:w w:val="100"/>
      <w:position w:val="-1"/>
      <w:effect w:val="none"/>
      <w:vertAlign w:val="baseline"/>
      <w:cs w:val="0"/>
      <w:em w:val="none"/>
    </w:rPr>
  </w:style>
  <w:style w:type="paragraph" w:styleId="BalloonText">
    <w:name w:val="Balloon Text"/>
    <w:basedOn w:val="Normal"/>
    <w:uiPriority w:val="99"/>
    <w:qFormat/>
    <w:pPr>
      <w:spacing w:after="0" w:line="240" w:lineRule="auto"/>
    </w:pPr>
    <w:rPr>
      <w:rFonts w:ascii="Tahoma" w:hAnsi="Tahoma"/>
      <w:sz w:val="16"/>
      <w:szCs w:val="16"/>
    </w:rPr>
  </w:style>
  <w:style w:type="character" w:customStyle="1" w:styleId="BalloonTextChar">
    <w:name w:val="Balloon Text Char"/>
    <w:uiPriority w:val="99"/>
    <w:rPr>
      <w:rFonts w:ascii="Tahoma" w:hAnsi="Tahoma" w:cs="Tahoma"/>
      <w:w w:val="100"/>
      <w:position w:val="-1"/>
      <w:sz w:val="16"/>
      <w:szCs w:val="16"/>
      <w:effect w:val="none"/>
      <w:vertAlign w:val="baseline"/>
      <w:cs w:val="0"/>
      <w:em w:val="none"/>
    </w:rPr>
  </w:style>
  <w:style w:type="paragraph" w:styleId="ListParagraph">
    <w:name w:val="List Paragraph"/>
    <w:aliases w:val="UGEX'Z,2 bro,Body of text,List Paragraph1,First Level Outline,spasi 2 taiiii,kepala,sub de titre 4,ANNEX,TABEL,Colorful List - Accent 11,Body Text Char1,Char Char2,List Paragraph2,Char Char21,Tabel,SUB BAB2,ListKebijakan,POINT,Dalam Tabel"/>
    <w:basedOn w:val="Normal"/>
    <w:uiPriority w:val="34"/>
    <w:qFormat/>
    <w:pPr>
      <w:spacing w:after="0" w:line="360" w:lineRule="auto"/>
      <w:ind w:left="720"/>
      <w:contextualSpacing/>
      <w:jc w:val="both"/>
    </w:pPr>
    <w:rPr>
      <w:rFonts w:ascii="Times New Roman" w:hAnsi="Times New Roman"/>
      <w:sz w:val="24"/>
      <w:lang w:val="en-US"/>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sz w:val="24"/>
      <w:szCs w:val="24"/>
      <w:lang w:eastAsia="en-US"/>
    </w:rPr>
  </w:style>
  <w:style w:type="table" w:styleId="TableGrid">
    <w:name w:val="Table Grid"/>
    <w:basedOn w:val="TableNormal"/>
    <w:uiPriority w:val="59"/>
    <w:pPr>
      <w:suppressAutoHyphens/>
      <w:spacing w:after="0" w:line="240" w:lineRule="auto"/>
      <w:ind w:leftChars="-1" w:left="-1" w:hangingChars="1" w:hanging="1"/>
      <w:textDirection w:val="btLr"/>
      <w:textAlignment w:val="top"/>
      <w:outlineLvl w:val="0"/>
    </w:pPr>
    <w:rPr>
      <w:rFonts w:eastAsia="SimSun" w:cs="SimSun"/>
      <w:position w:val="-1"/>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Char">
    <w:name w:val="Body Char"/>
    <w:pPr>
      <w:tabs>
        <w:tab w:val="left" w:pos="567"/>
      </w:tabs>
      <w:suppressAutoHyphens/>
      <w:spacing w:line="1" w:lineRule="atLeast"/>
      <w:ind w:leftChars="-1" w:left="-1" w:hangingChars="1" w:hanging="1"/>
      <w:jc w:val="both"/>
      <w:textDirection w:val="btLr"/>
      <w:textAlignment w:val="top"/>
      <w:outlineLvl w:val="0"/>
    </w:pPr>
    <w:rPr>
      <w:rFonts w:ascii="Times" w:eastAsia="Times New Roman" w:hAnsi="Times"/>
      <w:color w:val="000000"/>
      <w:position w:val="-1"/>
      <w:lang w:val="en-GB" w:eastAsia="id-ID"/>
    </w:rPr>
  </w:style>
  <w:style w:type="character" w:customStyle="1" w:styleId="BodyCharChar">
    <w:name w:val="Body Char Char"/>
    <w:rPr>
      <w:rFonts w:ascii="Times" w:eastAsia="Times New Roman" w:hAnsi="Times"/>
      <w:color w:val="000000"/>
      <w:w w:val="100"/>
      <w:position w:val="-1"/>
      <w:effect w:val="none"/>
      <w:vertAlign w:val="baseline"/>
      <w:cs w:val="0"/>
      <w:em w:val="none"/>
      <w:lang w:val="en-GB" w:eastAsia="id-ID" w:bidi="ar-SA"/>
    </w:rPr>
  </w:style>
  <w:style w:type="paragraph" w:customStyle="1" w:styleId="FigureCaption">
    <w:name w:val="FigureCaption"/>
    <w:pPr>
      <w:suppressAutoHyphens/>
      <w:spacing w:before="170" w:line="1" w:lineRule="atLeast"/>
      <w:ind w:leftChars="-1" w:left="28" w:hangingChars="1" w:hanging="1"/>
      <w:jc w:val="center"/>
      <w:textDirection w:val="btLr"/>
      <w:textAlignment w:val="top"/>
      <w:outlineLvl w:val="0"/>
    </w:pPr>
    <w:rPr>
      <w:rFonts w:ascii="Times" w:eastAsia="Times New Roman" w:hAnsi="Times"/>
      <w:color w:val="000000"/>
      <w:position w:val="-1"/>
      <w:lang w:val="en-GB" w:eastAsia="en-US"/>
    </w:rPr>
  </w:style>
  <w:style w:type="table" w:customStyle="1" w:styleId="Style1">
    <w:name w:val="Style1"/>
    <w:basedOn w:val="TableNormal"/>
    <w:pPr>
      <w:suppressAutoHyphens/>
      <w:spacing w:after="0" w:line="240" w:lineRule="auto"/>
      <w:ind w:leftChars="-1" w:left="-1" w:hangingChars="1" w:hanging="1"/>
      <w:textDirection w:val="btLr"/>
      <w:textAlignment w:val="top"/>
      <w:outlineLvl w:val="0"/>
    </w:pPr>
    <w:rPr>
      <w:position w:val="-1"/>
    </w:rPr>
    <w:tblPr/>
  </w:style>
  <w:style w:type="table" w:styleId="LightShading-Accent4">
    <w:name w:val="Light Shading Accent 4"/>
    <w:basedOn w:val="TableNormal"/>
    <w:pPr>
      <w:suppressAutoHyphens/>
      <w:spacing w:after="0" w:line="240" w:lineRule="auto"/>
      <w:ind w:leftChars="-1" w:left="-1" w:hangingChars="1" w:hanging="1"/>
      <w:textDirection w:val="btLr"/>
      <w:textAlignment w:val="top"/>
      <w:outlineLvl w:val="0"/>
    </w:pPr>
    <w:rPr>
      <w:color w:val="5F497A"/>
      <w:position w:val="-1"/>
    </w:rPr>
    <w:tblPr>
      <w:tblStyleRowBandSize w:val="1"/>
      <w:tblStyleColBandSize w:val="1"/>
      <w:tblBorders>
        <w:top w:val="single" w:sz="8" w:space="0" w:color="8064A2"/>
        <w:bottom w:val="single" w:sz="8" w:space="0" w:color="8064A2"/>
      </w:tblBorders>
    </w:tblPr>
  </w:style>
  <w:style w:type="character" w:styleId="CommentReference">
    <w:name w:val="annotation reference"/>
    <w:uiPriority w:val="99"/>
    <w:qFormat/>
    <w:rPr>
      <w:w w:val="100"/>
      <w:position w:val="-1"/>
      <w:sz w:val="16"/>
      <w:szCs w:val="16"/>
      <w:effect w:val="none"/>
      <w:vertAlign w:val="baseline"/>
      <w:cs w:val="0"/>
      <w:em w:val="none"/>
    </w:rPr>
  </w:style>
  <w:style w:type="paragraph" w:styleId="CommentText">
    <w:name w:val="annotation text"/>
    <w:basedOn w:val="Normal"/>
    <w:uiPriority w:val="99"/>
    <w:qFormat/>
    <w:pPr>
      <w:spacing w:line="240" w:lineRule="auto"/>
    </w:pPr>
    <w:rPr>
      <w:sz w:val="20"/>
      <w:szCs w:val="20"/>
    </w:rPr>
  </w:style>
  <w:style w:type="character" w:customStyle="1" w:styleId="CommentTextChar">
    <w:name w:val="Comment Text Char"/>
    <w:uiPriority w:val="99"/>
    <w:rPr>
      <w:w w:val="100"/>
      <w:position w:val="-1"/>
      <w:sz w:val="20"/>
      <w:szCs w:val="20"/>
      <w:effect w:val="none"/>
      <w:vertAlign w:val="baseline"/>
      <w:cs w:val="0"/>
      <w:em w:val="none"/>
    </w:rPr>
  </w:style>
  <w:style w:type="paragraph" w:styleId="CommentSubject">
    <w:name w:val="annotation subject"/>
    <w:basedOn w:val="CommentText"/>
    <w:next w:val="CommentText"/>
    <w:uiPriority w:val="99"/>
    <w:qFormat/>
    <w:rPr>
      <w:b/>
      <w:bCs/>
    </w:rPr>
  </w:style>
  <w:style w:type="character" w:customStyle="1" w:styleId="CommentSubjectChar">
    <w:name w:val="Comment Subject Char"/>
    <w:uiPriority w:val="99"/>
    <w:rPr>
      <w:b/>
      <w:bCs/>
      <w:w w:val="100"/>
      <w:position w:val="-1"/>
      <w:sz w:val="20"/>
      <w:szCs w:val="20"/>
      <w:effect w:val="none"/>
      <w:vertAlign w:val="baseline"/>
      <w:cs w:val="0"/>
      <w:em w:val="none"/>
    </w:rPr>
  </w:style>
  <w:style w:type="character" w:customStyle="1" w:styleId="fontstyle01">
    <w:name w:val="fontstyle01"/>
    <w:rPr>
      <w:rFonts w:ascii="Times New Roman" w:hAnsi="Times New Roman" w:cs="Times New Roman" w:hint="default"/>
      <w:color w:val="000000"/>
      <w:w w:val="100"/>
      <w:position w:val="-1"/>
      <w:sz w:val="22"/>
      <w:szCs w:val="22"/>
      <w:effect w:val="none"/>
      <w:vertAlign w:val="baseline"/>
      <w:cs w:val="0"/>
      <w:em w:val="none"/>
    </w:rPr>
  </w:style>
  <w:style w:type="character" w:customStyle="1" w:styleId="fontstyle21">
    <w:name w:val="fontstyle21"/>
    <w:rPr>
      <w:rFonts w:ascii="Times New Roman" w:hAnsi="Times New Roman" w:cs="Times New Roman" w:hint="default"/>
      <w:i/>
      <w:iCs/>
      <w:color w:val="000000"/>
      <w:w w:val="100"/>
      <w:position w:val="-1"/>
      <w:sz w:val="22"/>
      <w:szCs w:val="22"/>
      <w:effect w:val="none"/>
      <w:vertAlign w:val="baseline"/>
      <w:cs w:val="0"/>
      <w:em w:val="none"/>
    </w:rPr>
  </w:style>
  <w:style w:type="character" w:customStyle="1" w:styleId="ListParagraphChar">
    <w:name w:val="List Paragraph Char"/>
    <w:aliases w:val="UGEX'Z Char,2 bro Char,Body of text Char,List Paragraph1 Char,First Level Outline Char,spasi 2 taiiii Char,kepala Char,sub de titre 4 Char,ANNEX Char,TABEL Char,Colorful List - Accent 11 Char,Body Text Char1 Char,Char Char2 Char"/>
    <w:uiPriority w:val="34"/>
    <w:qFormat/>
    <w:rPr>
      <w:rFonts w:ascii="Times New Roman" w:hAnsi="Times New Roman"/>
      <w:w w:val="100"/>
      <w:position w:val="-1"/>
      <w:sz w:val="24"/>
      <w:szCs w:val="22"/>
      <w:effect w:val="none"/>
      <w:vertAlign w:val="baseline"/>
      <w:cs w:val="0"/>
      <w:em w:val="none"/>
      <w:lang w:val="en-US" w:eastAsia="en-US"/>
    </w:rPr>
  </w:style>
  <w:style w:type="character" w:styleId="Hyperlink">
    <w:name w:val="Hyperlink"/>
    <w:uiPriority w:val="99"/>
    <w:qFormat/>
    <w:rPr>
      <w:color w:val="0563C1"/>
      <w:w w:val="100"/>
      <w:position w:val="-1"/>
      <w:u w:val="single"/>
      <w:effect w:val="none"/>
      <w:vertAlign w:val="baseline"/>
      <w:cs w:val="0"/>
      <w:em w:val="none"/>
    </w:rPr>
  </w:style>
  <w:style w:type="table" w:customStyle="1" w:styleId="TableGrid0">
    <w:name w:val="TableGrid"/>
    <w:pPr>
      <w:suppressAutoHyphens/>
      <w:spacing w:line="1" w:lineRule="atLeast"/>
      <w:ind w:leftChars="-1" w:left="-1" w:hangingChars="1" w:hanging="1"/>
      <w:textDirection w:val="btLr"/>
      <w:textAlignment w:val="top"/>
      <w:outlineLvl w:val="0"/>
    </w:pPr>
    <w:rPr>
      <w:position w:val="-1"/>
      <w:lang w:val="en-US" w:eastAsia="en-US"/>
    </w:rPr>
    <w:tblPr>
      <w:tblCellMar>
        <w:top w:w="0" w:type="dxa"/>
        <w:left w:w="0" w:type="dxa"/>
        <w:bottom w:w="0" w:type="dxa"/>
        <w:right w:w="0" w:type="dxa"/>
      </w:tblCellMar>
    </w:tblPr>
  </w:style>
  <w:style w:type="character" w:styleId="UnresolvedMention">
    <w:name w:val="Unresolved Mention"/>
    <w:qFormat/>
    <w:rPr>
      <w:color w:val="605E5C"/>
      <w:w w:val="100"/>
      <w:position w:val="-1"/>
      <w:effect w:val="none"/>
      <w:shd w:val="clear" w:color="auto" w:fill="E1DFDD"/>
      <w:vertAlign w:val="baseline"/>
      <w:cs w:val="0"/>
      <w:em w:val="none"/>
    </w:rPr>
  </w:style>
  <w:style w:type="paragraph" w:styleId="BodyText">
    <w:name w:val="Body Text"/>
    <w:basedOn w:val="Normal"/>
    <w:uiPriority w:val="99"/>
    <w:qFormat/>
    <w:pPr>
      <w:widowControl w:val="0"/>
      <w:autoSpaceDE w:val="0"/>
      <w:autoSpaceDN w:val="0"/>
      <w:spacing w:after="0" w:line="240" w:lineRule="auto"/>
      <w:jc w:val="both"/>
    </w:pPr>
    <w:rPr>
      <w:rFonts w:ascii="Times New Roman" w:eastAsia="Times New Roman" w:hAnsi="Times New Roman"/>
      <w:sz w:val="24"/>
      <w:szCs w:val="24"/>
      <w:lang w:val="en-US"/>
    </w:rPr>
  </w:style>
  <w:style w:type="character" w:customStyle="1" w:styleId="BodyTextChar">
    <w:name w:val="Body Text Char"/>
    <w:uiPriority w:val="99"/>
    <w:rPr>
      <w:rFonts w:ascii="Times New Roman" w:eastAsia="Times New Roman" w:hAnsi="Times New Roman"/>
      <w:w w:val="100"/>
      <w:position w:val="-1"/>
      <w:sz w:val="24"/>
      <w:szCs w:val="24"/>
      <w:effect w:val="none"/>
      <w:vertAlign w:val="baseline"/>
      <w:cs w:val="0"/>
      <w:em w:val="none"/>
    </w:rPr>
  </w:style>
  <w:style w:type="paragraph" w:customStyle="1" w:styleId="TableParagraph">
    <w:name w:val="Table Paragraph"/>
    <w:basedOn w:val="Normal"/>
    <w:uiPriority w:val="1"/>
    <w:qFormat/>
    <w:pPr>
      <w:widowControl w:val="0"/>
      <w:autoSpaceDE w:val="0"/>
      <w:autoSpaceDN w:val="0"/>
      <w:spacing w:after="0" w:line="275" w:lineRule="atLeast"/>
      <w:ind w:left="110"/>
    </w:pPr>
    <w:rPr>
      <w:rFonts w:ascii="Times New Roman" w:eastAsia="Times New Roman" w:hAnsi="Times New Roman"/>
      <w:lang w:val="en-US"/>
    </w:rPr>
  </w:style>
  <w:style w:type="character" w:customStyle="1" w:styleId="Heading3Char">
    <w:name w:val="Heading 3 Char"/>
    <w:uiPriority w:val="9"/>
    <w:rPr>
      <w:rFonts w:ascii="Calibri Light" w:eastAsia="MS Gothic" w:hAnsi="Calibri Light"/>
      <w:b/>
      <w:bCs/>
      <w:w w:val="100"/>
      <w:position w:val="-1"/>
      <w:sz w:val="26"/>
      <w:szCs w:val="26"/>
      <w:effect w:val="none"/>
      <w:vertAlign w:val="baseline"/>
      <w:cs w:val="0"/>
      <w:em w:val="none"/>
      <w:lang w:val="id-ID"/>
    </w:rPr>
  </w:style>
  <w:style w:type="paragraph" w:customStyle="1" w:styleId="Equation">
    <w:name w:val="Equation"/>
    <w:basedOn w:val="Normal"/>
    <w:pPr>
      <w:widowControl w:val="0"/>
      <w:tabs>
        <w:tab w:val="left" w:pos="0"/>
        <w:tab w:val="center" w:pos="2268"/>
        <w:tab w:val="right" w:pos="4706"/>
      </w:tabs>
      <w:autoSpaceDE w:val="0"/>
      <w:autoSpaceDN w:val="0"/>
      <w:adjustRightInd w:val="0"/>
      <w:spacing w:before="120" w:after="120" w:line="240" w:lineRule="auto"/>
      <w:jc w:val="both"/>
      <w:textAlignment w:val="baseline"/>
    </w:pPr>
    <w:rPr>
      <w:rFonts w:ascii="Times New Roman" w:eastAsia="BatangChe" w:hAnsi="Times New Roman"/>
      <w:szCs w:val="20"/>
      <w:lang w:val="en-US" w:eastAsia="ko-KR"/>
    </w:rPr>
  </w:style>
  <w:style w:type="paragraph" w:styleId="Subtitle">
    <w:name w:val="Subtitle"/>
    <w:aliases w:val="SUB BAB"/>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NormalWeb">
    <w:name w:val="Normal (Web)"/>
    <w:basedOn w:val="Normal"/>
    <w:uiPriority w:val="99"/>
    <w:unhideWhenUsed/>
    <w:rsid w:val="00207019"/>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ID" w:eastAsia="en-ID"/>
    </w:rPr>
  </w:style>
  <w:style w:type="character" w:styleId="Strong">
    <w:name w:val="Strong"/>
    <w:basedOn w:val="DefaultParagraphFont"/>
    <w:uiPriority w:val="22"/>
    <w:qFormat/>
    <w:rsid w:val="00207019"/>
    <w:rPr>
      <w:b/>
      <w:bCs/>
    </w:rPr>
  </w:style>
  <w:style w:type="character" w:customStyle="1" w:styleId="katex-mathml">
    <w:name w:val="katex-mathml"/>
    <w:basedOn w:val="DefaultParagraphFont"/>
    <w:rsid w:val="00020A2C"/>
  </w:style>
  <w:style w:type="character" w:customStyle="1" w:styleId="mord">
    <w:name w:val="mord"/>
    <w:basedOn w:val="DefaultParagraphFont"/>
    <w:rsid w:val="00020A2C"/>
  </w:style>
  <w:style w:type="character" w:customStyle="1" w:styleId="mrel">
    <w:name w:val="mrel"/>
    <w:basedOn w:val="DefaultParagraphFont"/>
    <w:rsid w:val="00020A2C"/>
  </w:style>
  <w:style w:type="character" w:customStyle="1" w:styleId="mopen">
    <w:name w:val="mopen"/>
    <w:basedOn w:val="DefaultParagraphFont"/>
    <w:rsid w:val="00020A2C"/>
  </w:style>
  <w:style w:type="character" w:customStyle="1" w:styleId="mbin">
    <w:name w:val="mbin"/>
    <w:basedOn w:val="DefaultParagraphFont"/>
    <w:rsid w:val="00020A2C"/>
  </w:style>
  <w:style w:type="character" w:customStyle="1" w:styleId="mclose">
    <w:name w:val="mclose"/>
    <w:basedOn w:val="DefaultParagraphFont"/>
    <w:rsid w:val="00020A2C"/>
  </w:style>
  <w:style w:type="character" w:customStyle="1" w:styleId="vlist-s">
    <w:name w:val="vlist-s"/>
    <w:basedOn w:val="DefaultParagraphFont"/>
    <w:rsid w:val="00020A2C"/>
  </w:style>
  <w:style w:type="character" w:customStyle="1" w:styleId="mpunct">
    <w:name w:val="mpunct"/>
    <w:basedOn w:val="DefaultParagraphFont"/>
    <w:rsid w:val="00020A2C"/>
  </w:style>
  <w:style w:type="character" w:styleId="Emphasis">
    <w:name w:val="Emphasis"/>
    <w:basedOn w:val="DefaultParagraphFont"/>
    <w:uiPriority w:val="20"/>
    <w:qFormat/>
    <w:rsid w:val="00020A2C"/>
    <w:rPr>
      <w:i/>
      <w:iCs/>
    </w:rPr>
  </w:style>
  <w:style w:type="character" w:customStyle="1" w:styleId="Heading8Char">
    <w:name w:val="Heading 8 Char"/>
    <w:basedOn w:val="DefaultParagraphFont"/>
    <w:link w:val="Heading8"/>
    <w:uiPriority w:val="9"/>
    <w:rsid w:val="00020A2C"/>
    <w:rPr>
      <w:rFonts w:asciiTheme="majorHAnsi" w:eastAsiaTheme="majorEastAsia" w:hAnsiTheme="majorHAnsi" w:cstheme="majorBidi"/>
      <w:color w:val="404040" w:themeColor="text1" w:themeTint="BF"/>
      <w:sz w:val="20"/>
      <w:szCs w:val="20"/>
      <w:lang w:val="en-US" w:eastAsia="en-US"/>
    </w:rPr>
  </w:style>
  <w:style w:type="character" w:customStyle="1" w:styleId="Heading1Char">
    <w:name w:val="Heading 1 Char"/>
    <w:basedOn w:val="DefaultParagraphFont"/>
    <w:link w:val="Heading1"/>
    <w:uiPriority w:val="9"/>
    <w:rsid w:val="00020A2C"/>
    <w:rPr>
      <w:b/>
      <w:position w:val="-1"/>
      <w:sz w:val="48"/>
      <w:szCs w:val="48"/>
      <w:lang w:eastAsia="en-US"/>
    </w:rPr>
  </w:style>
  <w:style w:type="character" w:customStyle="1" w:styleId="Heading2Char">
    <w:name w:val="Heading 2 Char"/>
    <w:basedOn w:val="DefaultParagraphFont"/>
    <w:link w:val="Heading2"/>
    <w:uiPriority w:val="9"/>
    <w:rsid w:val="00020A2C"/>
    <w:rPr>
      <w:b/>
      <w:position w:val="-1"/>
      <w:sz w:val="36"/>
      <w:szCs w:val="36"/>
      <w:lang w:eastAsia="en-US"/>
    </w:rPr>
  </w:style>
  <w:style w:type="character" w:customStyle="1" w:styleId="Heading4Char">
    <w:name w:val="Heading 4 Char"/>
    <w:basedOn w:val="DefaultParagraphFont"/>
    <w:link w:val="Heading4"/>
    <w:uiPriority w:val="9"/>
    <w:rsid w:val="00020A2C"/>
    <w:rPr>
      <w:b/>
      <w:position w:val="-1"/>
      <w:sz w:val="24"/>
      <w:szCs w:val="24"/>
      <w:lang w:eastAsia="en-US"/>
    </w:rPr>
  </w:style>
  <w:style w:type="character" w:customStyle="1" w:styleId="Heading5Char">
    <w:name w:val="Heading 5 Char"/>
    <w:basedOn w:val="DefaultParagraphFont"/>
    <w:link w:val="Heading5"/>
    <w:uiPriority w:val="9"/>
    <w:semiHidden/>
    <w:rsid w:val="00020A2C"/>
    <w:rPr>
      <w:b/>
      <w:position w:val="-1"/>
      <w:lang w:eastAsia="en-US"/>
    </w:rPr>
  </w:style>
  <w:style w:type="character" w:customStyle="1" w:styleId="Heading6Char">
    <w:name w:val="Heading 6 Char"/>
    <w:basedOn w:val="DefaultParagraphFont"/>
    <w:link w:val="Heading6"/>
    <w:uiPriority w:val="9"/>
    <w:semiHidden/>
    <w:rsid w:val="00020A2C"/>
    <w:rPr>
      <w:b/>
      <w:position w:val="-1"/>
      <w:sz w:val="20"/>
      <w:szCs w:val="20"/>
      <w:lang w:eastAsia="en-US"/>
    </w:rPr>
  </w:style>
  <w:style w:type="numbering" w:customStyle="1" w:styleId="NoList1">
    <w:name w:val="No List1"/>
    <w:next w:val="NoList"/>
    <w:uiPriority w:val="99"/>
    <w:semiHidden/>
    <w:unhideWhenUsed/>
    <w:rsid w:val="00020A2C"/>
  </w:style>
  <w:style w:type="paragraph" w:styleId="TOCHeading">
    <w:name w:val="TOC Heading"/>
    <w:basedOn w:val="Heading1"/>
    <w:next w:val="Normal"/>
    <w:uiPriority w:val="39"/>
    <w:unhideWhenUsed/>
    <w:qFormat/>
    <w:rsid w:val="00020A2C"/>
    <w:pPr>
      <w:suppressAutoHyphens w:val="0"/>
      <w:spacing w:before="240" w:after="0" w:line="259" w:lineRule="auto"/>
      <w:ind w:leftChars="0" w:left="0" w:firstLineChars="0" w:firstLine="0"/>
      <w:textDirection w:val="lrTb"/>
      <w:textAlignment w:val="auto"/>
      <w:outlineLvl w:val="9"/>
    </w:pPr>
    <w:rPr>
      <w:rFonts w:ascii="Calibri Light" w:eastAsia="Times New Roman" w:hAnsi="Calibri Light" w:cs="Times New Roman"/>
      <w:b w:val="0"/>
      <w:color w:val="2E74B5"/>
      <w:position w:val="0"/>
      <w:sz w:val="32"/>
      <w:szCs w:val="32"/>
      <w14:ligatures w14:val="standardContextual"/>
    </w:rPr>
  </w:style>
  <w:style w:type="paragraph" w:styleId="TOC1">
    <w:name w:val="toc 1"/>
    <w:basedOn w:val="Normal"/>
    <w:next w:val="Normal"/>
    <w:link w:val="TOC1Char"/>
    <w:autoRedefine/>
    <w:uiPriority w:val="39"/>
    <w:unhideWhenUsed/>
    <w:rsid w:val="00020A2C"/>
    <w:pPr>
      <w:tabs>
        <w:tab w:val="right" w:leader="dot" w:pos="7938"/>
      </w:tabs>
      <w:suppressAutoHyphens w:val="0"/>
      <w:spacing w:after="0" w:line="360" w:lineRule="auto"/>
      <w:ind w:leftChars="0" w:left="0" w:firstLineChars="0" w:firstLine="0"/>
      <w:textDirection w:val="lrTb"/>
      <w:textAlignment w:val="auto"/>
      <w:outlineLvl w:val="9"/>
    </w:pPr>
    <w:rPr>
      <w:rFonts w:ascii="Arial" w:hAnsi="Arial" w:cs="Arial"/>
      <w:b/>
      <w:noProof/>
      <w:position w:val="0"/>
      <w14:ligatures w14:val="standardContextual"/>
    </w:rPr>
  </w:style>
  <w:style w:type="paragraph" w:styleId="TOC2">
    <w:name w:val="toc 2"/>
    <w:basedOn w:val="Normal"/>
    <w:next w:val="Normal"/>
    <w:autoRedefine/>
    <w:uiPriority w:val="39"/>
    <w:unhideWhenUsed/>
    <w:rsid w:val="00020A2C"/>
    <w:pPr>
      <w:tabs>
        <w:tab w:val="right" w:leader="dot" w:pos="7938"/>
      </w:tabs>
      <w:suppressAutoHyphens w:val="0"/>
      <w:spacing w:after="0" w:line="480" w:lineRule="auto"/>
      <w:ind w:leftChars="0" w:left="1134" w:firstLineChars="0" w:hanging="567"/>
      <w:textDirection w:val="lrTb"/>
      <w:textAlignment w:val="auto"/>
      <w:outlineLvl w:val="9"/>
    </w:pPr>
    <w:rPr>
      <w:rFonts w:cs="Times New Roman"/>
      <w:position w:val="0"/>
      <w14:ligatures w14:val="standardContextual"/>
    </w:rPr>
  </w:style>
  <w:style w:type="character" w:styleId="FollowedHyperlink">
    <w:name w:val="FollowedHyperlink"/>
    <w:uiPriority w:val="99"/>
    <w:semiHidden/>
    <w:unhideWhenUsed/>
    <w:rsid w:val="00020A2C"/>
    <w:rPr>
      <w:color w:val="954F72"/>
      <w:u w:val="single"/>
    </w:rPr>
  </w:style>
  <w:style w:type="paragraph" w:styleId="TOC3">
    <w:name w:val="toc 3"/>
    <w:basedOn w:val="Normal"/>
    <w:next w:val="Normal"/>
    <w:autoRedefine/>
    <w:uiPriority w:val="39"/>
    <w:unhideWhenUsed/>
    <w:rsid w:val="00020A2C"/>
    <w:pPr>
      <w:tabs>
        <w:tab w:val="right" w:leader="dot" w:pos="7938"/>
      </w:tabs>
      <w:suppressAutoHyphens w:val="0"/>
      <w:spacing w:after="0" w:line="480" w:lineRule="auto"/>
      <w:ind w:leftChars="0" w:left="1701" w:firstLineChars="0" w:hanging="568"/>
      <w:textDirection w:val="lrTb"/>
      <w:textAlignment w:val="auto"/>
      <w:outlineLvl w:val="9"/>
    </w:pPr>
    <w:rPr>
      <w:rFonts w:cs="Times New Roman"/>
      <w:position w:val="0"/>
      <w14:ligatures w14:val="standardContextual"/>
    </w:rPr>
  </w:style>
  <w:style w:type="character" w:customStyle="1" w:styleId="SubtitleChar">
    <w:name w:val="Subtitle Char"/>
    <w:aliases w:val="SUB BAB Char"/>
    <w:link w:val="Subtitle"/>
    <w:uiPriority w:val="11"/>
    <w:locked/>
    <w:rsid w:val="00020A2C"/>
    <w:rPr>
      <w:rFonts w:ascii="Georgia" w:eastAsia="Georgia" w:hAnsi="Georgia" w:cs="Georgia"/>
      <w:i/>
      <w:color w:val="666666"/>
      <w:position w:val="-1"/>
      <w:sz w:val="48"/>
      <w:szCs w:val="48"/>
      <w:lang w:eastAsia="en-US"/>
    </w:rPr>
  </w:style>
  <w:style w:type="character" w:customStyle="1" w:styleId="SubtitleChar1">
    <w:name w:val="Subtitle Char1"/>
    <w:basedOn w:val="DefaultParagraphFont"/>
    <w:uiPriority w:val="11"/>
    <w:rsid w:val="00020A2C"/>
    <w:rPr>
      <w:rFonts w:eastAsiaTheme="minorEastAsia"/>
      <w:color w:val="5A5A5A" w:themeColor="text1" w:themeTint="A5"/>
      <w:spacing w:val="15"/>
    </w:rPr>
  </w:style>
  <w:style w:type="paragraph" w:styleId="EndnoteText">
    <w:name w:val="endnote text"/>
    <w:basedOn w:val="Normal"/>
    <w:link w:val="EndnoteTextChar"/>
    <w:uiPriority w:val="99"/>
    <w:unhideWhenUsed/>
    <w:rsid w:val="00020A2C"/>
    <w:pPr>
      <w:suppressAutoHyphens w:val="0"/>
      <w:spacing w:after="0" w:line="240" w:lineRule="auto"/>
      <w:ind w:leftChars="0" w:left="0" w:firstLineChars="0" w:firstLine="0"/>
      <w:textDirection w:val="lrTb"/>
      <w:textAlignment w:val="auto"/>
      <w:outlineLvl w:val="9"/>
    </w:pPr>
    <w:rPr>
      <w:rFonts w:cs="Times New Roman"/>
      <w:position w:val="0"/>
      <w:sz w:val="20"/>
      <w:szCs w:val="20"/>
      <w14:ligatures w14:val="standardContextual"/>
    </w:rPr>
  </w:style>
  <w:style w:type="character" w:customStyle="1" w:styleId="EndnoteTextChar">
    <w:name w:val="Endnote Text Char"/>
    <w:basedOn w:val="DefaultParagraphFont"/>
    <w:link w:val="EndnoteText"/>
    <w:uiPriority w:val="99"/>
    <w:rsid w:val="00020A2C"/>
    <w:rPr>
      <w:rFonts w:cs="Times New Roman"/>
      <w:sz w:val="20"/>
      <w:szCs w:val="20"/>
      <w:lang w:eastAsia="en-US"/>
      <w14:ligatures w14:val="standardContextual"/>
    </w:rPr>
  </w:style>
  <w:style w:type="character" w:styleId="EndnoteReference">
    <w:name w:val="endnote reference"/>
    <w:uiPriority w:val="99"/>
    <w:unhideWhenUsed/>
    <w:rsid w:val="00020A2C"/>
    <w:rPr>
      <w:vertAlign w:val="superscript"/>
    </w:rPr>
  </w:style>
  <w:style w:type="paragraph" w:styleId="TOC4">
    <w:name w:val="toc 4"/>
    <w:basedOn w:val="Normal"/>
    <w:next w:val="Normal"/>
    <w:autoRedefine/>
    <w:uiPriority w:val="39"/>
    <w:unhideWhenUsed/>
    <w:rsid w:val="00020A2C"/>
    <w:pPr>
      <w:tabs>
        <w:tab w:val="left" w:pos="2268"/>
        <w:tab w:val="right" w:leader="dot" w:pos="7928"/>
      </w:tabs>
      <w:suppressAutoHyphens w:val="0"/>
      <w:spacing w:after="100" w:line="360" w:lineRule="auto"/>
      <w:ind w:leftChars="0" w:left="1701" w:firstLineChars="0" w:firstLine="0"/>
      <w:textDirection w:val="lrTb"/>
      <w:textAlignment w:val="auto"/>
      <w:outlineLvl w:val="9"/>
    </w:pPr>
    <w:rPr>
      <w:rFonts w:cs="Times New Roman"/>
      <w:position w:val="0"/>
      <w14:ligatures w14:val="standardContextual"/>
    </w:rPr>
  </w:style>
  <w:style w:type="character" w:styleId="PlaceholderText">
    <w:name w:val="Placeholder Text"/>
    <w:uiPriority w:val="99"/>
    <w:semiHidden/>
    <w:rsid w:val="00020A2C"/>
    <w:rPr>
      <w:color w:val="808080"/>
    </w:rPr>
  </w:style>
  <w:style w:type="paragraph" w:styleId="TOC5">
    <w:name w:val="toc 5"/>
    <w:basedOn w:val="Normal"/>
    <w:next w:val="Normal"/>
    <w:autoRedefine/>
    <w:uiPriority w:val="39"/>
    <w:unhideWhenUsed/>
    <w:rsid w:val="00020A2C"/>
    <w:pPr>
      <w:suppressAutoHyphens w:val="0"/>
      <w:spacing w:after="100" w:line="259" w:lineRule="auto"/>
      <w:ind w:leftChars="0" w:left="880" w:firstLineChars="0" w:firstLine="0"/>
      <w:textDirection w:val="lrTb"/>
      <w:textAlignment w:val="auto"/>
      <w:outlineLvl w:val="9"/>
    </w:pPr>
    <w:rPr>
      <w:rFonts w:eastAsia="Times New Roman" w:cs="Times New Roman"/>
      <w:position w:val="0"/>
      <w14:ligatures w14:val="standardContextual"/>
    </w:rPr>
  </w:style>
  <w:style w:type="paragraph" w:styleId="TOC6">
    <w:name w:val="toc 6"/>
    <w:basedOn w:val="Normal"/>
    <w:next w:val="Normal"/>
    <w:autoRedefine/>
    <w:uiPriority w:val="39"/>
    <w:unhideWhenUsed/>
    <w:rsid w:val="00020A2C"/>
    <w:pPr>
      <w:tabs>
        <w:tab w:val="left" w:pos="2268"/>
        <w:tab w:val="right" w:leader="dot" w:pos="7928"/>
      </w:tabs>
      <w:suppressAutoHyphens w:val="0"/>
      <w:spacing w:after="100" w:line="360" w:lineRule="auto"/>
      <w:ind w:leftChars="0" w:left="1701" w:firstLineChars="0" w:firstLine="0"/>
      <w:textDirection w:val="lrTb"/>
      <w:textAlignment w:val="auto"/>
      <w:outlineLvl w:val="9"/>
    </w:pPr>
    <w:rPr>
      <w:rFonts w:eastAsia="Times New Roman" w:cs="Times New Roman"/>
      <w:position w:val="0"/>
      <w14:ligatures w14:val="standardContextual"/>
    </w:rPr>
  </w:style>
  <w:style w:type="paragraph" w:styleId="TOC7">
    <w:name w:val="toc 7"/>
    <w:basedOn w:val="Normal"/>
    <w:next w:val="Normal"/>
    <w:autoRedefine/>
    <w:uiPriority w:val="39"/>
    <w:unhideWhenUsed/>
    <w:rsid w:val="00020A2C"/>
    <w:pPr>
      <w:suppressAutoHyphens w:val="0"/>
      <w:spacing w:after="100" w:line="259" w:lineRule="auto"/>
      <w:ind w:leftChars="0" w:left="1320" w:firstLineChars="0" w:firstLine="0"/>
      <w:textDirection w:val="lrTb"/>
      <w:textAlignment w:val="auto"/>
      <w:outlineLvl w:val="9"/>
    </w:pPr>
    <w:rPr>
      <w:rFonts w:eastAsia="Times New Roman" w:cs="Times New Roman"/>
      <w:position w:val="0"/>
      <w14:ligatures w14:val="standardContextual"/>
    </w:rPr>
  </w:style>
  <w:style w:type="paragraph" w:styleId="TOC8">
    <w:name w:val="toc 8"/>
    <w:basedOn w:val="Normal"/>
    <w:next w:val="Normal"/>
    <w:autoRedefine/>
    <w:uiPriority w:val="39"/>
    <w:unhideWhenUsed/>
    <w:rsid w:val="00020A2C"/>
    <w:pPr>
      <w:suppressAutoHyphens w:val="0"/>
      <w:spacing w:after="100" w:line="259" w:lineRule="auto"/>
      <w:ind w:leftChars="0" w:left="1540" w:firstLineChars="0" w:firstLine="0"/>
      <w:textDirection w:val="lrTb"/>
      <w:textAlignment w:val="auto"/>
      <w:outlineLvl w:val="9"/>
    </w:pPr>
    <w:rPr>
      <w:rFonts w:eastAsia="Times New Roman" w:cs="Times New Roman"/>
      <w:position w:val="0"/>
      <w14:ligatures w14:val="standardContextual"/>
    </w:rPr>
  </w:style>
  <w:style w:type="paragraph" w:styleId="TOC9">
    <w:name w:val="toc 9"/>
    <w:basedOn w:val="Normal"/>
    <w:next w:val="Normal"/>
    <w:autoRedefine/>
    <w:uiPriority w:val="39"/>
    <w:unhideWhenUsed/>
    <w:rsid w:val="00020A2C"/>
    <w:pPr>
      <w:suppressAutoHyphens w:val="0"/>
      <w:spacing w:after="100" w:line="259" w:lineRule="auto"/>
      <w:ind w:leftChars="0" w:left="1760" w:firstLineChars="0" w:firstLine="0"/>
      <w:textDirection w:val="lrTb"/>
      <w:textAlignment w:val="auto"/>
      <w:outlineLvl w:val="9"/>
    </w:pPr>
    <w:rPr>
      <w:rFonts w:eastAsia="Times New Roman" w:cs="Times New Roman"/>
      <w:position w:val="0"/>
      <w14:ligatures w14:val="standardContextual"/>
    </w:rPr>
  </w:style>
  <w:style w:type="paragraph" w:customStyle="1" w:styleId="componentsli-yoxxny-2">
    <w:name w:val="components__li-yoxxny-2"/>
    <w:basedOn w:val="Normal"/>
    <w:rsid w:val="00020A2C"/>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14:ligatures w14:val="standardContextual"/>
    </w:rPr>
  </w:style>
  <w:style w:type="character" w:customStyle="1" w:styleId="textwebstyledtext-sc-1fa9e8r-0">
    <w:name w:val="textweb__styledtext-sc-1fa9e8r-0"/>
    <w:rsid w:val="00020A2C"/>
  </w:style>
  <w:style w:type="paragraph" w:styleId="Caption">
    <w:name w:val="caption"/>
    <w:basedOn w:val="Normal"/>
    <w:next w:val="Normal"/>
    <w:uiPriority w:val="35"/>
    <w:unhideWhenUsed/>
    <w:qFormat/>
    <w:rsid w:val="00020A2C"/>
    <w:pPr>
      <w:suppressAutoHyphens w:val="0"/>
      <w:spacing w:after="160" w:line="259" w:lineRule="auto"/>
      <w:ind w:leftChars="0" w:left="0" w:firstLineChars="0" w:firstLine="0"/>
      <w:jc w:val="center"/>
      <w:textDirection w:val="lrTb"/>
      <w:textAlignment w:val="auto"/>
      <w:outlineLvl w:val="9"/>
    </w:pPr>
    <w:rPr>
      <w:rFonts w:ascii="Arial" w:hAnsi="Arial" w:cs="Times New Roman"/>
      <w:bCs/>
      <w:position w:val="0"/>
      <w:szCs w:val="20"/>
      <w14:ligatures w14:val="standardContextual"/>
    </w:rPr>
  </w:style>
  <w:style w:type="paragraph" w:styleId="TableofFigures">
    <w:name w:val="table of figures"/>
    <w:basedOn w:val="Normal"/>
    <w:next w:val="Normal"/>
    <w:uiPriority w:val="99"/>
    <w:unhideWhenUsed/>
    <w:rsid w:val="00020A2C"/>
    <w:pPr>
      <w:suppressAutoHyphens w:val="0"/>
      <w:spacing w:after="160" w:line="259" w:lineRule="auto"/>
      <w:ind w:leftChars="0" w:left="0" w:firstLineChars="0" w:firstLine="0"/>
      <w:textDirection w:val="lrTb"/>
      <w:textAlignment w:val="auto"/>
      <w:outlineLvl w:val="9"/>
    </w:pPr>
    <w:rPr>
      <w:rFonts w:cs="Times New Roman"/>
      <w:position w:val="0"/>
      <w14:ligatures w14:val="standardContextual"/>
    </w:rPr>
  </w:style>
  <w:style w:type="paragraph" w:customStyle="1" w:styleId="Dafarisi">
    <w:name w:val="Dafar isi"/>
    <w:basedOn w:val="TOC1"/>
    <w:link w:val="DafarisiChar"/>
    <w:qFormat/>
    <w:rsid w:val="00020A2C"/>
    <w:pPr>
      <w:tabs>
        <w:tab w:val="right" w:leader="dot" w:pos="9017"/>
      </w:tabs>
    </w:pPr>
  </w:style>
  <w:style w:type="paragraph" w:styleId="FootnoteText">
    <w:name w:val="footnote text"/>
    <w:basedOn w:val="Normal"/>
    <w:link w:val="FootnoteTextChar"/>
    <w:uiPriority w:val="99"/>
    <w:semiHidden/>
    <w:unhideWhenUsed/>
    <w:rsid w:val="00020A2C"/>
    <w:pPr>
      <w:suppressAutoHyphens w:val="0"/>
      <w:spacing w:after="160" w:line="259" w:lineRule="auto"/>
      <w:ind w:leftChars="0" w:left="0" w:firstLineChars="0" w:firstLine="0"/>
      <w:textDirection w:val="lrTb"/>
      <w:textAlignment w:val="auto"/>
      <w:outlineLvl w:val="9"/>
    </w:pPr>
    <w:rPr>
      <w:rFonts w:cs="Times New Roman"/>
      <w:position w:val="0"/>
      <w:sz w:val="20"/>
      <w:szCs w:val="20"/>
      <w14:ligatures w14:val="standardContextual"/>
    </w:rPr>
  </w:style>
  <w:style w:type="character" w:customStyle="1" w:styleId="FootnoteTextChar">
    <w:name w:val="Footnote Text Char"/>
    <w:basedOn w:val="DefaultParagraphFont"/>
    <w:link w:val="FootnoteText"/>
    <w:uiPriority w:val="99"/>
    <w:semiHidden/>
    <w:rsid w:val="00020A2C"/>
    <w:rPr>
      <w:rFonts w:cs="Times New Roman"/>
      <w:sz w:val="20"/>
      <w:szCs w:val="20"/>
      <w:lang w:eastAsia="en-US"/>
      <w14:ligatures w14:val="standardContextual"/>
    </w:rPr>
  </w:style>
  <w:style w:type="character" w:customStyle="1" w:styleId="TOC1Char">
    <w:name w:val="TOC 1 Char"/>
    <w:link w:val="TOC1"/>
    <w:uiPriority w:val="39"/>
    <w:rsid w:val="00020A2C"/>
    <w:rPr>
      <w:rFonts w:ascii="Arial" w:hAnsi="Arial" w:cs="Arial"/>
      <w:b/>
      <w:noProof/>
      <w:lang w:eastAsia="en-US"/>
      <w14:ligatures w14:val="standardContextual"/>
    </w:rPr>
  </w:style>
  <w:style w:type="character" w:customStyle="1" w:styleId="DafarisiChar">
    <w:name w:val="Dafar isi Char"/>
    <w:link w:val="Dafarisi"/>
    <w:rsid w:val="00020A2C"/>
    <w:rPr>
      <w:rFonts w:ascii="Arial" w:hAnsi="Arial" w:cs="Arial"/>
      <w:b/>
      <w:noProof/>
      <w:lang w:eastAsia="en-US"/>
      <w14:ligatures w14:val="standardContextual"/>
    </w:rPr>
  </w:style>
  <w:style w:type="character" w:styleId="FootnoteReference">
    <w:name w:val="footnote reference"/>
    <w:uiPriority w:val="99"/>
    <w:semiHidden/>
    <w:unhideWhenUsed/>
    <w:rsid w:val="00020A2C"/>
    <w:rPr>
      <w:vertAlign w:val="superscript"/>
    </w:rPr>
  </w:style>
  <w:style w:type="table" w:customStyle="1" w:styleId="TableGridLight1">
    <w:name w:val="Table Grid Light1"/>
    <w:basedOn w:val="TableNormal"/>
    <w:uiPriority w:val="40"/>
    <w:rsid w:val="00020A2C"/>
    <w:pPr>
      <w:spacing w:after="0" w:line="240" w:lineRule="auto"/>
    </w:pPr>
    <w:rPr>
      <w:rFonts w:cs="Times New Roman"/>
      <w:sz w:val="20"/>
      <w:szCs w:val="20"/>
      <w:lang w:eastAsia="id-ID"/>
      <w14:ligatures w14:val="standardContextu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ms-1">
    <w:name w:val="ms-1"/>
    <w:basedOn w:val="DefaultParagraphFont"/>
    <w:rsid w:val="00020A2C"/>
  </w:style>
  <w:style w:type="character" w:customStyle="1" w:styleId="max-w-15ch">
    <w:name w:val="max-w-[15ch]"/>
    <w:basedOn w:val="DefaultParagraphFont"/>
    <w:rsid w:val="00020A2C"/>
  </w:style>
  <w:style w:type="character" w:customStyle="1" w:styleId="-me-1">
    <w:name w:val="-me-1"/>
    <w:basedOn w:val="DefaultParagraphFont"/>
    <w:rsid w:val="00020A2C"/>
  </w:style>
  <w:style w:type="table" w:styleId="TableGridLight">
    <w:name w:val="Grid Table Light"/>
    <w:basedOn w:val="TableNormal"/>
    <w:uiPriority w:val="40"/>
    <w:rsid w:val="00020A2C"/>
    <w:pPr>
      <w:spacing w:after="0" w:line="240" w:lineRule="auto"/>
    </w:pPr>
    <w:rPr>
      <w:rFonts w:asciiTheme="minorHAnsi" w:eastAsiaTheme="minorHAnsi" w:hAnsiTheme="minorHAnsi" w:cstheme="minorBidi"/>
      <w:kern w:val="2"/>
      <w:lang w:val="en-ID" w:eastAsia="en-US"/>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020A2C"/>
    <w:pPr>
      <w:spacing w:after="0" w:line="240" w:lineRule="auto"/>
    </w:pPr>
    <w:rPr>
      <w:rFonts w:asciiTheme="minorHAnsi" w:eastAsiaTheme="minorHAnsi" w:hAnsiTheme="minorHAnsi" w:cstheme="minorBidi"/>
      <w:kern w:val="2"/>
      <w:lang w:val="en-ID" w:eastAsia="en-US"/>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odyTextIndent3">
    <w:name w:val="Body Text Indent 3"/>
    <w:basedOn w:val="Normal"/>
    <w:link w:val="BodyTextIndent3Char"/>
    <w:uiPriority w:val="99"/>
    <w:semiHidden/>
    <w:unhideWhenUsed/>
    <w:rsid w:val="00020A2C"/>
    <w:pPr>
      <w:suppressAutoHyphens w:val="0"/>
      <w:spacing w:after="120" w:line="259" w:lineRule="auto"/>
      <w:ind w:leftChars="0" w:left="283" w:firstLineChars="0" w:firstLine="0"/>
      <w:textDirection w:val="lrTb"/>
      <w:textAlignment w:val="auto"/>
      <w:outlineLvl w:val="9"/>
    </w:pPr>
    <w:rPr>
      <w:rFonts w:asciiTheme="minorHAnsi" w:eastAsiaTheme="minorHAnsi" w:hAnsiTheme="minorHAnsi" w:cstheme="minorBidi"/>
      <w:kern w:val="2"/>
      <w:position w:val="0"/>
      <w:sz w:val="16"/>
      <w:szCs w:val="16"/>
      <w:lang w:val="en-ID"/>
      <w14:ligatures w14:val="standardContextual"/>
    </w:rPr>
  </w:style>
  <w:style w:type="character" w:customStyle="1" w:styleId="BodyTextIndent3Char">
    <w:name w:val="Body Text Indent 3 Char"/>
    <w:basedOn w:val="DefaultParagraphFont"/>
    <w:link w:val="BodyTextIndent3"/>
    <w:uiPriority w:val="99"/>
    <w:semiHidden/>
    <w:rsid w:val="00020A2C"/>
    <w:rPr>
      <w:rFonts w:asciiTheme="minorHAnsi" w:eastAsiaTheme="minorHAnsi" w:hAnsiTheme="minorHAnsi" w:cstheme="minorBidi"/>
      <w:kern w:val="2"/>
      <w:sz w:val="16"/>
      <w:szCs w:val="16"/>
      <w:lang w:val="en-ID" w:eastAsia="en-US"/>
      <w14:ligatures w14:val="standardContextual"/>
    </w:rPr>
  </w:style>
  <w:style w:type="table" w:styleId="PlainTable4">
    <w:name w:val="Plain Table 4"/>
    <w:basedOn w:val="TableNormal"/>
    <w:uiPriority w:val="44"/>
    <w:rsid w:val="00020A2C"/>
    <w:pPr>
      <w:spacing w:after="0" w:line="240" w:lineRule="auto"/>
    </w:pPr>
    <w:rPr>
      <w:rFonts w:asciiTheme="minorHAnsi" w:eastAsiaTheme="minorHAnsi" w:hAnsiTheme="minorHAnsi" w:cstheme="minorBidi"/>
      <w:kern w:val="2"/>
      <w:lang w:val="en-ID" w:eastAsia="en-US"/>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ibliography">
    <w:name w:val="Bibliography"/>
    <w:basedOn w:val="Normal"/>
    <w:next w:val="Normal"/>
    <w:uiPriority w:val="37"/>
    <w:unhideWhenUsed/>
    <w:rsid w:val="00020A2C"/>
    <w:pPr>
      <w:suppressAutoHyphens w:val="0"/>
      <w:ind w:leftChars="0" w:left="0" w:firstLineChars="0" w:firstLine="0"/>
      <w:textDirection w:val="lrTb"/>
      <w:textAlignment w:val="auto"/>
      <w:outlineLvl w:val="9"/>
    </w:pPr>
    <w:rPr>
      <w:rFonts w:asciiTheme="minorHAnsi" w:eastAsiaTheme="minorHAnsi" w:hAnsiTheme="minorHAnsi" w:cstheme="minorBidi"/>
      <w:position w:val="0"/>
      <w:lang w:val="en-US"/>
    </w:rPr>
  </w:style>
  <w:style w:type="character" w:customStyle="1" w:styleId="hgkelc">
    <w:name w:val="hgkelc"/>
    <w:basedOn w:val="DefaultParagraphFont"/>
    <w:rsid w:val="00020A2C"/>
  </w:style>
  <w:style w:type="character" w:customStyle="1" w:styleId="a1">
    <w:name w:val="a"/>
    <w:rsid w:val="00020A2C"/>
  </w:style>
  <w:style w:type="table" w:customStyle="1" w:styleId="LightShading1">
    <w:name w:val="Light Shading1"/>
    <w:basedOn w:val="TableNormal"/>
    <w:uiPriority w:val="60"/>
    <w:rsid w:val="00020A2C"/>
    <w:pPr>
      <w:spacing w:after="0" w:line="240" w:lineRule="auto"/>
    </w:pPr>
    <w:rPr>
      <w:rFonts w:asciiTheme="minorHAnsi" w:eastAsia="SimSun" w:hAnsiTheme="minorHAnsi" w:cstheme="minorBidi"/>
      <w:color w:val="000000" w:themeColor="text1" w:themeShade="BF"/>
      <w:lang w:val="en-US"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uiPriority w:val="1"/>
    <w:qFormat/>
    <w:rsid w:val="00020A2C"/>
    <w:pPr>
      <w:spacing w:after="0" w:line="240" w:lineRule="auto"/>
    </w:pPr>
    <w:rPr>
      <w:rFonts w:cs="Times New Roman"/>
      <w:lang w:val="en-US" w:eastAsia="en-US"/>
    </w:rPr>
  </w:style>
  <w:style w:type="character" w:customStyle="1" w:styleId="EndnoteTextChar1">
    <w:name w:val="Endnote Text Char1"/>
    <w:basedOn w:val="DefaultParagraphFont"/>
    <w:uiPriority w:val="99"/>
    <w:semiHidden/>
    <w:rsid w:val="00020A2C"/>
    <w:rPr>
      <w:sz w:val="20"/>
      <w:szCs w:val="20"/>
    </w:rPr>
  </w:style>
  <w:style w:type="table" w:styleId="LightShading">
    <w:name w:val="Light Shading"/>
    <w:basedOn w:val="TableNormal"/>
    <w:uiPriority w:val="60"/>
    <w:rsid w:val="00020A2C"/>
    <w:pPr>
      <w:spacing w:after="0" w:line="240" w:lineRule="auto"/>
    </w:pPr>
    <w:rPr>
      <w:rFonts w:asciiTheme="minorHAnsi" w:eastAsiaTheme="minorHAnsi" w:hAnsiTheme="minorHAnsi" w:cstheme="minorBidi"/>
      <w:color w:val="000000" w:themeColor="text1" w:themeShade="BF"/>
      <w:lang w:val="en-US"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odyTextIndent">
    <w:name w:val="Body Text Indent"/>
    <w:basedOn w:val="Normal"/>
    <w:link w:val="BodyTextIndentChar"/>
    <w:uiPriority w:val="99"/>
    <w:rsid w:val="00020A2C"/>
    <w:pPr>
      <w:suppressAutoHyphens w:val="0"/>
      <w:spacing w:after="0" w:line="480" w:lineRule="auto"/>
      <w:ind w:leftChars="0" w:left="360" w:firstLineChars="0" w:firstLine="720"/>
      <w:jc w:val="both"/>
      <w:textDirection w:val="lrTb"/>
      <w:textAlignment w:val="auto"/>
      <w:outlineLvl w:val="9"/>
    </w:pPr>
    <w:rPr>
      <w:rFonts w:ascii="Times New Roman" w:eastAsia="Times New Roman" w:hAnsi="Times New Roman" w:cs="Times New Roman"/>
      <w:position w:val="0"/>
      <w:sz w:val="24"/>
      <w:szCs w:val="24"/>
      <w:lang w:val="en-US"/>
    </w:rPr>
  </w:style>
  <w:style w:type="character" w:customStyle="1" w:styleId="BodyTextIndentChar">
    <w:name w:val="Body Text Indent Char"/>
    <w:basedOn w:val="DefaultParagraphFont"/>
    <w:link w:val="BodyTextIndent"/>
    <w:uiPriority w:val="99"/>
    <w:rsid w:val="00020A2C"/>
    <w:rPr>
      <w:rFonts w:ascii="Times New Roman" w:eastAsia="Times New Roman" w:hAnsi="Times New Roman" w:cs="Times New Roman"/>
      <w:sz w:val="24"/>
      <w:szCs w:val="24"/>
      <w:lang w:val="en-US" w:eastAsia="en-US"/>
    </w:rPr>
  </w:style>
  <w:style w:type="character" w:customStyle="1" w:styleId="arial12">
    <w:name w:val="arial12"/>
    <w:basedOn w:val="DefaultParagraphFont"/>
    <w:rsid w:val="00020A2C"/>
    <w:rPr>
      <w:rFonts w:cs="Times New Roman"/>
    </w:rPr>
  </w:style>
  <w:style w:type="paragraph" w:customStyle="1" w:styleId="Pa4">
    <w:name w:val="Pa4"/>
    <w:basedOn w:val="Default"/>
    <w:next w:val="Default"/>
    <w:uiPriority w:val="99"/>
    <w:rsid w:val="00020A2C"/>
    <w:pPr>
      <w:suppressAutoHyphens w:val="0"/>
      <w:spacing w:after="0" w:line="241" w:lineRule="atLeast"/>
      <w:ind w:leftChars="0" w:left="0" w:firstLineChars="0" w:firstLine="0"/>
      <w:textDirection w:val="lrTb"/>
      <w:textAlignment w:val="auto"/>
      <w:outlineLvl w:val="9"/>
    </w:pPr>
    <w:rPr>
      <w:rFonts w:ascii="Avenir LT Std 55 Roman" w:eastAsiaTheme="minorHAnsi" w:hAnsi="Avenir LT Std 55 Roman" w:cstheme="minorBidi"/>
      <w:color w:val="auto"/>
      <w:position w:val="0"/>
      <w:lang w:val="en-US"/>
    </w:rPr>
  </w:style>
  <w:style w:type="character" w:customStyle="1" w:styleId="A10">
    <w:name w:val="A10"/>
    <w:uiPriority w:val="99"/>
    <w:rsid w:val="00020A2C"/>
    <w:rPr>
      <w:rFonts w:ascii="Symbol" w:hAnsi="Symbol" w:cs="Symbol"/>
      <w:color w:val="000000"/>
      <w:sz w:val="20"/>
      <w:szCs w:val="20"/>
    </w:rPr>
  </w:style>
  <w:style w:type="paragraph" w:styleId="BodyTextIndent2">
    <w:name w:val="Body Text Indent 2"/>
    <w:basedOn w:val="Normal"/>
    <w:link w:val="BodyTextIndent2Char"/>
    <w:uiPriority w:val="99"/>
    <w:semiHidden/>
    <w:unhideWhenUsed/>
    <w:rsid w:val="00020A2C"/>
    <w:pPr>
      <w:suppressAutoHyphens w:val="0"/>
      <w:spacing w:after="120" w:line="480" w:lineRule="auto"/>
      <w:ind w:leftChars="0" w:left="283" w:firstLineChars="0" w:firstLine="0"/>
      <w:textDirection w:val="lrTb"/>
      <w:textAlignment w:val="auto"/>
      <w:outlineLvl w:val="9"/>
    </w:pPr>
    <w:rPr>
      <w:rFonts w:asciiTheme="minorHAnsi" w:eastAsiaTheme="minorHAnsi" w:hAnsiTheme="minorHAnsi" w:cstheme="minorBidi"/>
      <w:position w:val="0"/>
      <w:lang w:val="en-US"/>
    </w:rPr>
  </w:style>
  <w:style w:type="character" w:customStyle="1" w:styleId="BodyTextIndent2Char">
    <w:name w:val="Body Text Indent 2 Char"/>
    <w:basedOn w:val="DefaultParagraphFont"/>
    <w:link w:val="BodyTextIndent2"/>
    <w:uiPriority w:val="99"/>
    <w:semiHidden/>
    <w:rsid w:val="00020A2C"/>
    <w:rPr>
      <w:rFonts w:asciiTheme="minorHAnsi" w:eastAsiaTheme="minorHAnsi" w:hAnsiTheme="minorHAnsi" w:cstheme="minorBidi"/>
      <w:lang w:val="en-US" w:eastAsia="en-US"/>
    </w:rPr>
  </w:style>
  <w:style w:type="paragraph" w:customStyle="1" w:styleId="wp-caption-text">
    <w:name w:val="wp-caption-text"/>
    <w:basedOn w:val="Normal"/>
    <w:rsid w:val="00020A2C"/>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US"/>
    </w:rPr>
  </w:style>
  <w:style w:type="character" w:styleId="HTMLCite">
    <w:name w:val="HTML Cite"/>
    <w:basedOn w:val="DefaultParagraphFont"/>
    <w:uiPriority w:val="99"/>
    <w:semiHidden/>
    <w:unhideWhenUsed/>
    <w:rsid w:val="00020A2C"/>
    <w:rPr>
      <w:i/>
      <w:iCs/>
    </w:rPr>
  </w:style>
  <w:style w:type="character" w:customStyle="1" w:styleId="says">
    <w:name w:val="says"/>
    <w:basedOn w:val="DefaultParagraphFont"/>
    <w:rsid w:val="00020A2C"/>
  </w:style>
  <w:style w:type="paragraph" w:styleId="z-TopofForm">
    <w:name w:val="HTML Top of Form"/>
    <w:basedOn w:val="Normal"/>
    <w:next w:val="Normal"/>
    <w:link w:val="z-TopofFormChar"/>
    <w:hidden/>
    <w:uiPriority w:val="99"/>
    <w:semiHidden/>
    <w:unhideWhenUsed/>
    <w:rsid w:val="00020A2C"/>
    <w:pPr>
      <w:pBdr>
        <w:bottom w:val="single" w:sz="6" w:space="1" w:color="auto"/>
      </w:pBdr>
      <w:suppressAutoHyphens w:val="0"/>
      <w:spacing w:after="0" w:line="240" w:lineRule="auto"/>
      <w:ind w:leftChars="0" w:left="0" w:firstLineChars="0" w:firstLine="0"/>
      <w:jc w:val="center"/>
      <w:textDirection w:val="lrTb"/>
      <w:textAlignment w:val="auto"/>
      <w:outlineLvl w:val="9"/>
    </w:pPr>
    <w:rPr>
      <w:rFonts w:ascii="Arial" w:eastAsia="Times New Roman" w:hAnsi="Arial" w:cs="Arial"/>
      <w:vanish/>
      <w:position w:val="0"/>
      <w:sz w:val="16"/>
      <w:szCs w:val="16"/>
      <w:lang w:val="en-US"/>
    </w:rPr>
  </w:style>
  <w:style w:type="character" w:customStyle="1" w:styleId="z-TopofFormChar">
    <w:name w:val="z-Top of Form Char"/>
    <w:basedOn w:val="DefaultParagraphFont"/>
    <w:link w:val="z-TopofForm"/>
    <w:uiPriority w:val="99"/>
    <w:semiHidden/>
    <w:rsid w:val="00020A2C"/>
    <w:rPr>
      <w:rFonts w:ascii="Arial" w:eastAsia="Times New Roman" w:hAnsi="Arial" w:cs="Arial"/>
      <w:vanish/>
      <w:sz w:val="16"/>
      <w:szCs w:val="16"/>
      <w:lang w:val="en-US" w:eastAsia="en-US"/>
    </w:rPr>
  </w:style>
  <w:style w:type="paragraph" w:styleId="z-BottomofForm">
    <w:name w:val="HTML Bottom of Form"/>
    <w:basedOn w:val="Normal"/>
    <w:next w:val="Normal"/>
    <w:link w:val="z-BottomofFormChar"/>
    <w:hidden/>
    <w:uiPriority w:val="99"/>
    <w:semiHidden/>
    <w:unhideWhenUsed/>
    <w:rsid w:val="00020A2C"/>
    <w:pPr>
      <w:pBdr>
        <w:top w:val="single" w:sz="6" w:space="1" w:color="auto"/>
      </w:pBdr>
      <w:suppressAutoHyphens w:val="0"/>
      <w:spacing w:after="0" w:line="240" w:lineRule="auto"/>
      <w:ind w:leftChars="0" w:left="0" w:firstLineChars="0" w:firstLine="0"/>
      <w:jc w:val="center"/>
      <w:textDirection w:val="lrTb"/>
      <w:textAlignment w:val="auto"/>
      <w:outlineLvl w:val="9"/>
    </w:pPr>
    <w:rPr>
      <w:rFonts w:ascii="Arial" w:eastAsia="Times New Roman" w:hAnsi="Arial" w:cs="Arial"/>
      <w:vanish/>
      <w:position w:val="0"/>
      <w:sz w:val="16"/>
      <w:szCs w:val="16"/>
      <w:lang w:val="en-US"/>
    </w:rPr>
  </w:style>
  <w:style w:type="character" w:customStyle="1" w:styleId="z-BottomofFormChar">
    <w:name w:val="z-Bottom of Form Char"/>
    <w:basedOn w:val="DefaultParagraphFont"/>
    <w:link w:val="z-BottomofForm"/>
    <w:uiPriority w:val="99"/>
    <w:semiHidden/>
    <w:rsid w:val="00020A2C"/>
    <w:rPr>
      <w:rFonts w:ascii="Arial" w:eastAsia="Times New Roman" w:hAnsi="Arial" w:cs="Arial"/>
      <w:vanish/>
      <w:sz w:val="16"/>
      <w:szCs w:val="16"/>
      <w:lang w:val="en-US" w:eastAsia="en-US"/>
    </w:rPr>
  </w:style>
  <w:style w:type="character" w:customStyle="1" w:styleId="markedcontent">
    <w:name w:val="markedcontent"/>
    <w:basedOn w:val="DefaultParagraphFont"/>
    <w:rsid w:val="00020A2C"/>
  </w:style>
  <w:style w:type="character" w:customStyle="1" w:styleId="a2">
    <w:name w:val="_"/>
    <w:basedOn w:val="DefaultParagraphFont"/>
    <w:rsid w:val="00020A2C"/>
  </w:style>
  <w:style w:type="character" w:customStyle="1" w:styleId="personname">
    <w:name w:val="person_name"/>
    <w:basedOn w:val="DefaultParagraphFont"/>
    <w:rsid w:val="00020A2C"/>
  </w:style>
  <w:style w:type="paragraph" w:customStyle="1" w:styleId="ListParagraph0">
    <w:name w:val="List Paragraph."/>
    <w:basedOn w:val="Normal"/>
    <w:uiPriority w:val="99"/>
    <w:rsid w:val="00020A2C"/>
    <w:pPr>
      <w:suppressAutoHyphens w:val="0"/>
      <w:spacing w:after="0"/>
      <w:ind w:leftChars="0" w:left="720" w:firstLineChars="0" w:firstLine="0"/>
      <w:textDirection w:val="lrTb"/>
      <w:textAlignment w:val="auto"/>
      <w:outlineLvl w:val="9"/>
    </w:pPr>
    <w:rPr>
      <w:rFonts w:ascii="Arial" w:eastAsia="SimSun" w:hAnsi="Times New Roman" w:cs="Arial"/>
      <w:position w:val="0"/>
      <w:lang w:val="en-US"/>
    </w:rPr>
  </w:style>
  <w:style w:type="paragraph" w:styleId="BodyText2">
    <w:name w:val="Body Text 2"/>
    <w:basedOn w:val="Normal"/>
    <w:link w:val="BodyText2Char"/>
    <w:uiPriority w:val="99"/>
    <w:semiHidden/>
    <w:unhideWhenUsed/>
    <w:rsid w:val="00020A2C"/>
    <w:pPr>
      <w:suppressAutoHyphens w:val="0"/>
      <w:spacing w:after="120" w:line="480" w:lineRule="auto"/>
      <w:ind w:leftChars="0" w:left="0" w:firstLineChars="0" w:firstLine="0"/>
      <w:textDirection w:val="lrTb"/>
      <w:textAlignment w:val="auto"/>
      <w:outlineLvl w:val="9"/>
    </w:pPr>
    <w:rPr>
      <w:rFonts w:asciiTheme="minorHAnsi" w:eastAsiaTheme="minorHAnsi" w:hAnsiTheme="minorHAnsi" w:cstheme="minorBidi"/>
      <w:position w:val="0"/>
      <w:lang w:val="en-US"/>
    </w:rPr>
  </w:style>
  <w:style w:type="character" w:customStyle="1" w:styleId="BodyText2Char">
    <w:name w:val="Body Text 2 Char"/>
    <w:basedOn w:val="DefaultParagraphFont"/>
    <w:link w:val="BodyText2"/>
    <w:uiPriority w:val="99"/>
    <w:semiHidden/>
    <w:rsid w:val="00020A2C"/>
    <w:rPr>
      <w:rFonts w:asciiTheme="minorHAnsi" w:eastAsiaTheme="minorHAnsi" w:hAnsiTheme="minorHAnsi" w:cstheme="minorBidi"/>
      <w:lang w:val="en-US" w:eastAsia="en-US"/>
    </w:rPr>
  </w:style>
  <w:style w:type="paragraph" w:customStyle="1" w:styleId="Normal0">
    <w:name w:val="Normal."/>
    <w:rsid w:val="00020A2C"/>
    <w:pPr>
      <w:spacing w:after="0"/>
    </w:pPr>
    <w:rPr>
      <w:rFonts w:ascii="Arial" w:eastAsia="SimSun" w:hAnsi="Times New Roman" w:cs="Arial"/>
      <w:lang w:val="en-US" w:eastAsia="en-US"/>
    </w:rPr>
  </w:style>
  <w:style w:type="paragraph" w:styleId="HTMLPreformatted">
    <w:name w:val="HTML Preformatted"/>
    <w:basedOn w:val="Normal"/>
    <w:link w:val="HTMLPreformattedChar"/>
    <w:uiPriority w:val="99"/>
    <w:semiHidden/>
    <w:unhideWhenUsed/>
    <w:rsid w:val="00020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Chars="0" w:left="0" w:firstLineChars="0" w:firstLine="0"/>
      <w:textDirection w:val="lrTb"/>
      <w:textAlignment w:val="auto"/>
      <w:outlineLvl w:val="9"/>
    </w:pPr>
    <w:rPr>
      <w:rFonts w:ascii="Courier New" w:eastAsia="Times New Roman" w:hAnsi="Courier New" w:cs="Courier New"/>
      <w:position w:val="0"/>
      <w:sz w:val="20"/>
      <w:szCs w:val="20"/>
      <w:lang w:val="en-US"/>
    </w:rPr>
  </w:style>
  <w:style w:type="character" w:customStyle="1" w:styleId="HTMLPreformattedChar">
    <w:name w:val="HTML Preformatted Char"/>
    <w:basedOn w:val="DefaultParagraphFont"/>
    <w:link w:val="HTMLPreformatted"/>
    <w:uiPriority w:val="99"/>
    <w:semiHidden/>
    <w:rsid w:val="00020A2C"/>
    <w:rPr>
      <w:rFonts w:ascii="Courier New" w:eastAsia="Times New Roman" w:hAnsi="Courier New" w:cs="Courier New"/>
      <w:sz w:val="20"/>
      <w:szCs w:val="20"/>
      <w:lang w:val="en-US" w:eastAsia="en-US"/>
    </w:rPr>
  </w:style>
  <w:style w:type="character" w:customStyle="1" w:styleId="y2iqfc">
    <w:name w:val="y2iqfc"/>
    <w:basedOn w:val="DefaultParagraphFont"/>
    <w:rsid w:val="00020A2C"/>
  </w:style>
  <w:style w:type="table" w:styleId="LightShading-Accent1">
    <w:name w:val="Light Shading Accent 1"/>
    <w:basedOn w:val="TableNormal"/>
    <w:uiPriority w:val="60"/>
    <w:rsid w:val="00020A2C"/>
    <w:pPr>
      <w:spacing w:after="0" w:line="240" w:lineRule="auto"/>
    </w:pPr>
    <w:rPr>
      <w:rFonts w:asciiTheme="minorHAnsi" w:eastAsiaTheme="minorHAnsi" w:hAnsiTheme="minorHAnsi" w:cstheme="minorBidi"/>
      <w:color w:val="365F91" w:themeColor="accent1" w:themeShade="BF"/>
      <w:lang w:val="en-US"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xl65">
    <w:name w:val="xl65"/>
    <w:basedOn w:val="Normal"/>
    <w:rsid w:val="00020A2C"/>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line="240" w:lineRule="auto"/>
      <w:ind w:leftChars="0" w:left="0" w:firstLineChars="0" w:firstLine="0"/>
      <w:jc w:val="center"/>
      <w:textDirection w:val="lrTb"/>
      <w:textAlignment w:val="center"/>
      <w:outlineLvl w:val="9"/>
    </w:pPr>
    <w:rPr>
      <w:rFonts w:ascii="Arial" w:eastAsia="Times New Roman" w:hAnsi="Arial" w:cs="Arial"/>
      <w:b/>
      <w:bCs/>
      <w:position w:val="0"/>
      <w:sz w:val="18"/>
      <w:szCs w:val="18"/>
      <w:lang w:val="en-US"/>
    </w:rPr>
  </w:style>
  <w:style w:type="paragraph" w:customStyle="1" w:styleId="xl66">
    <w:name w:val="xl66"/>
    <w:basedOn w:val="Normal"/>
    <w:rsid w:val="00020A2C"/>
    <w:pPr>
      <w:pBdr>
        <w:top w:val="single" w:sz="4" w:space="0" w:color="auto"/>
        <w:left w:val="single" w:sz="4" w:space="0" w:color="auto"/>
        <w:bottom w:val="single" w:sz="4" w:space="0" w:color="auto"/>
        <w:right w:val="single" w:sz="4" w:space="0" w:color="auto"/>
      </w:pBdr>
      <w:shd w:val="clear" w:color="000000" w:fill="538DD5"/>
      <w:suppressAutoHyphens w:val="0"/>
      <w:spacing w:before="100" w:beforeAutospacing="1" w:after="100" w:afterAutospacing="1" w:line="240" w:lineRule="auto"/>
      <w:ind w:leftChars="0" w:left="0" w:firstLineChars="0" w:firstLine="0"/>
      <w:jc w:val="center"/>
      <w:textDirection w:val="lrTb"/>
      <w:textAlignment w:val="center"/>
      <w:outlineLvl w:val="9"/>
    </w:pPr>
    <w:rPr>
      <w:rFonts w:ascii="Arial" w:eastAsia="Times New Roman" w:hAnsi="Arial" w:cs="Arial"/>
      <w:b/>
      <w:bCs/>
      <w:position w:val="0"/>
      <w:sz w:val="18"/>
      <w:szCs w:val="18"/>
      <w:lang w:val="en-US"/>
    </w:rPr>
  </w:style>
  <w:style w:type="paragraph" w:customStyle="1" w:styleId="xl67">
    <w:name w:val="xl67"/>
    <w:basedOn w:val="Normal"/>
    <w:rsid w:val="00020A2C"/>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line="240" w:lineRule="auto"/>
      <w:ind w:leftChars="0" w:left="0" w:firstLineChars="0" w:firstLine="0"/>
      <w:jc w:val="center"/>
      <w:textDirection w:val="lrTb"/>
      <w:textAlignment w:val="center"/>
      <w:outlineLvl w:val="9"/>
    </w:pPr>
    <w:rPr>
      <w:rFonts w:ascii="Arial" w:eastAsia="Times New Roman" w:hAnsi="Arial" w:cs="Arial"/>
      <w:b/>
      <w:bCs/>
      <w:position w:val="0"/>
      <w:sz w:val="18"/>
      <w:szCs w:val="18"/>
      <w:lang w:val="en-US"/>
    </w:rPr>
  </w:style>
  <w:style w:type="paragraph" w:customStyle="1" w:styleId="xl68">
    <w:name w:val="xl68"/>
    <w:basedOn w:val="Normal"/>
    <w:rsid w:val="00020A2C"/>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line="240" w:lineRule="auto"/>
      <w:ind w:leftChars="0" w:left="0" w:firstLineChars="0" w:firstLine="0"/>
      <w:jc w:val="center"/>
      <w:textDirection w:val="lrTb"/>
      <w:textAlignment w:val="center"/>
      <w:outlineLvl w:val="9"/>
    </w:pPr>
    <w:rPr>
      <w:rFonts w:ascii="Arial" w:eastAsia="Times New Roman" w:hAnsi="Arial" w:cs="Arial"/>
      <w:b/>
      <w:bCs/>
      <w:position w:val="0"/>
      <w:sz w:val="18"/>
      <w:szCs w:val="18"/>
      <w:lang w:val="en-US"/>
    </w:rPr>
  </w:style>
  <w:style w:type="paragraph" w:customStyle="1" w:styleId="xl69">
    <w:name w:val="xl69"/>
    <w:basedOn w:val="Normal"/>
    <w:rsid w:val="00020A2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rFonts w:ascii="Arial" w:eastAsia="Times New Roman" w:hAnsi="Arial" w:cs="Arial"/>
      <w:position w:val="0"/>
      <w:sz w:val="18"/>
      <w:szCs w:val="18"/>
      <w:lang w:val="en-US"/>
    </w:rPr>
  </w:style>
  <w:style w:type="paragraph" w:customStyle="1" w:styleId="xl70">
    <w:name w:val="xl70"/>
    <w:basedOn w:val="Normal"/>
    <w:rsid w:val="00020A2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rFonts w:ascii="Arial" w:eastAsia="Times New Roman" w:hAnsi="Arial" w:cs="Arial"/>
      <w:position w:val="0"/>
      <w:sz w:val="18"/>
      <w:szCs w:val="18"/>
      <w:lang w:val="en-US"/>
    </w:rPr>
  </w:style>
  <w:style w:type="paragraph" w:customStyle="1" w:styleId="xl71">
    <w:name w:val="xl71"/>
    <w:basedOn w:val="Normal"/>
    <w:rsid w:val="00020A2C"/>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line="240" w:lineRule="auto"/>
      <w:ind w:leftChars="0" w:left="0" w:firstLineChars="0" w:firstLine="0"/>
      <w:jc w:val="center"/>
      <w:textDirection w:val="lrTb"/>
      <w:textAlignment w:val="center"/>
      <w:outlineLvl w:val="9"/>
    </w:pPr>
    <w:rPr>
      <w:rFonts w:ascii="Arial" w:eastAsia="Times New Roman" w:hAnsi="Arial" w:cs="Arial"/>
      <w:position w:val="0"/>
      <w:sz w:val="18"/>
      <w:szCs w:val="18"/>
      <w:lang w:val="en-US"/>
    </w:rPr>
  </w:style>
  <w:style w:type="paragraph" w:customStyle="1" w:styleId="xl72">
    <w:name w:val="xl72"/>
    <w:basedOn w:val="Normal"/>
    <w:rsid w:val="00020A2C"/>
    <w:pPr>
      <w:pBdr>
        <w:top w:val="single" w:sz="4" w:space="0" w:color="auto"/>
        <w:left w:val="single" w:sz="4" w:space="0" w:color="auto"/>
        <w:bottom w:val="single" w:sz="4" w:space="0" w:color="auto"/>
        <w:right w:val="single" w:sz="4" w:space="0" w:color="auto"/>
      </w:pBdr>
      <w:shd w:val="clear" w:color="000000" w:fill="538DD5"/>
      <w:suppressAutoHyphens w:val="0"/>
      <w:spacing w:before="100" w:beforeAutospacing="1" w:after="100" w:afterAutospacing="1" w:line="240" w:lineRule="auto"/>
      <w:ind w:leftChars="0" w:left="0" w:firstLineChars="0" w:firstLine="0"/>
      <w:jc w:val="center"/>
      <w:textDirection w:val="lrTb"/>
      <w:textAlignment w:val="center"/>
      <w:outlineLvl w:val="9"/>
    </w:pPr>
    <w:rPr>
      <w:rFonts w:ascii="Arial" w:eastAsia="Times New Roman" w:hAnsi="Arial" w:cs="Arial"/>
      <w:position w:val="0"/>
      <w:sz w:val="18"/>
      <w:szCs w:val="18"/>
      <w:lang w:val="en-US"/>
    </w:rPr>
  </w:style>
  <w:style w:type="paragraph" w:customStyle="1" w:styleId="xl73">
    <w:name w:val="xl73"/>
    <w:basedOn w:val="Normal"/>
    <w:rsid w:val="00020A2C"/>
    <w:pPr>
      <w:suppressAutoHyphens w:val="0"/>
      <w:spacing w:before="100" w:beforeAutospacing="1" w:after="100" w:afterAutospacing="1" w:line="240" w:lineRule="auto"/>
      <w:ind w:leftChars="0" w:left="0" w:firstLineChars="0" w:firstLine="0"/>
      <w:textDirection w:val="lrTb"/>
      <w:textAlignment w:val="auto"/>
      <w:outlineLvl w:val="9"/>
    </w:pPr>
    <w:rPr>
      <w:rFonts w:ascii="Arial" w:eastAsia="Times New Roman" w:hAnsi="Arial" w:cs="Arial"/>
      <w:position w:val="0"/>
      <w:sz w:val="18"/>
      <w:szCs w:val="18"/>
      <w:lang w:val="en-US"/>
    </w:rPr>
  </w:style>
  <w:style w:type="paragraph" w:customStyle="1" w:styleId="xl74">
    <w:name w:val="xl74"/>
    <w:basedOn w:val="Normal"/>
    <w:rsid w:val="00020A2C"/>
    <w:pPr>
      <w:suppressAutoHyphens w:val="0"/>
      <w:spacing w:before="100" w:beforeAutospacing="1" w:after="100" w:afterAutospacing="1" w:line="240" w:lineRule="auto"/>
      <w:ind w:leftChars="0" w:left="0" w:firstLineChars="0" w:firstLine="0"/>
      <w:jc w:val="center"/>
      <w:textDirection w:val="lrTb"/>
      <w:textAlignment w:val="center"/>
      <w:outlineLvl w:val="9"/>
    </w:pPr>
    <w:rPr>
      <w:rFonts w:ascii="Arial" w:eastAsia="Times New Roman" w:hAnsi="Arial" w:cs="Arial"/>
      <w:position w:val="0"/>
      <w:sz w:val="18"/>
      <w:szCs w:val="18"/>
      <w:lang w:val="en-US"/>
    </w:rPr>
  </w:style>
  <w:style w:type="paragraph" w:customStyle="1" w:styleId="xl75">
    <w:name w:val="xl75"/>
    <w:basedOn w:val="Normal"/>
    <w:rsid w:val="00020A2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ind w:leftChars="0" w:left="0" w:firstLineChars="0" w:firstLine="0"/>
      <w:jc w:val="center"/>
      <w:textDirection w:val="lrTb"/>
      <w:textAlignment w:val="center"/>
      <w:outlineLvl w:val="9"/>
    </w:pPr>
    <w:rPr>
      <w:rFonts w:ascii="Arial" w:eastAsia="Times New Roman" w:hAnsi="Arial" w:cs="Arial"/>
      <w:b/>
      <w:bCs/>
      <w:position w:val="0"/>
      <w:sz w:val="18"/>
      <w:szCs w:val="18"/>
      <w:lang w:val="en-US"/>
    </w:rPr>
  </w:style>
  <w:style w:type="character" w:customStyle="1" w:styleId="mop">
    <w:name w:val="mop"/>
    <w:basedOn w:val="DefaultParagraphFont"/>
    <w:rsid w:val="00020A2C"/>
  </w:style>
  <w:style w:type="character" w:customStyle="1" w:styleId="mspace">
    <w:name w:val="mspace"/>
    <w:basedOn w:val="DefaultParagraphFont"/>
    <w:rsid w:val="00020A2C"/>
  </w:style>
  <w:style w:type="character" w:customStyle="1" w:styleId="delimsizing">
    <w:name w:val="delimsizing"/>
    <w:basedOn w:val="DefaultParagraphFont"/>
    <w:rsid w:val="00020A2C"/>
  </w:style>
  <w:style w:type="paragraph" w:customStyle="1" w:styleId="msonormal0">
    <w:name w:val="msonormal"/>
    <w:basedOn w:val="Normal"/>
    <w:rsid w:val="00020A2C"/>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lang w:val="en-ID" w:eastAsia="en-ID"/>
    </w:rPr>
  </w:style>
  <w:style w:type="paragraph" w:customStyle="1" w:styleId="xl76">
    <w:name w:val="xl76"/>
    <w:basedOn w:val="Normal"/>
    <w:rsid w:val="00020A2C"/>
    <w:pPr>
      <w:pBdr>
        <w:top w:val="single" w:sz="4" w:space="0" w:color="auto"/>
        <w:left w:val="single" w:sz="4" w:space="0" w:color="auto"/>
        <w:bottom w:val="single" w:sz="4" w:space="0" w:color="auto"/>
        <w:right w:val="single" w:sz="4" w:space="0" w:color="auto"/>
      </w:pBdr>
      <w:shd w:val="clear" w:color="000000" w:fill="92CDDC"/>
      <w:suppressAutoHyphens w:val="0"/>
      <w:spacing w:before="100" w:beforeAutospacing="1" w:after="100" w:afterAutospacing="1" w:line="240" w:lineRule="auto"/>
      <w:ind w:leftChars="0" w:left="0" w:firstLineChars="0" w:firstLine="0"/>
      <w:jc w:val="center"/>
      <w:textDirection w:val="lrTb"/>
      <w:textAlignment w:val="center"/>
      <w:outlineLvl w:val="9"/>
    </w:pPr>
    <w:rPr>
      <w:rFonts w:ascii="Arial" w:eastAsia="Times New Roman" w:hAnsi="Arial" w:cs="Arial"/>
      <w:b/>
      <w:bCs/>
      <w:position w:val="0"/>
      <w:sz w:val="20"/>
      <w:szCs w:val="20"/>
      <w:lang w:val="en-ID" w:eastAsia="en-ID"/>
    </w:rPr>
  </w:style>
  <w:style w:type="paragraph" w:customStyle="1" w:styleId="xl77">
    <w:name w:val="xl77"/>
    <w:basedOn w:val="Normal"/>
    <w:rsid w:val="00020A2C"/>
    <w:pPr>
      <w:pBdr>
        <w:top w:val="single" w:sz="4" w:space="0" w:color="auto"/>
        <w:left w:val="single" w:sz="4" w:space="0" w:color="auto"/>
        <w:bottom w:val="single" w:sz="4" w:space="0" w:color="auto"/>
        <w:right w:val="single" w:sz="4" w:space="0" w:color="auto"/>
      </w:pBdr>
      <w:shd w:val="clear" w:color="000000" w:fill="FCD5B4"/>
      <w:suppressAutoHyphens w:val="0"/>
      <w:spacing w:before="100" w:beforeAutospacing="1" w:after="100" w:afterAutospacing="1" w:line="240" w:lineRule="auto"/>
      <w:ind w:leftChars="0" w:left="0" w:firstLineChars="0" w:firstLine="0"/>
      <w:jc w:val="center"/>
      <w:textDirection w:val="lrTb"/>
      <w:textAlignment w:val="center"/>
      <w:outlineLvl w:val="9"/>
    </w:pPr>
    <w:rPr>
      <w:rFonts w:ascii="Arial" w:eastAsia="Times New Roman" w:hAnsi="Arial" w:cs="Arial"/>
      <w:position w:val="0"/>
      <w:sz w:val="20"/>
      <w:szCs w:val="20"/>
      <w:lang w:val="en-ID" w:eastAsia="en-ID"/>
    </w:rPr>
  </w:style>
  <w:style w:type="paragraph" w:customStyle="1" w:styleId="xl78">
    <w:name w:val="xl78"/>
    <w:basedOn w:val="Normal"/>
    <w:rsid w:val="00020A2C"/>
    <w:pPr>
      <w:pBdr>
        <w:top w:val="single" w:sz="4" w:space="0" w:color="auto"/>
        <w:left w:val="single" w:sz="4" w:space="0" w:color="auto"/>
        <w:bottom w:val="single" w:sz="4" w:space="0" w:color="auto"/>
        <w:right w:val="single" w:sz="4" w:space="0" w:color="auto"/>
      </w:pBdr>
      <w:shd w:val="clear" w:color="000000" w:fill="FCD5B4"/>
      <w:suppressAutoHyphens w:val="0"/>
      <w:spacing w:before="100" w:beforeAutospacing="1" w:after="100" w:afterAutospacing="1" w:line="240" w:lineRule="auto"/>
      <w:ind w:leftChars="0" w:left="0" w:firstLineChars="0" w:firstLine="0"/>
      <w:jc w:val="center"/>
      <w:textDirection w:val="lrTb"/>
      <w:textAlignment w:val="center"/>
      <w:outlineLvl w:val="9"/>
    </w:pPr>
    <w:rPr>
      <w:rFonts w:ascii="Arial" w:eastAsia="Times New Roman" w:hAnsi="Arial" w:cs="Arial"/>
      <w:b/>
      <w:bCs/>
      <w:position w:val="0"/>
      <w:sz w:val="20"/>
      <w:szCs w:val="20"/>
      <w:lang w:val="en-ID" w:eastAsia="en-ID"/>
    </w:rPr>
  </w:style>
  <w:style w:type="paragraph" w:customStyle="1" w:styleId="xl79">
    <w:name w:val="xl79"/>
    <w:basedOn w:val="Normal"/>
    <w:rsid w:val="00020A2C"/>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ind w:leftChars="0" w:left="0" w:firstLineChars="0" w:firstLine="0"/>
      <w:jc w:val="center"/>
      <w:textDirection w:val="lrTb"/>
      <w:textAlignment w:val="center"/>
      <w:outlineLvl w:val="9"/>
    </w:pPr>
    <w:rPr>
      <w:rFonts w:ascii="Arial" w:eastAsia="Times New Roman" w:hAnsi="Arial" w:cs="Arial"/>
      <w:position w:val="0"/>
      <w:sz w:val="20"/>
      <w:szCs w:val="20"/>
      <w:lang w:val="en-ID" w:eastAsia="en-ID"/>
    </w:rPr>
  </w:style>
  <w:style w:type="character" w:customStyle="1" w:styleId="TitleChar">
    <w:name w:val="Title Char"/>
    <w:basedOn w:val="DefaultParagraphFont"/>
    <w:link w:val="Title"/>
    <w:uiPriority w:val="99"/>
    <w:rsid w:val="00020A2C"/>
    <w:rPr>
      <w:b/>
      <w:position w:val="-1"/>
      <w:sz w:val="72"/>
      <w:szCs w:val="72"/>
      <w:lang w:eastAsia="en-US"/>
    </w:rPr>
  </w:style>
  <w:style w:type="character" w:customStyle="1" w:styleId="spelle">
    <w:name w:val="spelle"/>
    <w:basedOn w:val="DefaultParagraphFont"/>
    <w:rsid w:val="00020A2C"/>
    <w:rPr>
      <w:rFonts w:cs="Times New Roman"/>
    </w:rPr>
  </w:style>
  <w:style w:type="paragraph" w:customStyle="1" w:styleId="font5">
    <w:name w:val="font5"/>
    <w:basedOn w:val="Normal"/>
    <w:rsid w:val="00020A2C"/>
    <w:pPr>
      <w:suppressAutoHyphens w:val="0"/>
      <w:spacing w:before="100" w:beforeAutospacing="1" w:after="100" w:afterAutospacing="1" w:line="240" w:lineRule="auto"/>
      <w:ind w:leftChars="0" w:left="0" w:firstLineChars="0" w:firstLine="0"/>
      <w:textDirection w:val="lrTb"/>
      <w:textAlignment w:val="auto"/>
      <w:outlineLvl w:val="9"/>
    </w:pPr>
    <w:rPr>
      <w:rFonts w:ascii="Arial" w:eastAsia="Times New Roman" w:hAnsi="Arial" w:cs="Arial"/>
      <w:color w:val="000000"/>
      <w:position w:val="0"/>
      <w:sz w:val="20"/>
      <w:szCs w:val="20"/>
      <w:lang w:val="en-ID"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3204">
      <w:bodyDiv w:val="1"/>
      <w:marLeft w:val="0"/>
      <w:marRight w:val="0"/>
      <w:marTop w:val="0"/>
      <w:marBottom w:val="0"/>
      <w:divBdr>
        <w:top w:val="none" w:sz="0" w:space="0" w:color="auto"/>
        <w:left w:val="none" w:sz="0" w:space="0" w:color="auto"/>
        <w:bottom w:val="none" w:sz="0" w:space="0" w:color="auto"/>
        <w:right w:val="none" w:sz="0" w:space="0" w:color="auto"/>
      </w:divBdr>
    </w:div>
    <w:div w:id="53698625">
      <w:bodyDiv w:val="1"/>
      <w:marLeft w:val="0"/>
      <w:marRight w:val="0"/>
      <w:marTop w:val="0"/>
      <w:marBottom w:val="0"/>
      <w:divBdr>
        <w:top w:val="none" w:sz="0" w:space="0" w:color="auto"/>
        <w:left w:val="none" w:sz="0" w:space="0" w:color="auto"/>
        <w:bottom w:val="none" w:sz="0" w:space="0" w:color="auto"/>
        <w:right w:val="none" w:sz="0" w:space="0" w:color="auto"/>
      </w:divBdr>
    </w:div>
    <w:div w:id="62602994">
      <w:bodyDiv w:val="1"/>
      <w:marLeft w:val="0"/>
      <w:marRight w:val="0"/>
      <w:marTop w:val="0"/>
      <w:marBottom w:val="0"/>
      <w:divBdr>
        <w:top w:val="none" w:sz="0" w:space="0" w:color="auto"/>
        <w:left w:val="none" w:sz="0" w:space="0" w:color="auto"/>
        <w:bottom w:val="none" w:sz="0" w:space="0" w:color="auto"/>
        <w:right w:val="none" w:sz="0" w:space="0" w:color="auto"/>
      </w:divBdr>
    </w:div>
    <w:div w:id="179125588">
      <w:bodyDiv w:val="1"/>
      <w:marLeft w:val="0"/>
      <w:marRight w:val="0"/>
      <w:marTop w:val="0"/>
      <w:marBottom w:val="0"/>
      <w:divBdr>
        <w:top w:val="none" w:sz="0" w:space="0" w:color="auto"/>
        <w:left w:val="none" w:sz="0" w:space="0" w:color="auto"/>
        <w:bottom w:val="none" w:sz="0" w:space="0" w:color="auto"/>
        <w:right w:val="none" w:sz="0" w:space="0" w:color="auto"/>
      </w:divBdr>
      <w:divsChild>
        <w:div w:id="215971099">
          <w:marLeft w:val="0"/>
          <w:marRight w:val="0"/>
          <w:marTop w:val="0"/>
          <w:marBottom w:val="0"/>
          <w:divBdr>
            <w:top w:val="none" w:sz="0" w:space="0" w:color="auto"/>
            <w:left w:val="none" w:sz="0" w:space="0" w:color="auto"/>
            <w:bottom w:val="none" w:sz="0" w:space="0" w:color="auto"/>
            <w:right w:val="none" w:sz="0" w:space="0" w:color="auto"/>
          </w:divBdr>
          <w:divsChild>
            <w:div w:id="1349218342">
              <w:marLeft w:val="0"/>
              <w:marRight w:val="0"/>
              <w:marTop w:val="0"/>
              <w:marBottom w:val="0"/>
              <w:divBdr>
                <w:top w:val="none" w:sz="0" w:space="0" w:color="auto"/>
                <w:left w:val="none" w:sz="0" w:space="0" w:color="auto"/>
                <w:bottom w:val="none" w:sz="0" w:space="0" w:color="auto"/>
                <w:right w:val="none" w:sz="0" w:space="0" w:color="auto"/>
              </w:divBdr>
            </w:div>
          </w:divsChild>
        </w:div>
        <w:div w:id="1782652083">
          <w:marLeft w:val="0"/>
          <w:marRight w:val="0"/>
          <w:marTop w:val="0"/>
          <w:marBottom w:val="0"/>
          <w:divBdr>
            <w:top w:val="none" w:sz="0" w:space="0" w:color="auto"/>
            <w:left w:val="none" w:sz="0" w:space="0" w:color="auto"/>
            <w:bottom w:val="none" w:sz="0" w:space="0" w:color="auto"/>
            <w:right w:val="none" w:sz="0" w:space="0" w:color="auto"/>
          </w:divBdr>
          <w:divsChild>
            <w:div w:id="821431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45713">
      <w:bodyDiv w:val="1"/>
      <w:marLeft w:val="0"/>
      <w:marRight w:val="0"/>
      <w:marTop w:val="0"/>
      <w:marBottom w:val="0"/>
      <w:divBdr>
        <w:top w:val="none" w:sz="0" w:space="0" w:color="auto"/>
        <w:left w:val="none" w:sz="0" w:space="0" w:color="auto"/>
        <w:bottom w:val="none" w:sz="0" w:space="0" w:color="auto"/>
        <w:right w:val="none" w:sz="0" w:space="0" w:color="auto"/>
      </w:divBdr>
    </w:div>
    <w:div w:id="288978234">
      <w:bodyDiv w:val="1"/>
      <w:marLeft w:val="0"/>
      <w:marRight w:val="0"/>
      <w:marTop w:val="0"/>
      <w:marBottom w:val="0"/>
      <w:divBdr>
        <w:top w:val="none" w:sz="0" w:space="0" w:color="auto"/>
        <w:left w:val="none" w:sz="0" w:space="0" w:color="auto"/>
        <w:bottom w:val="none" w:sz="0" w:space="0" w:color="auto"/>
        <w:right w:val="none" w:sz="0" w:space="0" w:color="auto"/>
      </w:divBdr>
    </w:div>
    <w:div w:id="863129027">
      <w:bodyDiv w:val="1"/>
      <w:marLeft w:val="0"/>
      <w:marRight w:val="0"/>
      <w:marTop w:val="0"/>
      <w:marBottom w:val="0"/>
      <w:divBdr>
        <w:top w:val="none" w:sz="0" w:space="0" w:color="auto"/>
        <w:left w:val="none" w:sz="0" w:space="0" w:color="auto"/>
        <w:bottom w:val="none" w:sz="0" w:space="0" w:color="auto"/>
        <w:right w:val="none" w:sz="0" w:space="0" w:color="auto"/>
      </w:divBdr>
    </w:div>
    <w:div w:id="907425440">
      <w:bodyDiv w:val="1"/>
      <w:marLeft w:val="0"/>
      <w:marRight w:val="0"/>
      <w:marTop w:val="0"/>
      <w:marBottom w:val="0"/>
      <w:divBdr>
        <w:top w:val="none" w:sz="0" w:space="0" w:color="auto"/>
        <w:left w:val="none" w:sz="0" w:space="0" w:color="auto"/>
        <w:bottom w:val="none" w:sz="0" w:space="0" w:color="auto"/>
        <w:right w:val="none" w:sz="0" w:space="0" w:color="auto"/>
      </w:divBdr>
    </w:div>
    <w:div w:id="914363700">
      <w:bodyDiv w:val="1"/>
      <w:marLeft w:val="0"/>
      <w:marRight w:val="0"/>
      <w:marTop w:val="0"/>
      <w:marBottom w:val="0"/>
      <w:divBdr>
        <w:top w:val="none" w:sz="0" w:space="0" w:color="auto"/>
        <w:left w:val="none" w:sz="0" w:space="0" w:color="auto"/>
        <w:bottom w:val="none" w:sz="0" w:space="0" w:color="auto"/>
        <w:right w:val="none" w:sz="0" w:space="0" w:color="auto"/>
      </w:divBdr>
    </w:div>
    <w:div w:id="972979390">
      <w:bodyDiv w:val="1"/>
      <w:marLeft w:val="0"/>
      <w:marRight w:val="0"/>
      <w:marTop w:val="0"/>
      <w:marBottom w:val="0"/>
      <w:divBdr>
        <w:top w:val="none" w:sz="0" w:space="0" w:color="auto"/>
        <w:left w:val="none" w:sz="0" w:space="0" w:color="auto"/>
        <w:bottom w:val="none" w:sz="0" w:space="0" w:color="auto"/>
        <w:right w:val="none" w:sz="0" w:space="0" w:color="auto"/>
      </w:divBdr>
    </w:div>
    <w:div w:id="1102067476">
      <w:bodyDiv w:val="1"/>
      <w:marLeft w:val="0"/>
      <w:marRight w:val="0"/>
      <w:marTop w:val="0"/>
      <w:marBottom w:val="0"/>
      <w:divBdr>
        <w:top w:val="none" w:sz="0" w:space="0" w:color="auto"/>
        <w:left w:val="none" w:sz="0" w:space="0" w:color="auto"/>
        <w:bottom w:val="none" w:sz="0" w:space="0" w:color="auto"/>
        <w:right w:val="none" w:sz="0" w:space="0" w:color="auto"/>
      </w:divBdr>
    </w:div>
    <w:div w:id="1327172468">
      <w:bodyDiv w:val="1"/>
      <w:marLeft w:val="0"/>
      <w:marRight w:val="0"/>
      <w:marTop w:val="0"/>
      <w:marBottom w:val="0"/>
      <w:divBdr>
        <w:top w:val="none" w:sz="0" w:space="0" w:color="auto"/>
        <w:left w:val="none" w:sz="0" w:space="0" w:color="auto"/>
        <w:bottom w:val="none" w:sz="0" w:space="0" w:color="auto"/>
        <w:right w:val="none" w:sz="0" w:space="0" w:color="auto"/>
      </w:divBdr>
      <w:divsChild>
        <w:div w:id="1432428568">
          <w:marLeft w:val="0"/>
          <w:marRight w:val="0"/>
          <w:marTop w:val="0"/>
          <w:marBottom w:val="0"/>
          <w:divBdr>
            <w:top w:val="none" w:sz="0" w:space="0" w:color="auto"/>
            <w:left w:val="none" w:sz="0" w:space="0" w:color="auto"/>
            <w:bottom w:val="none" w:sz="0" w:space="0" w:color="auto"/>
            <w:right w:val="none" w:sz="0" w:space="0" w:color="auto"/>
          </w:divBdr>
          <w:divsChild>
            <w:div w:id="160782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438722">
      <w:bodyDiv w:val="1"/>
      <w:marLeft w:val="0"/>
      <w:marRight w:val="0"/>
      <w:marTop w:val="0"/>
      <w:marBottom w:val="0"/>
      <w:divBdr>
        <w:top w:val="none" w:sz="0" w:space="0" w:color="auto"/>
        <w:left w:val="none" w:sz="0" w:space="0" w:color="auto"/>
        <w:bottom w:val="none" w:sz="0" w:space="0" w:color="auto"/>
        <w:right w:val="none" w:sz="0" w:space="0" w:color="auto"/>
      </w:divBdr>
    </w:div>
    <w:div w:id="1590042258">
      <w:bodyDiv w:val="1"/>
      <w:marLeft w:val="0"/>
      <w:marRight w:val="0"/>
      <w:marTop w:val="0"/>
      <w:marBottom w:val="0"/>
      <w:divBdr>
        <w:top w:val="none" w:sz="0" w:space="0" w:color="auto"/>
        <w:left w:val="none" w:sz="0" w:space="0" w:color="auto"/>
        <w:bottom w:val="none" w:sz="0" w:space="0" w:color="auto"/>
        <w:right w:val="none" w:sz="0" w:space="0" w:color="auto"/>
      </w:divBdr>
    </w:div>
    <w:div w:id="1706128757">
      <w:bodyDiv w:val="1"/>
      <w:marLeft w:val="0"/>
      <w:marRight w:val="0"/>
      <w:marTop w:val="0"/>
      <w:marBottom w:val="0"/>
      <w:divBdr>
        <w:top w:val="none" w:sz="0" w:space="0" w:color="auto"/>
        <w:left w:val="none" w:sz="0" w:space="0" w:color="auto"/>
        <w:bottom w:val="none" w:sz="0" w:space="0" w:color="auto"/>
        <w:right w:val="none" w:sz="0" w:space="0" w:color="auto"/>
      </w:divBdr>
    </w:div>
    <w:div w:id="1736128805">
      <w:bodyDiv w:val="1"/>
      <w:marLeft w:val="0"/>
      <w:marRight w:val="0"/>
      <w:marTop w:val="0"/>
      <w:marBottom w:val="0"/>
      <w:divBdr>
        <w:top w:val="none" w:sz="0" w:space="0" w:color="auto"/>
        <w:left w:val="none" w:sz="0" w:space="0" w:color="auto"/>
        <w:bottom w:val="none" w:sz="0" w:space="0" w:color="auto"/>
        <w:right w:val="none" w:sz="0" w:space="0" w:color="auto"/>
      </w:divBdr>
    </w:div>
    <w:div w:id="1903129090">
      <w:bodyDiv w:val="1"/>
      <w:marLeft w:val="0"/>
      <w:marRight w:val="0"/>
      <w:marTop w:val="0"/>
      <w:marBottom w:val="0"/>
      <w:divBdr>
        <w:top w:val="none" w:sz="0" w:space="0" w:color="auto"/>
        <w:left w:val="none" w:sz="0" w:space="0" w:color="auto"/>
        <w:bottom w:val="none" w:sz="0" w:space="0" w:color="auto"/>
        <w:right w:val="none" w:sz="0" w:space="0" w:color="auto"/>
      </w:divBdr>
    </w:div>
    <w:div w:id="1908758370">
      <w:bodyDiv w:val="1"/>
      <w:marLeft w:val="0"/>
      <w:marRight w:val="0"/>
      <w:marTop w:val="0"/>
      <w:marBottom w:val="0"/>
      <w:divBdr>
        <w:top w:val="none" w:sz="0" w:space="0" w:color="auto"/>
        <w:left w:val="none" w:sz="0" w:space="0" w:color="auto"/>
        <w:bottom w:val="none" w:sz="0" w:space="0" w:color="auto"/>
        <w:right w:val="none" w:sz="0" w:space="0" w:color="auto"/>
      </w:divBdr>
    </w:div>
    <w:div w:id="2014187786">
      <w:bodyDiv w:val="1"/>
      <w:marLeft w:val="0"/>
      <w:marRight w:val="0"/>
      <w:marTop w:val="0"/>
      <w:marBottom w:val="0"/>
      <w:divBdr>
        <w:top w:val="none" w:sz="0" w:space="0" w:color="auto"/>
        <w:left w:val="none" w:sz="0" w:space="0" w:color="auto"/>
        <w:bottom w:val="none" w:sz="0" w:space="0" w:color="auto"/>
        <w:right w:val="none" w:sz="0" w:space="0" w:color="auto"/>
      </w:divBdr>
    </w:div>
    <w:div w:id="2019455103">
      <w:bodyDiv w:val="1"/>
      <w:marLeft w:val="0"/>
      <w:marRight w:val="0"/>
      <w:marTop w:val="0"/>
      <w:marBottom w:val="0"/>
      <w:divBdr>
        <w:top w:val="none" w:sz="0" w:space="0" w:color="auto"/>
        <w:left w:val="none" w:sz="0" w:space="0" w:color="auto"/>
        <w:bottom w:val="none" w:sz="0" w:space="0" w:color="auto"/>
        <w:right w:val="none" w:sz="0" w:space="0" w:color="auto"/>
      </w:divBdr>
    </w:div>
    <w:div w:id="2033258972">
      <w:bodyDiv w:val="1"/>
      <w:marLeft w:val="0"/>
      <w:marRight w:val="0"/>
      <w:marTop w:val="0"/>
      <w:marBottom w:val="0"/>
      <w:divBdr>
        <w:top w:val="none" w:sz="0" w:space="0" w:color="auto"/>
        <w:left w:val="none" w:sz="0" w:space="0" w:color="auto"/>
        <w:bottom w:val="none" w:sz="0" w:space="0" w:color="auto"/>
        <w:right w:val="none" w:sz="0" w:space="0" w:color="auto"/>
      </w:divBdr>
    </w:div>
    <w:div w:id="21458469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5.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hLT40KeuTQUiNvUcpLq5MILq4RQ==">AMUW2mWvw64Fvnska0WpZ4Um4vyat96gbg1WGFLhd3rzY2wc0yN5F1pq0bb1q5jKDi+WX9KnPBMMcwev72+wrGwshs9GmCXlQMm8zeDNH6SIQ/NYRK+1vS2wy4SLigPiDk51kkJ1x/2+</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9279D66-5647-426A-9A0C-0A7C898D6C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20</Pages>
  <Words>33817</Words>
  <Characters>192763</Characters>
  <Application>Microsoft Office Word</Application>
  <DocSecurity>0</DocSecurity>
  <Lines>1606</Lines>
  <Paragraphs>452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Toshiba</dc:creator>
  <cp:lastModifiedBy>User</cp:lastModifiedBy>
  <cp:revision>3</cp:revision>
  <dcterms:created xsi:type="dcterms:W3CDTF">2025-12-06T08:17:00Z</dcterms:created>
  <dcterms:modified xsi:type="dcterms:W3CDTF">2025-12-06T09:18:00Z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http://www.zotero.org/styles/vancouver-superscript</vt:lpwstr>
  </property>
  <property fmtid="{D5CDD505-2E9C-101B-9397-08002B2CF9AE}" pid="19" name="Mendeley Recent Style Name 8_1">
    <vt:lpwstr>Vancouver (superscript)</vt:lpwstr>
  </property>
  <property fmtid="{D5CDD505-2E9C-101B-9397-08002B2CF9AE}" pid="20" name="Mendeley Recent Style Id 9_1">
    <vt:lpwstr>http://csl.mendeley.com/styles/456746711/vancouver-superscript-2</vt:lpwstr>
  </property>
  <property fmtid="{D5CDD505-2E9C-101B-9397-08002B2CF9AE}" pid="21" name="Mendeley Recent Style Name 9_1">
    <vt:lpwstr>Vancouver (superscript) - Valensa Yosephi</vt:lpwstr>
  </property>
  <property fmtid="{D5CDD505-2E9C-101B-9397-08002B2CF9AE}" pid="22" name="Mendeley Document_1">
    <vt:lpwstr>True</vt:lpwstr>
  </property>
  <property fmtid="{D5CDD505-2E9C-101B-9397-08002B2CF9AE}" pid="23" name="Mendeley Unique User Id_1">
    <vt:lpwstr>780b97c9-ffa4-3707-80b7-b8f12b7aa11d</vt:lpwstr>
  </property>
  <property fmtid="{D5CDD505-2E9C-101B-9397-08002B2CF9AE}" pid="24" name="Mendeley Citation Style_1">
    <vt:lpwstr>http://www.zotero.org/styles/apa</vt:lpwstr>
  </property>
</Properties>
</file>