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09ADF" w14:textId="66966276" w:rsidR="00690517" w:rsidRDefault="0094620F" w:rsidP="0094620F">
      <w:pPr>
        <w:widowControl w:val="0"/>
        <w:pBdr>
          <w:top w:val="nil"/>
          <w:left w:val="nil"/>
          <w:bottom w:val="nil"/>
          <w:right w:val="nil"/>
          <w:between w:val="nil"/>
        </w:pBdr>
        <w:spacing w:after="0"/>
        <w:ind w:left="1" w:hanging="3"/>
        <w:jc w:val="center"/>
        <w:rPr>
          <w:rFonts w:ascii="Times New Roman" w:eastAsia="Times New Roman" w:hAnsi="Times New Roman" w:cs="Times New Roman"/>
          <w:b/>
          <w:color w:val="000000"/>
          <w:sz w:val="28"/>
          <w:szCs w:val="28"/>
        </w:rPr>
      </w:pPr>
      <w:r w:rsidRPr="0094620F">
        <w:rPr>
          <w:rFonts w:ascii="Times New Roman" w:eastAsia="Times New Roman" w:hAnsi="Times New Roman" w:cs="Times New Roman"/>
          <w:b/>
          <w:color w:val="000000"/>
          <w:sz w:val="28"/>
          <w:szCs w:val="28"/>
        </w:rPr>
        <w:t>Factors Associated with Loss to Follow-Up (LtFU) among People Living with HIV/AIDS</w:t>
      </w:r>
    </w:p>
    <w:p w14:paraId="324C36DD" w14:textId="77777777" w:rsidR="0094620F" w:rsidRPr="0094620F" w:rsidRDefault="0094620F" w:rsidP="0094620F">
      <w:pPr>
        <w:widowControl w:val="0"/>
        <w:pBdr>
          <w:top w:val="nil"/>
          <w:left w:val="nil"/>
          <w:bottom w:val="nil"/>
          <w:right w:val="nil"/>
          <w:between w:val="nil"/>
        </w:pBdr>
        <w:spacing w:after="0"/>
        <w:ind w:left="1" w:hanging="3"/>
        <w:jc w:val="center"/>
        <w:rPr>
          <w:rFonts w:ascii="Times New Roman" w:eastAsia="Times New Roman" w:hAnsi="Times New Roman" w:cs="Times New Roman"/>
          <w:b/>
          <w:color w:val="000000"/>
          <w:sz w:val="28"/>
          <w:szCs w:val="28"/>
        </w:rPr>
      </w:pPr>
    </w:p>
    <w:p w14:paraId="30A9F20C" w14:textId="6FCA38DD" w:rsidR="00690517" w:rsidRPr="005975F2" w:rsidRDefault="005975F2">
      <w:pPr>
        <w:widowControl w:val="0"/>
        <w:spacing w:after="0" w:line="240" w:lineRule="auto"/>
        <w:ind w:left="0" w:hanging="2"/>
        <w:jc w:val="center"/>
        <w:rPr>
          <w:rFonts w:asciiTheme="majorBidi" w:eastAsia="Times New Roman" w:hAnsiTheme="majorBidi" w:cstheme="majorBidi"/>
          <w:bCs/>
          <w:sz w:val="20"/>
          <w:szCs w:val="20"/>
        </w:rPr>
      </w:pPr>
      <w:r w:rsidRPr="005975F2">
        <w:rPr>
          <w:rFonts w:asciiTheme="majorBidi" w:hAnsiTheme="majorBidi" w:cstheme="majorBidi"/>
          <w:bCs/>
          <w:sz w:val="20"/>
          <w:szCs w:val="20"/>
          <w:lang w:val="sv-SE"/>
        </w:rPr>
        <w:t>Dian Widyahandayani</w:t>
      </w:r>
      <w:r w:rsidRPr="005975F2">
        <w:rPr>
          <w:rFonts w:asciiTheme="majorBidi" w:hAnsiTheme="majorBidi" w:cstheme="majorBidi"/>
          <w:bCs/>
          <w:sz w:val="20"/>
          <w:szCs w:val="20"/>
          <w:vertAlign w:val="superscript"/>
          <w:lang w:val="sv-SE"/>
        </w:rPr>
        <w:t>1</w:t>
      </w:r>
      <w:r w:rsidRPr="005975F2">
        <w:rPr>
          <w:rFonts w:asciiTheme="majorBidi" w:hAnsiTheme="majorBidi" w:cstheme="majorBidi"/>
          <w:bCs/>
          <w:sz w:val="20"/>
          <w:szCs w:val="20"/>
          <w:lang w:val="sv-SE"/>
        </w:rPr>
        <w:t>, Ayun Sriatmi</w:t>
      </w:r>
      <w:r w:rsidRPr="005975F2">
        <w:rPr>
          <w:rFonts w:asciiTheme="majorBidi" w:hAnsiTheme="majorBidi" w:cstheme="majorBidi"/>
          <w:bCs/>
          <w:sz w:val="20"/>
          <w:szCs w:val="20"/>
          <w:vertAlign w:val="superscript"/>
          <w:lang w:val="sv-SE"/>
        </w:rPr>
        <w:t>2</w:t>
      </w:r>
      <w:r w:rsidRPr="005975F2">
        <w:rPr>
          <w:rFonts w:asciiTheme="majorBidi" w:hAnsiTheme="majorBidi" w:cstheme="majorBidi"/>
          <w:bCs/>
          <w:sz w:val="20"/>
          <w:szCs w:val="20"/>
          <w:lang w:val="sv-SE"/>
        </w:rPr>
        <w:t xml:space="preserve">, </w:t>
      </w:r>
      <w:r w:rsidRPr="005975F2">
        <w:rPr>
          <w:rFonts w:asciiTheme="majorBidi" w:hAnsiTheme="majorBidi" w:cstheme="majorBidi"/>
          <w:bCs/>
          <w:sz w:val="20"/>
          <w:szCs w:val="20"/>
        </w:rPr>
        <w:t>Antono Suryoputro</w:t>
      </w:r>
      <w:r w:rsidRPr="005975F2">
        <w:rPr>
          <w:rFonts w:asciiTheme="majorBidi" w:hAnsiTheme="majorBidi" w:cstheme="majorBidi"/>
          <w:bCs/>
          <w:sz w:val="20"/>
          <w:szCs w:val="20"/>
          <w:vertAlign w:val="superscript"/>
        </w:rPr>
        <w:t>3</w:t>
      </w:r>
    </w:p>
    <w:p w14:paraId="54E20031" w14:textId="2BC6951D" w:rsidR="00690517" w:rsidRDefault="00B44173" w:rsidP="005975F2">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t>
      </w:r>
    </w:p>
    <w:p w14:paraId="269A9244" w14:textId="77777777" w:rsidR="005975F2" w:rsidRPr="005975F2" w:rsidRDefault="005975F2" w:rsidP="005975F2">
      <w:pPr>
        <w:spacing w:after="0" w:line="240" w:lineRule="auto"/>
        <w:ind w:leftChars="194" w:left="565" w:hangingChars="69" w:hanging="138"/>
        <w:rPr>
          <w:rFonts w:asciiTheme="majorBidi" w:hAnsiTheme="majorBidi" w:cstheme="majorBidi"/>
          <w:sz w:val="20"/>
          <w:szCs w:val="20"/>
          <w:lang w:val="en-US"/>
        </w:rPr>
      </w:pPr>
      <w:r w:rsidRPr="005975F2">
        <w:rPr>
          <w:rFonts w:asciiTheme="majorBidi" w:hAnsiTheme="majorBidi" w:cstheme="majorBidi"/>
          <w:sz w:val="20"/>
          <w:szCs w:val="20"/>
          <w:vertAlign w:val="superscript"/>
          <w:lang w:val="en-US" w:eastAsia="zh-CN"/>
        </w:rPr>
        <w:t xml:space="preserve">1 </w:t>
      </w:r>
      <w:r w:rsidRPr="005975F2">
        <w:rPr>
          <w:rFonts w:asciiTheme="majorBidi" w:hAnsiTheme="majorBidi" w:cstheme="majorBidi"/>
          <w:iCs/>
          <w:sz w:val="20"/>
          <w:szCs w:val="20"/>
          <w:lang w:val="en-ID"/>
        </w:rPr>
        <w:t xml:space="preserve">Master’s Program in Public Health, Faculty of Public Health, Universitas </w:t>
      </w:r>
      <w:proofErr w:type="spellStart"/>
      <w:r w:rsidRPr="005975F2">
        <w:rPr>
          <w:rFonts w:asciiTheme="majorBidi" w:hAnsiTheme="majorBidi" w:cstheme="majorBidi"/>
          <w:iCs/>
          <w:sz w:val="20"/>
          <w:szCs w:val="20"/>
          <w:lang w:val="en-ID"/>
        </w:rPr>
        <w:t>Diponegoro</w:t>
      </w:r>
      <w:proofErr w:type="spellEnd"/>
      <w:r w:rsidRPr="005975F2">
        <w:rPr>
          <w:rFonts w:asciiTheme="majorBidi" w:hAnsiTheme="majorBidi" w:cstheme="majorBidi"/>
          <w:iCs/>
          <w:sz w:val="20"/>
          <w:szCs w:val="20"/>
          <w:lang w:val="en-ID"/>
        </w:rPr>
        <w:t xml:space="preserve"> Semarang, </w:t>
      </w:r>
      <w:hyperlink r:id="rId9" w:history="1">
        <w:r w:rsidRPr="005975F2">
          <w:rPr>
            <w:rStyle w:val="Hyperlink"/>
            <w:rFonts w:asciiTheme="majorBidi" w:hAnsiTheme="majorBidi" w:cstheme="majorBidi"/>
            <w:sz w:val="20"/>
            <w:szCs w:val="20"/>
            <w:lang w:val="en-US"/>
          </w:rPr>
          <w:t>dr.dianwidya17@gmail.com</w:t>
        </w:r>
      </w:hyperlink>
      <w:r w:rsidRPr="005975F2">
        <w:rPr>
          <w:rFonts w:asciiTheme="majorBidi" w:hAnsiTheme="majorBidi" w:cstheme="majorBidi"/>
          <w:sz w:val="20"/>
          <w:szCs w:val="20"/>
          <w:lang w:val="en-US"/>
        </w:rPr>
        <w:t xml:space="preserve"> </w:t>
      </w:r>
    </w:p>
    <w:p w14:paraId="12E9FCCB" w14:textId="77777777" w:rsidR="005975F2" w:rsidRPr="005975F2" w:rsidRDefault="005975F2" w:rsidP="005975F2">
      <w:pPr>
        <w:spacing w:after="0" w:line="240" w:lineRule="auto"/>
        <w:ind w:leftChars="194" w:left="565" w:hangingChars="69" w:hanging="138"/>
        <w:rPr>
          <w:rFonts w:asciiTheme="majorBidi" w:hAnsiTheme="majorBidi" w:cstheme="majorBidi"/>
          <w:iCs/>
          <w:sz w:val="20"/>
          <w:szCs w:val="20"/>
          <w:lang w:val="en-ID"/>
        </w:rPr>
      </w:pPr>
      <w:r w:rsidRPr="005975F2">
        <w:rPr>
          <w:rFonts w:asciiTheme="majorBidi" w:hAnsiTheme="majorBidi" w:cstheme="majorBidi"/>
          <w:sz w:val="20"/>
          <w:szCs w:val="20"/>
          <w:vertAlign w:val="superscript"/>
          <w:lang w:val="en-US" w:eastAsia="zh-CN"/>
        </w:rPr>
        <w:t xml:space="preserve">2 </w:t>
      </w:r>
      <w:r w:rsidRPr="005975F2">
        <w:rPr>
          <w:rFonts w:asciiTheme="majorBidi" w:hAnsiTheme="majorBidi" w:cstheme="majorBidi"/>
          <w:iCs/>
          <w:sz w:val="20"/>
          <w:szCs w:val="20"/>
          <w:lang w:val="en-ID"/>
        </w:rPr>
        <w:t xml:space="preserve">Faculty of Public Health, Universitas </w:t>
      </w:r>
      <w:proofErr w:type="spellStart"/>
      <w:r w:rsidRPr="005975F2">
        <w:rPr>
          <w:rFonts w:asciiTheme="majorBidi" w:hAnsiTheme="majorBidi" w:cstheme="majorBidi"/>
          <w:iCs/>
          <w:sz w:val="20"/>
          <w:szCs w:val="20"/>
          <w:lang w:val="en-ID"/>
        </w:rPr>
        <w:t>Diponegoro</w:t>
      </w:r>
      <w:proofErr w:type="spellEnd"/>
      <w:r w:rsidRPr="005975F2">
        <w:rPr>
          <w:rFonts w:asciiTheme="majorBidi" w:hAnsiTheme="majorBidi" w:cstheme="majorBidi"/>
          <w:iCs/>
          <w:sz w:val="20"/>
          <w:szCs w:val="20"/>
          <w:lang w:val="en-ID"/>
        </w:rPr>
        <w:t xml:space="preserve"> Semarang, </w:t>
      </w:r>
      <w:hyperlink r:id="rId10" w:history="1">
        <w:r w:rsidRPr="005975F2">
          <w:rPr>
            <w:rStyle w:val="Hyperlink"/>
            <w:rFonts w:asciiTheme="majorBidi" w:hAnsiTheme="majorBidi" w:cstheme="majorBidi"/>
            <w:iCs/>
            <w:sz w:val="20"/>
            <w:szCs w:val="20"/>
            <w:lang w:val="en-ID"/>
          </w:rPr>
          <w:t>ayunsriatmi@gmail.com</w:t>
        </w:r>
      </w:hyperlink>
      <w:r w:rsidRPr="005975F2">
        <w:rPr>
          <w:rFonts w:asciiTheme="majorBidi" w:hAnsiTheme="majorBidi" w:cstheme="majorBidi"/>
          <w:iCs/>
          <w:sz w:val="20"/>
          <w:szCs w:val="20"/>
          <w:lang w:val="en-ID"/>
        </w:rPr>
        <w:t xml:space="preserve"> </w:t>
      </w:r>
    </w:p>
    <w:p w14:paraId="3593B32A" w14:textId="77777777" w:rsidR="005975F2" w:rsidRPr="005975F2" w:rsidRDefault="005975F2" w:rsidP="005975F2">
      <w:pPr>
        <w:spacing w:after="0" w:line="240" w:lineRule="auto"/>
        <w:ind w:leftChars="194" w:left="565" w:hangingChars="69" w:hanging="138"/>
        <w:rPr>
          <w:rFonts w:asciiTheme="majorBidi" w:hAnsiTheme="majorBidi" w:cstheme="majorBidi"/>
          <w:sz w:val="20"/>
          <w:szCs w:val="20"/>
          <w:vertAlign w:val="superscript"/>
          <w:lang w:val="en-US" w:eastAsia="zh-CN"/>
        </w:rPr>
      </w:pPr>
      <w:r w:rsidRPr="005975F2">
        <w:rPr>
          <w:rFonts w:asciiTheme="majorBidi" w:hAnsiTheme="majorBidi" w:cstheme="majorBidi"/>
          <w:iCs/>
          <w:sz w:val="20"/>
          <w:szCs w:val="20"/>
          <w:vertAlign w:val="superscript"/>
          <w:lang w:val="en-ID"/>
        </w:rPr>
        <w:t xml:space="preserve">3 </w:t>
      </w:r>
      <w:r w:rsidRPr="005975F2">
        <w:rPr>
          <w:rFonts w:asciiTheme="majorBidi" w:hAnsiTheme="majorBidi" w:cstheme="majorBidi"/>
          <w:iCs/>
          <w:sz w:val="20"/>
          <w:szCs w:val="20"/>
          <w:lang w:val="en-ID"/>
        </w:rPr>
        <w:t xml:space="preserve">Faculty of Public Health, Universitas </w:t>
      </w:r>
      <w:proofErr w:type="spellStart"/>
      <w:r w:rsidRPr="005975F2">
        <w:rPr>
          <w:rFonts w:asciiTheme="majorBidi" w:hAnsiTheme="majorBidi" w:cstheme="majorBidi"/>
          <w:iCs/>
          <w:sz w:val="20"/>
          <w:szCs w:val="20"/>
          <w:lang w:val="en-ID"/>
        </w:rPr>
        <w:t>Diponegoro</w:t>
      </w:r>
      <w:proofErr w:type="spellEnd"/>
      <w:r w:rsidRPr="005975F2">
        <w:rPr>
          <w:rFonts w:asciiTheme="majorBidi" w:hAnsiTheme="majorBidi" w:cstheme="majorBidi"/>
          <w:iCs/>
          <w:sz w:val="20"/>
          <w:szCs w:val="20"/>
          <w:lang w:val="en-ID"/>
        </w:rPr>
        <w:t xml:space="preserve"> Semarang, </w:t>
      </w:r>
      <w:hyperlink r:id="rId11" w:history="1">
        <w:r w:rsidRPr="005975F2">
          <w:rPr>
            <w:rStyle w:val="Hyperlink"/>
            <w:rFonts w:asciiTheme="majorBidi" w:hAnsiTheme="majorBidi" w:cstheme="majorBidi"/>
            <w:iCs/>
            <w:sz w:val="20"/>
            <w:szCs w:val="20"/>
            <w:lang w:val="en-ID"/>
          </w:rPr>
          <w:t>asuryoputro@gmail.com</w:t>
        </w:r>
      </w:hyperlink>
      <w:r w:rsidRPr="005975F2">
        <w:rPr>
          <w:rFonts w:asciiTheme="majorBidi" w:hAnsiTheme="majorBidi" w:cstheme="majorBidi"/>
          <w:iCs/>
          <w:sz w:val="20"/>
          <w:szCs w:val="20"/>
          <w:lang w:val="en-ID"/>
        </w:rPr>
        <w:t xml:space="preserve"> </w:t>
      </w:r>
    </w:p>
    <w:p w14:paraId="7D2E47E4" w14:textId="77777777" w:rsidR="00690517" w:rsidRDefault="00B44173">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B081C47" w14:textId="421D6583" w:rsidR="00690517" w:rsidRDefault="00B44173" w:rsidP="005975F2">
      <w:pPr>
        <w:widowControl w:val="0"/>
        <w:spacing w:after="0" w:line="240" w:lineRule="auto"/>
        <w:ind w:left="0" w:hanging="2"/>
        <w:jc w:val="center"/>
        <w:rPr>
          <w:rStyle w:val="Hyperlink"/>
          <w:rFonts w:asciiTheme="majorBidi" w:hAnsiTheme="majorBidi" w:cstheme="majorBidi"/>
          <w:iCs/>
          <w:sz w:val="20"/>
          <w:szCs w:val="20"/>
          <w:lang w:val="en-ID"/>
        </w:rPr>
      </w:pPr>
      <w:r>
        <w:rPr>
          <w:rFonts w:ascii="Times New Roman" w:eastAsia="Times New Roman" w:hAnsi="Times New Roman" w:cs="Times New Roman"/>
          <w:sz w:val="20"/>
          <w:szCs w:val="20"/>
        </w:rPr>
        <w:t xml:space="preserve">Email corespondensi : </w:t>
      </w:r>
      <w:r w:rsidR="005975F2" w:rsidRPr="005975F2">
        <w:rPr>
          <w:rFonts w:asciiTheme="majorBidi" w:hAnsiTheme="majorBidi" w:cstheme="majorBidi"/>
          <w:sz w:val="20"/>
          <w:szCs w:val="20"/>
        </w:rPr>
        <w:fldChar w:fldCharType="begin"/>
      </w:r>
      <w:r w:rsidR="005975F2" w:rsidRPr="005975F2">
        <w:rPr>
          <w:rFonts w:asciiTheme="majorBidi" w:hAnsiTheme="majorBidi" w:cstheme="majorBidi"/>
          <w:sz w:val="20"/>
          <w:szCs w:val="20"/>
        </w:rPr>
        <w:instrText xml:space="preserve"> HYPERLINK "mailto:ayunsriatmi@gmail.com" </w:instrText>
      </w:r>
      <w:r w:rsidR="005975F2" w:rsidRPr="005975F2">
        <w:rPr>
          <w:rFonts w:asciiTheme="majorBidi" w:hAnsiTheme="majorBidi" w:cstheme="majorBidi"/>
          <w:sz w:val="20"/>
          <w:szCs w:val="20"/>
        </w:rPr>
        <w:fldChar w:fldCharType="separate"/>
      </w:r>
      <w:r w:rsidR="005975F2" w:rsidRPr="005975F2">
        <w:rPr>
          <w:rStyle w:val="Hyperlink"/>
          <w:rFonts w:asciiTheme="majorBidi" w:hAnsiTheme="majorBidi" w:cstheme="majorBidi"/>
          <w:iCs/>
          <w:sz w:val="20"/>
          <w:szCs w:val="20"/>
          <w:lang w:val="en-ID"/>
        </w:rPr>
        <w:t>ayunsriatmi@gmail.com</w:t>
      </w:r>
      <w:r w:rsidR="005975F2" w:rsidRPr="005975F2">
        <w:rPr>
          <w:rStyle w:val="Hyperlink"/>
          <w:rFonts w:asciiTheme="majorBidi" w:hAnsiTheme="majorBidi" w:cstheme="majorBidi"/>
          <w:iCs/>
          <w:sz w:val="20"/>
          <w:szCs w:val="20"/>
          <w:lang w:val="en-ID"/>
        </w:rPr>
        <w:fldChar w:fldCharType="end"/>
      </w:r>
    </w:p>
    <w:p w14:paraId="7CCC2DC6" w14:textId="77777777" w:rsidR="005975F2" w:rsidRDefault="005975F2" w:rsidP="005975F2">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690517" w14:paraId="793C51CB" w14:textId="77777777">
        <w:tc>
          <w:tcPr>
            <w:tcW w:w="1242" w:type="dxa"/>
          </w:tcPr>
          <w:p w14:paraId="51319015" w14:textId="77777777" w:rsidR="00690517" w:rsidRDefault="00690517">
            <w:pPr>
              <w:spacing w:after="0" w:line="240" w:lineRule="auto"/>
              <w:ind w:left="0" w:hanging="2"/>
              <w:jc w:val="center"/>
              <w:rPr>
                <w:rFonts w:ascii="Times New Roman" w:eastAsia="Times New Roman" w:hAnsi="Times New Roman" w:cs="Times New Roman"/>
                <w:sz w:val="18"/>
                <w:szCs w:val="18"/>
              </w:rPr>
            </w:pPr>
          </w:p>
          <w:p w14:paraId="7571499F" w14:textId="77777777" w:rsidR="00690517" w:rsidRDefault="00B44173">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16224A5B" w14:textId="77777777" w:rsidR="00690517" w:rsidRDefault="00690517">
            <w:pPr>
              <w:spacing w:after="0" w:line="240" w:lineRule="auto"/>
              <w:rPr>
                <w:rFonts w:ascii="Times New Roman" w:eastAsia="Times New Roman" w:hAnsi="Times New Roman" w:cs="Times New Roman"/>
                <w:sz w:val="12"/>
                <w:szCs w:val="12"/>
              </w:rPr>
            </w:pPr>
          </w:p>
          <w:p w14:paraId="3C8B469F" w14:textId="77777777" w:rsidR="00690517" w:rsidRDefault="00B44173">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14:paraId="46211921" w14:textId="77777777" w:rsidR="00690517" w:rsidRDefault="00690517">
            <w:pPr>
              <w:spacing w:after="0" w:line="240" w:lineRule="auto"/>
              <w:rPr>
                <w:rFonts w:ascii="Times New Roman" w:eastAsia="Times New Roman" w:hAnsi="Times New Roman" w:cs="Times New Roman"/>
                <w:sz w:val="12"/>
                <w:szCs w:val="12"/>
              </w:rPr>
            </w:pPr>
          </w:p>
          <w:p w14:paraId="7ECDD8E2" w14:textId="77777777" w:rsidR="00690517" w:rsidRDefault="00B44173">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3A064466" w14:textId="77777777" w:rsidR="00690517" w:rsidRDefault="00690517">
            <w:pPr>
              <w:spacing w:after="0" w:line="240" w:lineRule="auto"/>
              <w:ind w:left="1" w:hanging="3"/>
              <w:rPr>
                <w:rFonts w:ascii="Times New Roman" w:eastAsia="Times New Roman" w:hAnsi="Times New Roman" w:cs="Times New Roman"/>
                <w:color w:val="000000"/>
                <w:sz w:val="28"/>
                <w:szCs w:val="28"/>
              </w:rPr>
            </w:pPr>
          </w:p>
        </w:tc>
        <w:tc>
          <w:tcPr>
            <w:tcW w:w="8080" w:type="dxa"/>
          </w:tcPr>
          <w:p w14:paraId="21C4FAAA" w14:textId="30E188A3" w:rsidR="00690517" w:rsidRPr="006E3E62" w:rsidRDefault="00B44173" w:rsidP="0094620F">
            <w:pPr>
              <w:widowControl w:val="0"/>
              <w:spacing w:after="0" w:line="240" w:lineRule="auto"/>
              <w:ind w:left="0" w:right="-135" w:hanging="2"/>
              <w:jc w:val="center"/>
              <w:rPr>
                <w:rFonts w:ascii="Times New Roman" w:eastAsia="Times New Roman" w:hAnsi="Times New Roman" w:cs="Times New Roman"/>
                <w:sz w:val="20"/>
                <w:szCs w:val="20"/>
              </w:rPr>
            </w:pPr>
            <w:r w:rsidRPr="006E3E62">
              <w:rPr>
                <w:rFonts w:ascii="Times New Roman" w:eastAsia="Times New Roman" w:hAnsi="Times New Roman" w:cs="Times New Roman"/>
                <w:b/>
                <w:sz w:val="20"/>
                <w:szCs w:val="20"/>
              </w:rPr>
              <w:t>Abstract</w:t>
            </w:r>
          </w:p>
          <w:p w14:paraId="3DF12A23" w14:textId="2063DA2F" w:rsidR="0094620F" w:rsidRPr="0094620F" w:rsidRDefault="0094620F" w:rsidP="0094620F">
            <w:p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i/>
                <w:iCs/>
                <w:position w:val="0"/>
                <w:sz w:val="20"/>
                <w:szCs w:val="20"/>
                <w:lang w:val="en-ID" w:eastAsia="en-ID"/>
              </w:rPr>
            </w:pPr>
            <w:r w:rsidRPr="0094620F">
              <w:rPr>
                <w:rFonts w:ascii="Times New Roman" w:eastAsia="Times New Roman" w:hAnsi="Times New Roman" w:cs="Times New Roman"/>
                <w:i/>
                <w:iCs/>
                <w:position w:val="0"/>
                <w:sz w:val="20"/>
                <w:szCs w:val="20"/>
                <w:lang w:val="en-ID" w:eastAsia="en-ID"/>
              </w:rPr>
              <w:t>Loss to follow-up (</w:t>
            </w:r>
            <w:proofErr w:type="spellStart"/>
            <w:r w:rsidRPr="0094620F">
              <w:rPr>
                <w:rFonts w:ascii="Times New Roman" w:eastAsia="Times New Roman" w:hAnsi="Times New Roman" w:cs="Times New Roman"/>
                <w:i/>
                <w:iCs/>
                <w:position w:val="0"/>
                <w:sz w:val="20"/>
                <w:szCs w:val="20"/>
                <w:lang w:val="en-ID" w:eastAsia="en-ID"/>
              </w:rPr>
              <w:t>LtFU</w:t>
            </w:r>
            <w:proofErr w:type="spellEnd"/>
            <w:r w:rsidRPr="0094620F">
              <w:rPr>
                <w:rFonts w:ascii="Times New Roman" w:eastAsia="Times New Roman" w:hAnsi="Times New Roman" w:cs="Times New Roman"/>
                <w:i/>
                <w:iCs/>
                <w:position w:val="0"/>
                <w:sz w:val="20"/>
                <w:szCs w:val="20"/>
                <w:lang w:val="en-ID" w:eastAsia="en-ID"/>
              </w:rPr>
              <w:t xml:space="preserve">) among people living with HIV/AIDS (PLWHA) receiving antiretroviral (ARV) therapy remains a serious problem, as it contributes to treatment failure, increased drug resistance, and a higher risk of HIV transmission. The occurrence of </w:t>
            </w:r>
            <w:proofErr w:type="spellStart"/>
            <w:r w:rsidRPr="0094620F">
              <w:rPr>
                <w:rFonts w:ascii="Times New Roman" w:eastAsia="Times New Roman" w:hAnsi="Times New Roman" w:cs="Times New Roman"/>
                <w:i/>
                <w:iCs/>
                <w:position w:val="0"/>
                <w:sz w:val="20"/>
                <w:szCs w:val="20"/>
                <w:lang w:val="en-ID" w:eastAsia="en-ID"/>
              </w:rPr>
              <w:t>LtFU</w:t>
            </w:r>
            <w:proofErr w:type="spellEnd"/>
            <w:r w:rsidRPr="0094620F">
              <w:rPr>
                <w:rFonts w:ascii="Times New Roman" w:eastAsia="Times New Roman" w:hAnsi="Times New Roman" w:cs="Times New Roman"/>
                <w:i/>
                <w:iCs/>
                <w:position w:val="0"/>
                <w:sz w:val="20"/>
                <w:szCs w:val="20"/>
                <w:lang w:val="en-ID" w:eastAsia="en-ID"/>
              </w:rPr>
              <w:t xml:space="preserve"> is influenced by various individual, social, service-related, and structural factors that need to be comprehensively examined. This study aimed to </w:t>
            </w:r>
            <w:proofErr w:type="spellStart"/>
            <w:r w:rsidRPr="0094620F">
              <w:rPr>
                <w:rFonts w:ascii="Times New Roman" w:eastAsia="Times New Roman" w:hAnsi="Times New Roman" w:cs="Times New Roman"/>
                <w:i/>
                <w:iCs/>
                <w:position w:val="0"/>
                <w:sz w:val="20"/>
                <w:szCs w:val="20"/>
                <w:lang w:val="en-ID" w:eastAsia="en-ID"/>
              </w:rPr>
              <w:t>analyze</w:t>
            </w:r>
            <w:proofErr w:type="spellEnd"/>
            <w:r w:rsidRPr="0094620F">
              <w:rPr>
                <w:rFonts w:ascii="Times New Roman" w:eastAsia="Times New Roman" w:hAnsi="Times New Roman" w:cs="Times New Roman"/>
                <w:i/>
                <w:iCs/>
                <w:position w:val="0"/>
                <w:sz w:val="20"/>
                <w:szCs w:val="20"/>
                <w:lang w:val="en-ID" w:eastAsia="en-ID"/>
              </w:rPr>
              <w:t xml:space="preserve"> factors associated with loss to follow-up among PLWHA receiving ARV therapy in </w:t>
            </w:r>
            <w:proofErr w:type="spellStart"/>
            <w:r w:rsidRPr="0094620F">
              <w:rPr>
                <w:rFonts w:ascii="Times New Roman" w:eastAsia="Times New Roman" w:hAnsi="Times New Roman" w:cs="Times New Roman"/>
                <w:i/>
                <w:iCs/>
                <w:position w:val="0"/>
                <w:sz w:val="20"/>
                <w:szCs w:val="20"/>
                <w:lang w:val="en-ID" w:eastAsia="en-ID"/>
              </w:rPr>
              <w:t>Demak</w:t>
            </w:r>
            <w:proofErr w:type="spellEnd"/>
            <w:r w:rsidRPr="0094620F">
              <w:rPr>
                <w:rFonts w:ascii="Times New Roman" w:eastAsia="Times New Roman" w:hAnsi="Times New Roman" w:cs="Times New Roman"/>
                <w:i/>
                <w:iCs/>
                <w:position w:val="0"/>
                <w:sz w:val="20"/>
                <w:szCs w:val="20"/>
                <w:lang w:val="en-ID" w:eastAsia="en-ID"/>
              </w:rPr>
              <w:t xml:space="preserve"> Regency.</w:t>
            </w:r>
            <w:r>
              <w:rPr>
                <w:rFonts w:ascii="Times New Roman" w:eastAsia="Times New Roman" w:hAnsi="Times New Roman" w:cs="Times New Roman"/>
                <w:i/>
                <w:iCs/>
                <w:position w:val="0"/>
                <w:sz w:val="20"/>
                <w:szCs w:val="20"/>
                <w:lang w:val="en-ID" w:eastAsia="en-ID"/>
              </w:rPr>
              <w:t xml:space="preserve"> </w:t>
            </w:r>
            <w:r w:rsidRPr="0094620F">
              <w:rPr>
                <w:rFonts w:ascii="Times New Roman" w:eastAsia="Times New Roman" w:hAnsi="Times New Roman" w:cs="Times New Roman"/>
                <w:i/>
                <w:iCs/>
                <w:position w:val="0"/>
                <w:sz w:val="20"/>
                <w:szCs w:val="20"/>
                <w:lang w:val="en-ID" w:eastAsia="en-ID"/>
              </w:rPr>
              <w:t>This quantitative study employed an observational analytic design with a cross-sectional approach. The study sample consisted of 199 PLWHA undergoing ARV therapy, selected according to the inclusion criteria. The independent variables included knowledge, attitudes, perceptions, family support, peer support, stigma, healthcare worker support, quality of health services, access to services, and health service policies. Data were collected using questionnaires that had been tested for validity and reliability. Data analysis was conducted using univariate, bivariate (chi-square), and multivariate (logistic regression) analyses with a significance level of 0.05.</w:t>
            </w:r>
            <w:r>
              <w:rPr>
                <w:rFonts w:ascii="Times New Roman" w:eastAsia="Times New Roman" w:hAnsi="Times New Roman" w:cs="Times New Roman"/>
                <w:i/>
                <w:iCs/>
                <w:position w:val="0"/>
                <w:sz w:val="20"/>
                <w:szCs w:val="20"/>
                <w:lang w:val="en-ID" w:eastAsia="en-ID"/>
              </w:rPr>
              <w:t xml:space="preserve"> </w:t>
            </w:r>
            <w:r w:rsidRPr="0094620F">
              <w:rPr>
                <w:rFonts w:ascii="Times New Roman" w:eastAsia="Times New Roman" w:hAnsi="Times New Roman" w:cs="Times New Roman"/>
                <w:i/>
                <w:iCs/>
                <w:position w:val="0"/>
                <w:sz w:val="20"/>
                <w:szCs w:val="20"/>
                <w:lang w:val="en-ID" w:eastAsia="en-ID"/>
              </w:rPr>
              <w:t xml:space="preserve">The results showed that most respondents were of productive age, predominantly female, and had relatively stable clinical conditions. Bivariate analysis indicated that all independent variables were significantly associated with </w:t>
            </w:r>
            <w:proofErr w:type="spellStart"/>
            <w:r w:rsidRPr="0094620F">
              <w:rPr>
                <w:rFonts w:ascii="Times New Roman" w:eastAsia="Times New Roman" w:hAnsi="Times New Roman" w:cs="Times New Roman"/>
                <w:i/>
                <w:iCs/>
                <w:position w:val="0"/>
                <w:sz w:val="20"/>
                <w:szCs w:val="20"/>
                <w:lang w:val="en-ID" w:eastAsia="en-ID"/>
              </w:rPr>
              <w:t>LtFU</w:t>
            </w:r>
            <w:proofErr w:type="spellEnd"/>
            <w:r w:rsidRPr="0094620F">
              <w:rPr>
                <w:rFonts w:ascii="Times New Roman" w:eastAsia="Times New Roman" w:hAnsi="Times New Roman" w:cs="Times New Roman"/>
                <w:i/>
                <w:iCs/>
                <w:position w:val="0"/>
                <w:sz w:val="20"/>
                <w:szCs w:val="20"/>
                <w:lang w:val="en-ID" w:eastAsia="en-ID"/>
              </w:rPr>
              <w:t xml:space="preserve"> (p &lt; 0.05). The factors with the highest risk for </w:t>
            </w:r>
            <w:proofErr w:type="spellStart"/>
            <w:r w:rsidRPr="0094620F">
              <w:rPr>
                <w:rFonts w:ascii="Times New Roman" w:eastAsia="Times New Roman" w:hAnsi="Times New Roman" w:cs="Times New Roman"/>
                <w:i/>
                <w:iCs/>
                <w:position w:val="0"/>
                <w:sz w:val="20"/>
                <w:szCs w:val="20"/>
                <w:lang w:val="en-ID" w:eastAsia="en-ID"/>
              </w:rPr>
              <w:t>LtFU</w:t>
            </w:r>
            <w:proofErr w:type="spellEnd"/>
            <w:r w:rsidRPr="0094620F">
              <w:rPr>
                <w:rFonts w:ascii="Times New Roman" w:eastAsia="Times New Roman" w:hAnsi="Times New Roman" w:cs="Times New Roman"/>
                <w:i/>
                <w:iCs/>
                <w:position w:val="0"/>
                <w:sz w:val="20"/>
                <w:szCs w:val="20"/>
                <w:lang w:val="en-ID" w:eastAsia="en-ID"/>
              </w:rPr>
              <w:t xml:space="preserve"> were inadequate support from healthcare workers, difficult access to health services, and low family support. These findings indicate that </w:t>
            </w:r>
            <w:proofErr w:type="spellStart"/>
            <w:r w:rsidRPr="0094620F">
              <w:rPr>
                <w:rFonts w:ascii="Times New Roman" w:eastAsia="Times New Roman" w:hAnsi="Times New Roman" w:cs="Times New Roman"/>
                <w:i/>
                <w:iCs/>
                <w:position w:val="0"/>
                <w:sz w:val="20"/>
                <w:szCs w:val="20"/>
                <w:lang w:val="en-ID" w:eastAsia="en-ID"/>
              </w:rPr>
              <w:t>LtFU</w:t>
            </w:r>
            <w:proofErr w:type="spellEnd"/>
            <w:r w:rsidRPr="0094620F">
              <w:rPr>
                <w:rFonts w:ascii="Times New Roman" w:eastAsia="Times New Roman" w:hAnsi="Times New Roman" w:cs="Times New Roman"/>
                <w:i/>
                <w:iCs/>
                <w:position w:val="0"/>
                <w:sz w:val="20"/>
                <w:szCs w:val="20"/>
                <w:lang w:val="en-ID" w:eastAsia="en-ID"/>
              </w:rPr>
              <w:t xml:space="preserve"> is influenced by the interaction of individual, social, service-related, and structural factors.</w:t>
            </w:r>
            <w:r>
              <w:rPr>
                <w:rFonts w:ascii="Times New Roman" w:eastAsia="Times New Roman" w:hAnsi="Times New Roman" w:cs="Times New Roman"/>
                <w:i/>
                <w:iCs/>
                <w:position w:val="0"/>
                <w:sz w:val="20"/>
                <w:szCs w:val="20"/>
                <w:lang w:val="en-ID" w:eastAsia="en-ID"/>
              </w:rPr>
              <w:t xml:space="preserve"> </w:t>
            </w:r>
            <w:r w:rsidRPr="0094620F">
              <w:rPr>
                <w:rFonts w:ascii="Times New Roman" w:eastAsia="Times New Roman" w:hAnsi="Times New Roman" w:cs="Times New Roman"/>
                <w:i/>
                <w:iCs/>
                <w:position w:val="0"/>
                <w:sz w:val="20"/>
                <w:szCs w:val="20"/>
                <w:lang w:val="en-ID" w:eastAsia="en-ID"/>
              </w:rPr>
              <w:t xml:space="preserve">In conclusion, loss to follow-up among PLWHA in </w:t>
            </w:r>
            <w:proofErr w:type="spellStart"/>
            <w:r w:rsidRPr="0094620F">
              <w:rPr>
                <w:rFonts w:ascii="Times New Roman" w:eastAsia="Times New Roman" w:hAnsi="Times New Roman" w:cs="Times New Roman"/>
                <w:i/>
                <w:iCs/>
                <w:position w:val="0"/>
                <w:sz w:val="20"/>
                <w:szCs w:val="20"/>
                <w:lang w:val="en-ID" w:eastAsia="en-ID"/>
              </w:rPr>
              <w:t>Demak</w:t>
            </w:r>
            <w:proofErr w:type="spellEnd"/>
            <w:r w:rsidRPr="0094620F">
              <w:rPr>
                <w:rFonts w:ascii="Times New Roman" w:eastAsia="Times New Roman" w:hAnsi="Times New Roman" w:cs="Times New Roman"/>
                <w:i/>
                <w:iCs/>
                <w:position w:val="0"/>
                <w:sz w:val="20"/>
                <w:szCs w:val="20"/>
                <w:lang w:val="en-ID" w:eastAsia="en-ID"/>
              </w:rPr>
              <w:t xml:space="preserve"> Regency is influenced by multiple multidimensional factors. Strengthening healthcare worker support, improving access and quality of services, reducing stigma, and reinforcing policies and patient monitoring systems are essential to enhance ARV treatment retention and prevent </w:t>
            </w:r>
            <w:proofErr w:type="spellStart"/>
            <w:r w:rsidRPr="0094620F">
              <w:rPr>
                <w:rFonts w:ascii="Times New Roman" w:eastAsia="Times New Roman" w:hAnsi="Times New Roman" w:cs="Times New Roman"/>
                <w:i/>
                <w:iCs/>
                <w:position w:val="0"/>
                <w:sz w:val="20"/>
                <w:szCs w:val="20"/>
                <w:lang w:val="en-ID" w:eastAsia="en-ID"/>
              </w:rPr>
              <w:t>LtFU</w:t>
            </w:r>
            <w:proofErr w:type="spellEnd"/>
            <w:r w:rsidRPr="0094620F">
              <w:rPr>
                <w:rFonts w:ascii="Times New Roman" w:eastAsia="Times New Roman" w:hAnsi="Times New Roman" w:cs="Times New Roman"/>
                <w:i/>
                <w:iCs/>
                <w:position w:val="0"/>
                <w:sz w:val="20"/>
                <w:szCs w:val="20"/>
                <w:lang w:val="en-ID" w:eastAsia="en-ID"/>
              </w:rPr>
              <w:t>.</w:t>
            </w:r>
          </w:p>
          <w:p w14:paraId="2274E32F" w14:textId="1DC4A1C9" w:rsidR="00690517" w:rsidRPr="0094620F" w:rsidRDefault="0094620F" w:rsidP="0094620F">
            <w:p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i/>
                <w:iCs/>
                <w:position w:val="0"/>
                <w:sz w:val="20"/>
                <w:szCs w:val="20"/>
                <w:lang w:val="en-ID" w:eastAsia="en-ID"/>
              </w:rPr>
            </w:pPr>
            <w:r w:rsidRPr="0094620F">
              <w:rPr>
                <w:rFonts w:ascii="Times New Roman" w:eastAsia="Times New Roman" w:hAnsi="Times New Roman" w:cs="Times New Roman"/>
                <w:b/>
                <w:bCs/>
                <w:i/>
                <w:iCs/>
                <w:position w:val="0"/>
                <w:sz w:val="20"/>
                <w:szCs w:val="20"/>
                <w:lang w:val="en-ID" w:eastAsia="en-ID"/>
              </w:rPr>
              <w:t>Keywords:</w:t>
            </w:r>
            <w:r w:rsidRPr="0094620F">
              <w:rPr>
                <w:rFonts w:ascii="Times New Roman" w:eastAsia="Times New Roman" w:hAnsi="Times New Roman" w:cs="Times New Roman"/>
                <w:i/>
                <w:iCs/>
                <w:position w:val="0"/>
                <w:sz w:val="20"/>
                <w:szCs w:val="20"/>
                <w:lang w:val="en-ID" w:eastAsia="en-ID"/>
              </w:rPr>
              <w:t xml:space="preserve"> HIV/AIDS, antiretroviral, loss to follow-up, risk factors.</w:t>
            </w:r>
          </w:p>
        </w:tc>
      </w:tr>
    </w:tbl>
    <w:p w14:paraId="1A1AE324" w14:textId="77777777" w:rsidR="00690517" w:rsidRDefault="00690517">
      <w:pPr>
        <w:pBdr>
          <w:bottom w:val="single" w:sz="4" w:space="0" w:color="000000"/>
        </w:pBdr>
        <w:spacing w:after="0" w:line="240" w:lineRule="auto"/>
        <w:ind w:left="0" w:hanging="2"/>
        <w:jc w:val="both"/>
        <w:rPr>
          <w:rFonts w:ascii="Times New Roman" w:eastAsia="Times New Roman" w:hAnsi="Times New Roman" w:cs="Times New Roman"/>
        </w:rPr>
        <w:sectPr w:rsidR="00690517">
          <w:headerReference w:type="even" r:id="rId12"/>
          <w:headerReference w:type="default" r:id="rId13"/>
          <w:footerReference w:type="default" r:id="rId14"/>
          <w:headerReference w:type="first" r:id="rId15"/>
          <w:pgSz w:w="11906" w:h="16838"/>
          <w:pgMar w:top="1440" w:right="1440" w:bottom="1440" w:left="1440" w:header="709" w:footer="709" w:gutter="0"/>
          <w:pgNumType w:start="91"/>
          <w:cols w:space="720"/>
          <w:titlePg/>
        </w:sectPr>
      </w:pPr>
    </w:p>
    <w:p w14:paraId="1488A270" w14:textId="77777777" w:rsidR="00690517" w:rsidRDefault="00690517">
      <w:pPr>
        <w:spacing w:line="240" w:lineRule="auto"/>
        <w:ind w:left="0" w:hanging="2"/>
        <w:jc w:val="both"/>
        <w:rPr>
          <w:rFonts w:ascii="Times New Roman" w:eastAsia="Times New Roman" w:hAnsi="Times New Roman" w:cs="Times New Roman"/>
        </w:rPr>
        <w:sectPr w:rsidR="00690517">
          <w:type w:val="continuous"/>
          <w:pgSz w:w="11906" w:h="16838"/>
          <w:pgMar w:top="1440" w:right="1440" w:bottom="1440" w:left="1440" w:header="709" w:footer="709" w:gutter="0"/>
          <w:cols w:space="720"/>
          <w:titlePg/>
        </w:sectPr>
      </w:pPr>
    </w:p>
    <w:p w14:paraId="58CC6BAB" w14:textId="64443F51" w:rsidR="00690517" w:rsidRDefault="00B44173" w:rsidP="00024EE5">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INTRODUCTION</w:t>
      </w:r>
    </w:p>
    <w:p w14:paraId="48914645" w14:textId="3C2DB561" w:rsidR="00557615" w:rsidRPr="00024EE5" w:rsidRDefault="0094620F" w:rsidP="00024EE5">
      <w:pPr>
        <w:pStyle w:val="BodyText"/>
        <w:spacing w:line="360" w:lineRule="auto"/>
        <w:ind w:left="-2" w:right="-2" w:firstLineChars="257" w:firstLine="617"/>
        <w:rPr>
          <w:rFonts w:asciiTheme="majorBidi" w:hAnsiTheme="majorBidi" w:cstheme="majorBidi"/>
        </w:rPr>
      </w:pPr>
      <w:bookmarkStart w:id="1" w:name="_Hlk211455528"/>
      <w:r>
        <w:t>HIV/AIDS remains a complex global health issue that poses major challenges</w:t>
      </w:r>
      <w:r>
        <w:t xml:space="preserve"> </w:t>
      </w:r>
      <w:r w:rsidR="00557615" w:rsidRPr="00024EE5">
        <w:rPr>
          <w:rFonts w:asciiTheme="majorBidi" w:hAnsiTheme="majorBidi" w:cstheme="majorBidi"/>
        </w:rPr>
        <w:fldChar w:fldCharType="begin" w:fldLock="1"/>
      </w:r>
      <w:r w:rsidR="00557615" w:rsidRPr="00024EE5">
        <w:rPr>
          <w:rFonts w:asciiTheme="majorBidi" w:hAnsiTheme="majorBidi" w:cstheme="majorBidi"/>
        </w:rPr>
        <w:instrText>ADDIN CSL_CITATION {"citationItems":[{"id":"ITEM-1","itemData":{"ISBN":"9786239757786","abstract":"This study aims to determine the effect of corporate social responsibility disclosure, capital intensity ratio, inventory intensity ratio and tax avoidance. This study uses a sample of manufacturing companies listed on the Indonesia Stock Exchange during the 2016-2018 period. A total of 99 property and real estate company-year were sampled in this study. The sample technique used in this research is side purposive method. The data used in this research is secondary data. The research data was obtained from the website www.idx.co.id. The data obtained and collected were then processed using the SPSS version 24 application. The results showed that the effect of corporate social responsibility disclosure with a significance value, the ratio of capital intensity with a significance value, and the ratio of inventory intensity with a significance effect on tax avoidance. This study provides theoretical implications, namely disclosure of corporate social responsibility, capital intensity ratios, and inventory intensity ratios which have a positive effect on tax avoidance. The results of this study support the agency theory that high quality company profits will accurately reflect the company's operational performance and reduce corporate tax avoidance efforts.","author":[{"dropping-particle":"","family":"Ariyani","given":"Atik","non-dropping-particle":"","parse-names":false,"suffix":""},{"dropping-particle":"","family":"Widiyono","given":"","non-dropping-particle":"","parse-names":false,"suffix":""},{"dropping-particle":"","family":"Suwarni","given":"Anik","non-dropping-particle":"","parse-names":false,"suffix":""}],"id":"ITEM-1","issued":{"date-parts":[["2021"]]},"publisher":"Lima Aksara","publisher-place":"Jombang","title":"Buku Ajar HIV/AIDS","type":"book"},"uris":["http://www.mendeley.com/documents/?uuid=93e5bc5c-c8a9-4755-8e29-4fc34fdfda74"]}],"mendeley":{"formattedCitation":"(Ariyani et al., 2021)","plainTextFormattedCitation":"(Ariyani et al., 2021)","previouslyFormattedCitation":"(Ariyani et al., 2021)"},"properties":{"noteIndex":0},"schema":"https://github.com/citation-style-language/schema/raw/master/csl-citation.json"}</w:instrText>
      </w:r>
      <w:r w:rsidR="00557615" w:rsidRPr="00024EE5">
        <w:rPr>
          <w:rFonts w:asciiTheme="majorBidi" w:hAnsiTheme="majorBidi" w:cstheme="majorBidi"/>
        </w:rPr>
        <w:fldChar w:fldCharType="separate"/>
      </w:r>
      <w:r w:rsidR="00557615" w:rsidRPr="00024EE5">
        <w:rPr>
          <w:rFonts w:asciiTheme="majorBidi" w:hAnsiTheme="majorBidi" w:cstheme="majorBidi"/>
          <w:noProof/>
        </w:rPr>
        <w:t>(Ariyani et al., 2021)</w:t>
      </w:r>
      <w:r w:rsidR="00557615" w:rsidRPr="00024EE5">
        <w:rPr>
          <w:rFonts w:asciiTheme="majorBidi" w:hAnsiTheme="majorBidi" w:cstheme="majorBidi"/>
        </w:rPr>
        <w:fldChar w:fldCharType="end"/>
      </w:r>
      <w:r w:rsidR="00557615" w:rsidRPr="00024EE5">
        <w:rPr>
          <w:rFonts w:asciiTheme="majorBidi" w:hAnsiTheme="majorBidi" w:cstheme="majorBidi"/>
        </w:rPr>
        <w:t xml:space="preserve">. </w:t>
      </w:r>
      <w:r>
        <w:t xml:space="preserve">The 2023 report of the United Nations </w:t>
      </w:r>
      <w:proofErr w:type="spellStart"/>
      <w:r>
        <w:t>Programme</w:t>
      </w:r>
      <w:proofErr w:type="spellEnd"/>
      <w:r>
        <w:t xml:space="preserve"> on HIV/AIDS (UNAIDS) indicated that the number of people living with HIV reached 39.9 million worldwide (range 36.1–44.6 million)</w:t>
      </w:r>
      <w:r>
        <w:t xml:space="preserve"> </w:t>
      </w:r>
      <w:r w:rsidR="00557615" w:rsidRPr="00024EE5">
        <w:rPr>
          <w:rFonts w:asciiTheme="majorBidi" w:hAnsiTheme="majorBidi" w:cstheme="majorBidi"/>
        </w:rPr>
        <w:fldChar w:fldCharType="begin" w:fldLock="1"/>
      </w:r>
      <w:r w:rsidR="00557615" w:rsidRPr="00024EE5">
        <w:rPr>
          <w:rFonts w:asciiTheme="majorBidi" w:hAnsiTheme="majorBidi" w:cstheme="majorBidi"/>
        </w:rPr>
        <w:instrText>ADDIN CSL_CITATION {"citationItems":[{"id":"ITEM-1","itemData":{"URL":"https://www.unaids.org/en/resources/documents","author":[{"dropping-particle":"","family":"UNAIDS","given":"","non-dropping-particle":"","parse-names":false,"suffix":""}],"container-title":"UNAIDS","id":"ITEM-1","issued":{"date-parts":[["2025"]]},"title":"2024 Global AIDS Report — The Urgency of Now: AIDS at a Crossroads","type":"webpage"},"uris":["http://www.mendeley.com/documents/?uuid=a205282c-a4c8-49aa-be83-db5d14f856f4"]}],"mendeley":{"formattedCitation":"(UNAIDS, 2025)","plainTextFormattedCitation":"(UNAIDS, 2025)","previouslyFormattedCitation":"(UNAIDS, 2025)"},"properties":{"noteIndex":0},"schema":"https://github.com/citation-style-language/schema/raw/master/csl-citation.json"}</w:instrText>
      </w:r>
      <w:r w:rsidR="00557615" w:rsidRPr="00024EE5">
        <w:rPr>
          <w:rFonts w:asciiTheme="majorBidi" w:hAnsiTheme="majorBidi" w:cstheme="majorBidi"/>
        </w:rPr>
        <w:fldChar w:fldCharType="separate"/>
      </w:r>
      <w:r w:rsidR="00557615" w:rsidRPr="00024EE5">
        <w:rPr>
          <w:rFonts w:asciiTheme="majorBidi" w:hAnsiTheme="majorBidi" w:cstheme="majorBidi"/>
          <w:noProof/>
        </w:rPr>
        <w:t>(UNAIDS, 2025)</w:t>
      </w:r>
      <w:r w:rsidR="00557615" w:rsidRPr="00024EE5">
        <w:rPr>
          <w:rFonts w:asciiTheme="majorBidi" w:hAnsiTheme="majorBidi" w:cstheme="majorBidi"/>
        </w:rPr>
        <w:fldChar w:fldCharType="end"/>
      </w:r>
      <w:r w:rsidR="00557615" w:rsidRPr="00024EE5">
        <w:rPr>
          <w:rFonts w:asciiTheme="majorBidi" w:hAnsiTheme="majorBidi" w:cstheme="majorBidi"/>
        </w:rPr>
        <w:t>.</w:t>
      </w:r>
      <w:r w:rsidR="00557615" w:rsidRPr="00024EE5">
        <w:rPr>
          <w:rFonts w:asciiTheme="majorBidi" w:hAnsiTheme="majorBidi" w:cstheme="majorBidi"/>
        </w:rPr>
        <w:t xml:space="preserve"> </w:t>
      </w:r>
      <w:r>
        <w:t>Data from 2024 suggest that this number remained relatively stable, comprising 38.6 million adults and 1.4 million children. In Asia, 410,000 people were reported to be living with HIV in 2023, with 69,000 new cases recorded during the same year</w:t>
      </w:r>
      <w:r>
        <w:t xml:space="preserve"> </w:t>
      </w:r>
      <w:r w:rsidR="00557615" w:rsidRPr="00024EE5">
        <w:rPr>
          <w:rFonts w:asciiTheme="majorBidi" w:hAnsiTheme="majorBidi" w:cstheme="majorBidi"/>
        </w:rPr>
        <w:fldChar w:fldCharType="begin" w:fldLock="1"/>
      </w:r>
      <w:r w:rsidR="00EF5E65" w:rsidRPr="00024EE5">
        <w:rPr>
          <w:rFonts w:asciiTheme="majorBidi" w:hAnsiTheme="majorBidi" w:cstheme="majorBidi"/>
        </w:rPr>
        <w:instrText>ADDIN CSL_CITATION {"citationItems":[{"id":"ITEM-1","itemData":{"URL":"https://cdn.who.int/media/docs/default-source/hq-hiv-hepatitis-and-stis-library/hiv-epi-fact-sheet-march-2025.pdf?sfvrsn=61d39578_12","author":[{"dropping-particle":"","family":"World Health Organization (WHO)","given":"","non-dropping-particle":"","parse-names":false,"suffix":""}],"container-title":"who","id":"ITEM-1","issued":{"date-parts":[["2025"]]},"page":"1-8","title":"HIV statistics, globally and by WHO region","type":"webpage"},"uris":["http://www.mendeley.com/documents/?uuid=c713fc21-7e36-47a7-a2aa-2f6628194fbc"]}],"mendeley":{"formattedCitation":"(World Health Organization (WHO), 2025)","plainTextFormattedCitation":"(World Health Organization (WHO), 2025)","previouslyFormattedCitation":"(World Health Organization (WHO), 2025)"},"properties":{"noteIndex":0},"schema":"https://github.com/citation-style-language/schema/raw/master/csl-citation.json"}</w:instrText>
      </w:r>
      <w:r w:rsidR="00557615" w:rsidRPr="00024EE5">
        <w:rPr>
          <w:rFonts w:asciiTheme="majorBidi" w:hAnsiTheme="majorBidi" w:cstheme="majorBidi"/>
        </w:rPr>
        <w:fldChar w:fldCharType="separate"/>
      </w:r>
      <w:r w:rsidR="00557615" w:rsidRPr="00024EE5">
        <w:rPr>
          <w:rFonts w:asciiTheme="majorBidi" w:hAnsiTheme="majorBidi" w:cstheme="majorBidi"/>
          <w:noProof/>
        </w:rPr>
        <w:t>(World Health Organization (WHO), 2025)</w:t>
      </w:r>
      <w:r w:rsidR="00557615" w:rsidRPr="00024EE5">
        <w:rPr>
          <w:rFonts w:asciiTheme="majorBidi" w:hAnsiTheme="majorBidi" w:cstheme="majorBidi"/>
        </w:rPr>
        <w:fldChar w:fldCharType="end"/>
      </w:r>
      <w:r w:rsidR="00557615" w:rsidRPr="00024EE5">
        <w:rPr>
          <w:rFonts w:asciiTheme="majorBidi" w:hAnsiTheme="majorBidi" w:cstheme="majorBidi"/>
        </w:rPr>
        <w:t xml:space="preserve">. </w:t>
      </w:r>
      <w:r>
        <w:t xml:space="preserve">Cumulatively, the number of HIV cases in Indonesia reached 427,201 by December 2024. During the period from January to June </w:t>
      </w:r>
      <w:r>
        <w:lastRenderedPageBreak/>
        <w:t>2025, a total of 22,331 people living with HIV (PLHIV) were identified from 2,018,641 individuals who underwent HIV testing, and 18,749 of them received antiretroviral therapy (ART)</w:t>
      </w:r>
      <w:r>
        <w:t xml:space="preserve"> </w:t>
      </w:r>
      <w:r w:rsidR="00557615" w:rsidRPr="00024EE5">
        <w:rPr>
          <w:rFonts w:asciiTheme="majorBidi" w:eastAsia="Arial MT" w:hAnsiTheme="majorBidi" w:cstheme="majorBidi"/>
        </w:rPr>
        <w:fldChar w:fldCharType="begin" w:fldLock="1"/>
      </w:r>
      <w:r w:rsidR="00557615" w:rsidRPr="00024EE5">
        <w:rPr>
          <w:rFonts w:asciiTheme="majorBidi" w:eastAsia="Arial MT" w:hAnsiTheme="majorBidi" w:cstheme="majorBidi"/>
        </w:rPr>
        <w:instrText>ADDIN CSL_CITATION {"citationItems":[{"id":"ITEM-1","itemData":{"author":[{"dropping-particle":"","family":"Kemenkes RI","given":"","non-dropping-particle":"","parse-names":false,"suffix":""}],"id":"ITEM-1","issued":{"date-parts":[["2025"]]},"publisher":"Kemenkes RI","publisher-place":"Jakarta","title":"Laporan Eksekutif Perkembangan HIV AIDS dan Penyakit Infeksi Menular Seksual (PIMS)","type":"book"},"uris":["http://www.mendeley.com/documents/?uuid=1eb95f56-5298-4764-a7e3-0b5b44b9a229"]}],"mendeley":{"formattedCitation":"(Kemenkes RI, 2025)","plainTextFormattedCitation":"(Kemenkes RI, 2025)","previouslyFormattedCitation":"(Kemenkes RI, 2025)"},"properties":{"noteIndex":0},"schema":"https://github.com/citation-style-language/schema/raw/master/csl-citation.json"}</w:instrText>
      </w:r>
      <w:r w:rsidR="00557615" w:rsidRPr="00024EE5">
        <w:rPr>
          <w:rFonts w:asciiTheme="majorBidi" w:eastAsia="Arial MT" w:hAnsiTheme="majorBidi" w:cstheme="majorBidi"/>
        </w:rPr>
        <w:fldChar w:fldCharType="separate"/>
      </w:r>
      <w:r w:rsidR="00557615" w:rsidRPr="00024EE5">
        <w:rPr>
          <w:rFonts w:asciiTheme="majorBidi" w:eastAsia="Arial MT" w:hAnsiTheme="majorBidi" w:cstheme="majorBidi"/>
          <w:noProof/>
        </w:rPr>
        <w:t>(Kemenkes RI, 2025)</w:t>
      </w:r>
      <w:r w:rsidR="00557615" w:rsidRPr="00024EE5">
        <w:rPr>
          <w:rFonts w:asciiTheme="majorBidi" w:eastAsia="Arial MT" w:hAnsiTheme="majorBidi" w:cstheme="majorBidi"/>
        </w:rPr>
        <w:fldChar w:fldCharType="end"/>
      </w:r>
      <w:r w:rsidR="00557615" w:rsidRPr="00024EE5">
        <w:rPr>
          <w:rFonts w:asciiTheme="majorBidi" w:hAnsiTheme="majorBidi" w:cstheme="majorBidi"/>
        </w:rPr>
        <w:t xml:space="preserve">. </w:t>
      </w:r>
    </w:p>
    <w:p w14:paraId="02C09B4F" w14:textId="1BA47CC8" w:rsidR="00497874" w:rsidRDefault="0094620F" w:rsidP="00497874">
      <w:pPr>
        <w:pStyle w:val="BodyText"/>
        <w:spacing w:line="360" w:lineRule="auto"/>
        <w:ind w:left="-2" w:right="-2" w:firstLineChars="257" w:firstLine="617"/>
        <w:rPr>
          <w:rFonts w:asciiTheme="majorBidi" w:eastAsia="Arial MT" w:hAnsiTheme="majorBidi" w:cstheme="majorBidi"/>
        </w:rPr>
      </w:pPr>
      <w:r>
        <w:t>HIV/AIDS control efforts are coordinated by UNAIDS through the 95–95–95 targets for 2030, which aim for 95% of PLHIV to know their HIV status, 95% of those diagnosed to receive ART, and 95% of those on treatment to achieve viral load suppression. Supporting strategies include the Fast-Track Cities approach, prevention through Pre-Exposure Prophylaxis (</w:t>
      </w:r>
      <w:proofErr w:type="spellStart"/>
      <w:r>
        <w:t>PrEP</w:t>
      </w:r>
      <w:proofErr w:type="spellEnd"/>
      <w:r>
        <w:t>), and strengthening community education</w:t>
      </w:r>
      <w:r>
        <w:t xml:space="preserve"> </w:t>
      </w:r>
      <w:r w:rsidR="00557615" w:rsidRPr="00024EE5">
        <w:rPr>
          <w:rFonts w:asciiTheme="majorBidi" w:hAnsiTheme="majorBidi" w:cstheme="majorBidi"/>
          <w:lang w:eastAsia="en-ID"/>
        </w:rPr>
        <w:fldChar w:fldCharType="begin" w:fldLock="1"/>
      </w:r>
      <w:r w:rsidR="00557615" w:rsidRPr="00024EE5">
        <w:rPr>
          <w:rFonts w:asciiTheme="majorBidi" w:hAnsiTheme="majorBidi" w:cstheme="majorBidi"/>
          <w:lang w:eastAsia="en-ID"/>
        </w:rPr>
        <w:instrText>ADDIN CSL_CITATION {"citationItems":[{"id":"ITEM-1","itemData":{"URL":"https://www.unaids.org/en/resources/documents","author":[{"dropping-particle":"","family":"UNAIDS","given":"","non-dropping-particle":"","parse-names":false,"suffix":""}],"container-title":"UNAIDS","id":"ITEM-1","issued":{"date-parts":[["2025"]]},"title":"2024 Global AIDS Report — The Urgency of Now: AIDS at a Crossroads","type":"webpage"},"uris":["http://www.mendeley.com/documents/?uuid=a205282c-a4c8-49aa-be83-db5d14f856f4"]}],"mendeley":{"formattedCitation":"(UNAIDS, 2025)","plainTextFormattedCitation":"(UNAIDS, 2025)","previouslyFormattedCitation":"(UNAIDS, 2025)"},"properties":{"noteIndex":0},"schema":"https://github.com/citation-style-language/schema/raw/master/csl-citation.json"}</w:instrText>
      </w:r>
      <w:r w:rsidR="00557615" w:rsidRPr="00024EE5">
        <w:rPr>
          <w:rFonts w:asciiTheme="majorBidi" w:hAnsiTheme="majorBidi" w:cstheme="majorBidi"/>
          <w:lang w:eastAsia="en-ID"/>
        </w:rPr>
        <w:fldChar w:fldCharType="separate"/>
      </w:r>
      <w:r w:rsidR="00557615" w:rsidRPr="00024EE5">
        <w:rPr>
          <w:rFonts w:asciiTheme="majorBidi" w:hAnsiTheme="majorBidi" w:cstheme="majorBidi"/>
          <w:noProof/>
          <w:lang w:eastAsia="en-ID"/>
        </w:rPr>
        <w:t>(UNAIDS, 2025)</w:t>
      </w:r>
      <w:r w:rsidR="00557615" w:rsidRPr="00024EE5">
        <w:rPr>
          <w:rFonts w:asciiTheme="majorBidi" w:hAnsiTheme="majorBidi" w:cstheme="majorBidi"/>
          <w:lang w:eastAsia="en-ID"/>
        </w:rPr>
        <w:fldChar w:fldCharType="end"/>
      </w:r>
      <w:r w:rsidR="00557615" w:rsidRPr="00024EE5">
        <w:rPr>
          <w:rFonts w:asciiTheme="majorBidi" w:hAnsiTheme="majorBidi" w:cstheme="majorBidi"/>
          <w:lang w:eastAsia="en-ID"/>
        </w:rPr>
        <w:t xml:space="preserve">. </w:t>
      </w:r>
      <w:r>
        <w:t>Indonesia’s National HIV/AIDS Strategy 2020–2024 emphasizes early detection through Voluntary Counseling and Testing (VCT) and Provider-Initiated Testing and Counseling (PITC), expansion of free ART access, strengthening prevention among high-risk populations, reducing stigma and discrimination, and integrating HIV services with other health programs</w:t>
      </w:r>
      <w:r>
        <w:t xml:space="preserve"> </w:t>
      </w:r>
      <w:r w:rsidR="00557615" w:rsidRPr="00024EE5">
        <w:rPr>
          <w:rFonts w:asciiTheme="majorBidi" w:hAnsiTheme="majorBidi" w:cstheme="majorBidi"/>
          <w:lang w:eastAsia="en-ID"/>
        </w:rPr>
        <w:fldChar w:fldCharType="begin" w:fldLock="1"/>
      </w:r>
      <w:r w:rsidR="00557615" w:rsidRPr="00024EE5">
        <w:rPr>
          <w:rFonts w:asciiTheme="majorBidi" w:hAnsiTheme="majorBidi" w:cstheme="majorBidi"/>
          <w:lang w:eastAsia="en-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approach.","author":[{"dropping-particle":"","family":"Triana","given":"Vivi","non-dropping-particle":"","parse-names":false,"suffix":""}],"id":"ITEM-1","issued":{"date-parts":[["2024"]]},"publisher":"CV. Eureka Media Aksara","publisher-place":"Purbalingga","title":"Global AIDS Strategi; Program Unggul Pengendalian HIV/AIDS dalam System Kesehatan Global","type":"book"},"uris":["http://www.mendeley.com/documents/?uuid=1cbf7222-03ea-40e7-b780-3b3871546aa9"]}],"mendeley":{"formattedCitation":"(Triana, 2024)","plainTextFormattedCitation":"(Triana, 2024)","previouslyFormattedCitation":"(Triana, 2024)"},"properties":{"noteIndex":0},"schema":"https://github.com/citation-style-language/schema/raw/master/csl-citation.json"}</w:instrText>
      </w:r>
      <w:r w:rsidR="00557615" w:rsidRPr="00024EE5">
        <w:rPr>
          <w:rFonts w:asciiTheme="majorBidi" w:hAnsiTheme="majorBidi" w:cstheme="majorBidi"/>
          <w:lang w:eastAsia="en-ID"/>
        </w:rPr>
        <w:fldChar w:fldCharType="separate"/>
      </w:r>
      <w:r w:rsidR="00557615" w:rsidRPr="00024EE5">
        <w:rPr>
          <w:rFonts w:asciiTheme="majorBidi" w:hAnsiTheme="majorBidi" w:cstheme="majorBidi"/>
          <w:noProof/>
          <w:lang w:eastAsia="en-ID"/>
        </w:rPr>
        <w:t>(Triana, 2024)</w:t>
      </w:r>
      <w:r w:rsidR="00557615" w:rsidRPr="00024EE5">
        <w:rPr>
          <w:rFonts w:asciiTheme="majorBidi" w:hAnsiTheme="majorBidi" w:cstheme="majorBidi"/>
          <w:lang w:eastAsia="en-ID"/>
        </w:rPr>
        <w:fldChar w:fldCharType="end"/>
      </w:r>
      <w:r w:rsidR="00024EE5">
        <w:rPr>
          <w:rFonts w:asciiTheme="majorBidi" w:hAnsiTheme="majorBidi" w:cstheme="majorBidi"/>
          <w:lang w:eastAsia="en-ID"/>
        </w:rPr>
        <w:t xml:space="preserve">, </w:t>
      </w:r>
      <w:r w:rsidR="00CA28FB" w:rsidRPr="00024EE5">
        <w:rPr>
          <w:rFonts w:asciiTheme="majorBidi" w:hAnsiTheme="majorBidi" w:cstheme="majorBidi"/>
        </w:rPr>
        <w:fldChar w:fldCharType="begin" w:fldLock="1"/>
      </w:r>
      <w:r w:rsidR="00CA28FB" w:rsidRPr="00024EE5">
        <w:rPr>
          <w:rFonts w:asciiTheme="majorBidi" w:hAnsiTheme="majorBidi" w:cstheme="majorBidi"/>
        </w:rPr>
        <w:instrText>ADDIN CSL_CITATION {"citationItems":[{"id":"ITEM-1","itemData":{"DOI":"10.31004/jkt.v4i4.19941","ISSN":"2777-0524","abstract":"Jurnal ini menyajikan analisis dan strategi pencegahan HIV &amp; AIDS yang efektif untuk masyarakat. Penyebaran HIV &amp; AIDS terus menjadi isu kesehatan global yang mendesak, dan upaya pencegahan yang tepat adalah kunci untuk mengatasi tantangan ini. Metode yang digunakan pada penelitian ini ialah metode deskriptif, yang merupakan salah satu jenis penelitian kualitatif. Dalam metode deskriptif, data dianalisis dan dideskripsikan menggunakan rangkaian kalimat. Sumber data yang digunakan dalam penelitian ini mencakup kata-kata, gambar, serta data yang diperoleh dari buku, jurnal, dan karya ilmiah lainnya. Data-data tersebut kemudian digunakan untuk menjelaskan dan menggambarkan strategi pencegahan HIV &amp; AIDS yang efektif untuk masyarakat. Hasil penelitian ini menunjukkan bahwa dalam pencegahan HIV &amp; AIDS perlu melibatkan berbagai metode, termasuk penggunaan kondom untuk seks yang aman dan terapi antiretroviral (ART) untuk individu yang sudah terinfeksi. Metode lainnya termasuk PrEP untuk individu berisiko tinggi yang belum terinfeksi dan PEP setelah kemungkinan paparan HIV. Pengujian HIV, pendidikan kesehatan, pengurangan risiko narkoba, pengurangan risiko transfusi darah, pengurangan risiko transmisi dari ibu ke anak, serta mengurangi stigma dan diskriminasi juga kunci dalam pencegahan HIV &amp; AIDS. Kesimpulannya perlu ada Peran pemerintah dalam sektor kesehatan, terutama dalam penanganan HIV dan AIDS merupakan hal yang penting. Pemerintah mulai memberikan perhatian serius terhadap HIV dan AIDS sejak tahun 1986 dengan pembentukan Kelompok Kerja AIDS di dalam Badan Litbangkes, Departemen Kesehatan.","author":[{"dropping-particle":"","family":"Salbila","given":"Isal","non-dropping-particle":"","parse-names":false,"suffix":""},{"dropping-particle":"","family":"Usiono","given":"Usiono","non-dropping-particle":"","parse-names":false,"suffix":""}],"container-title":"Jurnal Kesehatan Tambusai","id":"ITEM-1","issue":"4","issued":{"date-parts":[["2023"]]},"page":"5630-5639","title":"Strategi Pencegahan HIV &amp; AIDS: Langkah-Langkah Efektif Untuk Masyarakat","type":"article-journal","volume":"4"},"uris":["http://www.mendeley.com/documents/?uuid=62f22586-28a4-443c-b4a7-d356c250df44"]}],"mendeley":{"formattedCitation":"(Salbila &amp; Usiono, 2023)","plainTextFormattedCitation":"(Salbila &amp; Usiono, 2023)","previouslyFormattedCitation":"(Salbila &amp; Usiono, 2023)"},"properties":{"noteIndex":0},"schema":"https://github.com/citation-style-language/schema/raw/master/csl-citation.json"}</w:instrText>
      </w:r>
      <w:r w:rsidR="00CA28FB" w:rsidRPr="00024EE5">
        <w:rPr>
          <w:rFonts w:asciiTheme="majorBidi" w:hAnsiTheme="majorBidi" w:cstheme="majorBidi"/>
        </w:rPr>
        <w:fldChar w:fldCharType="separate"/>
      </w:r>
      <w:r w:rsidR="00CA28FB" w:rsidRPr="00024EE5">
        <w:rPr>
          <w:rFonts w:asciiTheme="majorBidi" w:hAnsiTheme="majorBidi" w:cstheme="majorBidi"/>
          <w:noProof/>
        </w:rPr>
        <w:t>(Salbila &amp; Usiono, 2023)</w:t>
      </w:r>
      <w:r w:rsidR="00CA28FB" w:rsidRPr="00024EE5">
        <w:rPr>
          <w:rFonts w:asciiTheme="majorBidi" w:hAnsiTheme="majorBidi" w:cstheme="majorBidi"/>
        </w:rPr>
        <w:fldChar w:fldCharType="end"/>
      </w:r>
      <w:r w:rsidR="00024EE5">
        <w:rPr>
          <w:rFonts w:asciiTheme="majorBidi" w:hAnsiTheme="majorBidi" w:cstheme="majorBidi"/>
        </w:rPr>
        <w:t xml:space="preserve">. </w:t>
      </w:r>
      <w:r>
        <w:t>Treatment approaches focus on antiretroviral therapy (ART) to suppress HIV replication, accompanied by patient support, monitoring of drug resistance, and management of comorbid conditions</w:t>
      </w:r>
      <w:r w:rsidR="00024EE5">
        <w:rPr>
          <w:rFonts w:asciiTheme="majorBidi" w:hAnsiTheme="majorBidi" w:cstheme="majorBidi"/>
        </w:rPr>
        <w:t xml:space="preserve"> </w:t>
      </w:r>
      <w:r w:rsidR="00EF5E65" w:rsidRPr="00024EE5">
        <w:rPr>
          <w:rFonts w:asciiTheme="majorBidi" w:hAnsiTheme="majorBidi" w:cstheme="majorBidi"/>
          <w:color w:val="000000"/>
        </w:rPr>
        <w:fldChar w:fldCharType="begin" w:fldLock="1"/>
      </w:r>
      <w:r w:rsidR="00EF5E65" w:rsidRPr="00024EE5">
        <w:rPr>
          <w:rFonts w:asciiTheme="majorBidi" w:hAnsiTheme="majorBidi" w:cstheme="majorBidi"/>
          <w:color w:val="000000"/>
        </w:rPr>
        <w:instrText>ADDIN CSL_CITATION {"citationItems":[{"id":"ITEM-1","itemData":{"author":[{"dropping-particle":"","family":"Fadilah","given":"Oca Nur","non-dropping-particle":"","parse-names":false,"suffix":""},{"dropping-particle":"","family":"Sholih","given":"Mally Ghinan","non-dropping-particle":"","parse-names":false,"suffix":""},{"dropping-particle":"","family":"Sudarjat","given":"Hadi","non-dropping-particle":"","parse-names":false,"suffix":""}],"id":"ITEM-1","issued":{"date-parts":[["2024"]]},"title":"Review Artikel : Analisis Faktor Psikososial yang Mempengaruhi Kepatuhan Terapi Antriretroviral pada Penderita HIV / AIDS Review Article : Analysis of Psyhosocial Factors Influencing Adherence to Antriretroviral Therapy in People with HIV / AIDS","type":"article-journal","volume":"2023"},"uris":["http://www.mendeley.com/documents/?uuid=0310b2cb-515f-4429-a180-94a1f3c6ccfa","http://www.mendeley.com/documents/?uuid=cc00b6bc-ca64-4ab9-9bb9-ffd343b2865d","http://www.mendeley.com/documents/?uuid=8dc00ff3-bad5-42b1-be5b-0a927bf655c9"]}],"mendeley":{"formattedCitation":"(Fadilah et al., 2024)","plainTextFormattedCitation":"(Fadilah et al., 2024)","previouslyFormattedCitation":"(Fadilah et al., 2024)"},"properties":{"noteIndex":0},"schema":"https://github.com/citation-style-language/schema/raw/master/csl-citation.json"}</w:instrText>
      </w:r>
      <w:r w:rsidR="00EF5E65" w:rsidRPr="00024EE5">
        <w:rPr>
          <w:rFonts w:asciiTheme="majorBidi" w:hAnsiTheme="majorBidi" w:cstheme="majorBidi"/>
          <w:color w:val="000000"/>
        </w:rPr>
        <w:fldChar w:fldCharType="separate"/>
      </w:r>
      <w:r w:rsidR="00EF5E65" w:rsidRPr="00024EE5">
        <w:rPr>
          <w:rFonts w:asciiTheme="majorBidi" w:hAnsiTheme="majorBidi" w:cstheme="majorBidi"/>
          <w:noProof/>
          <w:color w:val="000000"/>
        </w:rPr>
        <w:t>(Fadilah et al., 2024)</w:t>
      </w:r>
      <w:r w:rsidR="00EF5E65" w:rsidRPr="00024EE5">
        <w:rPr>
          <w:rFonts w:asciiTheme="majorBidi" w:hAnsiTheme="majorBidi" w:cstheme="majorBidi"/>
          <w:color w:val="000000"/>
        </w:rPr>
        <w:fldChar w:fldCharType="end"/>
      </w:r>
      <w:r w:rsidR="00497874">
        <w:rPr>
          <w:rFonts w:asciiTheme="majorBidi" w:hAnsiTheme="majorBidi" w:cstheme="majorBidi"/>
          <w:color w:val="000000"/>
        </w:rPr>
        <w:t xml:space="preserve">, </w:t>
      </w:r>
      <w:r w:rsidR="00557615" w:rsidRPr="00024EE5">
        <w:rPr>
          <w:rFonts w:asciiTheme="majorBidi" w:eastAsia="Arial MT" w:hAnsiTheme="majorBidi" w:cstheme="majorBidi"/>
        </w:rPr>
        <w:fldChar w:fldCharType="begin" w:fldLock="1"/>
      </w:r>
      <w:r w:rsidR="00557615" w:rsidRPr="00024EE5">
        <w:rPr>
          <w:rFonts w:asciiTheme="majorBidi" w:eastAsia="Arial MT" w:hAnsiTheme="majorBidi" w:cstheme="majorBidi"/>
        </w:rPr>
        <w:instrText>ADDIN CSL_CITATION {"citationItems":[{"id":"ITEM-1","itemData":{"ISBN":"9786026031211","abstract":"HIV dan AIDS adalah masalah kesehatan Dunia. Sampai akhir tahun 2015, jumlah penderita HIV mencapai 78 Juta jiwa dan bertanggung jawab terhadap 35 juta kematian di seluruh dunia. Salah satu faktor risiko penularan HIV adalah penularan dari ibu pengidap HIV kepada anak, baik mulai dari kehamilan, persalinan maupun pada saat menyusui. Upaya pencegahan menjadi sangat penting terutama didalam meningkatkan pengetahuan masyarakat khususnya ibu hamil tentang HIV menjadi penting","author":[{"dropping-particle":"","family":"Purnamawati","given":"Dewi","non-dropping-particle":"","parse-names":false,"suffix":""}],"id":"ITEM-1","issued":{"date-parts":[["2021"]]},"publisher":"STIKes Kharisma Karawang","publisher-place":"Karawang","title":"Pendidikan kesehatan HIV dan AIDS bagi Tenaga Kesehatan","type":"book"},"uris":["http://www.mendeley.com/documents/?uuid=fff9493e-1c67-46e6-a930-41ca902bcae6"]}],"mendeley":{"formattedCitation":"(Purnamawati, 2021)","plainTextFormattedCitation":"(Purnamawati, 2021)","previouslyFormattedCitation":"(Purnamawati, 2021)"},"properties":{"noteIndex":0},"schema":"https://github.com/citation-style-language/schema/raw/master/csl-citation.json"}</w:instrText>
      </w:r>
      <w:r w:rsidR="00557615" w:rsidRPr="00024EE5">
        <w:rPr>
          <w:rFonts w:asciiTheme="majorBidi" w:eastAsia="Arial MT" w:hAnsiTheme="majorBidi" w:cstheme="majorBidi"/>
        </w:rPr>
        <w:fldChar w:fldCharType="separate"/>
      </w:r>
      <w:r w:rsidR="00557615" w:rsidRPr="00024EE5">
        <w:rPr>
          <w:rFonts w:asciiTheme="majorBidi" w:eastAsia="Arial MT" w:hAnsiTheme="majorBidi" w:cstheme="majorBidi"/>
          <w:noProof/>
        </w:rPr>
        <w:t>(Purnamawati, 2021)</w:t>
      </w:r>
      <w:r w:rsidR="00557615" w:rsidRPr="00024EE5">
        <w:rPr>
          <w:rFonts w:asciiTheme="majorBidi" w:eastAsia="Arial MT" w:hAnsiTheme="majorBidi" w:cstheme="majorBidi"/>
        </w:rPr>
        <w:fldChar w:fldCharType="end"/>
      </w:r>
      <w:r w:rsidR="00EF5E65" w:rsidRPr="00024EE5">
        <w:rPr>
          <w:rFonts w:asciiTheme="majorBidi" w:eastAsia="Arial MT" w:hAnsiTheme="majorBidi" w:cstheme="majorBidi"/>
        </w:rPr>
        <w:t xml:space="preserve">. </w:t>
      </w:r>
    </w:p>
    <w:p w14:paraId="2123BAC6" w14:textId="2EF7812F" w:rsidR="000643BA" w:rsidRDefault="0094620F" w:rsidP="000643BA">
      <w:pPr>
        <w:pStyle w:val="BodyText"/>
        <w:spacing w:line="360" w:lineRule="auto"/>
        <w:ind w:left="-2" w:right="-2" w:firstLineChars="257" w:firstLine="617"/>
        <w:rPr>
          <w:rFonts w:asciiTheme="majorBidi" w:eastAsia="Arial MT" w:hAnsiTheme="majorBidi" w:cstheme="majorBidi"/>
        </w:rPr>
      </w:pPr>
      <w:r>
        <w:t xml:space="preserve">ART effectively suppresses viral load, improves immune status, and reduces mortality from opportunistic infections </w:t>
      </w:r>
      <w:r w:rsidR="00557615" w:rsidRPr="00024EE5">
        <w:rPr>
          <w:rFonts w:asciiTheme="majorBidi" w:eastAsia="Arial MT" w:hAnsiTheme="majorBidi" w:cstheme="majorBidi"/>
        </w:rPr>
        <w:fldChar w:fldCharType="begin" w:fldLock="1"/>
      </w:r>
      <w:r w:rsidR="00557615" w:rsidRPr="00024EE5">
        <w:rPr>
          <w:rFonts w:asciiTheme="majorBidi" w:eastAsia="Arial MT" w:hAnsiTheme="majorBidi" w:cstheme="majorBidi"/>
        </w:rPr>
        <w:instrText>ADDIN CSL_CITATION {"citationItems":[{"id":"ITEM-1","itemData":{"abstract":"HIV adalah singkatan dari Human Immunodeficiency Virus, sebuah virus yang menyerang sistem kekebalan tubuh manusia. AIDS singkatan dari Acquired Immune Deficiency Syndrome. AIDS muncul setelah virus (HIV) menyerang sistem kekebalan tubuh kita selama lima hingga sepuluh tahun atau lebih. Sistem kekebalan tubuh menjadi lemah, dan satu atau lebih penyakit dapat timbul. Karena lemahnya sistem kekebalan tubuh tadi, beberapa penyakit bisa menjadi lebih berat daripada biasanya.","author":[{"dropping-particle":"","family":"Kristoni","given":"Natal","non-dropping-particle":"","parse-names":false,"suffix":""},{"dropping-particle":"","family":"Astuti","given":"Indri","non-dropping-particle":"","parse-names":false,"suffix":""}],"id":"ITEM-1","issued":{"date-parts":[["2021"]]},"publisher-place":"Semarang","title":"Mengenal HIV &amp; AIDS","type":"book"},"uris":["http://www.mendeley.com/documents/?uuid=00720f17-6070-497c-a729-8b01231b1403"]}],"mendeley":{"formattedCitation":"(Kristoni &amp; Astuti, 2021)","plainTextFormattedCitation":"(Kristoni &amp; Astuti, 2021)","previouslyFormattedCitation":"(Kristoni &amp; Astuti, 2021)"},"properties":{"noteIndex":0},"schema":"https://github.com/citation-style-language/schema/raw/master/csl-citation.json"}</w:instrText>
      </w:r>
      <w:r w:rsidR="00557615" w:rsidRPr="00024EE5">
        <w:rPr>
          <w:rFonts w:asciiTheme="majorBidi" w:eastAsia="Arial MT" w:hAnsiTheme="majorBidi" w:cstheme="majorBidi"/>
        </w:rPr>
        <w:fldChar w:fldCharType="separate"/>
      </w:r>
      <w:r w:rsidR="00557615" w:rsidRPr="00024EE5">
        <w:rPr>
          <w:rFonts w:asciiTheme="majorBidi" w:eastAsia="Arial MT" w:hAnsiTheme="majorBidi" w:cstheme="majorBidi"/>
          <w:noProof/>
        </w:rPr>
        <w:t>(Kristoni &amp; Astuti, 2021)</w:t>
      </w:r>
      <w:r w:rsidR="00557615" w:rsidRPr="00024EE5">
        <w:rPr>
          <w:rFonts w:asciiTheme="majorBidi" w:eastAsia="Arial MT" w:hAnsiTheme="majorBidi" w:cstheme="majorBidi"/>
        </w:rPr>
        <w:fldChar w:fldCharType="end"/>
      </w:r>
      <w:r w:rsidR="00557615" w:rsidRPr="00024EE5">
        <w:rPr>
          <w:rFonts w:asciiTheme="majorBidi" w:eastAsia="Arial MT" w:hAnsiTheme="majorBidi" w:cstheme="majorBidi"/>
        </w:rPr>
        <w:t>,</w:t>
      </w:r>
      <w:r w:rsidR="00557615" w:rsidRPr="00024EE5">
        <w:rPr>
          <w:rFonts w:asciiTheme="majorBidi" w:hAnsiTheme="majorBidi" w:cstheme="majorBidi"/>
          <w:color w:val="000000"/>
        </w:rPr>
        <w:fldChar w:fldCharType="begin" w:fldLock="1"/>
      </w:r>
      <w:r w:rsidR="00557615" w:rsidRPr="00024EE5">
        <w:rPr>
          <w:rFonts w:asciiTheme="majorBidi" w:hAnsiTheme="majorBidi" w:cstheme="majorBidi"/>
          <w:color w:val="000000"/>
        </w:rPr>
        <w:instrText>ADDIN CSL_CITATION {"citationItems":[{"id":"ITEM-1","itemData":{"DOI":"10.2147/PPA.S445164","ISSN":"1177889X","abstract":"Background: The scaling-up of antiretroviral therapy (ART) is the greatest accomplishment to reduce the burden of acquired immunodeficiency syndromes (AIDS) to date. However, it requires optimal adherence to be effective. Thus, this study was designed to assess the level of adherence of people living with HIV (PLWH) to ART and its determinants in one of the hardest-hit areas with HIV in Ethiopia. Methods: A health facility-based cross-sectional study design was conducted among adult PLWH, age &gt;18 years, and receiving ART in southwest Ethiopia. Data was collected by face-to-face interviews following the Self-Rating Scale Item for drug adherence and from participants’ medical cards. The effects of variables related to socio-demographic and socio-economic factors, disease and medication, health facilities, and patients’ behavior on ART adherence were analyzed using a binary logistic regression model. The data was analyzed using R software. Results: Self-reported good adherence to ART recorded in this study was 73.1% (n =301/412). The risk of poor adherence was significantly higher among those who were divorced, merchants, used ART for longer durationsand were found in stage IV WHO pathogenesis. Contrarily, those who had a positive perception of the effectiveness of ART had significantly better adherence to ART. Longer duration on ART and frequency of pills taken, ≥3 pills per day, were significantly associated with a low CD4+ cell count (&lt;500 cells/mm3). For each unit increase in medication frequency per day, the likelihood of having a high viral load of &gt;1000 copies/mL was 5.35 times higher. Conclusion: The ART adherence documented in this study was graded as moderately low. Some variables, such as clinical, medical, and behavioral, were found to affect the adherence of people living with HIV to ART. Hence, care providers should be aware of such variables in the process of treatment, follow-up, and monitoring of people living with HIV in the study area.","author":[{"dropping-particle":"","family":"Tekle","given":"Asrat","non-dropping-particle":"","parse-names":false,"suffix":""},{"dropping-particle":"","family":"Tsegaye","given":"Arega","non-dropping-particle":"","parse-names":false,"suffix":""},{"dropping-particle":"","family":"Ketema","given":"Tsige","non-dropping-particle":"","parse-names":false,"suffix":""}],"container-title":"Patient Preference and Adherence","id":"ITEM-1","issue":"March","issued":{"date-parts":[["2024"]]},"page":"543-554","title":"Adherence to Anti-Retroviral Therapy (ART) and Its Determinants Among People Living with HIV/ AIDS at Bonga, Kaffa, South-West Ethiopia","type":"article-journal","volume":"18"},"uris":["http://www.mendeley.com/documents/?uuid=674c5cd3-b408-4ca8-b6e4-f3eb45e8f4a6","http://www.mendeley.com/documents/?uuid=c7d42cb7-0417-4b57-8ce3-ff4e1b1c29fa","http://www.mendeley.com/documents/?uuid=c7eb6a8b-53a1-478f-af5c-d94b81ecc44c"]}],"mendeley":{"formattedCitation":"(Tekle et al., 2024)","plainTextFormattedCitation":"(Tekle et al., 2024)","previouslyFormattedCitation":"(Tekle et al., 2024)"},"properties":{"noteIndex":0},"schema":"https://github.com/citation-style-language/schema/raw/master/csl-citation.json"}</w:instrText>
      </w:r>
      <w:r w:rsidR="00557615" w:rsidRPr="00024EE5">
        <w:rPr>
          <w:rFonts w:asciiTheme="majorBidi" w:hAnsiTheme="majorBidi" w:cstheme="majorBidi"/>
          <w:color w:val="000000"/>
        </w:rPr>
        <w:fldChar w:fldCharType="separate"/>
      </w:r>
      <w:r w:rsidR="00557615" w:rsidRPr="00024EE5">
        <w:rPr>
          <w:rFonts w:asciiTheme="majorBidi" w:hAnsiTheme="majorBidi" w:cstheme="majorBidi"/>
          <w:noProof/>
          <w:color w:val="000000"/>
        </w:rPr>
        <w:t>(</w:t>
      </w:r>
      <w:proofErr w:type="spellStart"/>
      <w:r w:rsidR="00557615" w:rsidRPr="00024EE5">
        <w:rPr>
          <w:rFonts w:asciiTheme="majorBidi" w:hAnsiTheme="majorBidi" w:cstheme="majorBidi"/>
          <w:noProof/>
          <w:color w:val="000000"/>
        </w:rPr>
        <w:t>Tekle</w:t>
      </w:r>
      <w:proofErr w:type="spellEnd"/>
      <w:r w:rsidR="00557615" w:rsidRPr="00024EE5">
        <w:rPr>
          <w:rFonts w:asciiTheme="majorBidi" w:hAnsiTheme="majorBidi" w:cstheme="majorBidi"/>
          <w:noProof/>
          <w:color w:val="000000"/>
        </w:rPr>
        <w:t xml:space="preserve"> et al., 2024)</w:t>
      </w:r>
      <w:r w:rsidR="00557615" w:rsidRPr="00024EE5">
        <w:rPr>
          <w:rFonts w:asciiTheme="majorBidi" w:hAnsiTheme="majorBidi" w:cstheme="majorBidi"/>
          <w:color w:val="000000"/>
        </w:rPr>
        <w:fldChar w:fldCharType="end"/>
      </w:r>
      <w:r w:rsidR="00497874">
        <w:rPr>
          <w:rFonts w:asciiTheme="majorBidi" w:hAnsiTheme="majorBidi" w:cstheme="majorBidi"/>
          <w:color w:val="000000"/>
        </w:rPr>
        <w:t xml:space="preserve">, </w:t>
      </w:r>
      <w:r w:rsidR="00557615" w:rsidRPr="00024EE5">
        <w:rPr>
          <w:rFonts w:asciiTheme="majorBidi" w:hAnsiTheme="majorBidi" w:cstheme="majorBidi"/>
          <w:color w:val="000000" w:themeColor="text1"/>
        </w:rPr>
        <w:fldChar w:fldCharType="begin" w:fldLock="1"/>
      </w:r>
      <w:r w:rsidR="00557615" w:rsidRPr="00024EE5">
        <w:rPr>
          <w:rFonts w:asciiTheme="majorBidi" w:hAnsiTheme="majorBidi" w:cstheme="majorBidi"/>
          <w:color w:val="000000" w:themeColor="text1"/>
        </w:rPr>
        <w:instrText>ADDIN CSL_CITATION {"citationItems":[{"id":"ITEM-1","itemData":{"DOI":"10.46576/wdw.v17i1.2922","ISSN":"1829-7463","abstract":"… dalam pengobatan HIV/AIDS di Indonesia masih sangat … berperilaku yang didasarkan pada keyakinan (self efficacy) dan … mendorong tindakan pencegahan atau perubahan perilaku …","author":[{"dropping-particle":"","family":"Muchtar","given":"Rizki Sari Utami","non-dropping-particle":"","parse-names":false,"suffix":""},{"dropping-particle":"","family":"Natalia","given":"Siska","non-dropping-particle":"","parse-names":false,"suffix":""},{"dropping-particle":"","family":"Usnah","given":"Anivah","non-dropping-particle":"","parse-names":false,"suffix":""}],"container-title":"Warta Dharmawangsa","id":"ITEM-1","issue":"1","issued":{"date-parts":[["2023"]]},"page":"53-64","title":"Faktor – Faktor Yang Berhubungan Dengan Kepatuhan Minum Obat Arv Pada Pasien Hiv/Aids Di Puskesmas Lubuk Baja","type":"article-journal","volume":"17"},"uris":["http://www.mendeley.com/documents/?uuid=1cf640b3-67a6-4b97-80f4-320a60e57898"]}],"mendeley":{"formattedCitation":"(Muchtar et al., 2023)","plainTextFormattedCitation":"(Muchtar et al., 2023)","previouslyFormattedCitation":"(Muchtar et al., 2023)"},"properties":{"noteIndex":0},"schema":"https://github.com/citation-style-language/schema/raw/master/csl-citation.json"}</w:instrText>
      </w:r>
      <w:r w:rsidR="00557615" w:rsidRPr="00024EE5">
        <w:rPr>
          <w:rFonts w:asciiTheme="majorBidi" w:hAnsiTheme="majorBidi" w:cstheme="majorBidi"/>
          <w:color w:val="000000" w:themeColor="text1"/>
        </w:rPr>
        <w:fldChar w:fldCharType="separate"/>
      </w:r>
      <w:r w:rsidR="00557615" w:rsidRPr="00024EE5">
        <w:rPr>
          <w:rFonts w:asciiTheme="majorBidi" w:hAnsiTheme="majorBidi" w:cstheme="majorBidi"/>
          <w:noProof/>
          <w:color w:val="000000" w:themeColor="text1"/>
        </w:rPr>
        <w:t>(Muchtar et al., 2023)</w:t>
      </w:r>
      <w:r w:rsidR="00557615" w:rsidRPr="00024EE5">
        <w:rPr>
          <w:rFonts w:asciiTheme="majorBidi" w:hAnsiTheme="majorBidi" w:cstheme="majorBidi"/>
          <w:color w:val="000000" w:themeColor="text1"/>
        </w:rPr>
        <w:fldChar w:fldCharType="end"/>
      </w:r>
      <w:r w:rsidR="00497874">
        <w:rPr>
          <w:rFonts w:asciiTheme="majorBidi" w:hAnsiTheme="majorBidi" w:cstheme="majorBidi"/>
          <w:color w:val="000000" w:themeColor="text1"/>
        </w:rPr>
        <w:t xml:space="preserve">, </w:t>
      </w:r>
      <w:r w:rsidR="00497874" w:rsidRPr="00024EE5">
        <w:rPr>
          <w:rFonts w:asciiTheme="majorBidi" w:hAnsiTheme="majorBidi" w:cstheme="majorBidi"/>
          <w:color w:val="000000" w:themeColor="text1"/>
        </w:rPr>
        <w:fldChar w:fldCharType="begin" w:fldLock="1"/>
      </w:r>
      <w:r w:rsidR="00497874" w:rsidRPr="00024EE5">
        <w:rPr>
          <w:rFonts w:asciiTheme="majorBidi" w:hAnsiTheme="majorBidi" w:cstheme="majorBidi"/>
          <w:color w:val="000000" w:themeColor="text1"/>
        </w:rPr>
        <w:instrText>ADDIN CSL_CITATION {"citationItems":[{"id":"ITEM-1","itemData":{"DOI":"10.1371/journal.pone.0263742","ISBN":"1111111111","ISSN":"19326203","PMID":"35157724","abstract":"Background Only a few recent reports have examined longitudinal adherence patterns in US clinics and its impact on immunological and virological outcomes among large cohorts initiating contemporary antiretroviral therapy (ART) in US clinics. Methods We followed all persons with HIV (PLWH) in a California clinic population initiating ART between 2010 and 2017. We estimated longitudinal adherence for each PLWH by calculating the medication possession ratio within multiple 6-month intervals using pharmacy refill records. Results During the study, 2315 PWLH were followed for a median time of 210.8 weeks and only 179 (7.7%) were lost-to-follow-up. The mean adherence was 84.9%. Age (Hazard Ratio (HR): (95% confidence interval): 1.25 (1.20–1.31) per 10-year increase) and Black race (HR: 0.62 (0.53–0.73) vs. White) were associated with adherence in the cohort. A 10% percent increase in adherence increased the odds of being virally suppressed by 37% (OR and 95% CI: 1.37 [1.33–1.41]) and was associated with an increase in mean CD4 count by 8.54 cells/ ul in the next 6-month interval (p-value &lt;0.0001). Conclusions Our study shows that despite large improvements in retention in care, demographic disparities in adherence to ART persist. Adherence was lower among younger patients and black patients. Our study confirmed the strong association between adherence to ART and viral suppression but could only establish a weak association between adherence and CD4 count. These findings reaffirm the importance of adherence and retention in care and further highlight the need for tailored patient-centered HIV Care Models as a strategy to improve PLWH’s outcomes.","author":[{"dropping-particle":"","family":"Tchakoute","given":"Christophe T.","non-dropping-particle":"","parse-names":false,"suffix":""},{"dropping-particle":"","family":"Rhee","given":"Soo Yon","non-dropping-particle":"","parse-names":false,"suffix":""},{"dropping-particle":"","family":"Hare","given":"C. Bradley","non-dropping-particle":"","parse-names":false,"suffix":""},{"dropping-particle":"","family":"Shafer","given":"Robert W.","non-dropping-particle":"","parse-names":false,"suffix":""},{"dropping-particle":"","family":"Sainani","given":"Kristin","non-dropping-particle":"","parse-names":false,"suffix":""}],"container-title":"PLoS ONE","id":"ITEM-1","issue":"2","issued":{"date-parts":[["2022"]]},"page":"1-12","title":"Adherence to contemporary antiretroviral treatment regimens and impact on immunological and virologic outcomes in a US healthcare system","type":"article-journal","volume":"17"},"uris":["http://www.mendeley.com/documents/?uuid=b873855e-5658-4d46-bca7-575995e6b3bf"]}],"mendeley":{"formattedCitation":"(Tchakoute et al., 2022)","plainTextFormattedCitation":"(Tchakoute et al., 2022)","previouslyFormattedCitation":"(Tchakoute et al., 2022)"},"properties":{"noteIndex":0},"schema":"https://github.com/citation-style-language/schema/raw/master/csl-citation.json"}</w:instrText>
      </w:r>
      <w:r w:rsidR="00497874" w:rsidRPr="00024EE5">
        <w:rPr>
          <w:rFonts w:asciiTheme="majorBidi" w:hAnsiTheme="majorBidi" w:cstheme="majorBidi"/>
          <w:color w:val="000000" w:themeColor="text1"/>
        </w:rPr>
        <w:fldChar w:fldCharType="separate"/>
      </w:r>
      <w:r w:rsidR="00497874" w:rsidRPr="00024EE5">
        <w:rPr>
          <w:rFonts w:asciiTheme="majorBidi" w:hAnsiTheme="majorBidi" w:cstheme="majorBidi"/>
          <w:noProof/>
          <w:color w:val="000000" w:themeColor="text1"/>
        </w:rPr>
        <w:t>(Tchakoute et al., 2022)</w:t>
      </w:r>
      <w:r w:rsidR="00497874" w:rsidRPr="00024EE5">
        <w:rPr>
          <w:rFonts w:asciiTheme="majorBidi" w:hAnsiTheme="majorBidi" w:cstheme="majorBidi"/>
          <w:color w:val="000000" w:themeColor="text1"/>
        </w:rPr>
        <w:fldChar w:fldCharType="end"/>
      </w:r>
      <w:r w:rsidR="00497874" w:rsidRPr="00024EE5">
        <w:rPr>
          <w:rFonts w:asciiTheme="majorBidi" w:hAnsiTheme="majorBidi" w:cstheme="majorBidi"/>
          <w:color w:val="000000" w:themeColor="text1"/>
        </w:rPr>
        <w:t>.</w:t>
      </w:r>
      <w:r w:rsidR="00497874">
        <w:rPr>
          <w:rFonts w:asciiTheme="majorBidi" w:hAnsiTheme="majorBidi" w:cstheme="majorBidi"/>
          <w:color w:val="000000" w:themeColor="text1"/>
        </w:rPr>
        <w:t xml:space="preserve"> </w:t>
      </w:r>
      <w:r>
        <w:t xml:space="preserve">Adherence to ART is a key determinant of successful HIV/AIDS control </w:t>
      </w:r>
      <w:r w:rsidR="00557615" w:rsidRPr="00024EE5">
        <w:rPr>
          <w:rFonts w:asciiTheme="majorBidi" w:hAnsiTheme="majorBidi" w:cstheme="majorBidi"/>
          <w:color w:val="000000" w:themeColor="text1"/>
        </w:rPr>
        <w:fldChar w:fldCharType="begin" w:fldLock="1"/>
      </w:r>
      <w:r w:rsidR="00557615" w:rsidRPr="00024EE5">
        <w:rPr>
          <w:rFonts w:asciiTheme="majorBidi" w:hAnsiTheme="majorBidi" w:cstheme="majorBidi"/>
          <w:color w:val="000000" w:themeColor="text1"/>
        </w:rPr>
        <w:instrText>ADDIN CSL_CITATION {"citationItems":[{"id":"ITEM-1","itemData":{"DOI":"10.4081/jphia.2023.2434","abstract":"Background: People with HIV/AIDS require treatment with antiretrovirals (ARV) to reduce the amount of HIV virus in the body so it does not enter the AIDS stage, while people with AIDS require ARV treatment to prevent opportunistic infections with various complications. Objective: This study aimed to determine the ARV medication adherence of people living with HIV/AIDS (PLWHA), get information on the facts that influence PLWHA's use of ARV, analyze factors that influence PLWHA's use of ARV, and get information about treatment management for PLWHA. Methods: This study is a systematic review. Research information was obtained using the Google Scholar facility and an index of journal publications. Results: Factors related to ARV adherence in PLWHA include family support, level of knowledge, peer group support, side effects of medicine, motivation, behavioral skills, psychology of PLWHA patients, boredom, stigma, health care facilities, therapy guidelines, characteristics of comorbidities, perception, gender, health insurance, self-efficacy, social isolation, age, education level, income, duration of ARV treatment, support from health workers, spiritual motivation, and use of health services for the last three years. Conclusion: Adherence and family support play important roles in healing PLWHA. PLWHA must adhere to treatment with antiretrovirals. Family support plays an important role in healing PLWHA. It is suggested to the families of PLWHA that they give motivation and comply with the advice of health workers.","author":[{"dropping-particle":"","family":"Supriyatni","given":"Nani","non-dropping-particle":"","parse-names":false,"suffix":""},{"dropping-particle":"","family":"Salim","given":"Lutfi Agus","non-dropping-particle":"","parse-names":false,"suffix":""},{"dropping-particle":"","family":"Hargono","given":"Arief","non-dropping-particle":"","parse-names":false,"suffix":""},{"dropping-particle":"","family":"Febriyanti","given":"Febriyanti","non-dropping-particle":"","parse-names":false,"suffix":""}],"container-title":"Journal of Public Health in Africa","id":"ITEM-1","issue":"7","issued":{"date-parts":[["2023","5"]]},"page":"2434","title":"Antiretroviral medication adherence for people with HIV/AIDS","type":"article-journal","volume":"14"},"uris":["http://www.mendeley.com/documents/?uuid=5fd0188c-18e6-45cb-8791-1f82cde61730"]}],"mendeley":{"formattedCitation":"(Supriyatni et al., 2023)","plainTextFormattedCitation":"(Supriyatni et al., 2023)","previouslyFormattedCitation":"(Supriyatni et al., 2023)"},"properties":{"noteIndex":0},"schema":"https://github.com/citation-style-language/schema/raw/master/csl-citation.json"}</w:instrText>
      </w:r>
      <w:r w:rsidR="00557615" w:rsidRPr="00024EE5">
        <w:rPr>
          <w:rFonts w:asciiTheme="majorBidi" w:hAnsiTheme="majorBidi" w:cstheme="majorBidi"/>
          <w:color w:val="000000" w:themeColor="text1"/>
        </w:rPr>
        <w:fldChar w:fldCharType="separate"/>
      </w:r>
      <w:r w:rsidR="00557615" w:rsidRPr="00024EE5">
        <w:rPr>
          <w:rFonts w:asciiTheme="majorBidi" w:hAnsiTheme="majorBidi" w:cstheme="majorBidi"/>
          <w:noProof/>
          <w:color w:val="000000" w:themeColor="text1"/>
        </w:rPr>
        <w:t>(Supriyatni et al., 2023)</w:t>
      </w:r>
      <w:r w:rsidR="00557615" w:rsidRPr="00024EE5">
        <w:rPr>
          <w:rFonts w:asciiTheme="majorBidi" w:hAnsiTheme="majorBidi" w:cstheme="majorBidi"/>
          <w:color w:val="000000" w:themeColor="text1"/>
        </w:rPr>
        <w:fldChar w:fldCharType="end"/>
      </w:r>
      <w:r w:rsidR="00CA28FB" w:rsidRPr="00024EE5">
        <w:rPr>
          <w:rFonts w:asciiTheme="majorBidi" w:hAnsiTheme="majorBidi" w:cstheme="majorBidi"/>
        </w:rPr>
        <w:t xml:space="preserve">. </w:t>
      </w:r>
      <w:r>
        <w:t xml:space="preserve">One of the major challenges in HIV/AIDS management is the occurrence of </w:t>
      </w:r>
      <w:r>
        <w:rPr>
          <w:rStyle w:val="Emphasis"/>
        </w:rPr>
        <w:t>loss to follow-up</w:t>
      </w:r>
      <w:r>
        <w:t xml:space="preserve"> (</w:t>
      </w:r>
      <w:proofErr w:type="spellStart"/>
      <w:r>
        <w:t>LtFU</w:t>
      </w:r>
      <w:proofErr w:type="spellEnd"/>
      <w:r>
        <w:t>)</w:t>
      </w:r>
      <w:r>
        <w:t xml:space="preserve"> </w:t>
      </w:r>
      <w:r w:rsidR="00497874">
        <w:rPr>
          <w:rFonts w:asciiTheme="majorBidi" w:eastAsia="Arial MT" w:hAnsiTheme="majorBidi" w:cstheme="majorBidi"/>
          <w:noProof/>
        </w:rPr>
        <w:fldChar w:fldCharType="begin" w:fldLock="1"/>
      </w:r>
      <w:r w:rsidR="00211D0B">
        <w:rPr>
          <w:rFonts w:asciiTheme="majorBidi" w:eastAsia="Arial MT" w:hAnsiTheme="majorBidi" w:cstheme="majorBidi"/>
          <w:noProof/>
        </w:rPr>
        <w:instrText>ADDIN CSL_CITATION {"citationItems":[{"id":"ITEM-1","itemData":{"ISBN":"1992011001","abstract":"Page 1. PENGARUH KEPEMIMPINAN SPRITUAL TERHADAP LOYALITAS KERJA KARYAWAN BMT SIDOGIRI Bambang Subahri dan Nurul Hikmah 1Institut Agama Islam Syarifuddin Lumajang, Indonesia Email : bambang …","author":[{"dropping-particle":"","family":"Fibriansari","given":"RD","non-dropping-particle":"","parse-names":false,"suffix":""},{"dropping-particle":"","family":"Cahyadi","given":"Asy Hari","non-dropping-particle":"","parse-names":false,"suffix":""}],"container-title":"JURNAL PIKes Penelitian Ilmu Kesehatan","id":"ITEM-1","issue":"1","issued":{"date-parts":[["2021"]]},"page":"1-8","title":"Lost To Follow Up Terapi Antiretroviral pada Orang Dengan HIV/AIDS di Lumajang","type":"article-journal","volume":"2"},"uris":["http://www.mendeley.com/documents/?uuid=d68e5d26-5e66-4474-9583-f243cde4d183"]}],"mendeley":{"formattedCitation":"(R. Fibriansari &amp; Cahyadi, 2021)","plainTextFormattedCitation":"(R. Fibriansari &amp; Cahyadi, 2021)","previouslyFormattedCitation":"(R. Fibriansari &amp; Cahyadi, 2021)"},"properties":{"noteIndex":0},"schema":"https://github.com/citation-style-language/schema/raw/master/csl-citation.json"}</w:instrText>
      </w:r>
      <w:r w:rsidR="00497874">
        <w:rPr>
          <w:rFonts w:asciiTheme="majorBidi" w:eastAsia="Arial MT" w:hAnsiTheme="majorBidi" w:cstheme="majorBidi"/>
          <w:noProof/>
        </w:rPr>
        <w:fldChar w:fldCharType="separate"/>
      </w:r>
      <w:r w:rsidR="0095731B" w:rsidRPr="0095731B">
        <w:rPr>
          <w:rFonts w:asciiTheme="majorBidi" w:eastAsia="Arial MT" w:hAnsiTheme="majorBidi" w:cstheme="majorBidi"/>
          <w:noProof/>
        </w:rPr>
        <w:t>(R. Fibriansari &amp; Cahyadi, 2021)</w:t>
      </w:r>
      <w:r w:rsidR="00497874">
        <w:rPr>
          <w:rFonts w:asciiTheme="majorBidi" w:eastAsia="Arial MT" w:hAnsiTheme="majorBidi" w:cstheme="majorBidi"/>
          <w:noProof/>
        </w:rPr>
        <w:fldChar w:fldCharType="end"/>
      </w:r>
      <w:r w:rsidR="00303C64" w:rsidRPr="00024EE5">
        <w:rPr>
          <w:rFonts w:asciiTheme="majorBidi" w:hAnsiTheme="majorBidi" w:cstheme="majorBidi"/>
        </w:rPr>
        <w:t xml:space="preserve">. </w:t>
      </w:r>
      <w:r>
        <w:t xml:space="preserve">The incidence of </w:t>
      </w:r>
      <w:proofErr w:type="spellStart"/>
      <w:r>
        <w:t>LtFU</w:t>
      </w:r>
      <w:proofErr w:type="spellEnd"/>
      <w:r>
        <w:t xml:space="preserve"> tends to increase with longer duration of treatment </w:t>
      </w:r>
      <w:r w:rsidR="00557615" w:rsidRPr="00024EE5">
        <w:rPr>
          <w:rFonts w:asciiTheme="majorBidi" w:hAnsiTheme="majorBidi" w:cstheme="majorBidi"/>
        </w:rPr>
        <w:fldChar w:fldCharType="begin" w:fldLock="1"/>
      </w:r>
      <w:r w:rsidR="00557615" w:rsidRPr="00024EE5">
        <w:rPr>
          <w:rFonts w:asciiTheme="majorBidi" w:hAnsiTheme="majorBidi" w:cstheme="majorBidi"/>
        </w:rPr>
        <w:instrText>ADDIN CSL_CITATION {"citationItems":[{"id":"ITEM-1","itemData":{"DOI":"https://doi.org/10.1016/j.puhip.2025.100634","ISSN":"2666-5352","abstract":"Objectives This study aims to assess the cumulative incidence and rate of loss to follow-up (LTFU) among people living with HIV (PLHIV) in Nepal who begin antiretroviral therapy (ART) early, as well as to identify factors associated with LTFU in the context of the universal test and treat approach. Study design Retrospective cohort study. Methods We retrospectively analysed nationally representative routine programme data for all PLHIV initiated on ART from February 19, 2017, to February 18, 2020, and followed up until May 10, 2022. LTFU was defined as a client not returning to the HIV clinic for at least 3 months from the date of their last scheduled appointment. We calculated cumulative incidence rate (IR) and used a multivariable Cox proportional hazards regression model to identify factors associated with LTFU, reporting corresponding 95% confidence intervals (CI). Results Of the 8192 clients included in our sample, 6797 (82.9 %) started ART within seven days following their HIV diagnosis. The overall IR of LTFU was 4.22 (95 % CI = 3.95–4.51) per 100 person years of observation. The cumulative incidence of LTFU increased over time on ART, from 3.81 % (95 % CI = 3.40–4.26) at 6 months, 6.51 % (95 % CI = 5.97–7.09) at 12 months to 13.41 % (95 % CI = 12.51–14.37) at 48 months. In the multivariable model, factors associated with higher odds of LTFU included initiating treatment within 7 days of diagnosis, younger age, being unmarried, belonging to the Dalit caste, having WHO clinical stage 1 at baseline, and initiation on a non-nucleoside reverse transcriptase inhibitors (NNRTI)-based regimen. Among key populations, sex workers, their clients, men who have sex with men and transgender, people who inject drugs were at higher risk of dropout compared to migrants. Conclusions In this nationwide cohort, the risk of LTFU increased with time on ART. To optimize the test-and-treat strategy in Nepal, it is crucial to address the unique needs of youth and certain key populations and manage any early adverse drug reactions.","author":[{"dropping-particle":"","family":"Shrestha","given":"Archana","non-dropping-particle":"","parse-names":false,"suffix":""},{"dropping-particle":"","family":"Poudel","given":"Lisasha","non-dropping-particle":"","parse-names":false,"suffix":""},{"dropping-particle":"","family":"Adhikari","given":"Bikram","non-dropping-particle":"","parse-names":false,"suffix":""},{"dropping-particle":"","family":"Bhandari","given":"Saroj","non-dropping-particle":"","parse-names":false,"suffix":""},{"dropping-particle":"","family":"Shrestha","given":"Roman","non-dropping-particle":"","parse-names":false,"suffix":""},{"dropping-particle":"","family":"Kunwar","given":"Rajya Shree","non-dropping-particle":"","parse-names":false,"suffix":""},{"dropping-particle":"","family":"Pandey","given":"Lok Raj","non-dropping-particle":"","parse-names":false,"suffix":""},{"dropping-particle":"","family":"KC","given":"Man Bahadur","non-dropping-particle":"","parse-names":false,"suffix":""},{"dropping-particle":"","family":"Wilson","given":"Erin C","non-dropping-particle":"","parse-names":false,"suffix":""},{"dropping-particle":"","family":"Deuba","given":"Keshab","non-dropping-particle":"","parse-names":false,"suffix":""}],"container-title":"Public Health in Practice","id":"ITEM-1","issued":{"date-parts":[["2025"]]},"page":"100634","title":"Determinants of loss to follow-up among people living with HIV receiving antiretroviral therapy in a universal test and treat setting: A retrospective cohort study in Nepal","type":"article-journal","volume":"10"},"uris":["http://www.mendeley.com/documents/?uuid=cee6689f-3eb2-4293-841e-c883e48849f4"]}],"mendeley":{"formattedCitation":"(Shrestha et al., 2025)","plainTextFormattedCitation":"(Shrestha et al., 2025)","previouslyFormattedCitation":"(Shrestha et al., 2025)"},"properties":{"noteIndex":0},"schema":"https://github.com/citation-style-language/schema/raw/master/csl-citation.json"}</w:instrText>
      </w:r>
      <w:r w:rsidR="00557615" w:rsidRPr="00024EE5">
        <w:rPr>
          <w:rFonts w:asciiTheme="majorBidi" w:hAnsiTheme="majorBidi" w:cstheme="majorBidi"/>
        </w:rPr>
        <w:fldChar w:fldCharType="separate"/>
      </w:r>
      <w:r w:rsidR="00557615" w:rsidRPr="00024EE5">
        <w:rPr>
          <w:rFonts w:asciiTheme="majorBidi" w:hAnsiTheme="majorBidi" w:cstheme="majorBidi"/>
          <w:noProof/>
        </w:rPr>
        <w:t>(Shrestha et al., 2025)</w:t>
      </w:r>
      <w:r w:rsidR="00557615" w:rsidRPr="00024EE5">
        <w:rPr>
          <w:rFonts w:asciiTheme="majorBidi" w:hAnsiTheme="majorBidi" w:cstheme="majorBidi"/>
        </w:rPr>
        <w:fldChar w:fldCharType="end"/>
      </w:r>
      <w:r w:rsidR="00303C64" w:rsidRPr="00024EE5">
        <w:rPr>
          <w:rFonts w:asciiTheme="majorBidi" w:hAnsiTheme="majorBidi" w:cstheme="majorBidi"/>
        </w:rPr>
        <w:t>.</w:t>
      </w:r>
      <w:r w:rsidR="00497874">
        <w:rPr>
          <w:rFonts w:asciiTheme="majorBidi" w:hAnsiTheme="majorBidi" w:cstheme="majorBidi"/>
        </w:rPr>
        <w:t xml:space="preserve"> </w:t>
      </w:r>
      <w:r>
        <w:t>This condition has serious consequences, as ART cannot be optimally evaluated, increases the risk of drug resistance, and worsens clinical outcomes among PLHI</w:t>
      </w:r>
      <w:r>
        <w:t xml:space="preserve">V </w:t>
      </w:r>
      <w:r w:rsidR="00303C64" w:rsidRPr="00024EE5">
        <w:rPr>
          <w:rFonts w:asciiTheme="majorBidi" w:hAnsiTheme="majorBidi" w:cstheme="majorBidi"/>
        </w:rPr>
        <w:fldChar w:fldCharType="begin" w:fldLock="1"/>
      </w:r>
      <w:r w:rsidR="00303C64" w:rsidRPr="00024EE5">
        <w:rPr>
          <w:rFonts w:asciiTheme="majorBidi" w:hAnsiTheme="majorBidi" w:cstheme="majorBidi"/>
        </w:rPr>
        <w:instrText>ADDIN CSL_CITATION {"citationItems":[{"id":"ITEM-1","itemData":{"ISBN":"0812400887","abstract":"analisi untuk tingkat pengetahuan ρ-value 0,535 &gt; α (0,05), keterjangkauan klinik VCT ρ-value 0,092 &gt; α (0,05), kepatuhan terapi ARV ρ-value 0,367 &gt; α (0,05), dukungan keluarga ρ-value 0,049 &lt; α (0,05), perceived susceptibility ρ-value 0,006 &lt; α (0,05) dan perceived severity ρ-value 0,014 &lt; α (0,05). Kesimpulan terdapat pengaruh antara dukungan keluarga, perceived susceptibility, perceived severty dan variabel yang paling berisiko adalah perceived susceptibility dengan besar risiko 2,489 kali terhadap lost to follow-up terapi ARV pada kelompok LSL. Saran untuk pasien agar lebih terbuka dengan status kesehatan yang dimiliki.","author":[{"dropping-particle":"","family":"Andriani","given":"Ni Ketut","non-dropping-particle":"","parse-names":false,"suffix":""},{"dropping-particle":"","family":"Aulia","given":"Ulfa","non-dropping-particle":"","parse-names":false,"suffix":""},{"dropping-particle":"","family":"Irwan","given":"","non-dropping-particle":"","parse-names":false,"suffix":""}],"container-title":"Preventif: Jurnal Kesehatan Masyarakat","id":"ITEM-1","issue":"1","issued":{"date-parts":[["2024"]]},"page":"94-114","title":"Faktor yang Mempengaruhi Lost to Follow-Up Pasien HIV-AIDS dengan Terapi ARV pada Kelompok LSL","type":"article-journal","volume":"15"},"uris":["http://www.mendeley.com/documents/?uuid=8566080a-1197-4da8-858e-08068d8329fa"]}],"mendeley":{"formattedCitation":"(Andriani et al., 2024)","plainTextFormattedCitation":"(Andriani et al., 2024)","previouslyFormattedCitation":"(Andriani et al., 2024)"},"properties":{"noteIndex":0},"schema":"https://github.com/citation-style-language/schema/raw/master/csl-citation.json"}</w:instrText>
      </w:r>
      <w:r w:rsidR="00303C64" w:rsidRPr="00024EE5">
        <w:rPr>
          <w:rFonts w:asciiTheme="majorBidi" w:hAnsiTheme="majorBidi" w:cstheme="majorBidi"/>
        </w:rPr>
        <w:fldChar w:fldCharType="separate"/>
      </w:r>
      <w:r w:rsidR="00303C64" w:rsidRPr="00024EE5">
        <w:rPr>
          <w:rFonts w:asciiTheme="majorBidi" w:hAnsiTheme="majorBidi" w:cstheme="majorBidi"/>
          <w:noProof/>
        </w:rPr>
        <w:t>(Andriani et al., 2024)</w:t>
      </w:r>
      <w:r w:rsidR="00303C64" w:rsidRPr="00024EE5">
        <w:rPr>
          <w:rFonts w:asciiTheme="majorBidi" w:hAnsiTheme="majorBidi" w:cstheme="majorBidi"/>
        </w:rPr>
        <w:fldChar w:fldCharType="end"/>
      </w:r>
      <w:r w:rsidR="00303C64" w:rsidRPr="00024EE5">
        <w:rPr>
          <w:rFonts w:asciiTheme="majorBidi" w:hAnsiTheme="majorBidi" w:cstheme="majorBidi"/>
        </w:rPr>
        <w:t xml:space="preserve">. </w:t>
      </w:r>
      <w:r>
        <w:t>Even irregular ART intake, such as missing one or two doses per week, can lead to increased viral load, heightened transmission risk, and a greater likelihood of opportunistic infections</w:t>
      </w:r>
      <w:r>
        <w:t xml:space="preserve"> </w:t>
      </w:r>
      <w:r w:rsidR="00557615" w:rsidRPr="00024EE5">
        <w:rPr>
          <w:rFonts w:asciiTheme="majorBidi" w:eastAsia="Arial MT" w:hAnsiTheme="majorBidi" w:cstheme="majorBidi"/>
        </w:rPr>
        <w:fldChar w:fldCharType="begin" w:fldLock="1"/>
      </w:r>
      <w:r w:rsidR="00557615" w:rsidRPr="00024EE5">
        <w:rPr>
          <w:rFonts w:asciiTheme="majorBidi" w:eastAsia="Arial MT" w:hAnsiTheme="majorBidi" w:cstheme="majorBidi"/>
        </w:rPr>
        <w:instrText>ADDIN CSL_CITATION {"citationItems":[{"id":"ITEM-1","itemData":{"abstract":"Kemampuan membilang anak 1 10 padla KB Anak Cerdas belum optimal karena pembelajaran belum menggunakan media yang konkret. Oleh karena itu, penelitian ini bertujuan untuk meningkatkan kemampuan membilang 1- 10 pada anak melalui media kartu angka. Untuk mengatasi kemampuan membilang perlu media yang bersifat konkret: dapat dipegang dan dilihat serta belajar bilangan dari objek nyata perlu diberikan sebelum unak belajar angka. Salah satu pemecahan masalah mengenai belajar angka yakni media harus mudah dimainkan oleh anak. Media yang menawarkan hal tersebut yakni media kartu angka. Melalui kartu angka pengetahuan angka dapat ditingkatkan. Sehingga peneliti memilih kartu angka sebigui medanya Jenis penelitian ini merupakan penelitian tindakan kelas Guru metai research). Penelitian dilaksanakan pada siklus yang masing-masing terdiri dari tahap perencanaan, pelaksanaan,observasi dan refleksi Subyek penelitian adalah anak KB usia 3-4 tahun yang berjumlah 18 anak. Analisis data yang digunakan adalah deskriptif kualitatif","author":[{"dropping-particle":"","family":"Haerati","given":"","non-dropping-particle":"","parse-names":false,"suffix":""},{"dropping-particle":"","family":"Asrina","given":"Andi","non-dropping-particle":"","parse-names":false,"suffix":""},{"dropping-particle":"","family":"Suriah","given":"","non-dropping-particle":"","parse-names":false,"suffix":""},{"dropping-particle":"","family":"Gobel","given":"Fatmah Afrianty","non-dropping-particle":"","parse-names":false,"suffix":""}],"container-title":"Prosiding Seminar Nasional","id":"ITEM-1","issue":"April","issued":{"date-parts":[["2020"]]},"page":"122","title":"Loss to Follow Up pada Orang dengan HIV dan AIDS yang Menerima Terapi Antiretroviral di Kabupaten Bulukumba","type":"paper-conference","volume":"1"},"uris":["http://www.mendeley.com/documents/?uuid=31003934-2e87-436a-902a-bd20ae20abcc"]}],"mendeley":{"formattedCitation":"(Haerati et al., 2020)","plainTextFormattedCitation":"(Haerati et al., 2020)","previouslyFormattedCitation":"(Haerati et al., 2020)"},"properties":{"noteIndex":0},"schema":"https://github.com/citation-style-language/schema/raw/master/csl-citation.json"}</w:instrText>
      </w:r>
      <w:r w:rsidR="00557615" w:rsidRPr="00024EE5">
        <w:rPr>
          <w:rFonts w:asciiTheme="majorBidi" w:eastAsia="Arial MT" w:hAnsiTheme="majorBidi" w:cstheme="majorBidi"/>
        </w:rPr>
        <w:fldChar w:fldCharType="separate"/>
      </w:r>
      <w:r w:rsidR="00557615" w:rsidRPr="00024EE5">
        <w:rPr>
          <w:rFonts w:asciiTheme="majorBidi" w:eastAsia="Arial MT" w:hAnsiTheme="majorBidi" w:cstheme="majorBidi"/>
          <w:noProof/>
        </w:rPr>
        <w:t>(Haerati et al., 2020)</w:t>
      </w:r>
      <w:r w:rsidR="00557615" w:rsidRPr="00024EE5">
        <w:rPr>
          <w:rFonts w:asciiTheme="majorBidi" w:eastAsia="Arial MT" w:hAnsiTheme="majorBidi" w:cstheme="majorBidi"/>
        </w:rPr>
        <w:fldChar w:fldCharType="end"/>
      </w:r>
      <w:r w:rsidR="00303C64" w:rsidRPr="00024EE5">
        <w:rPr>
          <w:rFonts w:asciiTheme="majorBidi" w:eastAsia="Arial MT" w:hAnsiTheme="majorBidi" w:cstheme="majorBidi"/>
        </w:rPr>
        <w:t xml:space="preserve">. </w:t>
      </w:r>
    </w:p>
    <w:p w14:paraId="095DB962" w14:textId="5EC94520" w:rsidR="000643BA" w:rsidRDefault="0094620F" w:rsidP="0094620F">
      <w:pPr>
        <w:pStyle w:val="BodyText"/>
        <w:spacing w:line="360" w:lineRule="auto"/>
        <w:ind w:left="-2" w:right="-2" w:firstLineChars="257" w:firstLine="617"/>
        <w:rPr>
          <w:rFonts w:asciiTheme="majorBidi" w:hAnsiTheme="majorBidi" w:cstheme="majorBidi"/>
        </w:rPr>
      </w:pPr>
      <w:r>
        <w:t xml:space="preserve">The occurrence of </w:t>
      </w:r>
      <w:proofErr w:type="spellStart"/>
      <w:r>
        <w:t>LtFU</w:t>
      </w:r>
      <w:proofErr w:type="spellEnd"/>
      <w:r>
        <w:t xml:space="preserve"> is influenced by factors such as knowledge, attitudes, the availability of patient guidebooks, and the absence of standard operating procedures (SOPs) for </w:t>
      </w:r>
      <w:proofErr w:type="spellStart"/>
      <w:r>
        <w:t>LtFU</w:t>
      </w:r>
      <w:proofErr w:type="spellEnd"/>
      <w:r>
        <w:t xml:space="preserve"> management </w:t>
      </w:r>
      <w:r w:rsidR="00557615" w:rsidRPr="00024EE5">
        <w:rPr>
          <w:rFonts w:asciiTheme="majorBidi" w:hAnsiTheme="majorBidi" w:cstheme="majorBidi"/>
        </w:rPr>
        <w:fldChar w:fldCharType="begin" w:fldLock="1"/>
      </w:r>
      <w:r w:rsidR="00557615" w:rsidRPr="00024EE5">
        <w:rPr>
          <w:rFonts w:asciiTheme="majorBidi" w:hAnsiTheme="majorBidi" w:cstheme="majorBidi"/>
        </w:rPr>
        <w:instrText>ADDIN CSL_CITATION {"citationItems":[{"id":"ITEM-1","itemData":{"abstract":"The key to the success of HIV / AIDS treatment is ARV therapy. Continuous therapy can inhibit the spread of HIV infection in the body and improve the quality of life of patients. Lost to follow-up is the absence of the patient to return to the VCT clinic according to the date of the drug agreement and consultation. The Kencong Community Health Center found a problem regarding lost to follow up. The cause of lost to follow up suspected due to factors that can be related to Lawrence Green's theory such as presdiposing factors (knowledge, attitudes), enabling factors (patient books and help cards), and reinforcing factors (motivation, SOP). The purpose of this research was to analyze the factors that can cause lost to follow up antiretroviral (ARV) treatment in HIV patients in Kencong Health Center. The type of this research was qualitative and this research used 6 patients, 1 counselor and 1 doctor as respondent. The results of this research shows that the knowledge of patients is still lacking, especially way of virus transmission and the side effects caused and the location of the HIV virus in the body, meanwhile scheduling knowledge of patient is good. Respondents have a positive attitude towards ARV treatment. The book which use to record the patient's visit data has been deemed capable to control the arrival of patient. There are still many patients who don't carry a patient card when they want to take medicine. Counselors and doctors have provided the best motivation during the counseling process. Kencong Puskesmas still does not have SOP about lost to follow up.","author":[{"dropping-particle":"","family":"Anggraeni","given":"Risti Septianingtyas","non-dropping-particle":"","parse-names":false,"suffix":""},{"dropping-particle":"","family":"Faiqatul","given":"Hikmah","non-dropping-particle":"","parse-names":false,"suffix":""}],"container-title":"J-REMI : Jurnal Rekam Medik dan Informasi Kesehatan","id":"ITEM-1","issue":"3","issued":{"date-parts":[["2020"]]},"page":"198-207","title":"Analisis Faktor Penyebab Lost To Follow Up Pengobatan Antiretroviral di Puskesmas Kencong","type":"article-journal","volume":"1"},"uris":["http://www.mendeley.com/documents/?uuid=dba46732-f15c-44a6-b00a-2771fa69f9d0"]}],"mendeley":{"formattedCitation":"(Anggraeni &amp; Faiqatul, 2020)","plainTextFormattedCitation":"(Anggraeni &amp; Faiqatul, 2020)","previouslyFormattedCitation":"(Anggraeni &amp; Faiqatul, 2020)"},"properties":{"noteIndex":0},"schema":"https://github.com/citation-style-language/schema/raw/master/csl-citation.json"}</w:instrText>
      </w:r>
      <w:r w:rsidR="00557615" w:rsidRPr="00024EE5">
        <w:rPr>
          <w:rFonts w:asciiTheme="majorBidi" w:hAnsiTheme="majorBidi" w:cstheme="majorBidi"/>
        </w:rPr>
        <w:fldChar w:fldCharType="separate"/>
      </w:r>
      <w:r w:rsidR="00557615" w:rsidRPr="00024EE5">
        <w:rPr>
          <w:rFonts w:asciiTheme="majorBidi" w:hAnsiTheme="majorBidi" w:cstheme="majorBidi"/>
          <w:noProof/>
        </w:rPr>
        <w:t>(Anggraeni &amp; Faiqatul, 2020)</w:t>
      </w:r>
      <w:r w:rsidR="00557615" w:rsidRPr="00024EE5">
        <w:rPr>
          <w:rFonts w:asciiTheme="majorBidi" w:hAnsiTheme="majorBidi" w:cstheme="majorBidi"/>
        </w:rPr>
        <w:fldChar w:fldCharType="end"/>
      </w:r>
      <w:r w:rsidR="000643BA">
        <w:rPr>
          <w:rFonts w:asciiTheme="majorBidi" w:hAnsiTheme="majorBidi" w:cstheme="majorBidi"/>
        </w:rPr>
        <w:t xml:space="preserve">, </w:t>
      </w:r>
      <w:r>
        <w:t xml:space="preserve">as well as place of residence and referral origin </w:t>
      </w:r>
      <w:r w:rsidR="00557615" w:rsidRPr="00024EE5">
        <w:rPr>
          <w:rFonts w:asciiTheme="majorBidi" w:hAnsiTheme="majorBidi" w:cstheme="majorBidi"/>
          <w:lang w:eastAsia="en-ID"/>
        </w:rPr>
        <w:fldChar w:fldCharType="begin" w:fldLock="1"/>
      </w:r>
      <w:r w:rsidR="00557615" w:rsidRPr="00024EE5">
        <w:rPr>
          <w:rFonts w:asciiTheme="majorBidi" w:hAnsiTheme="majorBidi" w:cstheme="majorBidi"/>
          <w:lang w:eastAsia="en-ID"/>
        </w:rPr>
        <w:instrText>ADDIN CSL_CITATION {"citationItems":[{"id":"ITEM-1","itemData":{"author":[{"dropping-particle":"","family":"Putri","given":"Novia Fatmawati","non-dropping-particle":"","parse-names":false,"suffix":""},{"dropping-particle":"","family":"Tanesib","given":"Amran Julianto","non-dropping-particle":"","parse-names":false,"suffix":""},{"dropping-particle":"","family":"Herdayanti","given":"Mila","non-dropping-particle":"","parse-names":false,"suffix":""}],"container-title":"Jurnal Epidemiologi Kesehatan Komunitas","id":"ITEM-1","issue":"3","issued":{"date-parts":[["2025"]]},"page":"34-41","title":"Determinan Kejadian Loss to Follow Up (LtFU) Pengobatan Antiretroviral (ARV) pada Pasien HIV/AIDS di RS “X” Kota Depok","type":"article-journal","volume":"10"},"uris":["http://www.mendeley.com/documents/?uuid=7cc08a5b-7a90-4fa0-af13-59bff3df6ab9"]}],"mendeley":{"formattedCitation":"(Putri et al., 2025)","plainTextFormattedCitation":"(Putri et al., 2025)","previouslyFormattedCitation":"(Putri et al., 2025)"},"properties":{"noteIndex":0},"schema":"https://github.com/citation-style-language/schema/raw/master/csl-citation.json"}</w:instrText>
      </w:r>
      <w:r w:rsidR="00557615" w:rsidRPr="00024EE5">
        <w:rPr>
          <w:rFonts w:asciiTheme="majorBidi" w:hAnsiTheme="majorBidi" w:cstheme="majorBidi"/>
          <w:lang w:eastAsia="en-ID"/>
        </w:rPr>
        <w:fldChar w:fldCharType="separate"/>
      </w:r>
      <w:r w:rsidR="00557615" w:rsidRPr="00024EE5">
        <w:rPr>
          <w:rFonts w:asciiTheme="majorBidi" w:hAnsiTheme="majorBidi" w:cstheme="majorBidi"/>
          <w:noProof/>
          <w:lang w:eastAsia="en-ID"/>
        </w:rPr>
        <w:t>(Putri et al., 2025)</w:t>
      </w:r>
      <w:r w:rsidR="00557615" w:rsidRPr="00024EE5">
        <w:rPr>
          <w:rFonts w:asciiTheme="majorBidi" w:hAnsiTheme="majorBidi" w:cstheme="majorBidi"/>
          <w:lang w:eastAsia="en-ID"/>
        </w:rPr>
        <w:fldChar w:fldCharType="end"/>
      </w:r>
      <w:r w:rsidR="00303C64" w:rsidRPr="00024EE5">
        <w:rPr>
          <w:rFonts w:asciiTheme="majorBidi" w:hAnsiTheme="majorBidi" w:cstheme="majorBidi"/>
          <w:lang w:eastAsia="en-ID"/>
        </w:rPr>
        <w:t xml:space="preserve">, </w:t>
      </w:r>
      <w:r>
        <w:rPr>
          <w:rFonts w:asciiTheme="majorBidi" w:hAnsiTheme="majorBidi" w:cstheme="majorBidi"/>
          <w:lang w:eastAsia="en-ID"/>
        </w:rPr>
        <w:t>O</w:t>
      </w:r>
      <w:r>
        <w:t>ther determinants include age characteristics, duration of therapy, ART regimen, knowledge, perceptions, social support, and treatment adherence</w:t>
      </w:r>
      <w:r w:rsidR="00303C64" w:rsidRPr="00024EE5">
        <w:rPr>
          <w:rFonts w:asciiTheme="majorBidi" w:hAnsiTheme="majorBidi" w:cstheme="majorBidi"/>
        </w:rPr>
        <w:t xml:space="preserve"> </w:t>
      </w:r>
      <w:r w:rsidR="00557615" w:rsidRPr="00024EE5">
        <w:rPr>
          <w:rFonts w:asciiTheme="majorBidi" w:hAnsiTheme="majorBidi" w:cstheme="majorBidi"/>
        </w:rPr>
        <w:fldChar w:fldCharType="begin" w:fldLock="1"/>
      </w:r>
      <w:r w:rsidR="00211D0B">
        <w:rPr>
          <w:rFonts w:asciiTheme="majorBidi" w:hAnsiTheme="majorBidi" w:cstheme="majorBidi"/>
        </w:rPr>
        <w:instrText>ADDIN CSL_CITATION {"citationItems":[{"id":"ITEM-1","itemData":{"ISBN":"1992011001","abstract":"Page 1. PENGARUH KEPEMIMPINAN SPRITUAL TERHADAP LOYALITAS KERJA KARYAWAN BMT SIDOGIRI Bambang Subahri dan Nurul Hikmah 1Institut Agama Islam Syarifuddin Lumajang, Indonesia Email : bambang …","author":[{"dropping-particle":"","family":"Fibriansari","given":"RD","non-dropping-particle":"","parse-names":false,"suffix":""},{"dropping-particle":"","family":"Cahyadi","given":"Asy Hari","non-dropping-particle":"","parse-names":false,"suffix":""}],"container-title":"JURNAL PIKes Penelitian Ilmu Kesehatan","id":"ITEM-1","issue":"1","issued":{"date-parts":[["2021"]]},"page":"1-8","title":"Lost To Follow Up Terapi Antiretroviral pada Orang Dengan HIV/AIDS di Lumajang","type":"article-journal","volume":"2"},"uris":["http://www.mendeley.com/documents/?uuid=d68e5d26-5e66-4474-9583-f243cde4d183"]}],"mendeley":{"formattedCitation":"(R. Fibriansari &amp; Cahyadi, 2021)","plainTextFormattedCitation":"(R. Fibriansari &amp; Cahyadi, 2021)","previouslyFormattedCitation":"(R. Fibriansari &amp; Cahyadi, 2021)"},"properties":{"noteIndex":0},"schema":"https://github.com/citation-style-language/schema/raw/master/csl-citation.json"}</w:instrText>
      </w:r>
      <w:r w:rsidR="00557615" w:rsidRPr="00024EE5">
        <w:rPr>
          <w:rFonts w:asciiTheme="majorBidi" w:hAnsiTheme="majorBidi" w:cstheme="majorBidi"/>
        </w:rPr>
        <w:fldChar w:fldCharType="separate"/>
      </w:r>
      <w:r w:rsidR="0095731B" w:rsidRPr="0095731B">
        <w:rPr>
          <w:rFonts w:asciiTheme="majorBidi" w:hAnsiTheme="majorBidi" w:cstheme="majorBidi"/>
          <w:noProof/>
        </w:rPr>
        <w:t>(R. Fibriansari &amp; Cahyadi, 2021)</w:t>
      </w:r>
      <w:r w:rsidR="00557615" w:rsidRPr="00024EE5">
        <w:rPr>
          <w:rFonts w:asciiTheme="majorBidi" w:hAnsiTheme="majorBidi" w:cstheme="majorBidi"/>
        </w:rPr>
        <w:fldChar w:fldCharType="end"/>
      </w:r>
      <w:r w:rsidR="00557615" w:rsidRPr="00024EE5">
        <w:rPr>
          <w:rFonts w:asciiTheme="majorBidi" w:hAnsiTheme="majorBidi" w:cstheme="majorBidi"/>
        </w:rPr>
        <w:t>,</w:t>
      </w:r>
      <w:r w:rsidR="00557615" w:rsidRPr="00024EE5">
        <w:rPr>
          <w:rFonts w:asciiTheme="majorBidi" w:eastAsia="Arial MT" w:hAnsiTheme="majorBidi" w:cstheme="majorBidi"/>
          <w:lang w:val="sv-SE"/>
        </w:rPr>
        <w:fldChar w:fldCharType="begin" w:fldLock="1"/>
      </w:r>
      <w:r w:rsidR="00557615" w:rsidRPr="00024EE5">
        <w:rPr>
          <w:rFonts w:asciiTheme="majorBidi" w:eastAsia="Arial MT" w:hAnsiTheme="majorBidi" w:cstheme="majorBidi"/>
          <w:lang w:val="sv-SE"/>
        </w:rPr>
        <w:instrText>ADDIN CSL_CITATION {"citationItems":[{"id":"ITEM-1","itemData":{"DOI":"10.2989/16085906.2021.1874444","ISSN":"1727-9445 (Electronic)","PMID":"33685377","abstract":"Background: Considerable success has been recorded in the global fight against the human immunodeficiency virus (HIV) and acquired immunodeficiency syndrome (AIDS). Retention in care is the key to the attainment of set goals in the fight against the disease. We aim to determine the factors associated with loss to follow-up (LTFU) among people living with HIV on antiretroviral therapy (ART) in a limited resource setting.Method: This was a retrospective cohort study that included adult patients who accessed ART at the study site between January 2005 and October 2018. A multivariate logistic regression model was used to obtain adjusted odds ratios and 95% confidence intervals of independent determinants of LTFU.Results: Of the 8 679 patients included in the study, 3 716 (43%) were males, 4 009 (46%) were enrolled during the years 2005 to 2008, 8 421 (97%) spent less than two hours travelling from their residence to the treatment centre, and 3 523 (41%) had their first-line ART regimen changed. Among the characteristics that determine LTFU were male patients (OR = 1.167, 95% CI: 1.071-1.272), and World Health Organization clinical stage 3 (OR = 2.091, 95% CI: 1.485-2.944).Conclusion: In our study, male gender, enrolment year 2005 to 2008, no change in first-line ART and nevirapine-based therapy were more likely to be associated with LTFU.","author":[{"dropping-particle":"","family":"Dayyab","given":"Farouq Muhammad","non-dropping-particle":"","parse-names":false,"suffix":""},{"dropping-particle":"","family":"Mukhtar","given":"Fahad","non-dropping-particle":"","parse-names":false,"suffix":""},{"dropping-particle":"","family":"Iliyasu","given":"Garba","non-dropping-particle":"","parse-names":false,"suffix":""},{"dropping-particle":"","family":"Habib","given":"Abdulrazaq Garba","non-dropping-particle":"","parse-names":false,"suffix":""}],"container-title":"African journal of AIDS research : AJAR","id":"ITEM-1","issue":"1","issued":{"date-parts":[["2021","3"]]},"language":"eng","page":"93-99","publisher-place":"South Africa","title":"Determinants of loss to follow-up among people living with HIV on antiretroviral therapy in Nigeria","type":"article-journal","volume":"20"},"uris":["http://www.mendeley.com/documents/?uuid=765e0677-6c8e-4651-a4fb-b7b33400d279"]}],"mendeley":{"formattedCitation":"(Dayyab et al., 2021)","plainTextFormattedCitation":"(Dayyab et al., 2021)","previouslyFormattedCitation":"(Dayyab et al., 2021)"},"properties":{"noteIndex":0},"schema":"https://github.com/citation-style-language/schema/raw/master/csl-citation.json"}</w:instrText>
      </w:r>
      <w:r w:rsidR="00557615" w:rsidRPr="00024EE5">
        <w:rPr>
          <w:rFonts w:asciiTheme="majorBidi" w:eastAsia="Arial MT" w:hAnsiTheme="majorBidi" w:cstheme="majorBidi"/>
          <w:lang w:val="sv-SE"/>
        </w:rPr>
        <w:fldChar w:fldCharType="separate"/>
      </w:r>
      <w:r w:rsidR="00557615" w:rsidRPr="00024EE5">
        <w:rPr>
          <w:rFonts w:asciiTheme="majorBidi" w:eastAsia="Arial MT" w:hAnsiTheme="majorBidi" w:cstheme="majorBidi"/>
          <w:noProof/>
          <w:lang w:val="sv-SE"/>
        </w:rPr>
        <w:t>(Dayyab et al., 2021)</w:t>
      </w:r>
      <w:r w:rsidR="00557615" w:rsidRPr="00024EE5">
        <w:rPr>
          <w:rFonts w:asciiTheme="majorBidi" w:eastAsia="Arial MT" w:hAnsiTheme="majorBidi" w:cstheme="majorBidi"/>
          <w:lang w:val="sv-SE"/>
        </w:rPr>
        <w:fldChar w:fldCharType="end"/>
      </w:r>
      <w:r w:rsidR="00303C64" w:rsidRPr="00024EE5">
        <w:rPr>
          <w:rFonts w:asciiTheme="majorBidi" w:eastAsia="Arial MT" w:hAnsiTheme="majorBidi" w:cstheme="majorBidi"/>
          <w:lang w:val="sv-SE"/>
        </w:rPr>
        <w:t xml:space="preserve">. </w:t>
      </w:r>
      <w:r>
        <w:t xml:space="preserve">High levels of social stigma also contribute significantly to </w:t>
      </w:r>
      <w:proofErr w:type="spellStart"/>
      <w:r>
        <w:t>LtFU</w:t>
      </w:r>
      <w:proofErr w:type="spellEnd"/>
      <w:r>
        <w:t xml:space="preserve"> </w:t>
      </w:r>
      <w:r w:rsidR="005938D8" w:rsidRPr="00024EE5">
        <w:rPr>
          <w:rFonts w:asciiTheme="majorBidi" w:hAnsiTheme="majorBidi" w:cstheme="majorBidi"/>
        </w:rPr>
        <w:fldChar w:fldCharType="begin" w:fldLock="1"/>
      </w:r>
      <w:r w:rsidR="005938D8" w:rsidRPr="00024EE5">
        <w:rPr>
          <w:rFonts w:asciiTheme="majorBidi" w:hAnsiTheme="majorBidi" w:cstheme="majorBidi"/>
        </w:rPr>
        <w:instrText>ADDIN CSL_CITATION {"citationItems":[{"id":"ITEM-1","itemData":{"DOI":"10.58812/jmws.v2i5.346","ISSN":"2986-139X","abstract":"HIV (Human Immunodeficiency Virus) merupakan sebuah virus yang bisa menyebabkan infeksi pada sel darah putih dan menurunkan kekebalan imun tubuh pada manusia. Penyakit HIV belum bisa disembuhkan hingga saat ini namun infeksi dan replikasi HIV masih bisa dicegah dengan obat. Salah satu obat yang digunakan dalam pengobatan HIV adalah Antiretroviral (ARV). Terapi ARV merupakan pengobatan medis yang dinilai efektif bagi penderita HIV karena mampu menekan perkembangan HIV di dalam tubuh. Penelitian ini bertujuan untuk mengetahui efektivitas pengobatan Antiretroviral (ARV) pada pasien dengan HIV. Literature Review ini ditulis dengan metode naratif dengan menggunakan tiga mesin pencarian database yaitu PubMed, Cochrane Library, DOAJ dan menghasilkan 6 jurnal untuk ditindaklanjuti. Jurnal dianalisis menggunakan diagram PRISMA sesuai dengan kriteria inklusi yang digunakan yaitu jurnal yang menggunakan bahasa Inggris, menggunakan desain penelitian Retrospective, dan diterbitkan antara bulan Januari 2020 sampai bulan Mei 2023 mengenai efektivitas terapi Antiretroviral pada penderita HIV. Terapi Antiretroviral terbukti mampu menurunkan viral load dalam darah pasien HIV.","author":[{"dropping-particle":"","family":"Tiffany","given":"Egidia","non-dropping-particle":"","parse-names":false,"suffix":""},{"dropping-particle":"","family":"Yuniartika","given":"Wachidah","non-dropping-particle":"","parse-names":false,"suffix":""}],"container-title":"Jurnal Multidisiplin West Science","id":"ITEM-1","issue":"05","issued":{"date-parts":[["2023"]]},"page":"364-373","title":"Efektifitas Terapi Antiretroviral Terhadap Pasien HIV (Literature Review)","type":"article-journal","volume":"2"},"uris":["http://www.mendeley.com/documents/?uuid=8445c772-b2a3-45ea-a310-00798680a0ed"]}],"mendeley":{"formattedCitation":"(Tiffany &amp; Yuniartika, 2023)","plainTextFormattedCitation":"(Tiffany &amp; Yuniartika, 2023)","previouslyFormattedCitation":"(Tiffany &amp; Yuniartika, 2023)"},"properties":{"noteIndex":0},"schema":"https://github.com/citation-style-language/schema/raw/master/csl-citation.json"}</w:instrText>
      </w:r>
      <w:r w:rsidR="005938D8" w:rsidRPr="00024EE5">
        <w:rPr>
          <w:rFonts w:asciiTheme="majorBidi" w:hAnsiTheme="majorBidi" w:cstheme="majorBidi"/>
        </w:rPr>
        <w:fldChar w:fldCharType="separate"/>
      </w:r>
      <w:r w:rsidR="005938D8" w:rsidRPr="00024EE5">
        <w:rPr>
          <w:rFonts w:asciiTheme="majorBidi" w:hAnsiTheme="majorBidi" w:cstheme="majorBidi"/>
          <w:noProof/>
        </w:rPr>
        <w:t>(Tiffany &amp; Yuniartika, 2023)</w:t>
      </w:r>
      <w:r w:rsidR="005938D8" w:rsidRPr="00024EE5">
        <w:rPr>
          <w:rFonts w:asciiTheme="majorBidi" w:hAnsiTheme="majorBidi" w:cstheme="majorBidi"/>
        </w:rPr>
        <w:fldChar w:fldCharType="end"/>
      </w:r>
      <w:r w:rsidR="005938D8" w:rsidRPr="00024EE5">
        <w:rPr>
          <w:rFonts w:asciiTheme="majorBidi" w:hAnsiTheme="majorBidi" w:cstheme="majorBidi"/>
        </w:rPr>
        <w:t>.</w:t>
      </w:r>
      <w:r w:rsidR="005938D8" w:rsidRPr="00024EE5">
        <w:rPr>
          <w:rFonts w:asciiTheme="majorBidi" w:hAnsiTheme="majorBidi" w:cstheme="majorBidi"/>
        </w:rPr>
        <w:t xml:space="preserve"> </w:t>
      </w:r>
      <w:r>
        <w:t xml:space="preserve">Barriers to ART adherence include </w:t>
      </w:r>
      <w:r>
        <w:lastRenderedPageBreak/>
        <w:t>insufficient knowledge and the perception of feeling healthy, which leads patients to believe that ART is unnecessary</w:t>
      </w:r>
      <w:r>
        <w:t xml:space="preserve"> </w:t>
      </w:r>
      <w:r w:rsidR="00557615" w:rsidRPr="00024EE5">
        <w:rPr>
          <w:rFonts w:asciiTheme="majorBidi" w:hAnsiTheme="majorBidi" w:cstheme="majorBidi"/>
        </w:rPr>
        <w:fldChar w:fldCharType="begin" w:fldLock="1"/>
      </w:r>
      <w:r w:rsidR="00557615" w:rsidRPr="00024EE5">
        <w:rPr>
          <w:rFonts w:asciiTheme="majorBidi" w:hAnsiTheme="majorBidi" w:cstheme="majorBidi"/>
        </w:rPr>
        <w:instrText>ADDIN CSL_CITATION {"citationItems":[{"id":"ITEM-1","itemData":{"DOI":"https://doi.org/10.15294/ijphn.v1i3.47892","author":[{"dropping-particle":"","family":"Mukarromah","given":"Sholihatul","non-dropping-particle":"","parse-names":false,"suffix":""},{"dropping-particle":"","family":"Azinar","given":"Muhammad","non-dropping-particle":"","parse-names":false,"suffix":""}],"container-title":"Indonesian Journal of Public Health and Nutrition","id":"ITEM-1","issue":"3","issued":{"date-parts":[["2021"]]},"page":"396-406","title":"Penghambat Kepatuhan Terapi Antiretroviral pada Orang dengan HIV/AIDS (Studi Kasus pada Odha Loss To Follow Up Therapy)","type":"article-journal","volume":"1"},"uris":["http://www.mendeley.com/documents/?uuid=c2d4ceaa-6b71-4c97-983f-c0d8a4d3d576"]}],"mendeley":{"formattedCitation":"(Mukarromah &amp; Azinar, 2021)","plainTextFormattedCitation":"(Mukarromah &amp; Azinar, 2021)","previouslyFormattedCitation":"(Mukarromah &amp; Azinar, 2021)"},"properties":{"noteIndex":0},"schema":"https://github.com/citation-style-language/schema/raw/master/csl-citation.json"}</w:instrText>
      </w:r>
      <w:r w:rsidR="00557615" w:rsidRPr="00024EE5">
        <w:rPr>
          <w:rFonts w:asciiTheme="majorBidi" w:hAnsiTheme="majorBidi" w:cstheme="majorBidi"/>
        </w:rPr>
        <w:fldChar w:fldCharType="separate"/>
      </w:r>
      <w:r w:rsidR="00557615" w:rsidRPr="00024EE5">
        <w:rPr>
          <w:rFonts w:asciiTheme="majorBidi" w:hAnsiTheme="majorBidi" w:cstheme="majorBidi"/>
          <w:noProof/>
        </w:rPr>
        <w:t>(Mukarromah &amp; Azinar, 2021)</w:t>
      </w:r>
      <w:r w:rsidR="00557615" w:rsidRPr="00024EE5">
        <w:rPr>
          <w:rFonts w:asciiTheme="majorBidi" w:hAnsiTheme="majorBidi" w:cstheme="majorBidi"/>
        </w:rPr>
        <w:fldChar w:fldCharType="end"/>
      </w:r>
      <w:r w:rsidR="00303C64" w:rsidRPr="00024EE5">
        <w:rPr>
          <w:rFonts w:asciiTheme="majorBidi" w:hAnsiTheme="majorBidi" w:cstheme="majorBidi"/>
        </w:rPr>
        <w:t>.</w:t>
      </w:r>
      <w:r w:rsidR="00024EE5" w:rsidRPr="00024EE5">
        <w:rPr>
          <w:rFonts w:asciiTheme="majorBidi" w:hAnsiTheme="majorBidi" w:cstheme="majorBidi"/>
        </w:rPr>
        <w:t xml:space="preserve"> </w:t>
      </w:r>
      <w:r>
        <w:t xml:space="preserve">Family support, perceived susceptibility, and perceived severity have been identified as factors associated with </w:t>
      </w:r>
      <w:proofErr w:type="spellStart"/>
      <w:r>
        <w:t>LtFU</w:t>
      </w:r>
      <w:proofErr w:type="spellEnd"/>
      <w:r>
        <w:t xml:space="preserve">, while knowledge, accessibility of VCT clinics, and ART adherence were not consistently associated </w:t>
      </w:r>
      <w:r w:rsidR="00024EE5" w:rsidRPr="00024EE5">
        <w:rPr>
          <w:rFonts w:asciiTheme="majorBidi" w:hAnsiTheme="majorBidi" w:cstheme="majorBidi"/>
        </w:rPr>
        <w:fldChar w:fldCharType="begin" w:fldLock="1"/>
      </w:r>
      <w:r w:rsidR="00497874">
        <w:rPr>
          <w:rFonts w:asciiTheme="majorBidi" w:hAnsiTheme="majorBidi" w:cstheme="majorBidi"/>
        </w:rPr>
        <w:instrText>ADDIN CSL_CITATION {"citationItems":[{"id":"ITEM-1","itemData":{"ISBN":"0812400887","abstract":"analisi untuk tingkat pengetahuan ρ-value 0,535 &gt; α (0,05), keterjangkauan klinik VCT ρ-value 0,092 &gt; α (0,05), kepatuhan terapi ARV ρ-value 0,367 &gt; α (0,05), dukungan keluarga ρ-value 0,049 &lt; α (0,05), perceived susceptibility ρ-value 0,006 &lt; α (0,05) dan perceived severity ρ-value 0,014 &lt; α (0,05). Kesimpulan terdapat pengaruh antara dukungan keluarga, perceived susceptibility, perceived severty dan variabel yang paling berisiko adalah perceived susceptibility dengan besar risiko 2,489 kali terhadap lost to follow-up terapi ARV pada kelompok LSL. Saran untuk pasien agar lebih terbuka dengan status kesehatan yang dimiliki.","author":[{"dropping-particle":"","family":"Andriani","given":"Ni Ketut","non-dropping-particle":"","parse-names":false,"suffix":""},{"dropping-particle":"","family":"Aulia","given":"Ulfa","non-dropping-particle":"","parse-names":false,"suffix":""},{"dropping-particle":"","family":"Irwan","given":"","non-dropping-particle":"","parse-names":false,"suffix":""}],"container-title":"Preventif: Jurnal Kesehatan Masyarakat","id":"ITEM-1","issue":"1","issued":{"date-parts":[["2024"]]},"page":"94-114","title":"Faktor yang Mempengaruhi Lost to Follow-Up Pasien HIV-AIDS dengan Terapi ARV pada Kelompok LSL","type":"article-journal","volume":"15"},"uris":["http://www.mendeley.com/documents/?uuid=8566080a-1197-4da8-858e-08068d8329fa"]}],"mendeley":{"formattedCitation":"(Andriani et al., 2024)","plainTextFormattedCitation":"(Andriani et al., 2024)","previouslyFormattedCitation":"(Andriani et al., 2024)"},"properties":{"noteIndex":0},"schema":"https://github.com/citation-style-language/schema/raw/master/csl-citation.json"}</w:instrText>
      </w:r>
      <w:r w:rsidR="00024EE5" w:rsidRPr="00024EE5">
        <w:rPr>
          <w:rFonts w:asciiTheme="majorBidi" w:hAnsiTheme="majorBidi" w:cstheme="majorBidi"/>
        </w:rPr>
        <w:fldChar w:fldCharType="separate"/>
      </w:r>
      <w:r w:rsidR="00024EE5" w:rsidRPr="00024EE5">
        <w:rPr>
          <w:rFonts w:asciiTheme="majorBidi" w:hAnsiTheme="majorBidi" w:cstheme="majorBidi"/>
          <w:noProof/>
        </w:rPr>
        <w:t>(Andriani et al., 2024)</w:t>
      </w:r>
      <w:r w:rsidR="00024EE5" w:rsidRPr="00024EE5">
        <w:rPr>
          <w:rFonts w:asciiTheme="majorBidi" w:hAnsiTheme="majorBidi" w:cstheme="majorBidi"/>
        </w:rPr>
        <w:fldChar w:fldCharType="end"/>
      </w:r>
      <w:r w:rsidR="00024EE5" w:rsidRPr="00024EE5">
        <w:rPr>
          <w:rFonts w:asciiTheme="majorBidi" w:hAnsiTheme="majorBidi" w:cstheme="majorBidi"/>
        </w:rPr>
        <w:t>.</w:t>
      </w:r>
      <w:r w:rsidR="000643BA">
        <w:rPr>
          <w:rFonts w:asciiTheme="majorBidi" w:hAnsiTheme="majorBidi" w:cstheme="majorBidi"/>
        </w:rPr>
        <w:t xml:space="preserve"> </w:t>
      </w:r>
      <w:r>
        <w:t xml:space="preserve">Active patient tracing has been identified as an effective strategy to reduce </w:t>
      </w:r>
      <w:proofErr w:type="spellStart"/>
      <w:r>
        <w:t>LtFU</w:t>
      </w:r>
      <w:proofErr w:type="spellEnd"/>
      <w:r>
        <w:t xml:space="preserve"> and encourage patients to return to care</w:t>
      </w:r>
      <w:r>
        <w:t xml:space="preserve"> </w:t>
      </w:r>
      <w:r w:rsidR="005938D8" w:rsidRPr="00024EE5">
        <w:rPr>
          <w:rFonts w:asciiTheme="majorBidi" w:hAnsiTheme="majorBidi" w:cstheme="majorBidi"/>
        </w:rPr>
        <w:fldChar w:fldCharType="begin" w:fldLock="1"/>
      </w:r>
      <w:r w:rsidR="005938D8" w:rsidRPr="00024EE5">
        <w:rPr>
          <w:rFonts w:asciiTheme="majorBidi" w:hAnsiTheme="majorBidi" w:cstheme="majorBidi"/>
          <w:lang w:val="sv-SE"/>
        </w:rPr>
        <w:instrText>ADDIN CSL_CITATION {"citationItems":[{"id":"ITEM-1","itemData":{"DOI":"10.4103/jehp.jehp","abstract":"Abstract: Postpartum depression is a debilitating mental disorder with a high prevalence. The aim of this study was review of the related studies. In this narrative review, we report studies that investigated risk factors of postpartum depression by searching the database, Scopus, PubMed, ScienceDirect, Uptodate, Proquest in the period 2000‑2015 published articles about the factors associated with postpartum depression were assessed in Farsi and English. The search strategy included a combination of keywords include postpartum depression and risk factors or obstetrical history, social factors, or biological factors. Literature review showed that risk factors for postpartum depression in the area of economic and social factors, obstetrical history, and biological factors, lifestyle and history of mental illness detected. Data from this study can use for designing a screening tools for high‑risk pregnant women and for designing a prevention programs.","author":[{"dropping-particle":"","family":"Alizade","given":"Mehri","non-dropping-particle":"","parse-names":false,"suffix":""},{"dropping-particle":"","family":"Farshbaf‑Khalil","given":"Azizeh","non-dropping-particle":"","parse-names":false,"suffix":""},{"dropping-particle":"","family":"Malakouti","given":"Jamileh","non-dropping-particle":"","parse-names":false,"suffix":""},{"dropping-particle":"","family":"Mirghafourvand","given":"Mojgan","non-dropping-particle":"","parse-names":false,"suffix":""}],"container-title":"Journal of Education and Health Promotion","id":"ITEM-1","issue":"January","issued":{"date-parts":[["2021"]]},"page":"1-6","title":"Predictors of preventive behaviors of AIDS/HIV based on Health Belief Model constructs in women with high‑risk sexual behaviors: A cross‑sectional survey","type":"article-journal","volume":"10"},"uris":["http://www.mendeley.com/documents/?uuid=5c93d77d-3e65-4d36-9d92-67c43ca63754"]}],"mendeley":{"formattedCitation":"(Alizade et al., 2021)","plainTextFormattedCitation":"(Alizade et al., 2021)","previouslyFormattedCitation":"(Alizade et al., 2021)"},"properties":{"noteIndex":0},"schema":"https://github.com/citation-style-language/schema/raw/master/csl-citation.json"}</w:instrText>
      </w:r>
      <w:r w:rsidR="005938D8" w:rsidRPr="00024EE5">
        <w:rPr>
          <w:rFonts w:asciiTheme="majorBidi" w:hAnsiTheme="majorBidi" w:cstheme="majorBidi"/>
        </w:rPr>
        <w:fldChar w:fldCharType="separate"/>
      </w:r>
      <w:r w:rsidR="005938D8" w:rsidRPr="00024EE5">
        <w:rPr>
          <w:rFonts w:asciiTheme="majorBidi" w:hAnsiTheme="majorBidi" w:cstheme="majorBidi"/>
          <w:noProof/>
          <w:lang w:val="sv-SE"/>
        </w:rPr>
        <w:t>(Alizade et al., 2021)</w:t>
      </w:r>
      <w:r w:rsidR="005938D8" w:rsidRPr="00024EE5">
        <w:rPr>
          <w:rFonts w:asciiTheme="majorBidi" w:hAnsiTheme="majorBidi" w:cstheme="majorBidi"/>
        </w:rPr>
        <w:fldChar w:fldCharType="end"/>
      </w:r>
      <w:r w:rsidR="005938D8" w:rsidRPr="00024EE5">
        <w:rPr>
          <w:rFonts w:asciiTheme="majorBidi" w:hAnsiTheme="majorBidi" w:cstheme="majorBidi"/>
        </w:rPr>
        <w:t xml:space="preserve">. </w:t>
      </w:r>
      <w:r>
        <w:t xml:space="preserve">Identifying determinants of </w:t>
      </w:r>
      <w:proofErr w:type="spellStart"/>
      <w:r>
        <w:t>LtFU</w:t>
      </w:r>
      <w:proofErr w:type="spellEnd"/>
      <w:r>
        <w:t xml:space="preserve"> is therefore essential to inform appropriate interventions aimed at improving treatment retention among PLHIV</w:t>
      </w:r>
      <w:r w:rsidR="00557615" w:rsidRPr="00024EE5">
        <w:rPr>
          <w:rFonts w:asciiTheme="majorBidi" w:hAnsiTheme="majorBidi" w:cstheme="majorBidi"/>
        </w:rPr>
        <w:fldChar w:fldCharType="begin" w:fldLock="1"/>
      </w:r>
      <w:r w:rsidR="00557615" w:rsidRPr="00024EE5">
        <w:rPr>
          <w:rFonts w:asciiTheme="majorBidi" w:hAnsiTheme="majorBidi" w:cstheme="majorBidi"/>
          <w:lang w:val="sv-SE"/>
        </w:rPr>
        <w:instrText>ADDIN CSL_CITATION {"citationItems":[{"id":"ITEM-1","itemData":{"DOI":"10.1002/jia2.25853","ISSN":"17582652","PMID":"34921515","abstract":"Introduction: Tracing patients lost to follow-up (LTFU) from HIV care is widely practiced, yet we have little knowledge of its causal effect on care engagement. In a prospective, Zambian cohort, we examined the effect of tracing on return to care within 2 years of LTFU. Methods: We traced a stratified, random sample of LTFU patients who had received HIV care between August 2013 and July 2015. LTFU was defined as a gap of &gt;90 days from last scheduled appointment in the routine electronic medical record. Extracting 2 years of follow-up visit data through 2017, we identified patients who returned. Using random selection for tracing as an instrumental variable (IV), we used conditional two-stage least squares regression to estimate the local average treatment effect of tracer contact on return. We examined the observational association between tracer contact and return among patient sub-groups self-confirmed as disengaged from care. Results: Of the 24,164 LTFU patients enumerated, 4380 were randomly selected for tracing and 1158 were contacted by a tracer within a median of 14.8 months post-loss. IV analysis found that patients contacted by a tracer because they were randomized to tracing were no more likely to return than those not contacted (adjusted risk difference [aRD]: 3%, 95% CI: –2%, 8%, p = 0.23). Observational data showed that among contacted, disengaged patients, the rate of return was higher in the week following tracer contact (IR 5.74, 95% CI: 3.78–8.71) than in the 2 weeks to 1-month post-contact (IR 2.28, 95% CI: 1.40–3.72). There was a greater effect of tracing among patients lost for &gt;6 months compared to those contacted within 3 months of loss. Conclusions: Overall, tracer contact did not causally increase LTFU patient return to HIV care, demonstrating the limited impact of tracing in this program, where contact occurred months after patients were LTFU. However, observational data suggest that tracing may speed return among some LTFU patients genuinely out-of-care. Further studies may improve tracing effectiveness by examining the mechanisms underlying the impact of tracing on return to care, the effect of tracing at different times-since-loss and using more accurate identification of patients who are truly disengaged to target tracing.","author":[{"dropping-particle":"","family":"Beres","given":"Laura K.","non-dropping-particle":"","parse-names":false,"suffix":""},{"dropping-particle":"","family":"Mody","given":"Aaloke","non-dropping-particle":"","parse-names":false,"suffix":""},{"dropping-particle":"","family":"Sikombe","given":"Kombatende","n</w:instrText>
      </w:r>
      <w:r w:rsidR="00557615" w:rsidRPr="00024EE5">
        <w:rPr>
          <w:rFonts w:asciiTheme="majorBidi" w:hAnsiTheme="majorBidi" w:cstheme="majorBidi"/>
        </w:rPr>
        <w:instrText>on-dropping-particle":"","parse-names":false,"suffix":""},{"dropping-particle":"","family":"Nicholas","given":"Lauren Hersch","non-dropping-particle":"","parse-names":false,"suffix":""},{"dropping-particle":"","family":"Schwartz","given":"Sheree","non-dropping-particle":"","parse-names":false,"suffix":""},{"dropping-particle":"","family":"Eshun-Wilson","given":"Ingrid","non-dropping-particle":"","parse-names":false,"suffix":""},{"dropping-particle":"","family":"Somwe","given":"Paul","non-dropping-particle":"","parse-names":false,"suffix":""},{"dropping-particle":"","family":"Simbeza","given":"Sandra","non-dropping-particle":"","parse-names":false,"suffix":""},{"dropping-particle":"","family":"Pry","given":"Jake M.","non-dropping-particle":"","parse-names":false,"suffix":""},{"dropping-particle":"","family":"Kaumba","given":"Paul","non-dropping-particle":"","parse-names":false,"suffix":""},{"dropping-particle":"","family":"McGready","given":"John","non-dropping-particle":"","parse-names":false,"suffix":""},{"dropping-particle":"","family":"Holmes","given":"Charles B.","non-dropping-particle":"","parse-names":false,"suffix":""},{"dropping-particle":"","family":"Bolton-Moore","given":"Carolyn","non-dropping-particle":"","parse-names":false,"suffix":""},{"dropping-particle":"","family":"Sikazwe","given":"Izukanji","non-dropping-particle":"","parse-names":false,"suffix":""},{"dropping-particle":"","family":"Denison","given":"Julie A.","non-dropping-particle":"","parse-names":false,"suffix":""},{"dropping-particle":"","family":"Geng","given":"Elvin H.","non-dropping-particle":"","parse-names":false,"suffix":""}],"container-title":"Journal of the International AIDS Society","id":"ITEM-1","issue":"12","issued":{"date-parts":[["2021"]]},"title":"The effect of tracer contact on return to care among adult, “lost to follow-up” patients living with HIV in Zambia: an instrumental variable analysis","type":"article-journal","volume":"24"},"uris":["http://www.mendeley.com/documents/?uuid=68f19860-a2c6-4e1d-af87-c56055395c6a"]}],"mendeley":{"formattedCitation":"(Beres et al., 2021)","plainTextFormattedCitation":"(Beres et al., 2021)","previouslyFormattedCitation":"(Beres et al., 2021)"},"properties":{"noteIndex":0},"schema":"https://github.com/citation-style-language/schema/raw/master/csl-citation.json"}</w:instrText>
      </w:r>
      <w:r w:rsidR="00557615" w:rsidRPr="00024EE5">
        <w:rPr>
          <w:rFonts w:asciiTheme="majorBidi" w:hAnsiTheme="majorBidi" w:cstheme="majorBidi"/>
        </w:rPr>
        <w:fldChar w:fldCharType="separate"/>
      </w:r>
      <w:r w:rsidR="00557615" w:rsidRPr="00024EE5">
        <w:rPr>
          <w:rFonts w:asciiTheme="majorBidi" w:hAnsiTheme="majorBidi" w:cstheme="majorBidi"/>
          <w:noProof/>
        </w:rPr>
        <w:t>(</w:t>
      </w:r>
      <w:proofErr w:type="spellStart"/>
      <w:r w:rsidR="00557615" w:rsidRPr="00024EE5">
        <w:rPr>
          <w:rFonts w:asciiTheme="majorBidi" w:hAnsiTheme="majorBidi" w:cstheme="majorBidi"/>
          <w:noProof/>
        </w:rPr>
        <w:t>Beres</w:t>
      </w:r>
      <w:proofErr w:type="spellEnd"/>
      <w:r w:rsidR="00557615" w:rsidRPr="00024EE5">
        <w:rPr>
          <w:rFonts w:asciiTheme="majorBidi" w:hAnsiTheme="majorBidi" w:cstheme="majorBidi"/>
          <w:noProof/>
        </w:rPr>
        <w:t xml:space="preserve"> et al., 2021)</w:t>
      </w:r>
      <w:r w:rsidR="00557615" w:rsidRPr="00024EE5">
        <w:rPr>
          <w:rFonts w:asciiTheme="majorBidi" w:hAnsiTheme="majorBidi" w:cstheme="majorBidi"/>
        </w:rPr>
        <w:fldChar w:fldCharType="end"/>
      </w:r>
      <w:r w:rsidR="005938D8" w:rsidRPr="00024EE5">
        <w:rPr>
          <w:rFonts w:asciiTheme="majorBidi" w:hAnsiTheme="majorBidi" w:cstheme="majorBidi"/>
        </w:rPr>
        <w:t xml:space="preserve">. </w:t>
      </w:r>
    </w:p>
    <w:p w14:paraId="297154F1" w14:textId="596FCD97" w:rsidR="0094620F" w:rsidRDefault="0094620F" w:rsidP="00024EE5">
      <w:pPr>
        <w:pStyle w:val="BodyText"/>
        <w:spacing w:line="360" w:lineRule="auto"/>
        <w:ind w:left="-2" w:right="-2" w:firstLineChars="257" w:firstLine="617"/>
        <w:rPr>
          <w:rFonts w:asciiTheme="majorBidi" w:hAnsiTheme="majorBidi" w:cstheme="majorBidi"/>
        </w:rPr>
      </w:pPr>
      <w:r>
        <w:t xml:space="preserve">This study aims to identify factors associated with the occurrence of </w:t>
      </w:r>
      <w:r>
        <w:rPr>
          <w:rStyle w:val="Emphasis"/>
        </w:rPr>
        <w:t>loss to follow-up</w:t>
      </w:r>
      <w:r>
        <w:t xml:space="preserve"> among people living with HIV/AIDS as an effort to support the effectiveness of HIV/AIDS control programs</w:t>
      </w:r>
      <w:r>
        <w:t>.</w:t>
      </w:r>
    </w:p>
    <w:p w14:paraId="0219AF0B" w14:textId="77777777" w:rsidR="000643BA" w:rsidRPr="00024EE5" w:rsidRDefault="000643BA" w:rsidP="00024EE5">
      <w:pPr>
        <w:pStyle w:val="BodyText"/>
        <w:spacing w:line="360" w:lineRule="auto"/>
        <w:ind w:left="-2" w:right="-2" w:firstLineChars="257" w:firstLine="617"/>
        <w:rPr>
          <w:rFonts w:asciiTheme="majorBidi" w:hAnsiTheme="majorBidi" w:cstheme="majorBidi"/>
          <w:position w:val="0"/>
          <w:lang w:eastAsia="en-ID"/>
        </w:rPr>
      </w:pPr>
    </w:p>
    <w:bookmarkEnd w:id="1"/>
    <w:p w14:paraId="64A7A49D" w14:textId="35D496D5" w:rsidR="00690517" w:rsidRDefault="00B44173" w:rsidP="000643BA">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METHODS</w:t>
      </w:r>
    </w:p>
    <w:p w14:paraId="4BABE347" w14:textId="32945E58" w:rsidR="0094620F" w:rsidRPr="0094620F" w:rsidRDefault="0094620F" w:rsidP="0094620F">
      <w:pPr>
        <w:pStyle w:val="ListParagraph"/>
        <w:ind w:left="-2" w:firstLineChars="236" w:firstLine="566"/>
        <w:textDirection w:val="lrTb"/>
        <w:rPr>
          <w:rFonts w:eastAsia="Times New Roman" w:cs="Times New Roman"/>
          <w:position w:val="0"/>
          <w:szCs w:val="24"/>
          <w:lang w:val="en-ID" w:eastAsia="en-ID"/>
        </w:rPr>
      </w:pPr>
      <w:r w:rsidRPr="0094620F">
        <w:rPr>
          <w:rFonts w:eastAsia="Times New Roman" w:cs="Times New Roman"/>
          <w:position w:val="0"/>
          <w:szCs w:val="24"/>
          <w:lang w:val="en-ID" w:eastAsia="en-ID"/>
        </w:rPr>
        <w:t xml:space="preserve">This study employed a quantitative survey design with a cross-sectional approach. The study population consisted of 199 people living with HIV/AIDS in </w:t>
      </w:r>
      <w:proofErr w:type="spellStart"/>
      <w:r w:rsidRPr="0094620F">
        <w:rPr>
          <w:rFonts w:eastAsia="Times New Roman" w:cs="Times New Roman"/>
          <w:position w:val="0"/>
          <w:szCs w:val="24"/>
          <w:lang w:val="en-ID" w:eastAsia="en-ID"/>
        </w:rPr>
        <w:t>Demak</w:t>
      </w:r>
      <w:proofErr w:type="spellEnd"/>
      <w:r w:rsidRPr="0094620F">
        <w:rPr>
          <w:rFonts w:eastAsia="Times New Roman" w:cs="Times New Roman"/>
          <w:position w:val="0"/>
          <w:szCs w:val="24"/>
          <w:lang w:val="en-ID" w:eastAsia="en-ID"/>
        </w:rPr>
        <w:t xml:space="preserve"> Regency. Total sampling was applied, resulting in a sample size of 199 respondents. Participants were selected based on the following inclusion criteria: residency in </w:t>
      </w:r>
      <w:proofErr w:type="spellStart"/>
      <w:r w:rsidRPr="0094620F">
        <w:rPr>
          <w:rFonts w:eastAsia="Times New Roman" w:cs="Times New Roman"/>
          <w:position w:val="0"/>
          <w:szCs w:val="24"/>
          <w:lang w:val="en-ID" w:eastAsia="en-ID"/>
        </w:rPr>
        <w:t>Demak</w:t>
      </w:r>
      <w:proofErr w:type="spellEnd"/>
      <w:r w:rsidRPr="0094620F">
        <w:rPr>
          <w:rFonts w:eastAsia="Times New Roman" w:cs="Times New Roman"/>
          <w:position w:val="0"/>
          <w:szCs w:val="24"/>
          <w:lang w:val="en-ID" w:eastAsia="en-ID"/>
        </w:rPr>
        <w:t xml:space="preserve"> Regency (based on national identification), adult age (19–59 years), complete and traceable medical records, and willingness to participate in the study.</w:t>
      </w:r>
      <w:r>
        <w:rPr>
          <w:rFonts w:eastAsia="Times New Roman" w:cs="Times New Roman"/>
          <w:position w:val="0"/>
          <w:szCs w:val="24"/>
          <w:lang w:val="en-ID" w:eastAsia="en-ID"/>
        </w:rPr>
        <w:t xml:space="preserve"> </w:t>
      </w:r>
      <w:r w:rsidRPr="0094620F">
        <w:rPr>
          <w:rFonts w:eastAsia="Times New Roman" w:cs="Times New Roman"/>
          <w:position w:val="0"/>
          <w:szCs w:val="24"/>
          <w:lang w:val="en-ID" w:eastAsia="en-ID"/>
        </w:rPr>
        <w:t>Data were collected using a structured questionnaire that met validity criteria (r calculated &gt; 0.361), covering variables of knowledge (0.487–0.739), attitudes (0.584–0.732), perceptions (0.475–0.815), family support (0.423–0.807), peer support (0.451–0.808), healthcare provider support (0.613–0.887), stigma (0.619–0.872), healthcare services (0.406–0.811), access to services (0.679–0.872), and policy factors (0.630–0.822). Reliability testing yielded Cronbach’s alpha values ranging from 0.875 to 0.940 (&gt;0.6), indicating good internal consistency.</w:t>
      </w:r>
      <w:r>
        <w:rPr>
          <w:rFonts w:eastAsia="Times New Roman" w:cs="Times New Roman"/>
          <w:position w:val="0"/>
          <w:szCs w:val="24"/>
          <w:lang w:val="en-ID" w:eastAsia="en-ID"/>
        </w:rPr>
        <w:t xml:space="preserve"> </w:t>
      </w:r>
      <w:r w:rsidRPr="0094620F">
        <w:rPr>
          <w:rFonts w:eastAsia="Times New Roman" w:cs="Times New Roman"/>
          <w:position w:val="0"/>
          <w:szCs w:val="24"/>
          <w:lang w:val="en-ID" w:eastAsia="en-ID"/>
        </w:rPr>
        <w:t>Data collection was conducted directly by administering questionnaires to selected respondents. Data processing included editing, coding, data entry, and data cleaning. Data analysis comprised univariate analysis (frequency and percentage distributions), bivariate analysis using the chi-square test, and multivariate analysis using logistic regression.</w:t>
      </w:r>
    </w:p>
    <w:p w14:paraId="0E62FFE4" w14:textId="00F435E2" w:rsidR="00690517" w:rsidRDefault="00690517">
      <w:pPr>
        <w:spacing w:after="0" w:line="360" w:lineRule="auto"/>
        <w:ind w:left="0" w:hanging="2"/>
        <w:jc w:val="both"/>
        <w:rPr>
          <w:rFonts w:ascii="Times New Roman" w:eastAsia="Times New Roman" w:hAnsi="Times New Roman" w:cs="Times New Roman"/>
          <w:sz w:val="24"/>
          <w:szCs w:val="24"/>
        </w:rPr>
      </w:pPr>
    </w:p>
    <w:p w14:paraId="33C3BF66" w14:textId="77926A8B" w:rsidR="0094620F" w:rsidRDefault="0094620F">
      <w:pPr>
        <w:spacing w:after="0" w:line="360" w:lineRule="auto"/>
        <w:ind w:left="0" w:hanging="2"/>
        <w:jc w:val="both"/>
        <w:rPr>
          <w:rFonts w:ascii="Times New Roman" w:eastAsia="Times New Roman" w:hAnsi="Times New Roman" w:cs="Times New Roman"/>
          <w:sz w:val="24"/>
          <w:szCs w:val="24"/>
        </w:rPr>
      </w:pPr>
    </w:p>
    <w:p w14:paraId="470E4E92" w14:textId="0AE900D9" w:rsidR="0094620F" w:rsidRDefault="0094620F">
      <w:pPr>
        <w:spacing w:after="0" w:line="360" w:lineRule="auto"/>
        <w:ind w:left="0" w:hanging="2"/>
        <w:jc w:val="both"/>
        <w:rPr>
          <w:rFonts w:ascii="Times New Roman" w:eastAsia="Times New Roman" w:hAnsi="Times New Roman" w:cs="Times New Roman"/>
          <w:sz w:val="24"/>
          <w:szCs w:val="24"/>
        </w:rPr>
      </w:pPr>
    </w:p>
    <w:p w14:paraId="27D23516" w14:textId="77777777" w:rsidR="0094620F" w:rsidRDefault="0094620F">
      <w:pPr>
        <w:spacing w:after="0" w:line="360" w:lineRule="auto"/>
        <w:ind w:left="0" w:hanging="2"/>
        <w:jc w:val="both"/>
        <w:rPr>
          <w:rFonts w:ascii="Times New Roman" w:eastAsia="Times New Roman" w:hAnsi="Times New Roman" w:cs="Times New Roman"/>
          <w:sz w:val="24"/>
          <w:szCs w:val="24"/>
        </w:rPr>
      </w:pPr>
    </w:p>
    <w:p w14:paraId="0A0004D2" w14:textId="6F9F0A8F" w:rsidR="00690517" w:rsidRPr="00F772FA" w:rsidRDefault="00B44173" w:rsidP="000643BA">
      <w:pPr>
        <w:pBdr>
          <w:top w:val="nil"/>
          <w:left w:val="nil"/>
          <w:bottom w:val="nil"/>
          <w:right w:val="nil"/>
          <w:between w:val="nil"/>
        </w:pBdr>
        <w:spacing w:after="0" w:line="360" w:lineRule="auto"/>
        <w:ind w:left="0" w:hanging="2"/>
        <w:jc w:val="both"/>
        <w:rPr>
          <w:rFonts w:asciiTheme="majorBidi" w:eastAsia="Times New Roman" w:hAnsiTheme="majorBidi" w:cstheme="majorBidi"/>
          <w:color w:val="000000"/>
          <w:sz w:val="24"/>
          <w:szCs w:val="24"/>
        </w:rPr>
      </w:pPr>
      <w:r w:rsidRPr="00F772FA">
        <w:rPr>
          <w:rFonts w:asciiTheme="majorBidi" w:eastAsia="Times New Roman" w:hAnsiTheme="majorBidi" w:cstheme="majorBidi"/>
          <w:b/>
          <w:color w:val="000000"/>
          <w:sz w:val="24"/>
          <w:szCs w:val="24"/>
        </w:rPr>
        <w:lastRenderedPageBreak/>
        <w:t>RESULTS</w:t>
      </w:r>
    </w:p>
    <w:p w14:paraId="7392A92E" w14:textId="305BD58D" w:rsidR="009033F7" w:rsidRPr="009033F7" w:rsidRDefault="009033F7" w:rsidP="00B44173">
      <w:pPr>
        <w:pStyle w:val="Heading2"/>
        <w:keepNext w:val="0"/>
        <w:keepLines w:val="0"/>
        <w:widowControl w:val="0"/>
        <w:numPr>
          <w:ilvl w:val="0"/>
          <w:numId w:val="1"/>
        </w:numPr>
        <w:spacing w:before="0" w:line="360" w:lineRule="auto"/>
        <w:ind w:left="309" w:hangingChars="129" w:hanging="311"/>
        <w:jc w:val="both"/>
        <w:rPr>
          <w:rFonts w:asciiTheme="majorBidi" w:hAnsiTheme="majorBidi" w:cstheme="majorBidi"/>
          <w:iCs/>
          <w:color w:val="000000" w:themeColor="text1"/>
          <w:sz w:val="24"/>
          <w:szCs w:val="24"/>
        </w:rPr>
      </w:pPr>
      <w:r w:rsidRPr="009033F7">
        <w:rPr>
          <w:rFonts w:asciiTheme="majorBidi" w:hAnsiTheme="majorBidi" w:cstheme="majorBidi"/>
          <w:iCs/>
          <w:color w:val="000000" w:themeColor="text1"/>
          <w:sz w:val="24"/>
          <w:szCs w:val="24"/>
        </w:rPr>
        <w:t>Respondent Characteristics</w:t>
      </w:r>
    </w:p>
    <w:p w14:paraId="2E807B74" w14:textId="2A7A5C5E" w:rsidR="009033F7" w:rsidRDefault="009033F7" w:rsidP="009033F7">
      <w:pPr>
        <w:pStyle w:val="ListParagraph"/>
        <w:spacing w:line="240" w:lineRule="auto"/>
        <w:ind w:left="0" w:hanging="2"/>
        <w:jc w:val="center"/>
        <w:textDirection w:val="lrTb"/>
        <w:rPr>
          <w:rFonts w:asciiTheme="majorBidi" w:hAnsiTheme="majorBidi" w:cstheme="majorBidi"/>
          <w:szCs w:val="24"/>
        </w:rPr>
      </w:pPr>
      <w:r w:rsidRPr="009033F7">
        <w:rPr>
          <w:rFonts w:asciiTheme="majorBidi" w:hAnsiTheme="majorBidi" w:cstheme="majorBidi"/>
          <w:szCs w:val="24"/>
        </w:rPr>
        <w:t>Table 1. Frequency Distribution of Characteristics of Respondents Living with HIV/AIDS</w:t>
      </w:r>
    </w:p>
    <w:p w14:paraId="33364583" w14:textId="77777777" w:rsidR="009033F7" w:rsidRPr="009033F7" w:rsidRDefault="009033F7" w:rsidP="009033F7">
      <w:pPr>
        <w:pStyle w:val="ListParagraph"/>
        <w:spacing w:line="240" w:lineRule="auto"/>
        <w:ind w:left="0" w:hanging="2"/>
        <w:jc w:val="center"/>
        <w:textDirection w:val="lrTb"/>
        <w:rPr>
          <w:rFonts w:asciiTheme="majorBidi" w:hAnsiTheme="majorBidi" w:cstheme="majorBidi"/>
          <w:szCs w:val="24"/>
        </w:rPr>
      </w:pPr>
    </w:p>
    <w:tbl>
      <w:tblPr>
        <w:tblStyle w:val="LightShading1"/>
        <w:tblW w:w="0" w:type="auto"/>
        <w:tblInd w:w="284" w:type="dxa"/>
        <w:tblLook w:val="04A0" w:firstRow="1" w:lastRow="0" w:firstColumn="1" w:lastColumn="0" w:noHBand="0" w:noVBand="1"/>
      </w:tblPr>
      <w:tblGrid>
        <w:gridCol w:w="2455"/>
        <w:gridCol w:w="1794"/>
        <w:gridCol w:w="516"/>
        <w:gridCol w:w="566"/>
        <w:gridCol w:w="1544"/>
        <w:gridCol w:w="1650"/>
      </w:tblGrid>
      <w:tr w:rsidR="009033F7" w:rsidRPr="009033F7" w14:paraId="22128342" w14:textId="77777777" w:rsidTr="00B539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BE6417E" w14:textId="77777777" w:rsidR="009033F7" w:rsidRPr="009033F7" w:rsidRDefault="009033F7" w:rsidP="00B539D1">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Variable</w:t>
            </w:r>
          </w:p>
        </w:tc>
        <w:tc>
          <w:tcPr>
            <w:tcW w:w="0" w:type="auto"/>
            <w:shd w:val="clear" w:color="auto" w:fill="auto"/>
            <w:hideMark/>
          </w:tcPr>
          <w:p w14:paraId="4B6B7F6D" w14:textId="77777777" w:rsidR="009033F7" w:rsidRPr="009033F7" w:rsidRDefault="009033F7" w:rsidP="00B539D1">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Category</w:t>
            </w:r>
          </w:p>
        </w:tc>
        <w:tc>
          <w:tcPr>
            <w:tcW w:w="0" w:type="auto"/>
            <w:shd w:val="clear" w:color="auto" w:fill="auto"/>
            <w:hideMark/>
          </w:tcPr>
          <w:p w14:paraId="76044DCA" w14:textId="77777777" w:rsidR="009033F7" w:rsidRPr="009033F7" w:rsidRDefault="009033F7" w:rsidP="00B539D1">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f</w:t>
            </w:r>
          </w:p>
        </w:tc>
        <w:tc>
          <w:tcPr>
            <w:tcW w:w="0" w:type="auto"/>
            <w:shd w:val="clear" w:color="auto" w:fill="auto"/>
            <w:hideMark/>
          </w:tcPr>
          <w:p w14:paraId="1E292C61" w14:textId="77777777" w:rsidR="009033F7" w:rsidRPr="009033F7" w:rsidRDefault="009033F7" w:rsidP="00B539D1">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w:t>
            </w:r>
          </w:p>
        </w:tc>
        <w:tc>
          <w:tcPr>
            <w:tcW w:w="0" w:type="auto"/>
            <w:shd w:val="clear" w:color="auto" w:fill="auto"/>
            <w:hideMark/>
          </w:tcPr>
          <w:p w14:paraId="2C985197" w14:textId="77777777" w:rsidR="009033F7" w:rsidRPr="009033F7" w:rsidRDefault="009033F7" w:rsidP="00B539D1">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Mean (Median)</w:t>
            </w:r>
          </w:p>
        </w:tc>
        <w:tc>
          <w:tcPr>
            <w:tcW w:w="0" w:type="auto"/>
            <w:shd w:val="clear" w:color="auto" w:fill="auto"/>
            <w:hideMark/>
          </w:tcPr>
          <w:p w14:paraId="6A7EEB37" w14:textId="77777777" w:rsidR="009033F7" w:rsidRPr="009033F7" w:rsidRDefault="009033F7" w:rsidP="00B539D1">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SD (Min–Max)</w:t>
            </w:r>
          </w:p>
        </w:tc>
      </w:tr>
      <w:tr w:rsidR="009033F7" w:rsidRPr="009033F7" w14:paraId="15E17C5A"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B42527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Age</w:t>
            </w:r>
          </w:p>
        </w:tc>
        <w:tc>
          <w:tcPr>
            <w:tcW w:w="0" w:type="auto"/>
            <w:shd w:val="clear" w:color="auto" w:fill="auto"/>
            <w:hideMark/>
          </w:tcPr>
          <w:p w14:paraId="7A638B9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19–40 years</w:t>
            </w:r>
          </w:p>
        </w:tc>
        <w:tc>
          <w:tcPr>
            <w:tcW w:w="0" w:type="auto"/>
            <w:shd w:val="clear" w:color="auto" w:fill="auto"/>
            <w:hideMark/>
          </w:tcPr>
          <w:p w14:paraId="57EF9F5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157</w:t>
            </w:r>
          </w:p>
        </w:tc>
        <w:tc>
          <w:tcPr>
            <w:tcW w:w="0" w:type="auto"/>
            <w:shd w:val="clear" w:color="auto" w:fill="auto"/>
            <w:hideMark/>
          </w:tcPr>
          <w:p w14:paraId="1EC1758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78.9</w:t>
            </w:r>
          </w:p>
        </w:tc>
        <w:tc>
          <w:tcPr>
            <w:tcW w:w="0" w:type="auto"/>
            <w:shd w:val="clear" w:color="auto" w:fill="auto"/>
            <w:hideMark/>
          </w:tcPr>
          <w:p w14:paraId="7EC74FA0"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37.42 (36.00)</w:t>
            </w:r>
          </w:p>
        </w:tc>
        <w:tc>
          <w:tcPr>
            <w:tcW w:w="0" w:type="auto"/>
            <w:shd w:val="clear" w:color="auto" w:fill="auto"/>
            <w:hideMark/>
          </w:tcPr>
          <w:p w14:paraId="3F46B02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9.694 (22–60)</w:t>
            </w:r>
          </w:p>
        </w:tc>
      </w:tr>
      <w:tr w:rsidR="009033F7" w:rsidRPr="009033F7" w14:paraId="713B6BED"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66C3F8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01CE8FD7"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≥40 years</w:t>
            </w:r>
          </w:p>
        </w:tc>
        <w:tc>
          <w:tcPr>
            <w:tcW w:w="0" w:type="auto"/>
            <w:shd w:val="clear" w:color="auto" w:fill="auto"/>
            <w:hideMark/>
          </w:tcPr>
          <w:p w14:paraId="6C70E480"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42</w:t>
            </w:r>
          </w:p>
        </w:tc>
        <w:tc>
          <w:tcPr>
            <w:tcW w:w="0" w:type="auto"/>
            <w:shd w:val="clear" w:color="auto" w:fill="auto"/>
            <w:hideMark/>
          </w:tcPr>
          <w:p w14:paraId="41FAE196"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21.1</w:t>
            </w:r>
          </w:p>
        </w:tc>
        <w:tc>
          <w:tcPr>
            <w:tcW w:w="0" w:type="auto"/>
            <w:shd w:val="clear" w:color="auto" w:fill="auto"/>
            <w:hideMark/>
          </w:tcPr>
          <w:p w14:paraId="50AD153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1B1434D4"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48F6CBE7"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FA844C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Sex</w:t>
            </w:r>
          </w:p>
        </w:tc>
        <w:tc>
          <w:tcPr>
            <w:tcW w:w="0" w:type="auto"/>
            <w:shd w:val="clear" w:color="auto" w:fill="auto"/>
            <w:hideMark/>
          </w:tcPr>
          <w:p w14:paraId="4564674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Female</w:t>
            </w:r>
          </w:p>
        </w:tc>
        <w:tc>
          <w:tcPr>
            <w:tcW w:w="0" w:type="auto"/>
            <w:shd w:val="clear" w:color="auto" w:fill="auto"/>
            <w:hideMark/>
          </w:tcPr>
          <w:p w14:paraId="37DB03D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110</w:t>
            </w:r>
          </w:p>
        </w:tc>
        <w:tc>
          <w:tcPr>
            <w:tcW w:w="0" w:type="auto"/>
            <w:shd w:val="clear" w:color="auto" w:fill="auto"/>
            <w:hideMark/>
          </w:tcPr>
          <w:p w14:paraId="682ED193"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55.3</w:t>
            </w:r>
          </w:p>
        </w:tc>
        <w:tc>
          <w:tcPr>
            <w:tcW w:w="0" w:type="auto"/>
            <w:shd w:val="clear" w:color="auto" w:fill="auto"/>
            <w:hideMark/>
          </w:tcPr>
          <w:p w14:paraId="672AF461"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0.45 (0.00)</w:t>
            </w:r>
          </w:p>
        </w:tc>
        <w:tc>
          <w:tcPr>
            <w:tcW w:w="0" w:type="auto"/>
            <w:shd w:val="clear" w:color="auto" w:fill="auto"/>
            <w:hideMark/>
          </w:tcPr>
          <w:p w14:paraId="75EE105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0.498 (0–1)</w:t>
            </w:r>
          </w:p>
        </w:tc>
      </w:tr>
      <w:tr w:rsidR="009033F7" w:rsidRPr="009033F7" w14:paraId="171F3773"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EF92A2B"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77D397D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Male</w:t>
            </w:r>
          </w:p>
        </w:tc>
        <w:tc>
          <w:tcPr>
            <w:tcW w:w="0" w:type="auto"/>
            <w:shd w:val="clear" w:color="auto" w:fill="auto"/>
            <w:hideMark/>
          </w:tcPr>
          <w:p w14:paraId="0B764791"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89</w:t>
            </w:r>
          </w:p>
        </w:tc>
        <w:tc>
          <w:tcPr>
            <w:tcW w:w="0" w:type="auto"/>
            <w:shd w:val="clear" w:color="auto" w:fill="auto"/>
            <w:hideMark/>
          </w:tcPr>
          <w:p w14:paraId="53A43B66"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44.7</w:t>
            </w:r>
          </w:p>
        </w:tc>
        <w:tc>
          <w:tcPr>
            <w:tcW w:w="0" w:type="auto"/>
            <w:shd w:val="clear" w:color="auto" w:fill="auto"/>
            <w:hideMark/>
          </w:tcPr>
          <w:p w14:paraId="5E879AF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1350A03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51F819CB"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39EE59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Education Level</w:t>
            </w:r>
          </w:p>
        </w:tc>
        <w:tc>
          <w:tcPr>
            <w:tcW w:w="0" w:type="auto"/>
            <w:shd w:val="clear" w:color="auto" w:fill="auto"/>
            <w:hideMark/>
          </w:tcPr>
          <w:p w14:paraId="21DB594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Elementary School</w:t>
            </w:r>
          </w:p>
        </w:tc>
        <w:tc>
          <w:tcPr>
            <w:tcW w:w="0" w:type="auto"/>
            <w:shd w:val="clear" w:color="auto" w:fill="auto"/>
            <w:hideMark/>
          </w:tcPr>
          <w:p w14:paraId="76FDD1A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36</w:t>
            </w:r>
          </w:p>
        </w:tc>
        <w:tc>
          <w:tcPr>
            <w:tcW w:w="0" w:type="auto"/>
            <w:shd w:val="clear" w:color="auto" w:fill="auto"/>
            <w:hideMark/>
          </w:tcPr>
          <w:p w14:paraId="02622A4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18.1</w:t>
            </w:r>
          </w:p>
        </w:tc>
        <w:tc>
          <w:tcPr>
            <w:tcW w:w="0" w:type="auto"/>
            <w:shd w:val="clear" w:color="auto" w:fill="auto"/>
            <w:hideMark/>
          </w:tcPr>
          <w:p w14:paraId="0AFD8C0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2.63 (3.00)</w:t>
            </w:r>
          </w:p>
        </w:tc>
        <w:tc>
          <w:tcPr>
            <w:tcW w:w="0" w:type="auto"/>
            <w:shd w:val="clear" w:color="auto" w:fill="auto"/>
            <w:hideMark/>
          </w:tcPr>
          <w:p w14:paraId="3BF21AB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1.060 (1–4)</w:t>
            </w:r>
          </w:p>
        </w:tc>
      </w:tr>
      <w:tr w:rsidR="009033F7" w:rsidRPr="009033F7" w14:paraId="5F468949"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6024F32"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11A511D3"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Junior High School</w:t>
            </w:r>
          </w:p>
        </w:tc>
        <w:tc>
          <w:tcPr>
            <w:tcW w:w="0" w:type="auto"/>
            <w:shd w:val="clear" w:color="auto" w:fill="auto"/>
            <w:hideMark/>
          </w:tcPr>
          <w:p w14:paraId="04A98B4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54</w:t>
            </w:r>
          </w:p>
        </w:tc>
        <w:tc>
          <w:tcPr>
            <w:tcW w:w="0" w:type="auto"/>
            <w:shd w:val="clear" w:color="auto" w:fill="auto"/>
            <w:hideMark/>
          </w:tcPr>
          <w:p w14:paraId="775091B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27.1</w:t>
            </w:r>
          </w:p>
        </w:tc>
        <w:tc>
          <w:tcPr>
            <w:tcW w:w="0" w:type="auto"/>
            <w:shd w:val="clear" w:color="auto" w:fill="auto"/>
            <w:hideMark/>
          </w:tcPr>
          <w:p w14:paraId="68F2BD12"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434C402B"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0FFC7152"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00DA34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163E2BB2"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Senior High School</w:t>
            </w:r>
          </w:p>
        </w:tc>
        <w:tc>
          <w:tcPr>
            <w:tcW w:w="0" w:type="auto"/>
            <w:shd w:val="clear" w:color="auto" w:fill="auto"/>
            <w:hideMark/>
          </w:tcPr>
          <w:p w14:paraId="6A1F0F06"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57</w:t>
            </w:r>
          </w:p>
        </w:tc>
        <w:tc>
          <w:tcPr>
            <w:tcW w:w="0" w:type="auto"/>
            <w:shd w:val="clear" w:color="auto" w:fill="auto"/>
            <w:hideMark/>
          </w:tcPr>
          <w:p w14:paraId="44903E5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28.6</w:t>
            </w:r>
          </w:p>
        </w:tc>
        <w:tc>
          <w:tcPr>
            <w:tcW w:w="0" w:type="auto"/>
            <w:shd w:val="clear" w:color="auto" w:fill="auto"/>
            <w:hideMark/>
          </w:tcPr>
          <w:p w14:paraId="6CB424F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55FAC24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597776E3"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294017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630A5381"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Higher Education</w:t>
            </w:r>
          </w:p>
        </w:tc>
        <w:tc>
          <w:tcPr>
            <w:tcW w:w="0" w:type="auto"/>
            <w:shd w:val="clear" w:color="auto" w:fill="auto"/>
            <w:hideMark/>
          </w:tcPr>
          <w:p w14:paraId="1E326B0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52</w:t>
            </w:r>
          </w:p>
        </w:tc>
        <w:tc>
          <w:tcPr>
            <w:tcW w:w="0" w:type="auto"/>
            <w:shd w:val="clear" w:color="auto" w:fill="auto"/>
            <w:hideMark/>
          </w:tcPr>
          <w:p w14:paraId="0F41E73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26.1</w:t>
            </w:r>
          </w:p>
        </w:tc>
        <w:tc>
          <w:tcPr>
            <w:tcW w:w="0" w:type="auto"/>
            <w:shd w:val="clear" w:color="auto" w:fill="auto"/>
            <w:hideMark/>
          </w:tcPr>
          <w:p w14:paraId="6E4F9E0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7F6ED1E7"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6F05D711"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718D8E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Duration of HIV Infection</w:t>
            </w:r>
          </w:p>
        </w:tc>
        <w:tc>
          <w:tcPr>
            <w:tcW w:w="0" w:type="auto"/>
            <w:shd w:val="clear" w:color="auto" w:fill="auto"/>
            <w:hideMark/>
          </w:tcPr>
          <w:p w14:paraId="6F46DC9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&lt;5 years</w:t>
            </w:r>
          </w:p>
        </w:tc>
        <w:tc>
          <w:tcPr>
            <w:tcW w:w="0" w:type="auto"/>
            <w:shd w:val="clear" w:color="auto" w:fill="auto"/>
            <w:hideMark/>
          </w:tcPr>
          <w:p w14:paraId="0C89FE5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100</w:t>
            </w:r>
          </w:p>
        </w:tc>
        <w:tc>
          <w:tcPr>
            <w:tcW w:w="0" w:type="auto"/>
            <w:shd w:val="clear" w:color="auto" w:fill="auto"/>
            <w:hideMark/>
          </w:tcPr>
          <w:p w14:paraId="24EF86A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50.3</w:t>
            </w:r>
          </w:p>
        </w:tc>
        <w:tc>
          <w:tcPr>
            <w:tcW w:w="0" w:type="auto"/>
            <w:shd w:val="clear" w:color="auto" w:fill="auto"/>
            <w:hideMark/>
          </w:tcPr>
          <w:p w14:paraId="140DAB3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5.61 (5.00)</w:t>
            </w:r>
          </w:p>
        </w:tc>
        <w:tc>
          <w:tcPr>
            <w:tcW w:w="0" w:type="auto"/>
            <w:shd w:val="clear" w:color="auto" w:fill="auto"/>
            <w:hideMark/>
          </w:tcPr>
          <w:p w14:paraId="6B6DD15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3.107 (1–19)</w:t>
            </w:r>
          </w:p>
        </w:tc>
      </w:tr>
      <w:tr w:rsidR="009033F7" w:rsidRPr="009033F7" w14:paraId="66AD4724"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E1891C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1F9E2B3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 years</w:t>
            </w:r>
          </w:p>
        </w:tc>
        <w:tc>
          <w:tcPr>
            <w:tcW w:w="0" w:type="auto"/>
            <w:shd w:val="clear" w:color="auto" w:fill="auto"/>
            <w:hideMark/>
          </w:tcPr>
          <w:p w14:paraId="11ED5466"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99</w:t>
            </w:r>
          </w:p>
        </w:tc>
        <w:tc>
          <w:tcPr>
            <w:tcW w:w="0" w:type="auto"/>
            <w:shd w:val="clear" w:color="auto" w:fill="auto"/>
            <w:hideMark/>
          </w:tcPr>
          <w:p w14:paraId="58CB77F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49.7</w:t>
            </w:r>
          </w:p>
        </w:tc>
        <w:tc>
          <w:tcPr>
            <w:tcW w:w="0" w:type="auto"/>
            <w:shd w:val="clear" w:color="auto" w:fill="auto"/>
            <w:hideMark/>
          </w:tcPr>
          <w:p w14:paraId="10C701D3"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3D9DB81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06FE77EC"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08F0DA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CD4 Count</w:t>
            </w:r>
          </w:p>
        </w:tc>
        <w:tc>
          <w:tcPr>
            <w:tcW w:w="0" w:type="auto"/>
            <w:shd w:val="clear" w:color="auto" w:fill="auto"/>
            <w:hideMark/>
          </w:tcPr>
          <w:p w14:paraId="2B0C0794"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&lt;200 cells/mm³</w:t>
            </w:r>
          </w:p>
        </w:tc>
        <w:tc>
          <w:tcPr>
            <w:tcW w:w="0" w:type="auto"/>
            <w:shd w:val="clear" w:color="auto" w:fill="auto"/>
            <w:hideMark/>
          </w:tcPr>
          <w:p w14:paraId="078B83E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49</w:t>
            </w:r>
          </w:p>
        </w:tc>
        <w:tc>
          <w:tcPr>
            <w:tcW w:w="0" w:type="auto"/>
            <w:shd w:val="clear" w:color="auto" w:fill="auto"/>
            <w:hideMark/>
          </w:tcPr>
          <w:p w14:paraId="0E50AF5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24.6</w:t>
            </w:r>
          </w:p>
        </w:tc>
        <w:tc>
          <w:tcPr>
            <w:tcW w:w="0" w:type="auto"/>
            <w:shd w:val="clear" w:color="auto" w:fill="auto"/>
            <w:hideMark/>
          </w:tcPr>
          <w:p w14:paraId="48630501"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346.25 (350.00)</w:t>
            </w:r>
          </w:p>
        </w:tc>
        <w:tc>
          <w:tcPr>
            <w:tcW w:w="0" w:type="auto"/>
            <w:shd w:val="clear" w:color="auto" w:fill="auto"/>
            <w:hideMark/>
          </w:tcPr>
          <w:p w14:paraId="19C3C8E3"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150.565 (85–620)</w:t>
            </w:r>
          </w:p>
        </w:tc>
      </w:tr>
      <w:tr w:rsidR="009033F7" w:rsidRPr="009033F7" w14:paraId="58226A16"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B4B48D6"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42362B1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≥200 cells/mm³</w:t>
            </w:r>
          </w:p>
        </w:tc>
        <w:tc>
          <w:tcPr>
            <w:tcW w:w="0" w:type="auto"/>
            <w:shd w:val="clear" w:color="auto" w:fill="auto"/>
            <w:hideMark/>
          </w:tcPr>
          <w:p w14:paraId="3320A44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150</w:t>
            </w:r>
          </w:p>
        </w:tc>
        <w:tc>
          <w:tcPr>
            <w:tcW w:w="0" w:type="auto"/>
            <w:shd w:val="clear" w:color="auto" w:fill="auto"/>
            <w:hideMark/>
          </w:tcPr>
          <w:p w14:paraId="064AAF6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75.4</w:t>
            </w:r>
          </w:p>
        </w:tc>
        <w:tc>
          <w:tcPr>
            <w:tcW w:w="0" w:type="auto"/>
            <w:shd w:val="clear" w:color="auto" w:fill="auto"/>
            <w:hideMark/>
          </w:tcPr>
          <w:p w14:paraId="7A37CF11"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4A0FB869"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4F8A96D1"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B4CB4F2"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Clinical Stage</w:t>
            </w:r>
          </w:p>
        </w:tc>
        <w:tc>
          <w:tcPr>
            <w:tcW w:w="0" w:type="auto"/>
            <w:shd w:val="clear" w:color="auto" w:fill="auto"/>
            <w:hideMark/>
          </w:tcPr>
          <w:p w14:paraId="08C6716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Stage 1</w:t>
            </w:r>
          </w:p>
        </w:tc>
        <w:tc>
          <w:tcPr>
            <w:tcW w:w="0" w:type="auto"/>
            <w:shd w:val="clear" w:color="auto" w:fill="auto"/>
            <w:hideMark/>
          </w:tcPr>
          <w:p w14:paraId="3FF9F6F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128</w:t>
            </w:r>
          </w:p>
        </w:tc>
        <w:tc>
          <w:tcPr>
            <w:tcW w:w="0" w:type="auto"/>
            <w:shd w:val="clear" w:color="auto" w:fill="auto"/>
            <w:hideMark/>
          </w:tcPr>
          <w:p w14:paraId="7384BE3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64.3</w:t>
            </w:r>
          </w:p>
        </w:tc>
        <w:tc>
          <w:tcPr>
            <w:tcW w:w="0" w:type="auto"/>
            <w:shd w:val="clear" w:color="auto" w:fill="auto"/>
            <w:hideMark/>
          </w:tcPr>
          <w:p w14:paraId="4683402B"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1.47 (1.00)</w:t>
            </w:r>
          </w:p>
        </w:tc>
        <w:tc>
          <w:tcPr>
            <w:tcW w:w="0" w:type="auto"/>
            <w:shd w:val="clear" w:color="auto" w:fill="auto"/>
            <w:hideMark/>
          </w:tcPr>
          <w:p w14:paraId="34417DF9"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0.709 (1–4)</w:t>
            </w:r>
          </w:p>
        </w:tc>
      </w:tr>
      <w:tr w:rsidR="009033F7" w:rsidRPr="009033F7" w14:paraId="3DA37607"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2C8B63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3902C06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Stage 2</w:t>
            </w:r>
          </w:p>
        </w:tc>
        <w:tc>
          <w:tcPr>
            <w:tcW w:w="0" w:type="auto"/>
            <w:shd w:val="clear" w:color="auto" w:fill="auto"/>
            <w:hideMark/>
          </w:tcPr>
          <w:p w14:paraId="399C359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50</w:t>
            </w:r>
          </w:p>
        </w:tc>
        <w:tc>
          <w:tcPr>
            <w:tcW w:w="0" w:type="auto"/>
            <w:shd w:val="clear" w:color="auto" w:fill="auto"/>
            <w:hideMark/>
          </w:tcPr>
          <w:p w14:paraId="38C1AE17"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25.1</w:t>
            </w:r>
          </w:p>
        </w:tc>
        <w:tc>
          <w:tcPr>
            <w:tcW w:w="0" w:type="auto"/>
            <w:shd w:val="clear" w:color="auto" w:fill="auto"/>
            <w:hideMark/>
          </w:tcPr>
          <w:p w14:paraId="79406AF7"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375471E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26DA7403"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2F3B7B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1ADBEB22"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Stage 3</w:t>
            </w:r>
          </w:p>
        </w:tc>
        <w:tc>
          <w:tcPr>
            <w:tcW w:w="0" w:type="auto"/>
            <w:shd w:val="clear" w:color="auto" w:fill="auto"/>
            <w:hideMark/>
          </w:tcPr>
          <w:p w14:paraId="01D8304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19</w:t>
            </w:r>
          </w:p>
        </w:tc>
        <w:tc>
          <w:tcPr>
            <w:tcW w:w="0" w:type="auto"/>
            <w:shd w:val="clear" w:color="auto" w:fill="auto"/>
            <w:hideMark/>
          </w:tcPr>
          <w:p w14:paraId="5DC1AF3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9.5</w:t>
            </w:r>
          </w:p>
        </w:tc>
        <w:tc>
          <w:tcPr>
            <w:tcW w:w="0" w:type="auto"/>
            <w:shd w:val="clear" w:color="auto" w:fill="auto"/>
            <w:hideMark/>
          </w:tcPr>
          <w:p w14:paraId="6A6CE35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6E5AA78B"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394C4464"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5A15BF3"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3A51505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Stage 4</w:t>
            </w:r>
          </w:p>
        </w:tc>
        <w:tc>
          <w:tcPr>
            <w:tcW w:w="0" w:type="auto"/>
            <w:shd w:val="clear" w:color="auto" w:fill="auto"/>
            <w:hideMark/>
          </w:tcPr>
          <w:p w14:paraId="5C841C5B"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w:t>
            </w:r>
          </w:p>
        </w:tc>
        <w:tc>
          <w:tcPr>
            <w:tcW w:w="0" w:type="auto"/>
            <w:shd w:val="clear" w:color="auto" w:fill="auto"/>
            <w:hideMark/>
          </w:tcPr>
          <w:p w14:paraId="5340A779"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w:t>
            </w:r>
          </w:p>
        </w:tc>
        <w:tc>
          <w:tcPr>
            <w:tcW w:w="0" w:type="auto"/>
            <w:shd w:val="clear" w:color="auto" w:fill="auto"/>
            <w:hideMark/>
          </w:tcPr>
          <w:p w14:paraId="7265B3A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42AB1B8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425AA1E7"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DE88034"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ART Regimen</w:t>
            </w:r>
          </w:p>
        </w:tc>
        <w:tc>
          <w:tcPr>
            <w:tcW w:w="0" w:type="auto"/>
            <w:shd w:val="clear" w:color="auto" w:fill="auto"/>
            <w:hideMark/>
          </w:tcPr>
          <w:p w14:paraId="1B8B167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First-line</w:t>
            </w:r>
          </w:p>
        </w:tc>
        <w:tc>
          <w:tcPr>
            <w:tcW w:w="0" w:type="auto"/>
            <w:shd w:val="clear" w:color="auto" w:fill="auto"/>
            <w:hideMark/>
          </w:tcPr>
          <w:p w14:paraId="41EAC42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74</w:t>
            </w:r>
          </w:p>
        </w:tc>
        <w:tc>
          <w:tcPr>
            <w:tcW w:w="0" w:type="auto"/>
            <w:shd w:val="clear" w:color="auto" w:fill="auto"/>
            <w:hideMark/>
          </w:tcPr>
          <w:p w14:paraId="6674DB7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37.2</w:t>
            </w:r>
          </w:p>
        </w:tc>
        <w:tc>
          <w:tcPr>
            <w:tcW w:w="0" w:type="auto"/>
            <w:shd w:val="clear" w:color="auto" w:fill="auto"/>
            <w:hideMark/>
          </w:tcPr>
          <w:p w14:paraId="2C1484B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0.63 (1.00)</w:t>
            </w:r>
          </w:p>
        </w:tc>
        <w:tc>
          <w:tcPr>
            <w:tcW w:w="0" w:type="auto"/>
            <w:shd w:val="clear" w:color="auto" w:fill="auto"/>
            <w:hideMark/>
          </w:tcPr>
          <w:p w14:paraId="2A34B042"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0.485 (0–1)</w:t>
            </w:r>
          </w:p>
        </w:tc>
      </w:tr>
      <w:tr w:rsidR="009033F7" w:rsidRPr="009033F7" w14:paraId="09C787C8"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A01F129"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278D8E5C"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Second-line</w:t>
            </w:r>
          </w:p>
        </w:tc>
        <w:tc>
          <w:tcPr>
            <w:tcW w:w="0" w:type="auto"/>
            <w:shd w:val="clear" w:color="auto" w:fill="auto"/>
            <w:hideMark/>
          </w:tcPr>
          <w:p w14:paraId="7C9B1870"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125</w:t>
            </w:r>
          </w:p>
        </w:tc>
        <w:tc>
          <w:tcPr>
            <w:tcW w:w="0" w:type="auto"/>
            <w:shd w:val="clear" w:color="auto" w:fill="auto"/>
            <w:hideMark/>
          </w:tcPr>
          <w:p w14:paraId="650589A8"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62.8</w:t>
            </w:r>
          </w:p>
        </w:tc>
        <w:tc>
          <w:tcPr>
            <w:tcW w:w="0" w:type="auto"/>
            <w:shd w:val="clear" w:color="auto" w:fill="auto"/>
            <w:hideMark/>
          </w:tcPr>
          <w:p w14:paraId="207ECD5F"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3B997919"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73154211" w14:textId="77777777" w:rsidTr="00B53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6B0B303"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Coinfection</w:t>
            </w:r>
          </w:p>
        </w:tc>
        <w:tc>
          <w:tcPr>
            <w:tcW w:w="0" w:type="auto"/>
            <w:shd w:val="clear" w:color="auto" w:fill="auto"/>
            <w:hideMark/>
          </w:tcPr>
          <w:p w14:paraId="03D04C24"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None</w:t>
            </w:r>
          </w:p>
        </w:tc>
        <w:tc>
          <w:tcPr>
            <w:tcW w:w="0" w:type="auto"/>
            <w:shd w:val="clear" w:color="auto" w:fill="auto"/>
            <w:hideMark/>
          </w:tcPr>
          <w:p w14:paraId="6905B09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134</w:t>
            </w:r>
          </w:p>
        </w:tc>
        <w:tc>
          <w:tcPr>
            <w:tcW w:w="0" w:type="auto"/>
            <w:shd w:val="clear" w:color="auto" w:fill="auto"/>
            <w:hideMark/>
          </w:tcPr>
          <w:p w14:paraId="1A54241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67.3</w:t>
            </w:r>
          </w:p>
        </w:tc>
        <w:tc>
          <w:tcPr>
            <w:tcW w:w="0" w:type="auto"/>
            <w:shd w:val="clear" w:color="auto" w:fill="auto"/>
            <w:hideMark/>
          </w:tcPr>
          <w:p w14:paraId="28FA3A2A"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0.33 (0.00)</w:t>
            </w:r>
          </w:p>
        </w:tc>
        <w:tc>
          <w:tcPr>
            <w:tcW w:w="0" w:type="auto"/>
            <w:shd w:val="clear" w:color="auto" w:fill="auto"/>
            <w:hideMark/>
          </w:tcPr>
          <w:p w14:paraId="229617A1"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0.470 (0–1)</w:t>
            </w:r>
          </w:p>
        </w:tc>
      </w:tr>
      <w:tr w:rsidR="009033F7" w:rsidRPr="009033F7" w14:paraId="6BAEC2F7" w14:textId="77777777" w:rsidTr="00B539D1">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1948A6D"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0A8F4201"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Present</w:t>
            </w:r>
          </w:p>
        </w:tc>
        <w:tc>
          <w:tcPr>
            <w:tcW w:w="0" w:type="auto"/>
            <w:shd w:val="clear" w:color="auto" w:fill="auto"/>
            <w:hideMark/>
          </w:tcPr>
          <w:p w14:paraId="34E3E200"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65</w:t>
            </w:r>
          </w:p>
        </w:tc>
        <w:tc>
          <w:tcPr>
            <w:tcW w:w="0" w:type="auto"/>
            <w:shd w:val="clear" w:color="auto" w:fill="auto"/>
            <w:hideMark/>
          </w:tcPr>
          <w:p w14:paraId="2561F856"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32.7</w:t>
            </w:r>
          </w:p>
        </w:tc>
        <w:tc>
          <w:tcPr>
            <w:tcW w:w="0" w:type="auto"/>
            <w:shd w:val="clear" w:color="auto" w:fill="auto"/>
            <w:hideMark/>
          </w:tcPr>
          <w:p w14:paraId="3A80C905"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0" w:type="auto"/>
            <w:shd w:val="clear" w:color="auto" w:fill="auto"/>
            <w:hideMark/>
          </w:tcPr>
          <w:p w14:paraId="79AC8D1E" w14:textId="77777777" w:rsidR="009033F7" w:rsidRPr="009033F7" w:rsidRDefault="009033F7" w:rsidP="00B539D1">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bl>
    <w:p w14:paraId="6E4D5A4F" w14:textId="77777777" w:rsidR="009033F7" w:rsidRDefault="009033F7" w:rsidP="009033F7">
      <w:pPr>
        <w:spacing w:after="0" w:line="360" w:lineRule="auto"/>
        <w:ind w:left="-2" w:firstLineChars="257" w:firstLine="617"/>
        <w:jc w:val="both"/>
        <w:textDirection w:val="lrTb"/>
        <w:rPr>
          <w:rFonts w:ascii="Times New Roman" w:eastAsia="Times New Roman" w:hAnsi="Times New Roman" w:cs="Times New Roman"/>
          <w:position w:val="0"/>
          <w:sz w:val="24"/>
          <w:szCs w:val="24"/>
          <w:lang w:val="en-ID" w:eastAsia="en-ID"/>
        </w:rPr>
      </w:pPr>
    </w:p>
    <w:p w14:paraId="120CEA4F" w14:textId="0F5C9859" w:rsidR="009033F7" w:rsidRPr="009033F7" w:rsidRDefault="009033F7" w:rsidP="009033F7">
      <w:pPr>
        <w:spacing w:after="0" w:line="360" w:lineRule="auto"/>
        <w:ind w:left="-2" w:firstLineChars="257" w:firstLine="617"/>
        <w:jc w:val="both"/>
        <w:textDirection w:val="lrTb"/>
        <w:rPr>
          <w:rFonts w:ascii="Times New Roman" w:eastAsia="Times New Roman" w:hAnsi="Times New Roman" w:cs="Times New Roman"/>
          <w:position w:val="0"/>
          <w:sz w:val="24"/>
          <w:szCs w:val="24"/>
          <w:lang w:val="en-ID" w:eastAsia="en-ID"/>
        </w:rPr>
      </w:pPr>
      <w:r w:rsidRPr="009033F7">
        <w:rPr>
          <w:rFonts w:ascii="Times New Roman" w:eastAsia="Times New Roman" w:hAnsi="Times New Roman" w:cs="Times New Roman"/>
          <w:position w:val="0"/>
          <w:sz w:val="24"/>
          <w:szCs w:val="24"/>
          <w:lang w:val="en-ID" w:eastAsia="en-ID"/>
        </w:rPr>
        <w:t xml:space="preserve">The majority of respondents were in the productive age group of 19–40 years (78.9%; mean age 37.42 years), with a higher proportion of females (55.3%) than males. Most respondents had a secondary to higher level of education, although a considerable proportion had only primary education. The duration of living with HIV was relatively balanced between those with &lt;5 years and ≥5 years (mean 5.61 years), indicating that many cases were detected within the last five years in line with expanded screening services. Clinically, most </w:t>
      </w:r>
      <w:r w:rsidRPr="009033F7">
        <w:rPr>
          <w:rFonts w:asciiTheme="majorBidi" w:eastAsia="Times New Roman" w:hAnsiTheme="majorBidi" w:cstheme="majorBidi"/>
          <w:position w:val="0"/>
          <w:sz w:val="24"/>
          <w:szCs w:val="24"/>
          <w:lang w:val="en-ID" w:eastAsia="en-ID"/>
        </w:rPr>
        <w:t>respondents</w:t>
      </w:r>
      <w:r w:rsidRPr="009033F7">
        <w:rPr>
          <w:rFonts w:ascii="Times New Roman" w:eastAsia="Times New Roman" w:hAnsi="Times New Roman" w:cs="Times New Roman"/>
          <w:position w:val="0"/>
          <w:sz w:val="24"/>
          <w:szCs w:val="24"/>
          <w:lang w:val="en-ID" w:eastAsia="en-ID"/>
        </w:rPr>
        <w:t xml:space="preserve"> had CD4 levels ≥200 cells/mm³, were classified as WHO clinical stage 1, were receiving second-line ART regimens, and did not present with comorbid infections, suggesting that the majority of patients were in a relatively stable and controlled condition.</w:t>
      </w:r>
    </w:p>
    <w:p w14:paraId="2D24F01A" w14:textId="77777777" w:rsidR="009033F7" w:rsidRDefault="009033F7" w:rsidP="00F772FA">
      <w:pPr>
        <w:spacing w:after="0" w:line="360" w:lineRule="auto"/>
        <w:ind w:left="-2" w:firstLineChars="257" w:firstLine="617"/>
        <w:jc w:val="both"/>
        <w:rPr>
          <w:rFonts w:asciiTheme="majorBidi" w:eastAsia="Times New Roman" w:hAnsiTheme="majorBidi" w:cstheme="majorBidi"/>
          <w:sz w:val="24"/>
          <w:szCs w:val="24"/>
          <w:lang w:val="en-ID" w:eastAsia="en-ID"/>
        </w:rPr>
      </w:pPr>
    </w:p>
    <w:p w14:paraId="31ABBCD9" w14:textId="7AD5ADCC" w:rsidR="009033F7" w:rsidRPr="009033F7" w:rsidRDefault="009033F7" w:rsidP="00B44173">
      <w:pPr>
        <w:pStyle w:val="Heading2"/>
        <w:keepNext w:val="0"/>
        <w:keepLines w:val="0"/>
        <w:widowControl w:val="0"/>
        <w:numPr>
          <w:ilvl w:val="0"/>
          <w:numId w:val="1"/>
        </w:numPr>
        <w:spacing w:before="0" w:line="360" w:lineRule="auto"/>
        <w:ind w:left="309" w:hangingChars="129" w:hanging="311"/>
        <w:jc w:val="both"/>
        <w:rPr>
          <w:rFonts w:asciiTheme="majorBidi" w:hAnsiTheme="majorBidi" w:cstheme="majorBidi"/>
          <w:iCs/>
          <w:color w:val="000000" w:themeColor="text1"/>
          <w:sz w:val="24"/>
          <w:szCs w:val="24"/>
        </w:rPr>
      </w:pPr>
      <w:r w:rsidRPr="009033F7">
        <w:rPr>
          <w:rFonts w:asciiTheme="majorBidi" w:hAnsiTheme="majorBidi" w:cstheme="majorBidi"/>
          <w:iCs/>
          <w:color w:val="000000" w:themeColor="text1"/>
          <w:sz w:val="24"/>
          <w:szCs w:val="24"/>
        </w:rPr>
        <w:t>Bivariate Analysis (Association Between Independent Variables and LtFU)</w:t>
      </w:r>
    </w:p>
    <w:p w14:paraId="2478AABF" w14:textId="32C84168" w:rsidR="009033F7" w:rsidRDefault="009033F7" w:rsidP="009033F7">
      <w:pPr>
        <w:pStyle w:val="ListParagraph"/>
        <w:spacing w:line="240" w:lineRule="auto"/>
        <w:ind w:left="0" w:hanging="2"/>
        <w:jc w:val="center"/>
        <w:textDirection w:val="lrTb"/>
        <w:rPr>
          <w:rFonts w:asciiTheme="majorBidi" w:hAnsiTheme="majorBidi" w:cstheme="majorBidi"/>
          <w:szCs w:val="24"/>
        </w:rPr>
      </w:pPr>
      <w:r w:rsidRPr="009033F7">
        <w:rPr>
          <w:rFonts w:asciiTheme="majorBidi" w:hAnsiTheme="majorBidi" w:cstheme="majorBidi"/>
          <w:szCs w:val="24"/>
        </w:rPr>
        <w:t>Table 2. Association Between Independent Variables and Loss to Follow-Up (</w:t>
      </w:r>
      <w:proofErr w:type="spellStart"/>
      <w:r w:rsidRPr="009033F7">
        <w:rPr>
          <w:rFonts w:asciiTheme="majorBidi" w:hAnsiTheme="majorBidi" w:cstheme="majorBidi"/>
          <w:szCs w:val="24"/>
        </w:rPr>
        <w:t>LtFU</w:t>
      </w:r>
      <w:proofErr w:type="spellEnd"/>
      <w:r w:rsidRPr="009033F7">
        <w:rPr>
          <w:rFonts w:asciiTheme="majorBidi" w:hAnsiTheme="majorBidi" w:cstheme="majorBidi"/>
          <w:szCs w:val="24"/>
        </w:rPr>
        <w:t>)</w:t>
      </w:r>
    </w:p>
    <w:tbl>
      <w:tblPr>
        <w:tblStyle w:val="LightShading1"/>
        <w:tblW w:w="8789" w:type="dxa"/>
        <w:tblInd w:w="142" w:type="dxa"/>
        <w:tblLook w:val="04A0" w:firstRow="1" w:lastRow="0" w:firstColumn="1" w:lastColumn="0" w:noHBand="0" w:noVBand="1"/>
      </w:tblPr>
      <w:tblGrid>
        <w:gridCol w:w="1276"/>
        <w:gridCol w:w="1095"/>
        <w:gridCol w:w="1034"/>
        <w:gridCol w:w="1305"/>
        <w:gridCol w:w="1244"/>
        <w:gridCol w:w="815"/>
        <w:gridCol w:w="2020"/>
      </w:tblGrid>
      <w:tr w:rsidR="009033F7" w:rsidRPr="009033F7" w14:paraId="46709B08" w14:textId="77777777" w:rsidTr="009033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4B2DB47D" w14:textId="77777777" w:rsidR="009033F7" w:rsidRPr="009033F7" w:rsidRDefault="009033F7" w:rsidP="009033F7">
            <w:pPr>
              <w:suppressAutoHyphens w:val="0"/>
              <w:spacing w:after="0" w:line="240" w:lineRule="auto"/>
              <w:ind w:leftChars="0" w:left="-108" w:right="-47" w:firstLineChars="0" w:firstLine="0"/>
              <w:jc w:val="center"/>
              <w:textDirection w:val="lrTb"/>
              <w:textAlignment w:val="auto"/>
              <w:outlineLvl w:val="9"/>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Independent Variable</w:t>
            </w:r>
          </w:p>
        </w:tc>
        <w:tc>
          <w:tcPr>
            <w:tcW w:w="0" w:type="auto"/>
            <w:shd w:val="clear" w:color="auto" w:fill="auto"/>
            <w:hideMark/>
          </w:tcPr>
          <w:p w14:paraId="3371F7CA" w14:textId="77777777" w:rsidR="009033F7" w:rsidRPr="009033F7" w:rsidRDefault="009033F7" w:rsidP="009033F7">
            <w:pPr>
              <w:suppressAutoHyphens w:val="0"/>
              <w:spacing w:after="0" w:line="240" w:lineRule="auto"/>
              <w:ind w:leftChars="0" w:left="-108" w:right="-47"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Category</w:t>
            </w:r>
          </w:p>
        </w:tc>
        <w:tc>
          <w:tcPr>
            <w:tcW w:w="0" w:type="auto"/>
            <w:shd w:val="clear" w:color="auto" w:fill="auto"/>
            <w:hideMark/>
          </w:tcPr>
          <w:p w14:paraId="363BD068" w14:textId="77777777" w:rsidR="009033F7" w:rsidRPr="009033F7" w:rsidRDefault="009033F7" w:rsidP="009033F7">
            <w:pPr>
              <w:suppressAutoHyphens w:val="0"/>
              <w:spacing w:after="0" w:line="240" w:lineRule="auto"/>
              <w:ind w:leftChars="0" w:left="-108" w:right="-47"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roofErr w:type="spellStart"/>
            <w:r w:rsidRPr="009033F7">
              <w:rPr>
                <w:rFonts w:ascii="Times New Roman" w:eastAsia="Times New Roman" w:hAnsi="Times New Roman" w:cs="Times New Roman"/>
                <w:position w:val="0"/>
                <w:sz w:val="20"/>
                <w:szCs w:val="20"/>
                <w:lang w:val="en-ID" w:eastAsia="en-ID"/>
              </w:rPr>
              <w:t>LtFU</w:t>
            </w:r>
            <w:proofErr w:type="spellEnd"/>
            <w:r w:rsidRPr="009033F7">
              <w:rPr>
                <w:rFonts w:ascii="Times New Roman" w:eastAsia="Times New Roman" w:hAnsi="Times New Roman" w:cs="Times New Roman"/>
                <w:position w:val="0"/>
                <w:sz w:val="20"/>
                <w:szCs w:val="20"/>
                <w:lang w:val="en-ID" w:eastAsia="en-ID"/>
              </w:rPr>
              <w:t xml:space="preserve"> n (%)</w:t>
            </w:r>
          </w:p>
        </w:tc>
        <w:tc>
          <w:tcPr>
            <w:tcW w:w="0" w:type="auto"/>
            <w:shd w:val="clear" w:color="auto" w:fill="auto"/>
            <w:hideMark/>
          </w:tcPr>
          <w:p w14:paraId="2FB6FF52" w14:textId="77777777" w:rsidR="009033F7" w:rsidRPr="009033F7" w:rsidRDefault="009033F7" w:rsidP="009033F7">
            <w:pPr>
              <w:suppressAutoHyphens w:val="0"/>
              <w:spacing w:after="0" w:line="240" w:lineRule="auto"/>
              <w:ind w:leftChars="0" w:left="-108" w:right="-47"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Non-</w:t>
            </w:r>
            <w:proofErr w:type="spellStart"/>
            <w:r w:rsidRPr="009033F7">
              <w:rPr>
                <w:rFonts w:ascii="Times New Roman" w:eastAsia="Times New Roman" w:hAnsi="Times New Roman" w:cs="Times New Roman"/>
                <w:position w:val="0"/>
                <w:sz w:val="20"/>
                <w:szCs w:val="20"/>
                <w:lang w:val="en-ID" w:eastAsia="en-ID"/>
              </w:rPr>
              <w:t>LtFU</w:t>
            </w:r>
            <w:proofErr w:type="spellEnd"/>
            <w:r w:rsidRPr="009033F7">
              <w:rPr>
                <w:rFonts w:ascii="Times New Roman" w:eastAsia="Times New Roman" w:hAnsi="Times New Roman" w:cs="Times New Roman"/>
                <w:position w:val="0"/>
                <w:sz w:val="20"/>
                <w:szCs w:val="20"/>
                <w:lang w:val="en-ID" w:eastAsia="en-ID"/>
              </w:rPr>
              <w:t xml:space="preserve"> n (%)</w:t>
            </w:r>
          </w:p>
        </w:tc>
        <w:tc>
          <w:tcPr>
            <w:tcW w:w="1244" w:type="dxa"/>
            <w:shd w:val="clear" w:color="auto" w:fill="auto"/>
            <w:hideMark/>
          </w:tcPr>
          <w:p w14:paraId="1A6DC8F4" w14:textId="77777777" w:rsidR="009033F7" w:rsidRPr="009033F7" w:rsidRDefault="009033F7" w:rsidP="009033F7">
            <w:pPr>
              <w:suppressAutoHyphens w:val="0"/>
              <w:spacing w:after="0" w:line="240" w:lineRule="auto"/>
              <w:ind w:leftChars="0" w:left="-108" w:right="-47"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Total n (%)</w:t>
            </w:r>
          </w:p>
        </w:tc>
        <w:tc>
          <w:tcPr>
            <w:tcW w:w="0" w:type="auto"/>
            <w:shd w:val="clear" w:color="auto" w:fill="auto"/>
            <w:hideMark/>
          </w:tcPr>
          <w:p w14:paraId="00C2FC28" w14:textId="77777777" w:rsidR="009033F7" w:rsidRPr="009033F7" w:rsidRDefault="009033F7" w:rsidP="009033F7">
            <w:pPr>
              <w:suppressAutoHyphens w:val="0"/>
              <w:spacing w:after="0" w:line="240" w:lineRule="auto"/>
              <w:ind w:leftChars="0" w:left="-108" w:right="-47"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p-value</w:t>
            </w:r>
          </w:p>
        </w:tc>
        <w:tc>
          <w:tcPr>
            <w:tcW w:w="2020" w:type="dxa"/>
            <w:shd w:val="clear" w:color="auto" w:fill="auto"/>
            <w:hideMark/>
          </w:tcPr>
          <w:p w14:paraId="535030E5" w14:textId="77777777" w:rsidR="009033F7" w:rsidRPr="009033F7" w:rsidRDefault="009033F7" w:rsidP="009033F7">
            <w:pPr>
              <w:suppressAutoHyphens w:val="0"/>
              <w:spacing w:after="0" w:line="240" w:lineRule="auto"/>
              <w:ind w:leftChars="0" w:left="-108" w:right="-47"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OR (95% CI)</w:t>
            </w:r>
          </w:p>
        </w:tc>
      </w:tr>
      <w:tr w:rsidR="009033F7" w:rsidRPr="009033F7" w14:paraId="77D15DB0"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68F85F0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Knowledge</w:t>
            </w:r>
          </w:p>
        </w:tc>
        <w:tc>
          <w:tcPr>
            <w:tcW w:w="0" w:type="auto"/>
            <w:shd w:val="clear" w:color="auto" w:fill="auto"/>
            <w:hideMark/>
          </w:tcPr>
          <w:p w14:paraId="1B62FA5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Poor</w:t>
            </w:r>
          </w:p>
        </w:tc>
        <w:tc>
          <w:tcPr>
            <w:tcW w:w="0" w:type="auto"/>
            <w:shd w:val="clear" w:color="auto" w:fill="auto"/>
            <w:hideMark/>
          </w:tcPr>
          <w:p w14:paraId="3F2BCC0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76 (59.4)</w:t>
            </w:r>
          </w:p>
        </w:tc>
        <w:tc>
          <w:tcPr>
            <w:tcW w:w="0" w:type="auto"/>
            <w:shd w:val="clear" w:color="auto" w:fill="auto"/>
            <w:hideMark/>
          </w:tcPr>
          <w:p w14:paraId="0E3F074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 (9.9)</w:t>
            </w:r>
          </w:p>
        </w:tc>
        <w:tc>
          <w:tcPr>
            <w:tcW w:w="1244" w:type="dxa"/>
            <w:shd w:val="clear" w:color="auto" w:fill="auto"/>
            <w:hideMark/>
          </w:tcPr>
          <w:p w14:paraId="230612D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83 (41.7)</w:t>
            </w:r>
          </w:p>
        </w:tc>
        <w:tc>
          <w:tcPr>
            <w:tcW w:w="0" w:type="auto"/>
            <w:shd w:val="clear" w:color="auto" w:fill="auto"/>
            <w:hideMark/>
          </w:tcPr>
          <w:p w14:paraId="3B0EA8B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3C6B34B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13.363 (5.6–31.46)</w:t>
            </w:r>
          </w:p>
        </w:tc>
      </w:tr>
      <w:tr w:rsidR="009033F7" w:rsidRPr="009033F7" w14:paraId="557BD86E"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36041EA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5718ADE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Good</w:t>
            </w:r>
          </w:p>
        </w:tc>
        <w:tc>
          <w:tcPr>
            <w:tcW w:w="0" w:type="auto"/>
            <w:shd w:val="clear" w:color="auto" w:fill="auto"/>
            <w:hideMark/>
          </w:tcPr>
          <w:p w14:paraId="68D5655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52 (40.6)</w:t>
            </w:r>
          </w:p>
        </w:tc>
        <w:tc>
          <w:tcPr>
            <w:tcW w:w="0" w:type="auto"/>
            <w:shd w:val="clear" w:color="auto" w:fill="auto"/>
            <w:hideMark/>
          </w:tcPr>
          <w:p w14:paraId="5D9CB6C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64 (90.1)</w:t>
            </w:r>
          </w:p>
        </w:tc>
        <w:tc>
          <w:tcPr>
            <w:tcW w:w="1244" w:type="dxa"/>
            <w:shd w:val="clear" w:color="auto" w:fill="auto"/>
            <w:hideMark/>
          </w:tcPr>
          <w:p w14:paraId="601DE9A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116 (58.3)</w:t>
            </w:r>
          </w:p>
        </w:tc>
        <w:tc>
          <w:tcPr>
            <w:tcW w:w="0" w:type="auto"/>
            <w:shd w:val="clear" w:color="auto" w:fill="auto"/>
            <w:hideMark/>
          </w:tcPr>
          <w:p w14:paraId="7698BBC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5C697A0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5BCF788B"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0B2AC50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Attitude</w:t>
            </w:r>
          </w:p>
        </w:tc>
        <w:tc>
          <w:tcPr>
            <w:tcW w:w="0" w:type="auto"/>
            <w:shd w:val="clear" w:color="auto" w:fill="auto"/>
            <w:hideMark/>
          </w:tcPr>
          <w:p w14:paraId="02D5B24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Negative</w:t>
            </w:r>
          </w:p>
        </w:tc>
        <w:tc>
          <w:tcPr>
            <w:tcW w:w="0" w:type="auto"/>
            <w:shd w:val="clear" w:color="auto" w:fill="auto"/>
            <w:hideMark/>
          </w:tcPr>
          <w:p w14:paraId="5B25169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83 (64.8)</w:t>
            </w:r>
          </w:p>
        </w:tc>
        <w:tc>
          <w:tcPr>
            <w:tcW w:w="0" w:type="auto"/>
            <w:shd w:val="clear" w:color="auto" w:fill="auto"/>
            <w:hideMark/>
          </w:tcPr>
          <w:p w14:paraId="38E1C0E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14 (19.7)</w:t>
            </w:r>
          </w:p>
        </w:tc>
        <w:tc>
          <w:tcPr>
            <w:tcW w:w="1244" w:type="dxa"/>
            <w:shd w:val="clear" w:color="auto" w:fill="auto"/>
            <w:hideMark/>
          </w:tcPr>
          <w:p w14:paraId="47B176E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97 (48.7)</w:t>
            </w:r>
          </w:p>
        </w:tc>
        <w:tc>
          <w:tcPr>
            <w:tcW w:w="0" w:type="auto"/>
            <w:shd w:val="clear" w:color="auto" w:fill="auto"/>
            <w:hideMark/>
          </w:tcPr>
          <w:p w14:paraId="7E2AEC0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4FADDBA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7.5 (3.77–14.94)</w:t>
            </w:r>
          </w:p>
        </w:tc>
      </w:tr>
      <w:tr w:rsidR="009033F7" w:rsidRPr="009033F7" w14:paraId="0D1155DE"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41504A2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4039BC5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Positive</w:t>
            </w:r>
          </w:p>
        </w:tc>
        <w:tc>
          <w:tcPr>
            <w:tcW w:w="0" w:type="auto"/>
            <w:shd w:val="clear" w:color="auto" w:fill="auto"/>
            <w:hideMark/>
          </w:tcPr>
          <w:p w14:paraId="01FA5CD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45 (35.2)</w:t>
            </w:r>
          </w:p>
        </w:tc>
        <w:tc>
          <w:tcPr>
            <w:tcW w:w="0" w:type="auto"/>
            <w:shd w:val="clear" w:color="auto" w:fill="auto"/>
            <w:hideMark/>
          </w:tcPr>
          <w:p w14:paraId="7CC7C59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57 (80.3)</w:t>
            </w:r>
          </w:p>
        </w:tc>
        <w:tc>
          <w:tcPr>
            <w:tcW w:w="1244" w:type="dxa"/>
            <w:shd w:val="clear" w:color="auto" w:fill="auto"/>
            <w:hideMark/>
          </w:tcPr>
          <w:p w14:paraId="16F53CB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102 (51.3)</w:t>
            </w:r>
          </w:p>
        </w:tc>
        <w:tc>
          <w:tcPr>
            <w:tcW w:w="0" w:type="auto"/>
            <w:shd w:val="clear" w:color="auto" w:fill="auto"/>
            <w:hideMark/>
          </w:tcPr>
          <w:p w14:paraId="5927A5E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611566B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137F53BB"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6D17D6A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Perception</w:t>
            </w:r>
          </w:p>
        </w:tc>
        <w:tc>
          <w:tcPr>
            <w:tcW w:w="0" w:type="auto"/>
            <w:shd w:val="clear" w:color="auto" w:fill="auto"/>
            <w:hideMark/>
          </w:tcPr>
          <w:p w14:paraId="4692969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Poor</w:t>
            </w:r>
          </w:p>
        </w:tc>
        <w:tc>
          <w:tcPr>
            <w:tcW w:w="0" w:type="auto"/>
            <w:shd w:val="clear" w:color="auto" w:fill="auto"/>
            <w:hideMark/>
          </w:tcPr>
          <w:p w14:paraId="00A700B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85 (66.4)</w:t>
            </w:r>
          </w:p>
        </w:tc>
        <w:tc>
          <w:tcPr>
            <w:tcW w:w="0" w:type="auto"/>
            <w:shd w:val="clear" w:color="auto" w:fill="auto"/>
            <w:hideMark/>
          </w:tcPr>
          <w:p w14:paraId="21D2026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12 (16.9)</w:t>
            </w:r>
          </w:p>
        </w:tc>
        <w:tc>
          <w:tcPr>
            <w:tcW w:w="1244" w:type="dxa"/>
            <w:shd w:val="clear" w:color="auto" w:fill="auto"/>
            <w:hideMark/>
          </w:tcPr>
          <w:p w14:paraId="10B3188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97 (48.7)</w:t>
            </w:r>
          </w:p>
        </w:tc>
        <w:tc>
          <w:tcPr>
            <w:tcW w:w="0" w:type="auto"/>
            <w:shd w:val="clear" w:color="auto" w:fill="auto"/>
            <w:hideMark/>
          </w:tcPr>
          <w:p w14:paraId="41C1336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2BDE8AC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9.719 (4.7–19.98)</w:t>
            </w:r>
          </w:p>
        </w:tc>
      </w:tr>
      <w:tr w:rsidR="009033F7" w:rsidRPr="009033F7" w14:paraId="258D9956"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16BBF97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445D029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Good</w:t>
            </w:r>
          </w:p>
        </w:tc>
        <w:tc>
          <w:tcPr>
            <w:tcW w:w="0" w:type="auto"/>
            <w:shd w:val="clear" w:color="auto" w:fill="auto"/>
            <w:hideMark/>
          </w:tcPr>
          <w:p w14:paraId="3F3A6BC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43 (33.6)</w:t>
            </w:r>
          </w:p>
        </w:tc>
        <w:tc>
          <w:tcPr>
            <w:tcW w:w="0" w:type="auto"/>
            <w:shd w:val="clear" w:color="auto" w:fill="auto"/>
            <w:hideMark/>
          </w:tcPr>
          <w:p w14:paraId="3F46496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59 (83.1)</w:t>
            </w:r>
          </w:p>
        </w:tc>
        <w:tc>
          <w:tcPr>
            <w:tcW w:w="1244" w:type="dxa"/>
            <w:shd w:val="clear" w:color="auto" w:fill="auto"/>
            <w:hideMark/>
          </w:tcPr>
          <w:p w14:paraId="0679C0A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102 (51.3)</w:t>
            </w:r>
          </w:p>
        </w:tc>
        <w:tc>
          <w:tcPr>
            <w:tcW w:w="0" w:type="auto"/>
            <w:shd w:val="clear" w:color="auto" w:fill="auto"/>
            <w:hideMark/>
          </w:tcPr>
          <w:p w14:paraId="07E11CF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6220F61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6D662D01"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44404EE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lastRenderedPageBreak/>
              <w:t>Family Support</w:t>
            </w:r>
          </w:p>
        </w:tc>
        <w:tc>
          <w:tcPr>
            <w:tcW w:w="0" w:type="auto"/>
            <w:shd w:val="clear" w:color="auto" w:fill="auto"/>
            <w:hideMark/>
          </w:tcPr>
          <w:p w14:paraId="722106B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Poor</w:t>
            </w:r>
          </w:p>
        </w:tc>
        <w:tc>
          <w:tcPr>
            <w:tcW w:w="0" w:type="auto"/>
            <w:shd w:val="clear" w:color="auto" w:fill="auto"/>
            <w:hideMark/>
          </w:tcPr>
          <w:p w14:paraId="780C20F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74 (57.8)</w:t>
            </w:r>
          </w:p>
        </w:tc>
        <w:tc>
          <w:tcPr>
            <w:tcW w:w="0" w:type="auto"/>
            <w:shd w:val="clear" w:color="auto" w:fill="auto"/>
            <w:hideMark/>
          </w:tcPr>
          <w:p w14:paraId="0459159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 (7.0)</w:t>
            </w:r>
          </w:p>
        </w:tc>
        <w:tc>
          <w:tcPr>
            <w:tcW w:w="1244" w:type="dxa"/>
            <w:shd w:val="clear" w:color="auto" w:fill="auto"/>
            <w:hideMark/>
          </w:tcPr>
          <w:p w14:paraId="689D4F4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79 (39.7)</w:t>
            </w:r>
          </w:p>
        </w:tc>
        <w:tc>
          <w:tcPr>
            <w:tcW w:w="0" w:type="auto"/>
            <w:shd w:val="clear" w:color="auto" w:fill="auto"/>
            <w:hideMark/>
          </w:tcPr>
          <w:p w14:paraId="75F7AE2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39E04FE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18.089 (6.8–47.93)</w:t>
            </w:r>
          </w:p>
        </w:tc>
      </w:tr>
      <w:tr w:rsidR="009033F7" w:rsidRPr="009033F7" w14:paraId="25B7263D"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03D9624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459BC1E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Good</w:t>
            </w:r>
          </w:p>
        </w:tc>
        <w:tc>
          <w:tcPr>
            <w:tcW w:w="0" w:type="auto"/>
            <w:shd w:val="clear" w:color="auto" w:fill="auto"/>
            <w:hideMark/>
          </w:tcPr>
          <w:p w14:paraId="036B077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54 (42.2)</w:t>
            </w:r>
          </w:p>
        </w:tc>
        <w:tc>
          <w:tcPr>
            <w:tcW w:w="0" w:type="auto"/>
            <w:shd w:val="clear" w:color="auto" w:fill="auto"/>
            <w:hideMark/>
          </w:tcPr>
          <w:p w14:paraId="3C0A822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66 (93.0)</w:t>
            </w:r>
          </w:p>
        </w:tc>
        <w:tc>
          <w:tcPr>
            <w:tcW w:w="1244" w:type="dxa"/>
            <w:shd w:val="clear" w:color="auto" w:fill="auto"/>
            <w:hideMark/>
          </w:tcPr>
          <w:p w14:paraId="7A2FD9C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120 (60.3)</w:t>
            </w:r>
          </w:p>
        </w:tc>
        <w:tc>
          <w:tcPr>
            <w:tcW w:w="0" w:type="auto"/>
            <w:shd w:val="clear" w:color="auto" w:fill="auto"/>
            <w:hideMark/>
          </w:tcPr>
          <w:p w14:paraId="18C359D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1959D11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21B3726D"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7E42C58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Peer Support</w:t>
            </w:r>
          </w:p>
        </w:tc>
        <w:tc>
          <w:tcPr>
            <w:tcW w:w="0" w:type="auto"/>
            <w:shd w:val="clear" w:color="auto" w:fill="auto"/>
            <w:hideMark/>
          </w:tcPr>
          <w:p w14:paraId="62A1B8C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Poor</w:t>
            </w:r>
          </w:p>
        </w:tc>
        <w:tc>
          <w:tcPr>
            <w:tcW w:w="0" w:type="auto"/>
            <w:shd w:val="clear" w:color="auto" w:fill="auto"/>
            <w:hideMark/>
          </w:tcPr>
          <w:p w14:paraId="713B264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81 (63.3)</w:t>
            </w:r>
          </w:p>
        </w:tc>
        <w:tc>
          <w:tcPr>
            <w:tcW w:w="0" w:type="auto"/>
            <w:shd w:val="clear" w:color="auto" w:fill="auto"/>
            <w:hideMark/>
          </w:tcPr>
          <w:p w14:paraId="0538462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20 (28.2)</w:t>
            </w:r>
          </w:p>
        </w:tc>
        <w:tc>
          <w:tcPr>
            <w:tcW w:w="1244" w:type="dxa"/>
            <w:shd w:val="clear" w:color="auto" w:fill="auto"/>
            <w:hideMark/>
          </w:tcPr>
          <w:p w14:paraId="5AE8811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101 (50.8)</w:t>
            </w:r>
          </w:p>
        </w:tc>
        <w:tc>
          <w:tcPr>
            <w:tcW w:w="0" w:type="auto"/>
            <w:shd w:val="clear" w:color="auto" w:fill="auto"/>
            <w:hideMark/>
          </w:tcPr>
          <w:p w14:paraId="24AE16C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45AD3AB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4.395 (2.34–8.249)</w:t>
            </w:r>
          </w:p>
        </w:tc>
      </w:tr>
      <w:tr w:rsidR="009033F7" w:rsidRPr="009033F7" w14:paraId="21E04B0A"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7C398C8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46D1C59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Good</w:t>
            </w:r>
          </w:p>
        </w:tc>
        <w:tc>
          <w:tcPr>
            <w:tcW w:w="0" w:type="auto"/>
            <w:shd w:val="clear" w:color="auto" w:fill="auto"/>
            <w:hideMark/>
          </w:tcPr>
          <w:p w14:paraId="789690C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47 (36.7)</w:t>
            </w:r>
          </w:p>
        </w:tc>
        <w:tc>
          <w:tcPr>
            <w:tcW w:w="0" w:type="auto"/>
            <w:shd w:val="clear" w:color="auto" w:fill="auto"/>
            <w:hideMark/>
          </w:tcPr>
          <w:p w14:paraId="433C97A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51 (71.8)</w:t>
            </w:r>
          </w:p>
        </w:tc>
        <w:tc>
          <w:tcPr>
            <w:tcW w:w="1244" w:type="dxa"/>
            <w:shd w:val="clear" w:color="auto" w:fill="auto"/>
            <w:hideMark/>
          </w:tcPr>
          <w:p w14:paraId="0692C39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98 (49.2)</w:t>
            </w:r>
          </w:p>
        </w:tc>
        <w:tc>
          <w:tcPr>
            <w:tcW w:w="0" w:type="auto"/>
            <w:shd w:val="clear" w:color="auto" w:fill="auto"/>
            <w:hideMark/>
          </w:tcPr>
          <w:p w14:paraId="4766ADE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492B6C2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04BFC169"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34AB8DA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Healthcare Provider Support</w:t>
            </w:r>
          </w:p>
        </w:tc>
        <w:tc>
          <w:tcPr>
            <w:tcW w:w="0" w:type="auto"/>
            <w:shd w:val="clear" w:color="auto" w:fill="auto"/>
            <w:hideMark/>
          </w:tcPr>
          <w:p w14:paraId="34673E4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Poor</w:t>
            </w:r>
          </w:p>
        </w:tc>
        <w:tc>
          <w:tcPr>
            <w:tcW w:w="0" w:type="auto"/>
            <w:shd w:val="clear" w:color="auto" w:fill="auto"/>
            <w:hideMark/>
          </w:tcPr>
          <w:p w14:paraId="77CC089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76 (59.4)</w:t>
            </w:r>
          </w:p>
        </w:tc>
        <w:tc>
          <w:tcPr>
            <w:tcW w:w="0" w:type="auto"/>
            <w:shd w:val="clear" w:color="auto" w:fill="auto"/>
            <w:hideMark/>
          </w:tcPr>
          <w:p w14:paraId="6973A0C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 (1.4)</w:t>
            </w:r>
          </w:p>
        </w:tc>
        <w:tc>
          <w:tcPr>
            <w:tcW w:w="1244" w:type="dxa"/>
            <w:shd w:val="clear" w:color="auto" w:fill="auto"/>
            <w:hideMark/>
          </w:tcPr>
          <w:p w14:paraId="13EB535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77 (38.7)</w:t>
            </w:r>
          </w:p>
        </w:tc>
        <w:tc>
          <w:tcPr>
            <w:tcW w:w="0" w:type="auto"/>
            <w:shd w:val="clear" w:color="auto" w:fill="auto"/>
            <w:hideMark/>
          </w:tcPr>
          <w:p w14:paraId="45E9567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23A825D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102.308 (13.7–759.885)</w:t>
            </w:r>
          </w:p>
        </w:tc>
      </w:tr>
      <w:tr w:rsidR="009033F7" w:rsidRPr="009033F7" w14:paraId="63098658"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4B6B7DA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75BF9B4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Good</w:t>
            </w:r>
          </w:p>
        </w:tc>
        <w:tc>
          <w:tcPr>
            <w:tcW w:w="0" w:type="auto"/>
            <w:shd w:val="clear" w:color="auto" w:fill="auto"/>
            <w:hideMark/>
          </w:tcPr>
          <w:p w14:paraId="52B59E9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52 (40.6)</w:t>
            </w:r>
          </w:p>
        </w:tc>
        <w:tc>
          <w:tcPr>
            <w:tcW w:w="0" w:type="auto"/>
            <w:shd w:val="clear" w:color="auto" w:fill="auto"/>
            <w:hideMark/>
          </w:tcPr>
          <w:p w14:paraId="1C918A3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70 (98.6)</w:t>
            </w:r>
          </w:p>
        </w:tc>
        <w:tc>
          <w:tcPr>
            <w:tcW w:w="1244" w:type="dxa"/>
            <w:shd w:val="clear" w:color="auto" w:fill="auto"/>
            <w:hideMark/>
          </w:tcPr>
          <w:p w14:paraId="1670B39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122 (61.3)</w:t>
            </w:r>
          </w:p>
        </w:tc>
        <w:tc>
          <w:tcPr>
            <w:tcW w:w="0" w:type="auto"/>
            <w:shd w:val="clear" w:color="auto" w:fill="auto"/>
            <w:hideMark/>
          </w:tcPr>
          <w:p w14:paraId="7CA60CC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0946251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61F41FD7"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7F73D78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Stigma</w:t>
            </w:r>
          </w:p>
        </w:tc>
        <w:tc>
          <w:tcPr>
            <w:tcW w:w="0" w:type="auto"/>
            <w:shd w:val="clear" w:color="auto" w:fill="auto"/>
            <w:hideMark/>
          </w:tcPr>
          <w:p w14:paraId="1A1F3B2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High / Poor</w:t>
            </w:r>
          </w:p>
        </w:tc>
        <w:tc>
          <w:tcPr>
            <w:tcW w:w="0" w:type="auto"/>
            <w:shd w:val="clear" w:color="auto" w:fill="auto"/>
            <w:hideMark/>
          </w:tcPr>
          <w:p w14:paraId="3B2DA93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62 (48.4)</w:t>
            </w:r>
          </w:p>
        </w:tc>
        <w:tc>
          <w:tcPr>
            <w:tcW w:w="0" w:type="auto"/>
            <w:shd w:val="clear" w:color="auto" w:fill="auto"/>
            <w:hideMark/>
          </w:tcPr>
          <w:p w14:paraId="61C1F04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20 (28.2)</w:t>
            </w:r>
          </w:p>
        </w:tc>
        <w:tc>
          <w:tcPr>
            <w:tcW w:w="1244" w:type="dxa"/>
            <w:shd w:val="clear" w:color="auto" w:fill="auto"/>
            <w:hideMark/>
          </w:tcPr>
          <w:p w14:paraId="682BEEA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82 (41.2)</w:t>
            </w:r>
          </w:p>
        </w:tc>
        <w:tc>
          <w:tcPr>
            <w:tcW w:w="0" w:type="auto"/>
            <w:shd w:val="clear" w:color="auto" w:fill="auto"/>
            <w:hideMark/>
          </w:tcPr>
          <w:p w14:paraId="7870014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0.007*</w:t>
            </w:r>
          </w:p>
        </w:tc>
        <w:tc>
          <w:tcPr>
            <w:tcW w:w="2020" w:type="dxa"/>
            <w:shd w:val="clear" w:color="auto" w:fill="auto"/>
            <w:hideMark/>
          </w:tcPr>
          <w:p w14:paraId="7BED842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2.395 (1.28–4.464)</w:t>
            </w:r>
          </w:p>
        </w:tc>
      </w:tr>
      <w:tr w:rsidR="009033F7" w:rsidRPr="009033F7" w14:paraId="20C5F340"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6D765A3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706ED08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Low / Good</w:t>
            </w:r>
          </w:p>
        </w:tc>
        <w:tc>
          <w:tcPr>
            <w:tcW w:w="0" w:type="auto"/>
            <w:shd w:val="clear" w:color="auto" w:fill="auto"/>
            <w:hideMark/>
          </w:tcPr>
          <w:p w14:paraId="6642DD3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66 (51.6)</w:t>
            </w:r>
          </w:p>
        </w:tc>
        <w:tc>
          <w:tcPr>
            <w:tcW w:w="0" w:type="auto"/>
            <w:shd w:val="clear" w:color="auto" w:fill="auto"/>
            <w:hideMark/>
          </w:tcPr>
          <w:p w14:paraId="2E2DE29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51 (71.8)</w:t>
            </w:r>
          </w:p>
        </w:tc>
        <w:tc>
          <w:tcPr>
            <w:tcW w:w="1244" w:type="dxa"/>
            <w:shd w:val="clear" w:color="auto" w:fill="auto"/>
            <w:hideMark/>
          </w:tcPr>
          <w:p w14:paraId="315AC9F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117 (58.8)</w:t>
            </w:r>
          </w:p>
        </w:tc>
        <w:tc>
          <w:tcPr>
            <w:tcW w:w="0" w:type="auto"/>
            <w:shd w:val="clear" w:color="auto" w:fill="auto"/>
            <w:hideMark/>
          </w:tcPr>
          <w:p w14:paraId="0303066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2618CEE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76E0366A"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6511906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Service Quality</w:t>
            </w:r>
          </w:p>
        </w:tc>
        <w:tc>
          <w:tcPr>
            <w:tcW w:w="0" w:type="auto"/>
            <w:shd w:val="clear" w:color="auto" w:fill="auto"/>
            <w:hideMark/>
          </w:tcPr>
          <w:p w14:paraId="6DDCA09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Poor</w:t>
            </w:r>
          </w:p>
        </w:tc>
        <w:tc>
          <w:tcPr>
            <w:tcW w:w="0" w:type="auto"/>
            <w:shd w:val="clear" w:color="auto" w:fill="auto"/>
            <w:hideMark/>
          </w:tcPr>
          <w:p w14:paraId="4408D7E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78 (60.9)</w:t>
            </w:r>
          </w:p>
        </w:tc>
        <w:tc>
          <w:tcPr>
            <w:tcW w:w="0" w:type="auto"/>
            <w:shd w:val="clear" w:color="auto" w:fill="auto"/>
            <w:hideMark/>
          </w:tcPr>
          <w:p w14:paraId="224EC0A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17 (23.9)</w:t>
            </w:r>
          </w:p>
        </w:tc>
        <w:tc>
          <w:tcPr>
            <w:tcW w:w="1244" w:type="dxa"/>
            <w:shd w:val="clear" w:color="auto" w:fill="auto"/>
            <w:hideMark/>
          </w:tcPr>
          <w:p w14:paraId="4241D8C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95 (47.7)</w:t>
            </w:r>
          </w:p>
        </w:tc>
        <w:tc>
          <w:tcPr>
            <w:tcW w:w="0" w:type="auto"/>
            <w:shd w:val="clear" w:color="auto" w:fill="auto"/>
            <w:hideMark/>
          </w:tcPr>
          <w:p w14:paraId="73262BC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1A6A30D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12.058 (5.624–25.85)</w:t>
            </w:r>
          </w:p>
        </w:tc>
      </w:tr>
      <w:tr w:rsidR="009033F7" w:rsidRPr="009033F7" w14:paraId="226370CC"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129474F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64574C3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Good</w:t>
            </w:r>
          </w:p>
        </w:tc>
        <w:tc>
          <w:tcPr>
            <w:tcW w:w="0" w:type="auto"/>
            <w:shd w:val="clear" w:color="auto" w:fill="auto"/>
            <w:hideMark/>
          </w:tcPr>
          <w:p w14:paraId="0414C8A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50 (39.1)</w:t>
            </w:r>
          </w:p>
        </w:tc>
        <w:tc>
          <w:tcPr>
            <w:tcW w:w="0" w:type="auto"/>
            <w:shd w:val="clear" w:color="auto" w:fill="auto"/>
            <w:hideMark/>
          </w:tcPr>
          <w:p w14:paraId="2C63931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54 (76.1)</w:t>
            </w:r>
          </w:p>
        </w:tc>
        <w:tc>
          <w:tcPr>
            <w:tcW w:w="1244" w:type="dxa"/>
            <w:shd w:val="clear" w:color="auto" w:fill="auto"/>
            <w:hideMark/>
          </w:tcPr>
          <w:p w14:paraId="030F28C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104 (52.3)</w:t>
            </w:r>
          </w:p>
        </w:tc>
        <w:tc>
          <w:tcPr>
            <w:tcW w:w="0" w:type="auto"/>
            <w:shd w:val="clear" w:color="auto" w:fill="auto"/>
            <w:hideMark/>
          </w:tcPr>
          <w:p w14:paraId="779B6BE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2088279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1B346C41"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5BEB0AA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Access to Health Services</w:t>
            </w:r>
          </w:p>
        </w:tc>
        <w:tc>
          <w:tcPr>
            <w:tcW w:w="0" w:type="auto"/>
            <w:shd w:val="clear" w:color="auto" w:fill="auto"/>
            <w:hideMark/>
          </w:tcPr>
          <w:p w14:paraId="630408D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Difficult</w:t>
            </w:r>
          </w:p>
        </w:tc>
        <w:tc>
          <w:tcPr>
            <w:tcW w:w="0" w:type="auto"/>
            <w:shd w:val="clear" w:color="auto" w:fill="auto"/>
            <w:hideMark/>
          </w:tcPr>
          <w:p w14:paraId="2CD358E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74 (57.8)</w:t>
            </w:r>
          </w:p>
        </w:tc>
        <w:tc>
          <w:tcPr>
            <w:tcW w:w="0" w:type="auto"/>
            <w:shd w:val="clear" w:color="auto" w:fill="auto"/>
            <w:hideMark/>
          </w:tcPr>
          <w:p w14:paraId="4307408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 (1.4)</w:t>
            </w:r>
          </w:p>
        </w:tc>
        <w:tc>
          <w:tcPr>
            <w:tcW w:w="1244" w:type="dxa"/>
            <w:shd w:val="clear" w:color="auto" w:fill="auto"/>
            <w:hideMark/>
          </w:tcPr>
          <w:p w14:paraId="08428ED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75 (37.7)</w:t>
            </w:r>
          </w:p>
        </w:tc>
        <w:tc>
          <w:tcPr>
            <w:tcW w:w="0" w:type="auto"/>
            <w:shd w:val="clear" w:color="auto" w:fill="auto"/>
            <w:hideMark/>
          </w:tcPr>
          <w:p w14:paraId="7C6EE99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4603CF4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95.926 (12.9–712.2)</w:t>
            </w:r>
          </w:p>
        </w:tc>
      </w:tr>
      <w:tr w:rsidR="009033F7" w:rsidRPr="009033F7" w14:paraId="798F4011"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4529C4B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6E6B944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Easy</w:t>
            </w:r>
          </w:p>
        </w:tc>
        <w:tc>
          <w:tcPr>
            <w:tcW w:w="0" w:type="auto"/>
            <w:shd w:val="clear" w:color="auto" w:fill="auto"/>
            <w:hideMark/>
          </w:tcPr>
          <w:p w14:paraId="3024BA7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54 (42.2)</w:t>
            </w:r>
          </w:p>
        </w:tc>
        <w:tc>
          <w:tcPr>
            <w:tcW w:w="0" w:type="auto"/>
            <w:shd w:val="clear" w:color="auto" w:fill="auto"/>
            <w:hideMark/>
          </w:tcPr>
          <w:p w14:paraId="0C1344E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70 (98.6)</w:t>
            </w:r>
          </w:p>
        </w:tc>
        <w:tc>
          <w:tcPr>
            <w:tcW w:w="1244" w:type="dxa"/>
            <w:shd w:val="clear" w:color="auto" w:fill="auto"/>
            <w:hideMark/>
          </w:tcPr>
          <w:p w14:paraId="5A47E0B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124 (62.3)</w:t>
            </w:r>
          </w:p>
        </w:tc>
        <w:tc>
          <w:tcPr>
            <w:tcW w:w="0" w:type="auto"/>
            <w:shd w:val="clear" w:color="auto" w:fill="auto"/>
            <w:hideMark/>
          </w:tcPr>
          <w:p w14:paraId="12846AD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7D03102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r w:rsidR="009033F7" w:rsidRPr="009033F7" w14:paraId="6E7DB6D1"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0799CA4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r w:rsidRPr="009033F7">
              <w:rPr>
                <w:rFonts w:ascii="Times New Roman" w:eastAsia="Times New Roman" w:hAnsi="Times New Roman" w:cs="Times New Roman"/>
                <w:b w:val="0"/>
                <w:bCs w:val="0"/>
                <w:position w:val="0"/>
                <w:sz w:val="20"/>
                <w:szCs w:val="20"/>
                <w:lang w:val="en-ID" w:eastAsia="en-ID"/>
              </w:rPr>
              <w:t>Health Service Policy</w:t>
            </w:r>
          </w:p>
        </w:tc>
        <w:tc>
          <w:tcPr>
            <w:tcW w:w="0" w:type="auto"/>
            <w:shd w:val="clear" w:color="auto" w:fill="auto"/>
            <w:hideMark/>
          </w:tcPr>
          <w:p w14:paraId="31F1FA9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Poor</w:t>
            </w:r>
          </w:p>
        </w:tc>
        <w:tc>
          <w:tcPr>
            <w:tcW w:w="0" w:type="auto"/>
            <w:shd w:val="clear" w:color="auto" w:fill="auto"/>
            <w:hideMark/>
          </w:tcPr>
          <w:p w14:paraId="2B27ECF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81 (63.3)</w:t>
            </w:r>
          </w:p>
        </w:tc>
        <w:tc>
          <w:tcPr>
            <w:tcW w:w="0" w:type="auto"/>
            <w:shd w:val="clear" w:color="auto" w:fill="auto"/>
            <w:hideMark/>
          </w:tcPr>
          <w:p w14:paraId="35BAA5B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15 (21.1)</w:t>
            </w:r>
          </w:p>
        </w:tc>
        <w:tc>
          <w:tcPr>
            <w:tcW w:w="1244" w:type="dxa"/>
            <w:shd w:val="clear" w:color="auto" w:fill="auto"/>
            <w:hideMark/>
          </w:tcPr>
          <w:p w14:paraId="5473F2C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96 (48.2)</w:t>
            </w:r>
          </w:p>
        </w:tc>
        <w:tc>
          <w:tcPr>
            <w:tcW w:w="0" w:type="auto"/>
            <w:shd w:val="clear" w:color="auto" w:fill="auto"/>
            <w:hideMark/>
          </w:tcPr>
          <w:p w14:paraId="7F34ECC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0.000*</w:t>
            </w:r>
          </w:p>
        </w:tc>
        <w:tc>
          <w:tcPr>
            <w:tcW w:w="2020" w:type="dxa"/>
            <w:shd w:val="clear" w:color="auto" w:fill="auto"/>
            <w:hideMark/>
          </w:tcPr>
          <w:p w14:paraId="2C6D0C4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6.434 (3.2–12.62)</w:t>
            </w:r>
          </w:p>
        </w:tc>
      </w:tr>
      <w:tr w:rsidR="009033F7" w:rsidRPr="009033F7" w14:paraId="6EE5AECE" w14:textId="77777777" w:rsidTr="009033F7">
        <w:tc>
          <w:tcPr>
            <w:cnfStyle w:val="001000000000" w:firstRow="0" w:lastRow="0" w:firstColumn="1" w:lastColumn="0" w:oddVBand="0" w:evenVBand="0" w:oddHBand="0" w:evenHBand="0" w:firstRowFirstColumn="0" w:firstRowLastColumn="0" w:lastRowFirstColumn="0" w:lastRowLastColumn="0"/>
            <w:tcW w:w="1276" w:type="dxa"/>
            <w:shd w:val="clear" w:color="auto" w:fill="auto"/>
            <w:hideMark/>
          </w:tcPr>
          <w:p w14:paraId="67DB6FC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20"/>
                <w:szCs w:val="20"/>
                <w:lang w:val="en-ID" w:eastAsia="en-ID"/>
              </w:rPr>
            </w:pPr>
          </w:p>
        </w:tc>
        <w:tc>
          <w:tcPr>
            <w:tcW w:w="0" w:type="auto"/>
            <w:shd w:val="clear" w:color="auto" w:fill="auto"/>
            <w:hideMark/>
          </w:tcPr>
          <w:p w14:paraId="685B147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Good</w:t>
            </w:r>
          </w:p>
        </w:tc>
        <w:tc>
          <w:tcPr>
            <w:tcW w:w="0" w:type="auto"/>
            <w:shd w:val="clear" w:color="auto" w:fill="auto"/>
            <w:hideMark/>
          </w:tcPr>
          <w:p w14:paraId="092CA21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47 (36.7)</w:t>
            </w:r>
          </w:p>
        </w:tc>
        <w:tc>
          <w:tcPr>
            <w:tcW w:w="0" w:type="auto"/>
            <w:shd w:val="clear" w:color="auto" w:fill="auto"/>
            <w:hideMark/>
          </w:tcPr>
          <w:p w14:paraId="1052770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56 (78.9)</w:t>
            </w:r>
          </w:p>
        </w:tc>
        <w:tc>
          <w:tcPr>
            <w:tcW w:w="1244" w:type="dxa"/>
            <w:shd w:val="clear" w:color="auto" w:fill="auto"/>
            <w:hideMark/>
          </w:tcPr>
          <w:p w14:paraId="46AC8C3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r w:rsidRPr="009033F7">
              <w:rPr>
                <w:rFonts w:ascii="Times New Roman" w:eastAsia="Times New Roman" w:hAnsi="Times New Roman" w:cs="Times New Roman"/>
                <w:position w:val="0"/>
                <w:sz w:val="20"/>
                <w:szCs w:val="20"/>
                <w:lang w:val="en-ID" w:eastAsia="en-ID"/>
              </w:rPr>
              <w:t>103 (51.8)</w:t>
            </w:r>
          </w:p>
        </w:tc>
        <w:tc>
          <w:tcPr>
            <w:tcW w:w="0" w:type="auto"/>
            <w:shd w:val="clear" w:color="auto" w:fill="auto"/>
            <w:hideMark/>
          </w:tcPr>
          <w:p w14:paraId="648B5FC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c>
          <w:tcPr>
            <w:tcW w:w="2020" w:type="dxa"/>
            <w:shd w:val="clear" w:color="auto" w:fill="auto"/>
            <w:hideMark/>
          </w:tcPr>
          <w:p w14:paraId="51E59082"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20"/>
                <w:szCs w:val="20"/>
                <w:lang w:val="en-ID" w:eastAsia="en-ID"/>
              </w:rPr>
            </w:pPr>
          </w:p>
        </w:tc>
      </w:tr>
    </w:tbl>
    <w:p w14:paraId="2036C425" w14:textId="77777777" w:rsidR="009033F7" w:rsidRPr="007E50A0" w:rsidRDefault="009033F7" w:rsidP="009033F7">
      <w:pPr>
        <w:pStyle w:val="ListParagraph"/>
        <w:widowControl w:val="0"/>
        <w:spacing w:line="240" w:lineRule="auto"/>
        <w:ind w:left="0" w:hanging="2"/>
        <w:rPr>
          <w:rFonts w:asciiTheme="majorBidi" w:eastAsia="Times New Roman" w:hAnsiTheme="majorBidi" w:cstheme="majorBidi"/>
          <w:i/>
          <w:iCs/>
          <w:color w:val="000000" w:themeColor="text1"/>
          <w:sz w:val="20"/>
          <w:szCs w:val="20"/>
          <w:lang w:val="en-ID" w:eastAsia="en-ID"/>
        </w:rPr>
      </w:pPr>
      <w:r w:rsidRPr="007E50A0">
        <w:rPr>
          <w:rFonts w:asciiTheme="majorBidi" w:eastAsia="Times New Roman" w:hAnsiTheme="majorBidi" w:cstheme="majorBidi"/>
          <w:i/>
          <w:iCs/>
          <w:color w:val="000000" w:themeColor="text1"/>
          <w:sz w:val="20"/>
          <w:szCs w:val="20"/>
          <w:lang w:val="en-ID" w:eastAsia="en-ID"/>
        </w:rPr>
        <w:t xml:space="preserve">* </w:t>
      </w:r>
      <w:r w:rsidRPr="007E50A0">
        <w:rPr>
          <w:rFonts w:asciiTheme="majorBidi" w:hAnsiTheme="majorBidi" w:cstheme="majorBidi"/>
          <w:i/>
          <w:iCs/>
          <w:color w:val="000000" w:themeColor="text1"/>
          <w:sz w:val="20"/>
          <w:szCs w:val="20"/>
        </w:rPr>
        <w:t>Fisher's Exact Test</w:t>
      </w:r>
    </w:p>
    <w:p w14:paraId="14F58CE2" w14:textId="77777777" w:rsidR="009033F7" w:rsidRDefault="009033F7" w:rsidP="009033F7">
      <w:pPr>
        <w:suppressAutoHyphens w:val="0"/>
        <w:spacing w:after="0" w:line="360" w:lineRule="auto"/>
        <w:ind w:leftChars="0" w:left="0" w:firstLineChars="0" w:firstLine="567"/>
        <w:jc w:val="both"/>
        <w:textDirection w:val="lrTb"/>
        <w:textAlignment w:val="auto"/>
        <w:outlineLvl w:val="9"/>
      </w:pPr>
    </w:p>
    <w:p w14:paraId="2CA964E6" w14:textId="77777777" w:rsidR="009033F7" w:rsidRPr="009033F7" w:rsidRDefault="009033F7" w:rsidP="009033F7">
      <w:pPr>
        <w:suppressAutoHyphens w:val="0"/>
        <w:spacing w:after="0" w:line="360" w:lineRule="auto"/>
        <w:ind w:leftChars="0" w:left="0" w:firstLineChars="0" w:firstLine="567"/>
        <w:jc w:val="both"/>
        <w:textDirection w:val="lrTb"/>
        <w:textAlignment w:val="auto"/>
        <w:outlineLvl w:val="9"/>
        <w:rPr>
          <w:rFonts w:asciiTheme="majorBidi" w:hAnsiTheme="majorBidi" w:cstheme="majorBidi"/>
          <w:sz w:val="24"/>
          <w:szCs w:val="24"/>
        </w:rPr>
      </w:pPr>
      <w:r w:rsidRPr="009033F7">
        <w:rPr>
          <w:rFonts w:asciiTheme="majorBidi" w:hAnsiTheme="majorBidi" w:cstheme="majorBidi"/>
          <w:sz w:val="24"/>
          <w:szCs w:val="24"/>
        </w:rPr>
        <w:t xml:space="preserve">The results of the bivariate analysis showed that all independent variables were statistically significantly </w:t>
      </w:r>
      <w:r w:rsidRPr="009033F7">
        <w:rPr>
          <w:rFonts w:asciiTheme="majorBidi" w:eastAsia="Times New Roman" w:hAnsiTheme="majorBidi" w:cstheme="majorBidi"/>
          <w:position w:val="0"/>
          <w:sz w:val="24"/>
          <w:szCs w:val="24"/>
          <w:lang w:val="en-ID" w:eastAsia="en-ID"/>
        </w:rPr>
        <w:t>associated</w:t>
      </w:r>
      <w:r w:rsidRPr="009033F7">
        <w:rPr>
          <w:rFonts w:asciiTheme="majorBidi" w:hAnsiTheme="majorBidi" w:cstheme="majorBidi"/>
          <w:sz w:val="24"/>
          <w:szCs w:val="24"/>
        </w:rPr>
        <w:t xml:space="preserve"> with loss to follow-up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among HIV/AIDS patients receiving antiretroviral therapy (p &lt; 0.05). Respondents with poor knowledge had a 13.36-fold higher risk of experiencing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compared to those with good knowledge (OR = 13.363; 95% CI: 5.6–31.46), indicating that limited understanding of HIV and ART plays a major role in treatment discontinuation.</w:t>
      </w:r>
      <w:r w:rsidRPr="009033F7">
        <w:rPr>
          <w:rFonts w:asciiTheme="majorBidi" w:hAnsiTheme="majorBidi" w:cstheme="majorBidi"/>
          <w:sz w:val="24"/>
          <w:szCs w:val="24"/>
          <w:lang w:val="en-US"/>
        </w:rPr>
        <w:t xml:space="preserve"> </w:t>
      </w:r>
      <w:r w:rsidRPr="009033F7">
        <w:rPr>
          <w:rFonts w:asciiTheme="majorBidi" w:hAnsiTheme="majorBidi" w:cstheme="majorBidi"/>
          <w:sz w:val="24"/>
          <w:szCs w:val="24"/>
        </w:rPr>
        <w:t xml:space="preserve">Negative attitudes toward ART were associated with a 7.5-fold increased risk of LtFU compared to positive attitudes (OR = 7.5; 95% CI: 3.77–14.94). Similarly, poor perception of illness and treatment showed a significant association, with respondents having poor perception almost 10 times more likely to experience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than those with good perception (OR = 9.719; 95% CI: 4.7–19.98).</w:t>
      </w:r>
    </w:p>
    <w:p w14:paraId="69FC5DD1" w14:textId="77777777" w:rsidR="009033F7" w:rsidRPr="009033F7" w:rsidRDefault="009033F7" w:rsidP="009033F7">
      <w:pPr>
        <w:suppressAutoHyphens w:val="0"/>
        <w:spacing w:after="0" w:line="360" w:lineRule="auto"/>
        <w:ind w:leftChars="0" w:left="0" w:firstLineChars="0" w:firstLine="567"/>
        <w:jc w:val="both"/>
        <w:textDirection w:val="lrTb"/>
        <w:textAlignment w:val="auto"/>
        <w:outlineLvl w:val="9"/>
        <w:rPr>
          <w:rFonts w:asciiTheme="majorBidi" w:hAnsiTheme="majorBidi" w:cstheme="majorBidi"/>
          <w:sz w:val="24"/>
          <w:szCs w:val="24"/>
        </w:rPr>
      </w:pPr>
      <w:r w:rsidRPr="009033F7">
        <w:rPr>
          <w:rFonts w:asciiTheme="majorBidi" w:hAnsiTheme="majorBidi" w:cstheme="majorBidi"/>
          <w:sz w:val="24"/>
          <w:szCs w:val="24"/>
        </w:rPr>
        <w:t xml:space="preserve">Social support factors were also strongly associated with LtFU. Poor family support increased the risk of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by 18.09 times compared to adequate family support (OR = 18.089; 95% CI: 6.8–47.93). Insufficient peer support increased the risk by 4.39 times (OR = 4.395; 95% CI: 2.34–8.249). Support from healthcare workers showed the strongest effect, where respondents receiving inadequate support from healthcare providers had a 102.31-fold higher risk of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compared to those receiving good support (OR = 102.308; 95% CI: 13.7–759.885).</w:t>
      </w:r>
      <w:r w:rsidRPr="009033F7">
        <w:rPr>
          <w:rFonts w:asciiTheme="majorBidi" w:hAnsiTheme="majorBidi" w:cstheme="majorBidi"/>
          <w:sz w:val="24"/>
          <w:szCs w:val="24"/>
          <w:lang w:val="en-US"/>
        </w:rPr>
        <w:t xml:space="preserve"> </w:t>
      </w:r>
      <w:r w:rsidRPr="009033F7">
        <w:rPr>
          <w:rFonts w:asciiTheme="majorBidi" w:hAnsiTheme="majorBidi" w:cstheme="majorBidi"/>
          <w:sz w:val="24"/>
          <w:szCs w:val="24"/>
        </w:rPr>
        <w:t xml:space="preserve">Stigma was significantly associated with LtFU, with higher stigma increasing the risk by 2.39 times (OR = 2.395; 95% CI: 1.28–4.464). Respondents who perceived healthcare </w:t>
      </w:r>
      <w:r w:rsidRPr="009033F7">
        <w:rPr>
          <w:rFonts w:asciiTheme="majorBidi" w:hAnsiTheme="majorBidi" w:cstheme="majorBidi"/>
          <w:sz w:val="24"/>
          <w:szCs w:val="24"/>
        </w:rPr>
        <w:lastRenderedPageBreak/>
        <w:t xml:space="preserve">services as inadequate had a 12.06-fold higher risk of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(OR = 12.058; 95% CI: 5.624–25.85). Difficult access to services posed a very high risk, with respondents facing access barriers having a 95.93-fold higher likelihood of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compared to those with easy access (OR = 95.926; 95% CI: 12.9–712.2). Poor healthcare policy implementation increased the risk of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by 6.43 times (OR = 6.434; 95% CI: 3.2–12.62).</w:t>
      </w:r>
    </w:p>
    <w:p w14:paraId="33B68926" w14:textId="0EF50CE5" w:rsidR="009033F7" w:rsidRPr="009033F7" w:rsidRDefault="009033F7" w:rsidP="009033F7">
      <w:pPr>
        <w:suppressAutoHyphens w:val="0"/>
        <w:spacing w:after="0" w:line="360" w:lineRule="auto"/>
        <w:ind w:leftChars="0" w:left="0" w:firstLineChars="0" w:firstLine="567"/>
        <w:jc w:val="both"/>
        <w:textDirection w:val="lrTb"/>
        <w:textAlignment w:val="auto"/>
        <w:outlineLvl w:val="9"/>
        <w:rPr>
          <w:rFonts w:asciiTheme="majorBidi" w:hAnsiTheme="majorBidi" w:cstheme="majorBidi"/>
          <w:sz w:val="24"/>
          <w:szCs w:val="24"/>
        </w:rPr>
      </w:pPr>
      <w:r w:rsidRPr="009033F7">
        <w:rPr>
          <w:rFonts w:asciiTheme="majorBidi" w:hAnsiTheme="majorBidi" w:cstheme="majorBidi"/>
          <w:sz w:val="24"/>
          <w:szCs w:val="24"/>
        </w:rPr>
        <w:t>Overall, these findings indicate that LtFU among HIV/AIDS patients on ART is influenced by a combination of individual factors (knowledge, attitude, perception), social factors (family and peer support, stigma), and health system factors (healthcare worker support, service quality, access, and policy). Support from healthcare workers and access to services emerged as the most dominant risk factors and should therefore be prioritized in intervention planning to improve patient retention in ART programs.</w:t>
      </w:r>
    </w:p>
    <w:p w14:paraId="259C3CD8" w14:textId="77777777" w:rsidR="0095731B" w:rsidRPr="0095731B" w:rsidRDefault="0095731B" w:rsidP="007E50A0">
      <w:pPr>
        <w:ind w:left="0" w:hanging="2"/>
        <w:rPr>
          <w:rFonts w:asciiTheme="majorBidi" w:hAnsiTheme="majorBidi" w:cstheme="majorBidi"/>
          <w:lang w:val="sv-SE"/>
        </w:rPr>
      </w:pPr>
    </w:p>
    <w:p w14:paraId="6BDC6CC4" w14:textId="7A2E659E" w:rsidR="009033F7" w:rsidRPr="009033F7" w:rsidRDefault="009033F7" w:rsidP="00B44173">
      <w:pPr>
        <w:pStyle w:val="Heading2"/>
        <w:keepNext w:val="0"/>
        <w:keepLines w:val="0"/>
        <w:widowControl w:val="0"/>
        <w:numPr>
          <w:ilvl w:val="0"/>
          <w:numId w:val="1"/>
        </w:numPr>
        <w:spacing w:before="0" w:line="360" w:lineRule="auto"/>
        <w:ind w:left="309" w:hangingChars="129" w:hanging="311"/>
        <w:jc w:val="both"/>
        <w:rPr>
          <w:rFonts w:asciiTheme="majorBidi" w:hAnsiTheme="majorBidi" w:cstheme="majorBidi"/>
          <w:iCs/>
          <w:color w:val="000000" w:themeColor="text1"/>
          <w:sz w:val="24"/>
          <w:szCs w:val="24"/>
        </w:rPr>
      </w:pPr>
      <w:r w:rsidRPr="009033F7">
        <w:rPr>
          <w:rFonts w:asciiTheme="majorBidi" w:hAnsiTheme="majorBidi" w:cstheme="majorBidi"/>
          <w:iCs/>
          <w:color w:val="000000" w:themeColor="text1"/>
          <w:sz w:val="24"/>
          <w:szCs w:val="24"/>
        </w:rPr>
        <w:t>Multivariate Analysis (Factors Associated with Loss to Follow-Up)</w:t>
      </w:r>
    </w:p>
    <w:p w14:paraId="024580F6" w14:textId="77777777" w:rsidR="009033F7" w:rsidRPr="009033F7" w:rsidRDefault="009033F7" w:rsidP="009033F7">
      <w:pPr>
        <w:pStyle w:val="ListParagraph"/>
        <w:widowControl w:val="0"/>
        <w:spacing w:line="240" w:lineRule="auto"/>
        <w:ind w:left="0" w:hanging="2"/>
        <w:jc w:val="center"/>
        <w:textDirection w:val="lrTb"/>
        <w:rPr>
          <w:rFonts w:asciiTheme="majorBidi" w:hAnsiTheme="majorBidi" w:cstheme="majorBidi"/>
        </w:rPr>
      </w:pPr>
      <w:r w:rsidRPr="009033F7">
        <w:rPr>
          <w:rFonts w:asciiTheme="majorBidi" w:hAnsiTheme="majorBidi" w:cstheme="majorBidi"/>
        </w:rPr>
        <w:t>Table 3. Multivariate Logistic Regression Analysis of Factors Associated with Loss to Follow-Up (</w:t>
      </w:r>
      <w:proofErr w:type="spellStart"/>
      <w:r w:rsidRPr="009033F7">
        <w:rPr>
          <w:rFonts w:asciiTheme="majorBidi" w:hAnsiTheme="majorBidi" w:cstheme="majorBidi"/>
        </w:rPr>
        <w:t>LtFU</w:t>
      </w:r>
      <w:proofErr w:type="spellEnd"/>
      <w:r w:rsidRPr="009033F7">
        <w:rPr>
          <w:rFonts w:asciiTheme="majorBidi" w:hAnsiTheme="majorBidi" w:cstheme="majorBidi"/>
        </w:rPr>
        <w:t>)</w:t>
      </w:r>
    </w:p>
    <w:tbl>
      <w:tblPr>
        <w:tblStyle w:val="LightShading1"/>
        <w:tblW w:w="0" w:type="auto"/>
        <w:tblInd w:w="426" w:type="dxa"/>
        <w:tblLook w:val="04A0" w:firstRow="1" w:lastRow="0" w:firstColumn="1" w:lastColumn="0" w:noHBand="0" w:noVBand="1"/>
      </w:tblPr>
      <w:tblGrid>
        <w:gridCol w:w="2876"/>
        <w:gridCol w:w="771"/>
        <w:gridCol w:w="621"/>
        <w:gridCol w:w="711"/>
        <w:gridCol w:w="377"/>
        <w:gridCol w:w="621"/>
        <w:gridCol w:w="767"/>
        <w:gridCol w:w="1691"/>
      </w:tblGrid>
      <w:tr w:rsidR="009033F7" w:rsidRPr="009033F7" w14:paraId="1F510B33" w14:textId="77777777" w:rsidTr="009033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A4AFADC"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Variable</w:t>
            </w:r>
          </w:p>
        </w:tc>
        <w:tc>
          <w:tcPr>
            <w:tcW w:w="0" w:type="auto"/>
            <w:shd w:val="clear" w:color="auto" w:fill="auto"/>
            <w:hideMark/>
          </w:tcPr>
          <w:p w14:paraId="3986ACAE"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B</w:t>
            </w:r>
          </w:p>
        </w:tc>
        <w:tc>
          <w:tcPr>
            <w:tcW w:w="0" w:type="auto"/>
            <w:shd w:val="clear" w:color="auto" w:fill="auto"/>
            <w:hideMark/>
          </w:tcPr>
          <w:p w14:paraId="7E9B521E"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S.E.</w:t>
            </w:r>
          </w:p>
        </w:tc>
        <w:tc>
          <w:tcPr>
            <w:tcW w:w="0" w:type="auto"/>
            <w:shd w:val="clear" w:color="auto" w:fill="auto"/>
            <w:hideMark/>
          </w:tcPr>
          <w:p w14:paraId="27AA50F8"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Wald</w:t>
            </w:r>
          </w:p>
        </w:tc>
        <w:tc>
          <w:tcPr>
            <w:tcW w:w="0" w:type="auto"/>
            <w:shd w:val="clear" w:color="auto" w:fill="auto"/>
            <w:hideMark/>
          </w:tcPr>
          <w:p w14:paraId="4BF10E8A"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df</w:t>
            </w:r>
          </w:p>
        </w:tc>
        <w:tc>
          <w:tcPr>
            <w:tcW w:w="0" w:type="auto"/>
            <w:shd w:val="clear" w:color="auto" w:fill="auto"/>
            <w:hideMark/>
          </w:tcPr>
          <w:p w14:paraId="79C792CE"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Sig.</w:t>
            </w:r>
          </w:p>
        </w:tc>
        <w:tc>
          <w:tcPr>
            <w:tcW w:w="0" w:type="auto"/>
            <w:shd w:val="clear" w:color="auto" w:fill="auto"/>
            <w:hideMark/>
          </w:tcPr>
          <w:p w14:paraId="7857DE65"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Exp(B)</w:t>
            </w:r>
          </w:p>
        </w:tc>
        <w:tc>
          <w:tcPr>
            <w:tcW w:w="0" w:type="auto"/>
            <w:shd w:val="clear" w:color="auto" w:fill="auto"/>
            <w:hideMark/>
          </w:tcPr>
          <w:p w14:paraId="5DFBC8BE" w14:textId="77777777" w:rsidR="009033F7" w:rsidRPr="009033F7" w:rsidRDefault="009033F7" w:rsidP="009033F7">
            <w:pPr>
              <w:suppressAutoHyphens w:val="0"/>
              <w:spacing w:after="0"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95% CI for Exp(B)</w:t>
            </w:r>
          </w:p>
        </w:tc>
      </w:tr>
      <w:tr w:rsidR="009033F7" w:rsidRPr="009033F7" w14:paraId="0EF5B6B5"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32765C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Knowledge (Poor)</w:t>
            </w:r>
          </w:p>
        </w:tc>
        <w:tc>
          <w:tcPr>
            <w:tcW w:w="0" w:type="auto"/>
            <w:shd w:val="clear" w:color="auto" w:fill="auto"/>
            <w:hideMark/>
          </w:tcPr>
          <w:p w14:paraId="1977D99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1.532</w:t>
            </w:r>
          </w:p>
        </w:tc>
        <w:tc>
          <w:tcPr>
            <w:tcW w:w="0" w:type="auto"/>
            <w:shd w:val="clear" w:color="auto" w:fill="auto"/>
            <w:hideMark/>
          </w:tcPr>
          <w:p w14:paraId="25E2162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0.637</w:t>
            </w:r>
          </w:p>
        </w:tc>
        <w:tc>
          <w:tcPr>
            <w:tcW w:w="0" w:type="auto"/>
            <w:shd w:val="clear" w:color="auto" w:fill="auto"/>
            <w:hideMark/>
          </w:tcPr>
          <w:p w14:paraId="6D77859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5.796</w:t>
            </w:r>
          </w:p>
        </w:tc>
        <w:tc>
          <w:tcPr>
            <w:tcW w:w="0" w:type="auto"/>
            <w:shd w:val="clear" w:color="auto" w:fill="auto"/>
            <w:hideMark/>
          </w:tcPr>
          <w:p w14:paraId="1D4BF18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057CB60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0.016</w:t>
            </w:r>
          </w:p>
        </w:tc>
        <w:tc>
          <w:tcPr>
            <w:tcW w:w="0" w:type="auto"/>
            <w:shd w:val="clear" w:color="auto" w:fill="auto"/>
            <w:hideMark/>
          </w:tcPr>
          <w:p w14:paraId="1C5F43E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4.629</w:t>
            </w:r>
          </w:p>
        </w:tc>
        <w:tc>
          <w:tcPr>
            <w:tcW w:w="0" w:type="auto"/>
            <w:shd w:val="clear" w:color="auto" w:fill="auto"/>
            <w:hideMark/>
          </w:tcPr>
          <w:p w14:paraId="0DBC618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1.330 – 16.118</w:t>
            </w:r>
          </w:p>
        </w:tc>
      </w:tr>
      <w:tr w:rsidR="009033F7" w:rsidRPr="009033F7" w14:paraId="42A22762" w14:textId="77777777" w:rsidTr="009033F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36F089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Attitude (Negative)</w:t>
            </w:r>
          </w:p>
        </w:tc>
        <w:tc>
          <w:tcPr>
            <w:tcW w:w="0" w:type="auto"/>
            <w:shd w:val="clear" w:color="auto" w:fill="auto"/>
            <w:hideMark/>
          </w:tcPr>
          <w:p w14:paraId="55AA0DC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1.603</w:t>
            </w:r>
          </w:p>
        </w:tc>
        <w:tc>
          <w:tcPr>
            <w:tcW w:w="0" w:type="auto"/>
            <w:shd w:val="clear" w:color="auto" w:fill="auto"/>
            <w:hideMark/>
          </w:tcPr>
          <w:p w14:paraId="77DE911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0.630</w:t>
            </w:r>
          </w:p>
        </w:tc>
        <w:tc>
          <w:tcPr>
            <w:tcW w:w="0" w:type="auto"/>
            <w:shd w:val="clear" w:color="auto" w:fill="auto"/>
            <w:hideMark/>
          </w:tcPr>
          <w:p w14:paraId="3070C90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6.471</w:t>
            </w:r>
          </w:p>
        </w:tc>
        <w:tc>
          <w:tcPr>
            <w:tcW w:w="0" w:type="auto"/>
            <w:shd w:val="clear" w:color="auto" w:fill="auto"/>
            <w:hideMark/>
          </w:tcPr>
          <w:p w14:paraId="71DC77F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31F4277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0.011</w:t>
            </w:r>
          </w:p>
        </w:tc>
        <w:tc>
          <w:tcPr>
            <w:tcW w:w="0" w:type="auto"/>
            <w:shd w:val="clear" w:color="auto" w:fill="auto"/>
            <w:hideMark/>
          </w:tcPr>
          <w:p w14:paraId="7E99B75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4.966</w:t>
            </w:r>
          </w:p>
        </w:tc>
        <w:tc>
          <w:tcPr>
            <w:tcW w:w="0" w:type="auto"/>
            <w:shd w:val="clear" w:color="auto" w:fill="auto"/>
            <w:hideMark/>
          </w:tcPr>
          <w:p w14:paraId="6A1BABF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1.445 – 17.069</w:t>
            </w:r>
          </w:p>
        </w:tc>
      </w:tr>
      <w:tr w:rsidR="009033F7" w:rsidRPr="009033F7" w14:paraId="3283AFFA"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1CDBAF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Perception (Poor)</w:t>
            </w:r>
          </w:p>
        </w:tc>
        <w:tc>
          <w:tcPr>
            <w:tcW w:w="0" w:type="auto"/>
            <w:shd w:val="clear" w:color="auto" w:fill="auto"/>
            <w:hideMark/>
          </w:tcPr>
          <w:p w14:paraId="2C8A397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1.861</w:t>
            </w:r>
          </w:p>
        </w:tc>
        <w:tc>
          <w:tcPr>
            <w:tcW w:w="0" w:type="auto"/>
            <w:shd w:val="clear" w:color="auto" w:fill="auto"/>
            <w:hideMark/>
          </w:tcPr>
          <w:p w14:paraId="4DCBA31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0.629</w:t>
            </w:r>
          </w:p>
        </w:tc>
        <w:tc>
          <w:tcPr>
            <w:tcW w:w="0" w:type="auto"/>
            <w:shd w:val="clear" w:color="auto" w:fill="auto"/>
            <w:hideMark/>
          </w:tcPr>
          <w:p w14:paraId="183C4B7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8.759</w:t>
            </w:r>
          </w:p>
        </w:tc>
        <w:tc>
          <w:tcPr>
            <w:tcW w:w="0" w:type="auto"/>
            <w:shd w:val="clear" w:color="auto" w:fill="auto"/>
            <w:hideMark/>
          </w:tcPr>
          <w:p w14:paraId="5C27470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69DDBA7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0.003</w:t>
            </w:r>
          </w:p>
        </w:tc>
        <w:tc>
          <w:tcPr>
            <w:tcW w:w="0" w:type="auto"/>
            <w:shd w:val="clear" w:color="auto" w:fill="auto"/>
            <w:hideMark/>
          </w:tcPr>
          <w:p w14:paraId="7A47C4B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6.431</w:t>
            </w:r>
          </w:p>
        </w:tc>
        <w:tc>
          <w:tcPr>
            <w:tcW w:w="0" w:type="auto"/>
            <w:shd w:val="clear" w:color="auto" w:fill="auto"/>
            <w:hideMark/>
          </w:tcPr>
          <w:p w14:paraId="2E529DF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1.875 – 22.057</w:t>
            </w:r>
          </w:p>
        </w:tc>
      </w:tr>
      <w:tr w:rsidR="009033F7" w:rsidRPr="009033F7" w14:paraId="3502E4C2" w14:textId="77777777" w:rsidTr="009033F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102E51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Family Support (Poor)</w:t>
            </w:r>
          </w:p>
        </w:tc>
        <w:tc>
          <w:tcPr>
            <w:tcW w:w="0" w:type="auto"/>
            <w:shd w:val="clear" w:color="auto" w:fill="auto"/>
            <w:hideMark/>
          </w:tcPr>
          <w:p w14:paraId="671B399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2.549</w:t>
            </w:r>
          </w:p>
        </w:tc>
        <w:tc>
          <w:tcPr>
            <w:tcW w:w="0" w:type="auto"/>
            <w:shd w:val="clear" w:color="auto" w:fill="auto"/>
            <w:hideMark/>
          </w:tcPr>
          <w:p w14:paraId="1A7DED7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0.809</w:t>
            </w:r>
          </w:p>
        </w:tc>
        <w:tc>
          <w:tcPr>
            <w:tcW w:w="0" w:type="auto"/>
            <w:shd w:val="clear" w:color="auto" w:fill="auto"/>
            <w:hideMark/>
          </w:tcPr>
          <w:p w14:paraId="6C0CB53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9.934</w:t>
            </w:r>
          </w:p>
        </w:tc>
        <w:tc>
          <w:tcPr>
            <w:tcW w:w="0" w:type="auto"/>
            <w:shd w:val="clear" w:color="auto" w:fill="auto"/>
            <w:hideMark/>
          </w:tcPr>
          <w:p w14:paraId="3E90F2E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59C3150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0.002</w:t>
            </w:r>
          </w:p>
        </w:tc>
        <w:tc>
          <w:tcPr>
            <w:tcW w:w="0" w:type="auto"/>
            <w:shd w:val="clear" w:color="auto" w:fill="auto"/>
            <w:hideMark/>
          </w:tcPr>
          <w:p w14:paraId="2C0AA59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12.799</w:t>
            </w:r>
          </w:p>
        </w:tc>
        <w:tc>
          <w:tcPr>
            <w:tcW w:w="0" w:type="auto"/>
            <w:shd w:val="clear" w:color="auto" w:fill="auto"/>
            <w:hideMark/>
          </w:tcPr>
          <w:p w14:paraId="2F7EF82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2.622 – 62.466</w:t>
            </w:r>
          </w:p>
        </w:tc>
      </w:tr>
      <w:tr w:rsidR="009033F7" w:rsidRPr="009033F7" w14:paraId="5B864D5F"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B0EB23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Peer Support (Poor)</w:t>
            </w:r>
          </w:p>
        </w:tc>
        <w:tc>
          <w:tcPr>
            <w:tcW w:w="0" w:type="auto"/>
            <w:shd w:val="clear" w:color="auto" w:fill="auto"/>
            <w:hideMark/>
          </w:tcPr>
          <w:p w14:paraId="0DD84D6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-0.962</w:t>
            </w:r>
          </w:p>
        </w:tc>
        <w:tc>
          <w:tcPr>
            <w:tcW w:w="0" w:type="auto"/>
            <w:shd w:val="clear" w:color="auto" w:fill="auto"/>
            <w:hideMark/>
          </w:tcPr>
          <w:p w14:paraId="3E1E960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0.691</w:t>
            </w:r>
          </w:p>
        </w:tc>
        <w:tc>
          <w:tcPr>
            <w:tcW w:w="0" w:type="auto"/>
            <w:shd w:val="clear" w:color="auto" w:fill="auto"/>
            <w:hideMark/>
          </w:tcPr>
          <w:p w14:paraId="366E5F1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1.936</w:t>
            </w:r>
          </w:p>
        </w:tc>
        <w:tc>
          <w:tcPr>
            <w:tcW w:w="0" w:type="auto"/>
            <w:shd w:val="clear" w:color="auto" w:fill="auto"/>
            <w:hideMark/>
          </w:tcPr>
          <w:p w14:paraId="4341BE7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4C34599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0.164</w:t>
            </w:r>
          </w:p>
        </w:tc>
        <w:tc>
          <w:tcPr>
            <w:tcW w:w="0" w:type="auto"/>
            <w:shd w:val="clear" w:color="auto" w:fill="auto"/>
            <w:hideMark/>
          </w:tcPr>
          <w:p w14:paraId="0F5D831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0.382</w:t>
            </w:r>
          </w:p>
        </w:tc>
        <w:tc>
          <w:tcPr>
            <w:tcW w:w="0" w:type="auto"/>
            <w:shd w:val="clear" w:color="auto" w:fill="auto"/>
            <w:hideMark/>
          </w:tcPr>
          <w:p w14:paraId="117BF58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0.099 – 1.481</w:t>
            </w:r>
          </w:p>
        </w:tc>
      </w:tr>
      <w:tr w:rsidR="009033F7" w:rsidRPr="009033F7" w14:paraId="6AB2CBD4" w14:textId="77777777" w:rsidTr="009033F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A532AD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Healthcare Provider Support (Poor)</w:t>
            </w:r>
          </w:p>
        </w:tc>
        <w:tc>
          <w:tcPr>
            <w:tcW w:w="0" w:type="auto"/>
            <w:shd w:val="clear" w:color="auto" w:fill="auto"/>
            <w:hideMark/>
          </w:tcPr>
          <w:p w14:paraId="739FB1E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1.641</w:t>
            </w:r>
          </w:p>
        </w:tc>
        <w:tc>
          <w:tcPr>
            <w:tcW w:w="0" w:type="auto"/>
            <w:shd w:val="clear" w:color="auto" w:fill="auto"/>
            <w:hideMark/>
          </w:tcPr>
          <w:p w14:paraId="5078DA6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1.330</w:t>
            </w:r>
          </w:p>
        </w:tc>
        <w:tc>
          <w:tcPr>
            <w:tcW w:w="0" w:type="auto"/>
            <w:shd w:val="clear" w:color="auto" w:fill="auto"/>
            <w:hideMark/>
          </w:tcPr>
          <w:p w14:paraId="475FD2C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1.523</w:t>
            </w:r>
          </w:p>
        </w:tc>
        <w:tc>
          <w:tcPr>
            <w:tcW w:w="0" w:type="auto"/>
            <w:shd w:val="clear" w:color="auto" w:fill="auto"/>
            <w:hideMark/>
          </w:tcPr>
          <w:p w14:paraId="4225CD9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3F4D2DFD"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0.217</w:t>
            </w:r>
          </w:p>
        </w:tc>
        <w:tc>
          <w:tcPr>
            <w:tcW w:w="0" w:type="auto"/>
            <w:shd w:val="clear" w:color="auto" w:fill="auto"/>
            <w:hideMark/>
          </w:tcPr>
          <w:p w14:paraId="0EEA20B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5.162</w:t>
            </w:r>
          </w:p>
        </w:tc>
        <w:tc>
          <w:tcPr>
            <w:tcW w:w="0" w:type="auto"/>
            <w:shd w:val="clear" w:color="auto" w:fill="auto"/>
            <w:hideMark/>
          </w:tcPr>
          <w:p w14:paraId="46F61C9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0.381 – 69.933</w:t>
            </w:r>
          </w:p>
        </w:tc>
      </w:tr>
      <w:tr w:rsidR="009033F7" w:rsidRPr="009033F7" w14:paraId="1D065111"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842661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Stigma (High)</w:t>
            </w:r>
          </w:p>
        </w:tc>
        <w:tc>
          <w:tcPr>
            <w:tcW w:w="0" w:type="auto"/>
            <w:shd w:val="clear" w:color="auto" w:fill="auto"/>
            <w:hideMark/>
          </w:tcPr>
          <w:p w14:paraId="56539E0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0.266</w:t>
            </w:r>
          </w:p>
        </w:tc>
        <w:tc>
          <w:tcPr>
            <w:tcW w:w="0" w:type="auto"/>
            <w:shd w:val="clear" w:color="auto" w:fill="auto"/>
            <w:hideMark/>
          </w:tcPr>
          <w:p w14:paraId="60E16CC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0.642</w:t>
            </w:r>
          </w:p>
        </w:tc>
        <w:tc>
          <w:tcPr>
            <w:tcW w:w="0" w:type="auto"/>
            <w:shd w:val="clear" w:color="auto" w:fill="auto"/>
            <w:hideMark/>
          </w:tcPr>
          <w:p w14:paraId="43179F2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0.172</w:t>
            </w:r>
          </w:p>
        </w:tc>
        <w:tc>
          <w:tcPr>
            <w:tcW w:w="0" w:type="auto"/>
            <w:shd w:val="clear" w:color="auto" w:fill="auto"/>
            <w:hideMark/>
          </w:tcPr>
          <w:p w14:paraId="7C42961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21846C7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0.678</w:t>
            </w:r>
          </w:p>
        </w:tc>
        <w:tc>
          <w:tcPr>
            <w:tcW w:w="0" w:type="auto"/>
            <w:shd w:val="clear" w:color="auto" w:fill="auto"/>
            <w:hideMark/>
          </w:tcPr>
          <w:p w14:paraId="7041B39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1.305</w:t>
            </w:r>
          </w:p>
        </w:tc>
        <w:tc>
          <w:tcPr>
            <w:tcW w:w="0" w:type="auto"/>
            <w:shd w:val="clear" w:color="auto" w:fill="auto"/>
            <w:hideMark/>
          </w:tcPr>
          <w:p w14:paraId="2394C2E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0.371 – 4.593</w:t>
            </w:r>
          </w:p>
        </w:tc>
      </w:tr>
      <w:tr w:rsidR="009033F7" w:rsidRPr="009033F7" w14:paraId="7B1F2D9A" w14:textId="77777777" w:rsidTr="009033F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660CCA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Service Quality (Poor)</w:t>
            </w:r>
          </w:p>
        </w:tc>
        <w:tc>
          <w:tcPr>
            <w:tcW w:w="0" w:type="auto"/>
            <w:shd w:val="clear" w:color="auto" w:fill="auto"/>
            <w:hideMark/>
          </w:tcPr>
          <w:p w14:paraId="1A97BD1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1.469</w:t>
            </w:r>
          </w:p>
        </w:tc>
        <w:tc>
          <w:tcPr>
            <w:tcW w:w="0" w:type="auto"/>
            <w:shd w:val="clear" w:color="auto" w:fill="auto"/>
            <w:hideMark/>
          </w:tcPr>
          <w:p w14:paraId="4A3F064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0.666</w:t>
            </w:r>
          </w:p>
        </w:tc>
        <w:tc>
          <w:tcPr>
            <w:tcW w:w="0" w:type="auto"/>
            <w:shd w:val="clear" w:color="auto" w:fill="auto"/>
            <w:hideMark/>
          </w:tcPr>
          <w:p w14:paraId="6EE1D97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4.864</w:t>
            </w:r>
          </w:p>
        </w:tc>
        <w:tc>
          <w:tcPr>
            <w:tcW w:w="0" w:type="auto"/>
            <w:shd w:val="clear" w:color="auto" w:fill="auto"/>
            <w:hideMark/>
          </w:tcPr>
          <w:p w14:paraId="695FAE9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16BA08D0"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0.027</w:t>
            </w:r>
          </w:p>
        </w:tc>
        <w:tc>
          <w:tcPr>
            <w:tcW w:w="0" w:type="auto"/>
            <w:shd w:val="clear" w:color="auto" w:fill="auto"/>
            <w:hideMark/>
          </w:tcPr>
          <w:p w14:paraId="79F0D63F"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4.346</w:t>
            </w:r>
          </w:p>
        </w:tc>
        <w:tc>
          <w:tcPr>
            <w:tcW w:w="0" w:type="auto"/>
            <w:shd w:val="clear" w:color="auto" w:fill="auto"/>
            <w:hideMark/>
          </w:tcPr>
          <w:p w14:paraId="2758220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1.178 – 16.039</w:t>
            </w:r>
          </w:p>
        </w:tc>
      </w:tr>
      <w:tr w:rsidR="009033F7" w:rsidRPr="009033F7" w14:paraId="18A5F635"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62567D3"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Access to Health Services (Difficult)</w:t>
            </w:r>
          </w:p>
        </w:tc>
        <w:tc>
          <w:tcPr>
            <w:tcW w:w="0" w:type="auto"/>
            <w:shd w:val="clear" w:color="auto" w:fill="auto"/>
            <w:hideMark/>
          </w:tcPr>
          <w:p w14:paraId="140D05A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3.133</w:t>
            </w:r>
          </w:p>
        </w:tc>
        <w:tc>
          <w:tcPr>
            <w:tcW w:w="0" w:type="auto"/>
            <w:shd w:val="clear" w:color="auto" w:fill="auto"/>
            <w:hideMark/>
          </w:tcPr>
          <w:p w14:paraId="529EEF8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1.548</w:t>
            </w:r>
          </w:p>
        </w:tc>
        <w:tc>
          <w:tcPr>
            <w:tcW w:w="0" w:type="auto"/>
            <w:shd w:val="clear" w:color="auto" w:fill="auto"/>
            <w:hideMark/>
          </w:tcPr>
          <w:p w14:paraId="3658AED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4.096</w:t>
            </w:r>
          </w:p>
        </w:tc>
        <w:tc>
          <w:tcPr>
            <w:tcW w:w="0" w:type="auto"/>
            <w:shd w:val="clear" w:color="auto" w:fill="auto"/>
            <w:hideMark/>
          </w:tcPr>
          <w:p w14:paraId="0337636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7EEDAB0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0.043</w:t>
            </w:r>
          </w:p>
        </w:tc>
        <w:tc>
          <w:tcPr>
            <w:tcW w:w="0" w:type="auto"/>
            <w:shd w:val="clear" w:color="auto" w:fill="auto"/>
            <w:hideMark/>
          </w:tcPr>
          <w:p w14:paraId="7EC71D5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22.941</w:t>
            </w:r>
          </w:p>
        </w:tc>
        <w:tc>
          <w:tcPr>
            <w:tcW w:w="0" w:type="auto"/>
            <w:shd w:val="clear" w:color="auto" w:fill="auto"/>
            <w:hideMark/>
          </w:tcPr>
          <w:p w14:paraId="37BE3FE5"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1.104 – 476.732</w:t>
            </w:r>
          </w:p>
        </w:tc>
      </w:tr>
      <w:tr w:rsidR="009033F7" w:rsidRPr="009033F7" w14:paraId="3DA47537" w14:textId="77777777" w:rsidTr="009033F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1E303B4"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Health Service Policy (Poor)</w:t>
            </w:r>
          </w:p>
        </w:tc>
        <w:tc>
          <w:tcPr>
            <w:tcW w:w="0" w:type="auto"/>
            <w:shd w:val="clear" w:color="auto" w:fill="auto"/>
            <w:hideMark/>
          </w:tcPr>
          <w:p w14:paraId="6D11EFE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0.959</w:t>
            </w:r>
          </w:p>
        </w:tc>
        <w:tc>
          <w:tcPr>
            <w:tcW w:w="0" w:type="auto"/>
            <w:shd w:val="clear" w:color="auto" w:fill="auto"/>
            <w:hideMark/>
          </w:tcPr>
          <w:p w14:paraId="642E2146"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0.661</w:t>
            </w:r>
          </w:p>
        </w:tc>
        <w:tc>
          <w:tcPr>
            <w:tcW w:w="0" w:type="auto"/>
            <w:shd w:val="clear" w:color="auto" w:fill="auto"/>
            <w:hideMark/>
          </w:tcPr>
          <w:p w14:paraId="58BF740A"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2.108</w:t>
            </w:r>
          </w:p>
        </w:tc>
        <w:tc>
          <w:tcPr>
            <w:tcW w:w="0" w:type="auto"/>
            <w:shd w:val="clear" w:color="auto" w:fill="auto"/>
            <w:hideMark/>
          </w:tcPr>
          <w:p w14:paraId="43D375E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225F09B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0.147</w:t>
            </w:r>
          </w:p>
        </w:tc>
        <w:tc>
          <w:tcPr>
            <w:tcW w:w="0" w:type="auto"/>
            <w:shd w:val="clear" w:color="auto" w:fill="auto"/>
            <w:hideMark/>
          </w:tcPr>
          <w:p w14:paraId="33039EE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2.610</w:t>
            </w:r>
          </w:p>
        </w:tc>
        <w:tc>
          <w:tcPr>
            <w:tcW w:w="0" w:type="auto"/>
            <w:shd w:val="clear" w:color="auto" w:fill="auto"/>
            <w:hideMark/>
          </w:tcPr>
          <w:p w14:paraId="2CF4927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0.715 – 9.527</w:t>
            </w:r>
          </w:p>
        </w:tc>
      </w:tr>
      <w:tr w:rsidR="009033F7" w:rsidRPr="009033F7" w14:paraId="7925E017" w14:textId="77777777" w:rsidTr="009033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931947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val="0"/>
                <w:bCs w:val="0"/>
                <w:position w:val="0"/>
                <w:sz w:val="18"/>
                <w:szCs w:val="18"/>
                <w:lang w:val="en-ID" w:eastAsia="en-ID"/>
              </w:rPr>
            </w:pPr>
            <w:r w:rsidRPr="009033F7">
              <w:rPr>
                <w:rFonts w:ascii="Times New Roman" w:eastAsia="Times New Roman" w:hAnsi="Times New Roman" w:cs="Times New Roman"/>
                <w:b w:val="0"/>
                <w:bCs w:val="0"/>
                <w:position w:val="0"/>
                <w:sz w:val="18"/>
                <w:szCs w:val="18"/>
                <w:lang w:val="en-ID" w:eastAsia="en-ID"/>
              </w:rPr>
              <w:t>Constant</w:t>
            </w:r>
          </w:p>
        </w:tc>
        <w:tc>
          <w:tcPr>
            <w:tcW w:w="0" w:type="auto"/>
            <w:shd w:val="clear" w:color="auto" w:fill="auto"/>
            <w:hideMark/>
          </w:tcPr>
          <w:p w14:paraId="2E19C977"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-10.856</w:t>
            </w:r>
          </w:p>
        </w:tc>
        <w:tc>
          <w:tcPr>
            <w:tcW w:w="0" w:type="auto"/>
            <w:shd w:val="clear" w:color="auto" w:fill="auto"/>
            <w:hideMark/>
          </w:tcPr>
          <w:p w14:paraId="2E529619"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2.020</w:t>
            </w:r>
          </w:p>
        </w:tc>
        <w:tc>
          <w:tcPr>
            <w:tcW w:w="0" w:type="auto"/>
            <w:shd w:val="clear" w:color="auto" w:fill="auto"/>
            <w:hideMark/>
          </w:tcPr>
          <w:p w14:paraId="31551BF1"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28.894</w:t>
            </w:r>
          </w:p>
        </w:tc>
        <w:tc>
          <w:tcPr>
            <w:tcW w:w="0" w:type="auto"/>
            <w:shd w:val="clear" w:color="auto" w:fill="auto"/>
            <w:hideMark/>
          </w:tcPr>
          <w:p w14:paraId="291DC4BE"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1</w:t>
            </w:r>
          </w:p>
        </w:tc>
        <w:tc>
          <w:tcPr>
            <w:tcW w:w="0" w:type="auto"/>
            <w:shd w:val="clear" w:color="auto" w:fill="auto"/>
            <w:hideMark/>
          </w:tcPr>
          <w:p w14:paraId="76117ED8"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0.000</w:t>
            </w:r>
          </w:p>
        </w:tc>
        <w:tc>
          <w:tcPr>
            <w:tcW w:w="0" w:type="auto"/>
            <w:shd w:val="clear" w:color="auto" w:fill="auto"/>
            <w:hideMark/>
          </w:tcPr>
          <w:p w14:paraId="183C0BCC"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w:t>
            </w:r>
          </w:p>
        </w:tc>
        <w:tc>
          <w:tcPr>
            <w:tcW w:w="0" w:type="auto"/>
            <w:shd w:val="clear" w:color="auto" w:fill="auto"/>
            <w:hideMark/>
          </w:tcPr>
          <w:p w14:paraId="529D572B" w14:textId="77777777" w:rsidR="009033F7" w:rsidRPr="009033F7" w:rsidRDefault="009033F7" w:rsidP="009033F7">
            <w:pPr>
              <w:suppressAutoHyphens w:val="0"/>
              <w:spacing w:after="0" w:line="240" w:lineRule="auto"/>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position w:val="0"/>
                <w:sz w:val="18"/>
                <w:szCs w:val="18"/>
                <w:lang w:val="en-ID" w:eastAsia="en-ID"/>
              </w:rPr>
            </w:pPr>
            <w:r w:rsidRPr="009033F7">
              <w:rPr>
                <w:rFonts w:ascii="Times New Roman" w:eastAsia="Times New Roman" w:hAnsi="Times New Roman" w:cs="Times New Roman"/>
                <w:position w:val="0"/>
                <w:sz w:val="18"/>
                <w:szCs w:val="18"/>
                <w:lang w:val="en-ID" w:eastAsia="en-ID"/>
              </w:rPr>
              <w:t>—</w:t>
            </w:r>
          </w:p>
        </w:tc>
      </w:tr>
    </w:tbl>
    <w:p w14:paraId="0271E519" w14:textId="77777777" w:rsidR="009033F7" w:rsidRDefault="009033F7" w:rsidP="009033F7">
      <w:pPr>
        <w:suppressAutoHyphens w:val="0"/>
        <w:spacing w:after="0" w:line="360" w:lineRule="auto"/>
        <w:ind w:leftChars="0" w:left="0" w:firstLineChars="0" w:firstLine="567"/>
        <w:jc w:val="both"/>
        <w:textDirection w:val="lrTb"/>
        <w:textAlignment w:val="auto"/>
        <w:outlineLvl w:val="9"/>
      </w:pPr>
    </w:p>
    <w:p w14:paraId="2CD0D629" w14:textId="77777777" w:rsidR="009033F7" w:rsidRPr="009033F7" w:rsidRDefault="009033F7" w:rsidP="009033F7">
      <w:pPr>
        <w:suppressAutoHyphens w:val="0"/>
        <w:spacing w:after="0" w:line="360" w:lineRule="auto"/>
        <w:ind w:leftChars="0" w:left="0" w:firstLineChars="0" w:firstLine="567"/>
        <w:jc w:val="both"/>
        <w:textDirection w:val="lrTb"/>
        <w:textAlignment w:val="auto"/>
        <w:outlineLvl w:val="9"/>
        <w:rPr>
          <w:rFonts w:asciiTheme="majorBidi" w:hAnsiTheme="majorBidi" w:cstheme="majorBidi"/>
          <w:sz w:val="24"/>
          <w:szCs w:val="24"/>
        </w:rPr>
      </w:pPr>
      <w:r w:rsidRPr="009033F7">
        <w:rPr>
          <w:rFonts w:asciiTheme="majorBidi" w:hAnsiTheme="majorBidi" w:cstheme="majorBidi"/>
          <w:sz w:val="24"/>
          <w:szCs w:val="24"/>
        </w:rPr>
        <w:t xml:space="preserve">The logistic regression analysis showed that poor knowledge remained significantly associated with LtFU (p = 0.016; OR = 4.629; 95% CI: 1.330–16.118). Patients with insufficient knowledge were approximately 4.6 times more likely to experience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compared to those with good knowledge. Negative attitude toward treatment was also a significant predictor (p = 0.011; OR = 4.966; 95% CI: 1.445–17.069), increasing the risk of LtFU by nearly fivefold.</w:t>
      </w:r>
      <w:r w:rsidRPr="009033F7">
        <w:rPr>
          <w:rFonts w:asciiTheme="majorBidi" w:hAnsiTheme="majorBidi" w:cstheme="majorBidi"/>
          <w:sz w:val="24"/>
          <w:szCs w:val="24"/>
          <w:lang w:val="en-US"/>
        </w:rPr>
        <w:t xml:space="preserve"> </w:t>
      </w:r>
      <w:r w:rsidRPr="009033F7">
        <w:rPr>
          <w:rFonts w:asciiTheme="majorBidi" w:hAnsiTheme="majorBidi" w:cstheme="majorBidi"/>
          <w:sz w:val="24"/>
          <w:szCs w:val="24"/>
        </w:rPr>
        <w:t>Poor perception of HIV disease and ART significantly increased the likelihood of LtFU (p = 0.003; OR = 6.431; 95% CI: 1.875–22.057). Inadequate family support emerged as one of the strongest predictors (p = 0.002; OR = 12.799; 95% CI: 2.622–62.466), indicating that patients lacking family support were almost 13 times more likely to become lost to follow-up.</w:t>
      </w:r>
    </w:p>
    <w:p w14:paraId="534F58CE" w14:textId="77777777" w:rsidR="009033F7" w:rsidRPr="009033F7" w:rsidRDefault="009033F7" w:rsidP="009033F7">
      <w:pPr>
        <w:suppressAutoHyphens w:val="0"/>
        <w:spacing w:after="0" w:line="360" w:lineRule="auto"/>
        <w:ind w:leftChars="0" w:left="0" w:firstLineChars="0" w:firstLine="567"/>
        <w:jc w:val="both"/>
        <w:textDirection w:val="lrTb"/>
        <w:textAlignment w:val="auto"/>
        <w:outlineLvl w:val="9"/>
        <w:rPr>
          <w:rFonts w:asciiTheme="majorBidi" w:hAnsiTheme="majorBidi" w:cstheme="majorBidi"/>
          <w:sz w:val="24"/>
          <w:szCs w:val="24"/>
        </w:rPr>
      </w:pPr>
      <w:r w:rsidRPr="009033F7">
        <w:rPr>
          <w:rFonts w:asciiTheme="majorBidi" w:hAnsiTheme="majorBidi" w:cstheme="majorBidi"/>
          <w:sz w:val="24"/>
          <w:szCs w:val="24"/>
        </w:rPr>
        <w:lastRenderedPageBreak/>
        <w:t xml:space="preserve">Access to healthcare services was the most influential factor in the model (p = 0.043; OR = 22.941; 95% CI: 1.104–476.732). Patients experiencing difficulties in accessing services had a 23-fold higher likelihood of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Based on the regression coefficients, the strongest predictors of </w:t>
      </w:r>
      <w:proofErr w:type="spellStart"/>
      <w:r w:rsidRPr="009033F7">
        <w:rPr>
          <w:rFonts w:asciiTheme="majorBidi" w:hAnsiTheme="majorBidi" w:cstheme="majorBidi"/>
          <w:sz w:val="24"/>
          <w:szCs w:val="24"/>
        </w:rPr>
        <w:t>LtFU</w:t>
      </w:r>
      <w:proofErr w:type="spellEnd"/>
      <w:r w:rsidRPr="009033F7">
        <w:rPr>
          <w:rFonts w:asciiTheme="majorBidi" w:hAnsiTheme="majorBidi" w:cstheme="majorBidi"/>
          <w:sz w:val="24"/>
          <w:szCs w:val="24"/>
        </w:rPr>
        <w:t xml:space="preserve"> were access to services (B = 3.133; OR = 22.94), family support (B = 2.549; OR = 12.79), perception (B = 1.861; OR = 6.43), as well as attitude and service quality (OR &gt; 4).</w:t>
      </w:r>
    </w:p>
    <w:p w14:paraId="43F1260D" w14:textId="4940BAE9" w:rsidR="009033F7" w:rsidRPr="009033F7" w:rsidRDefault="009033F7" w:rsidP="009033F7">
      <w:pPr>
        <w:suppressAutoHyphens w:val="0"/>
        <w:spacing w:after="0" w:line="360" w:lineRule="auto"/>
        <w:ind w:leftChars="0" w:left="0" w:firstLineChars="0" w:firstLine="567"/>
        <w:jc w:val="both"/>
        <w:textDirection w:val="lrTb"/>
        <w:textAlignment w:val="auto"/>
        <w:outlineLvl w:val="9"/>
        <w:rPr>
          <w:rFonts w:asciiTheme="majorBidi" w:hAnsiTheme="majorBidi" w:cstheme="majorBidi"/>
          <w:sz w:val="24"/>
          <w:szCs w:val="24"/>
        </w:rPr>
      </w:pPr>
      <w:r w:rsidRPr="009033F7">
        <w:rPr>
          <w:rFonts w:asciiTheme="majorBidi" w:hAnsiTheme="majorBidi" w:cstheme="majorBidi"/>
          <w:sz w:val="24"/>
          <w:szCs w:val="24"/>
        </w:rPr>
        <w:t>Meanwhile, several variables were not statistically significant in the multivariate model, including peer support, healthcare worker support, stigma, and healthcare policy (p &gt; 0.05).</w:t>
      </w:r>
    </w:p>
    <w:p w14:paraId="6ACC3EE2" w14:textId="77777777" w:rsidR="009033F7" w:rsidRDefault="009033F7" w:rsidP="0095731B">
      <w:pPr>
        <w:spacing w:after="0" w:line="360" w:lineRule="auto"/>
        <w:ind w:left="0" w:hanging="2"/>
        <w:jc w:val="both"/>
        <w:rPr>
          <w:rFonts w:asciiTheme="majorBidi" w:eastAsia="Times New Roman" w:hAnsiTheme="majorBidi" w:cstheme="majorBidi"/>
          <w:b/>
          <w:sz w:val="24"/>
          <w:szCs w:val="24"/>
        </w:rPr>
      </w:pPr>
    </w:p>
    <w:p w14:paraId="43BEF0ED" w14:textId="49FC300D" w:rsidR="00690517" w:rsidRPr="00BA5758" w:rsidRDefault="00B44173" w:rsidP="0095731B">
      <w:pPr>
        <w:spacing w:after="0" w:line="360" w:lineRule="auto"/>
        <w:ind w:left="0" w:hanging="2"/>
        <w:jc w:val="both"/>
        <w:rPr>
          <w:rFonts w:asciiTheme="majorBidi" w:eastAsia="Times New Roman" w:hAnsiTheme="majorBidi" w:cstheme="majorBidi"/>
          <w:sz w:val="24"/>
          <w:szCs w:val="24"/>
        </w:rPr>
      </w:pPr>
      <w:r w:rsidRPr="00BA5758">
        <w:rPr>
          <w:rFonts w:asciiTheme="majorBidi" w:eastAsia="Times New Roman" w:hAnsiTheme="majorBidi" w:cstheme="majorBidi"/>
          <w:b/>
          <w:sz w:val="24"/>
          <w:szCs w:val="24"/>
        </w:rPr>
        <w:t>DISCUSSION</w:t>
      </w:r>
    </w:p>
    <w:p w14:paraId="5CD40683" w14:textId="4BB8E5E8" w:rsidR="009033F7" w:rsidRPr="00BA5758" w:rsidRDefault="009033F7" w:rsidP="00B44173">
      <w:pPr>
        <w:pStyle w:val="ListParagraph"/>
        <w:widowControl w:val="0"/>
        <w:numPr>
          <w:ilvl w:val="2"/>
          <w:numId w:val="2"/>
        </w:numPr>
        <w:suppressAutoHyphens w:val="0"/>
        <w:ind w:leftChars="0" w:left="284" w:firstLineChars="0" w:hanging="284"/>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Association Between Knowledge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53BCBFD3" w14:textId="37E719D6" w:rsidR="00FD4B76" w:rsidRPr="00BA5758" w:rsidRDefault="009033F7" w:rsidP="00FD4B76">
      <w:pPr>
        <w:spacing w:after="0" w:line="360" w:lineRule="auto"/>
        <w:ind w:left="-2" w:firstLineChars="236" w:firstLine="566"/>
        <w:jc w:val="both"/>
        <w:rPr>
          <w:rFonts w:asciiTheme="majorBidi" w:eastAsia="Times New Roman" w:hAnsiTheme="majorBidi" w:cstheme="majorBidi"/>
          <w:sz w:val="24"/>
          <w:szCs w:val="24"/>
          <w:lang w:val="en-ID" w:eastAsia="en-ID"/>
        </w:rPr>
      </w:pPr>
      <w:r w:rsidRPr="00BA5758">
        <w:rPr>
          <w:rFonts w:asciiTheme="majorBidi" w:hAnsiTheme="majorBidi" w:cstheme="majorBidi"/>
          <w:sz w:val="24"/>
          <w:szCs w:val="24"/>
        </w:rPr>
        <w:t>The results of this study indicate that the level of knowledge among people living with HIV/AIDS (PLWHA) in Demak Regency in 2025 was predominantly categorized as good (58.3%); however, a substantial proportion of respondents still had poor knowledge (41.7%). This finding suggests that although most PLWHA possess a basic understanding of HIV/AIDS, significant knowledge gaps remain that may negatively affect treatment continuity and increase the risk of transmission. Previous studies have shown that knowledge among PLWHA encompasses understanding, experience, and support, and that educational interventions play a crucial role in determining patients’ knowledge levels</w:t>
      </w:r>
      <w:r w:rsidRPr="00BA5758">
        <w:rPr>
          <w:rFonts w:asciiTheme="majorBidi" w:hAnsiTheme="majorBidi" w:cstheme="majorBidi"/>
          <w:sz w:val="24"/>
          <w:szCs w:val="24"/>
          <w:lang w:val="en-US"/>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Qomariyah","given":"Zaenatun","non-dropping-particle":"","parse-names":false,"suffix":""},{"dropping-particle":"","family":"Purwito","given":"Dedy","non-dropping-particle":"","parse-names":false,"suffix":""}],"container-title":"Jurnal Menara Medika","id":"ITEM-1","issue":"1","issued":{"date-parts":[["2025"]]},"page":"225-235","title":"Pemahaman Mendalam Tentang 'Lost To Follow Up' Terapi Antiretroviral: Perspektif Fenomenologi Pasien HIV/AIDS","type":"article-journal","volume":"8"},"uris":["http://www.mendeley.com/documents/?uuid=ebf3b4f9-ac85-48bb-bf7c-c078d3d712ec"]}],"mendeley":{"formattedCitation":"(Qomariyah &amp; Purwito, 2025)","plainTextFormattedCitation":"(Qomariyah &amp; Purwito, 2025)","previouslyFormattedCitation":"(Qomariyah &amp; Purwito, 2025)"},"properties":{"noteIndex":0},"schema":"https://github.com/citation-style-language/schema/raw/master/csl-citation.json"}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(Qomariyah &amp; Purwito, 2025)</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 xml:space="preserve">. </w:t>
      </w:r>
      <w:r w:rsidRPr="00BA5758">
        <w:rPr>
          <w:rFonts w:asciiTheme="majorBidi" w:hAnsiTheme="majorBidi" w:cstheme="majorBidi"/>
          <w:sz w:val="24"/>
          <w:szCs w:val="24"/>
        </w:rPr>
        <w:t xml:space="preserve">Knowledge has also been identified as an indicator of HIV treatment outcomes, influenced by patients’ educational background and personal experience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Adni","given":"Lailatul","non-dropping-particle":"","parse-names":false,"suffix":""},{"dropping-particle":"","family":"Maulana","given":"Jaya","non-dropping-particle":"","parse-names":false,"suffix":""},{"dropping-particle":"","family":"Fitriyani","given":"Nur Lu’lu","non-dropping-particle":"","parse-names":false,"suffix":""}],"container-title":"MULTIPLE: Journal of Global and Multidisciplinary","id":"ITEM-1","issue":"6","issued":{"date-parts":[["2023"]]},"page":"789-797","title":"Literature Review : Faktor Risiko Lost To Follow Up Pengobatan ARV Pada Penderita HIV / AIDS","type":"article-journal","volume":"1"},"uris":["http://www.mendeley.com/documents/?uuid=ba07c86d-eb30-4508-882c-bede22a59726"]}],"mendeley":{"formattedCitation":"(Adni et al., 2023)","plainTextFormattedCitation":"(Adni et al., 2023)","previouslyFormattedCitation":"(Adni et al., 2023)"},"properties":{"noteIndex":0},"schema":"https://github.com/citation-style-language/schema/raw/master/csl-citation.json"}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(Adni et al., 2023)</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 xml:space="preserve">. </w:t>
      </w:r>
      <w:r w:rsidRPr="00BA5758">
        <w:rPr>
          <w:rFonts w:asciiTheme="majorBidi" w:hAnsiTheme="majorBidi" w:cstheme="majorBidi"/>
          <w:sz w:val="24"/>
          <w:szCs w:val="24"/>
        </w:rPr>
        <w:t>Other studies have reported that the majority of PLWHA in Jepara had inadequate knowledge regarding HIV/AIDS</w:t>
      </w:r>
      <w:r w:rsidRPr="00BA5758">
        <w:rPr>
          <w:rFonts w:asciiTheme="majorBidi" w:hAnsiTheme="majorBidi" w:cstheme="majorBidi"/>
          <w:sz w:val="24"/>
          <w:szCs w:val="24"/>
          <w:lang w:val="en-US"/>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https://doi.org/10.15294/ijphn.v1i3.47892","author":[{"dropping-particle":"","family":"Mukarromah","given":"Sholihatul","non-dropping-particle":"","parse-names":false,"suffix":""},{"dropping-particle":"","family":"Azinar","given":"Muhammad","non-dropping-particle":"","parse-names":false,"suffix":""}],"container-title":"Indonesian Journal of Public Health and Nutrition","id":"ITEM-1","issue":"3","issued":{"date-parts":[["2021"]]},"page":"396-406","title":"Penghambat Kepatuhan Terapi Antiretroviral pada Orang dengan HIV/AIDS (Studi Kasus pada Odha Loss To Follow Up Therapy)","type":"article-journal","volume":"1"},"uris":["http://www.mendeley.com/documents/?uuid=c2d4ceaa-6b71-4c97-983f-c0d8a4d3d576"]}],"mendeley":{"formattedCitation":"(Mukarromah &amp; Azinar, 2021)","plainTextFormattedCitation":"(Mukarromah &amp; Azinar, 2021)","previouslyFormattedCitation":"(Mukarromah &amp; Azinar, 2021)"},"properties":{"noteIndex":0},"schema":"https://github.com/citation-style-language/schema/raw/master/csl-citation.json"}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(Mukarromah &amp; Azinar, 2021)</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w:t>
      </w:r>
      <w:r w:rsidR="0095731B" w:rsidRPr="00BA5758">
        <w:rPr>
          <w:rFonts w:asciiTheme="majorBidi" w:eastAsia="Times New Roman" w:hAnsiTheme="majorBidi" w:cstheme="majorBidi"/>
          <w:sz w:val="24"/>
          <w:szCs w:val="24"/>
          <w:lang w:val="en-ID" w:eastAsia="en-ID"/>
        </w:rPr>
        <w:t xml:space="preserve"> </w:t>
      </w:r>
    </w:p>
    <w:p w14:paraId="17F9A176" w14:textId="7030F04F" w:rsidR="00FD4B76" w:rsidRPr="00BA5758" w:rsidRDefault="009033F7" w:rsidP="00FD4B76">
      <w:pPr>
        <w:spacing w:after="0" w:line="360" w:lineRule="auto"/>
        <w:ind w:left="-2" w:firstLineChars="236" w:firstLine="566"/>
        <w:jc w:val="both"/>
        <w:rPr>
          <w:rFonts w:asciiTheme="majorBidi" w:eastAsia="Times New Roman" w:hAnsiTheme="majorBidi" w:cstheme="majorBidi"/>
          <w:sz w:val="24"/>
          <w:szCs w:val="24"/>
          <w:lang w:val="en-ID" w:eastAsia="en-ID"/>
        </w:rPr>
      </w:pPr>
      <w:r w:rsidRPr="00BA5758">
        <w:rPr>
          <w:rFonts w:asciiTheme="majorBidi" w:hAnsiTheme="majorBidi" w:cstheme="majorBidi"/>
          <w:sz w:val="24"/>
          <w:szCs w:val="24"/>
        </w:rPr>
        <w:t xml:space="preserve">This study demonstrated a highly significant association between patients’ knowledge level and the occurrence of loss to follow-up (LtFU) among PLWHA (n = 199). Data analysis showed that most respondents who experienced LtFU had poor knowledge, accounting for 76 out of 128 LtFU cases (59.4%). In contrast, among those who did not experience LtFU, the majority had good knowledge (90.1%). Statistical testing using Fisher’s Exact Test yielded a p-value of 0.000 (p &lt; 0.05), confirming a statistically significant association between knowledge and LtFU. Furthermore, an odds ratio of 13.363 (95% CI: 5.6–31.46) indicates that patients with poor knowledge were approximately 13 times more likely to experience LtFU compared to those with good knowledge. Knowledge regarding HIV/AIDS and antiretroviral </w:t>
      </w:r>
      <w:r w:rsidRPr="00BA5758">
        <w:rPr>
          <w:rFonts w:asciiTheme="majorBidi" w:hAnsiTheme="majorBidi" w:cstheme="majorBidi"/>
          <w:sz w:val="24"/>
          <w:szCs w:val="24"/>
        </w:rPr>
        <w:lastRenderedPageBreak/>
        <w:t xml:space="preserve">therapy (ART) influences patients’ understanding of the importance of routine follow-up visits and maintaining treatment continuity </w:t>
      </w:r>
      <w:r w:rsidR="00FD4B76"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{"citationItems":[{"id":"ITEM-1","itemData":{"ISBN":"0812400887","abstract":"analisi untuk tingkat pengetahuan ρ-value 0,535 &gt; α (0,05), keterjangkauan klinik VCT ρ-value 0,092 &gt; α (0,05), kepatuhan terapi ARV ρ-value 0,367 &gt; α (0,05), dukungan keluarga ρ-value 0,049 &lt; α (0,05), perceived susceptibility ρ-value 0,006 &lt; α (0,05) dan perceived severity ρ-value 0,014 &lt; α (0,05). Kesimpulan terdapat pengaruh antara dukungan keluarga, perceived susceptibility, perceived severty dan variabel yang paling berisiko adalah perceived susceptibility dengan besar risiko 2,489 kali terhadap lost to follow-up terapi ARV pada kelompok LSL. Saran untuk pasien agar lebih terbuka dengan status kesehatan yang dimiliki.","author":[{"dropping-particle":"","family":"Andriani","given":"Ni Ketut","non-dropping-particle":"","parse-names":false,"suffix":""},{"dropping-particle":"","family":"Aulia","given":"Ulfa","non-dropping-particle":"","parse-names":false,"suffix":""},{"dropping-particle":"","family":"Irwan","given":"","non-dropping-particle":"","parse-names":false,"suffix":""}],"container-title":"Preventif: Jurnal Kesehatan Masyarakat","id":"ITEM-1","issue":"1","issued":{"date-parts":[["2024"]]},"page":"94-114","title":"Faktor yang Mempengaruhi Lost to Follow-Up Pasien HIV-AIDS dengan Terapi ARV pada Kelompok LSL","type":"article-journal","volume":"15"},"uris":["http://www.mendeley.com/documents/?uuid=8566080a-1197-4da8-858e-08068d8329fa"]}],"mendeley":{"formattedCitation":"(Andriani et al., 2024)","plainTextFormattedCitation":"(Andriani et al., 2024)","previouslyFormattedCitation":"(Andriani et al., 2024)"},"properties":{"noteIndex":0},"schema":"https://github.com/citation-style-language/schema/raw/master/csl-citation.json"}</w:instrText>
      </w:r>
      <w:r w:rsidR="00FD4B76" w:rsidRPr="00BA5758">
        <w:rPr>
          <w:rFonts w:asciiTheme="majorBidi" w:eastAsia="Times New Roman" w:hAnsiTheme="majorBidi" w:cstheme="majorBidi"/>
          <w:sz w:val="24"/>
          <w:szCs w:val="24"/>
          <w:lang w:val="en-ID" w:eastAsia="en-ID"/>
        </w:rPr>
        <w:fldChar w:fldCharType="separate"/>
      </w:r>
      <w:r w:rsidR="00FD4B76" w:rsidRPr="00BA5758">
        <w:rPr>
          <w:rFonts w:asciiTheme="majorBidi" w:eastAsia="Times New Roman" w:hAnsiTheme="majorBidi" w:cstheme="majorBidi"/>
          <w:noProof/>
          <w:sz w:val="24"/>
          <w:szCs w:val="24"/>
          <w:lang w:eastAsia="en-ID"/>
        </w:rPr>
        <w:t>(Andriani et al., 2024)</w:t>
      </w:r>
      <w:r w:rsidR="00FD4B76" w:rsidRPr="00BA5758">
        <w:rPr>
          <w:rFonts w:asciiTheme="majorBidi" w:eastAsia="Times New Roman" w:hAnsiTheme="majorBidi" w:cstheme="majorBidi"/>
          <w:sz w:val="24"/>
          <w:szCs w:val="24"/>
          <w:lang w:val="en-ID" w:eastAsia="en-ID"/>
        </w:rPr>
        <w:fldChar w:fldCharType="end"/>
      </w:r>
      <w:r w:rsidR="00D57E7E" w:rsidRPr="00BA5758">
        <w:rPr>
          <w:rFonts w:asciiTheme="majorBidi" w:eastAsia="Times New Roman" w:hAnsiTheme="majorBidi" w:cstheme="majorBidi"/>
          <w:sz w:val="24"/>
          <w:szCs w:val="24"/>
          <w:lang w:val="en-ID" w:eastAsia="en-ID"/>
        </w:rPr>
        <w:t>.</w:t>
      </w:r>
    </w:p>
    <w:p w14:paraId="1D77048F" w14:textId="6058CC22" w:rsidR="00FD4B76" w:rsidRPr="00BA5758" w:rsidRDefault="009033F7" w:rsidP="00FD4B76">
      <w:pPr>
        <w:spacing w:after="0" w:line="360" w:lineRule="auto"/>
        <w:ind w:left="-2" w:firstLineChars="236" w:firstLine="566"/>
        <w:jc w:val="both"/>
        <w:rPr>
          <w:rFonts w:asciiTheme="majorBidi" w:eastAsia="Times New Roman" w:hAnsiTheme="majorBidi" w:cstheme="majorBidi"/>
          <w:sz w:val="24"/>
          <w:szCs w:val="24"/>
          <w:lang w:val="en-ID" w:eastAsia="en-ID"/>
        </w:rPr>
      </w:pPr>
      <w:r w:rsidRPr="00BA5758">
        <w:rPr>
          <w:rFonts w:asciiTheme="majorBidi" w:hAnsiTheme="majorBidi" w:cstheme="majorBidi"/>
          <w:sz w:val="24"/>
          <w:szCs w:val="24"/>
        </w:rPr>
        <w:t>Low levels of knowledge contribute to poor understanding of the nature of HIV infection, the benefits of ART, the consequences of treatment interruption, and the importance of regular clinical monitoring</w:t>
      </w:r>
      <w:r w:rsidRPr="00BA5758">
        <w:rPr>
          <w:rFonts w:asciiTheme="majorBidi" w:hAnsiTheme="majorBidi" w:cstheme="majorBidi"/>
          <w:sz w:val="24"/>
          <w:szCs w:val="24"/>
          <w:lang w:val="en-US"/>
        </w:rPr>
        <w:t xml:space="preserve"> </w:t>
      </w:r>
      <w:r w:rsidR="00FD4B76"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{"citationItems":[{"id":"ITEM-1","itemData":{"author":[{"dropping-particle":"","family":"Sianipar","given":"Titin","non-dropping-particle":"","parse-names":false,"suffix":""},{"dropping-particle":"","family":"Sianturi","given":"Sondang Ratnauli","non-dropping-particle":"","parse-names":false,"suffix":""}],"container-title":"Jurnal Keperawatan Widya Gantari Indonesia","id":"ITEM-1","issue":"1","issued":{"date-parts":[["2023"]]},"page":"18-25","title":"Tingkat pengetahuan siswa dengan stigma pada odha","type":"article-journal","volume":"7"},"uris":["http://www.mendeley.com/documents/?uuid=0cea034a-bb9c-4245-86c3-56a3086f23c7"]}],"mendeley":{"formattedCitation":"(Sianipar &amp; Sianturi, 2023)","plainTextFormattedCitation":"(Sianipar &amp; Sianturi, 2023)","previouslyFormattedCitation":"(Sianipar &amp; Sianturi, 2023)"},"properties":{"noteIndex":0},"schema":"https://github.com/citation-style-language/schema/raw/master/csl-citation.json"}</w:instrText>
      </w:r>
      <w:r w:rsidR="00FD4B76" w:rsidRPr="00BA5758">
        <w:rPr>
          <w:rFonts w:asciiTheme="majorBidi" w:eastAsia="Times New Roman" w:hAnsiTheme="majorBidi" w:cstheme="majorBidi"/>
          <w:sz w:val="24"/>
          <w:szCs w:val="24"/>
          <w:lang w:val="en-ID" w:eastAsia="en-ID"/>
        </w:rPr>
        <w:fldChar w:fldCharType="separate"/>
      </w:r>
      <w:r w:rsidR="00FD4B76" w:rsidRPr="00BA5758">
        <w:rPr>
          <w:rFonts w:asciiTheme="majorBidi" w:eastAsia="Times New Roman" w:hAnsiTheme="majorBidi" w:cstheme="majorBidi"/>
          <w:noProof/>
          <w:sz w:val="24"/>
          <w:szCs w:val="24"/>
          <w:lang w:eastAsia="en-ID"/>
        </w:rPr>
        <w:t>(Sianipar &amp; Sianturi, 2023)</w:t>
      </w:r>
      <w:r w:rsidR="00FD4B76" w:rsidRPr="00BA5758">
        <w:rPr>
          <w:rFonts w:asciiTheme="majorBidi" w:eastAsia="Times New Roman" w:hAnsiTheme="majorBidi" w:cstheme="majorBidi"/>
          <w:sz w:val="24"/>
          <w:szCs w:val="24"/>
          <w:lang w:val="en-ID" w:eastAsia="en-ID"/>
        </w:rPr>
        <w:fldChar w:fldCharType="end"/>
      </w:r>
      <w:r w:rsidR="0095731B" w:rsidRPr="00057EAB">
        <w:rPr>
          <w:rFonts w:asciiTheme="majorBidi" w:eastAsia="Times New Roman" w:hAnsiTheme="majorBidi" w:cstheme="majorBidi"/>
          <w:sz w:val="24"/>
          <w:szCs w:val="24"/>
          <w:lang w:val="en-ID" w:eastAsia="en-ID"/>
        </w:rPr>
        <w:t xml:space="preserve">. </w:t>
      </w:r>
      <w:r w:rsidRPr="00BA5758">
        <w:rPr>
          <w:rFonts w:asciiTheme="majorBidi" w:hAnsiTheme="majorBidi" w:cstheme="majorBidi"/>
          <w:sz w:val="24"/>
          <w:szCs w:val="24"/>
        </w:rPr>
        <w:t>Other studies have reported that inadequate knowledge is associated with poor adherence to ART, which in turn increases the likelihood of LtFU, treatment failure, drug resistance, and worsened clinical outcomes</w:t>
      </w:r>
      <w:r w:rsidRPr="00BA5758">
        <w:rPr>
          <w:rFonts w:asciiTheme="majorBidi" w:hAnsiTheme="majorBidi" w:cstheme="majorBidi"/>
          <w:sz w:val="24"/>
          <w:szCs w:val="24"/>
          <w:lang w:val="en-US"/>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Permana","given":"D.A.S","non-dropping-particle":"","parse-names":false,"suffix":""},{"dropping-particle":"","family":"Ningrum","given":"DM","non-dropping-particle":"","parse-names":false,"suffix":""},{"dropping-particle":"","family":"Faizal","given":"A.","non-dropping-particle":"","parse-names":false,"suffix":""}],"container-title":"Jurnal Ilmiah Kefarmasian","id":"ITEM-1","issue":"2","issued":{"date-parts":[["2021"]]},"page":"36-44","title":"Profil Terapi Antiretroviral (ARV) Beserta Nilai Parameter Viral Load (VL) Pada Pasien HIV/AIDS di Puskesmas","type":"article-journal","volume":"3"},"uris":["http://www.mendeley.com/documents/?uuid=19302a46-f4f0-4580-90c4-017297f6edb4"]}],"mendeley":{"formattedCitation":"(Permana et al., 2021)","plainTextFormattedCitation":"(Permana et al., 2021)","previouslyFormattedCitation":"(Permana et al., 2021)"},"properties":{"noteIndex":0},"schema":"https://github.com/citation-style-language/schema/raw/master/csl-citation.json"}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(Permana et al., 2021)</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w:t>
      </w:r>
      <w:r w:rsidR="0095731B" w:rsidRPr="00057EAB">
        <w:rPr>
          <w:rFonts w:asciiTheme="majorBidi" w:eastAsia="Times New Roman" w:hAnsiTheme="majorBidi" w:cstheme="majorBidi"/>
          <w:sz w:val="24"/>
          <w:szCs w:val="24"/>
          <w:lang w:val="en-ID" w:eastAsia="en-ID"/>
        </w:rPr>
        <w:t xml:space="preserve"> </w:t>
      </w:r>
      <w:r w:rsidRPr="00BA5758">
        <w:rPr>
          <w:rFonts w:asciiTheme="majorBidi" w:hAnsiTheme="majorBidi" w:cstheme="majorBidi"/>
          <w:sz w:val="24"/>
          <w:szCs w:val="24"/>
        </w:rPr>
        <w:t>Fibriansari et al. (2021) found that individuals who experienced LtFU generally had unclear or insufficient understanding of HIV/AIDS and its treatment</w:t>
      </w:r>
      <w:r w:rsidRPr="00BA5758">
        <w:rPr>
          <w:rFonts w:asciiTheme="majorBidi" w:hAnsiTheme="majorBidi" w:cstheme="majorBidi"/>
          <w:sz w:val="24"/>
          <w:szCs w:val="24"/>
          <w:lang w:val="en-US"/>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{"citationItems":[{"id":"ITEM-1","itemData":{"author":[{"dropping-particle":"","family":"Fibriansari","given":"Rizeki Dwi","non-dropping-particle":"","parse-names":false,"suffix":""},{"dropping-particle":"","family":"Cahyadi","given":"Asy Hari","non-dropping-particle":"","parse-names":false,"suffix":""}],"container-title":"JURNAL PIKes Penelitian Ilmu Kesehatan","id":"ITEM-1","issue":"1","issued":{"date-parts":[["2021"]]},"page":"1-8","title":"Lost To Follow Up Terapi Antiretroviral pada Orang Dengan HIV / AIDS di Lumajang Lost To Follow Up Antiretroviral Therapy in People With HIV / AIDS at Lumajang","type":"article-journal","volume":"2"},"uris":["http://www.mendeley.com/documents/?uuid=91a0047e-8fdb-4207-b971-0f08f7305b2f"]}],"mendeley":{"formattedCitation":"(R. D. Fibriansari &amp; Cahyadi, 2021)","manualFormatting":"(Fibriansari &amp; Cahyadi, 2021)","plainTextFormattedCitation":"(R. D. Fibriansari &amp; Cahyadi, 2021)","previouslyFormattedCitation":"(R. D. Fibriansari &amp; Cahyadi, 2021)"},"properties":{"noteIndex":0},"schema":"https://github.com/citation-style-language/schema/raw/master/csl-citation.json"}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(Fibriansari &amp; Cahyadi, 2021)</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 xml:space="preserve">. </w:t>
      </w:r>
      <w:r w:rsidRPr="00BA5758">
        <w:rPr>
          <w:rFonts w:asciiTheme="majorBidi" w:hAnsiTheme="majorBidi" w:cstheme="majorBidi"/>
          <w:sz w:val="24"/>
          <w:szCs w:val="24"/>
        </w:rPr>
        <w:t>Knowledge should not be viewed as a single isolated variable, but rather as a construct shaped by educational exposure, health literacy, and treatment literacy, all of which have been shown to correlate with retention in HIV care</w:t>
      </w:r>
      <w:r w:rsidRPr="00BA5758">
        <w:rPr>
          <w:rFonts w:asciiTheme="majorBidi" w:hAnsiTheme="majorBidi" w:cstheme="majorBidi"/>
          <w:sz w:val="24"/>
          <w:szCs w:val="24"/>
          <w:lang w:val="en-US"/>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{"citationItems":[{"id":"ITEM-1","itemData":{"author":[{"dropping-particle":"","family":"Putri","given":"Novia Fatmawati","non-dropping-particle":"","parse-names":false,"suffix":""},{"dropping-particle":"","family":"Tanesib","given":"Amran Julianto","non-dropping-particle":"","parse-names":false,"suffix":""},{"dropping-particle":"","family":"Herdayanti","given":"Mila","non-dropping-particle":"","parse-names":false,"suffix":""}],"container-title":"Jurnal Epidemiologi Kesehatan Komunitas","id":"ITEM-1","issue":"3","issued":{"date-parts":[["2025"]]},"page":"34-41","title":"Determinan Kejadian Loss to Follow Up (LtFU) Pengobatan Antiretroviral (ARV) pada Pasien HIV/AIDS di RS “X” Kota Depok","type":"article-journal","volume":"10"},"uris":["http://www.mendeley.com/documents/?uuid=7cc08a5b-7a90-4fa0-af13-59bff3df6ab9"]}],"mendeley":{"formattedCitation":"(Putri et al., 2025)","plainTextFormattedCitation":"(Putri et al., 2025)","previouslyFormattedCitation":"(Putri et al., 2025)"},"properties":{"noteIndex":0},"schema":"https://github.com/citation-style-language/schema/raw/master/csl-citation.json"}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(Putri et al., 2025)</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w:t>
      </w:r>
      <w:r w:rsidR="00D57E7E" w:rsidRPr="00BA5758">
        <w:rPr>
          <w:rFonts w:asciiTheme="majorBidi" w:eastAsia="Times New Roman" w:hAnsiTheme="majorBidi" w:cstheme="majorBidi"/>
          <w:sz w:val="24"/>
          <w:szCs w:val="24"/>
          <w:lang w:val="en-ID" w:eastAsia="en-ID"/>
        </w:rPr>
        <w:t xml:space="preserve"> </w:t>
      </w:r>
      <w:r w:rsidR="00D57E7E"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10.2174/18746136-v17-230726-2023-2","author":[{"dropping-particle":"","family":"Nhlongolwane","given":"Nkatingi","non-dropping-particle":"","parse-names":false,"suffix":""},{"dropping-particle":"","family":"Shonisani","given":"Tshivhase","non-dropping-particle":"","parse-names":false,"suffix":""}],"container-title":"The Open AIDS Journal","id":"ITEM-1","issued":{"date-parts":[["2023"]]},"page":"1-8","title":"Predictors and Barriers Associated with Non-Adherence to ART by People Living with HIV and AIDS in a Selected Local Municipality of Limpopo Province, South Africa","type":"article-journal","volume":"17"},"uris":["http://www.mendeley.com/documents/?uuid=e8a0c871-f97d-4c50-88b7-9202e8b2ab08"]}],"mendeley":{"formattedCitation":"(Nhlongolwane &amp; Shonisani, 2023)","plainTextFormattedCitation":"(Nhlongolwane &amp; Shonisani, 2023)","previouslyFormattedCitation":"(Nhlongolwane &amp; Shonisani, 2023)"},"properties":{"noteIndex":0},"schema":"https://github.com/citation-style-language/schema/raw/master/csl-citation.json"}</w:instrText>
      </w:r>
      <w:r w:rsidR="00D57E7E" w:rsidRPr="00BA5758">
        <w:rPr>
          <w:rFonts w:asciiTheme="majorBidi" w:eastAsia="Times New Roman" w:hAnsiTheme="majorBidi" w:cstheme="majorBidi"/>
          <w:sz w:val="24"/>
          <w:szCs w:val="24"/>
          <w:lang w:val="en-ID" w:eastAsia="en-ID"/>
        </w:rPr>
        <w:fldChar w:fldCharType="separate"/>
      </w:r>
      <w:r w:rsidR="00D57E7E" w:rsidRPr="00BA5758">
        <w:rPr>
          <w:rFonts w:asciiTheme="majorBidi" w:eastAsia="Times New Roman" w:hAnsiTheme="majorBidi" w:cstheme="majorBidi"/>
          <w:noProof/>
          <w:sz w:val="24"/>
          <w:szCs w:val="24"/>
          <w:lang w:eastAsia="en-ID"/>
        </w:rPr>
        <w:t>(Nhlongolwane &amp; Shonisani, 2023)</w:t>
      </w:r>
      <w:r w:rsidR="00D57E7E" w:rsidRPr="00BA5758">
        <w:rPr>
          <w:rFonts w:asciiTheme="majorBidi" w:eastAsia="Times New Roman" w:hAnsiTheme="majorBidi" w:cstheme="majorBidi"/>
          <w:sz w:val="24"/>
          <w:szCs w:val="24"/>
          <w:lang w:val="en-ID" w:eastAsia="en-ID"/>
        </w:rPr>
        <w:fldChar w:fldCharType="end"/>
      </w:r>
      <w:r w:rsidR="00D57E7E" w:rsidRPr="00BA5758">
        <w:rPr>
          <w:rFonts w:asciiTheme="majorBidi" w:eastAsia="Times New Roman" w:hAnsiTheme="majorBidi" w:cstheme="majorBidi"/>
          <w:sz w:val="24"/>
          <w:szCs w:val="24"/>
          <w:lang w:val="en-ID" w:eastAsia="en-ID"/>
        </w:rPr>
        <w:t xml:space="preserve"> </w:t>
      </w:r>
      <w:r w:rsidRPr="00BA5758">
        <w:rPr>
          <w:rFonts w:asciiTheme="majorBidi" w:hAnsiTheme="majorBidi" w:cstheme="majorBidi"/>
          <w:sz w:val="24"/>
          <w:szCs w:val="24"/>
        </w:rPr>
        <w:t>including formal education level</w:t>
      </w:r>
      <w:r w:rsidRPr="00BA5758">
        <w:rPr>
          <w:rFonts w:asciiTheme="majorBidi" w:hAnsiTheme="majorBidi" w:cstheme="majorBidi"/>
          <w:sz w:val="24"/>
          <w:szCs w:val="24"/>
          <w:lang w:val="en-US"/>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{"citationItems":[{"id":"ITEM-1","itemData":{"DOI":"10.1590/S1678-9946202567053","ISSN":"1678-9946 (Electronic)","PMID":"40834146","abstract":"Loss to follow-up (LTFU) among people living with HIV (PLHIV) is a concerning  reality in various healthcare services and can occur at any stage of HIV care. LTFU can lead to a decline in overall health and quality of life for PLHIV; moreover, antiretroviral therapy (ART) interruption increase the risk of HIV sexual transmission. This systematic review investigated factors related to LTFU among PLHIV. The review included sources from PubMed, Cochrane Library, Embase, and others. We included observational studies published in English, Spanish, or Portuguese, from January 1, 2004, to December 31, 2024. We identified 36 studies from 20 countries in North and South America, Europe, Asia, and Africa. The studies included 69,789 PLHIV, of whom 22% were classified as LTFU. The time frame used to define LTFU varied across studies, ranging from 14 to 365 days. The most frequently reported factors associated with LTFU were younger age, low educational level, financial instability, illicit drug use, stigma, absence of family and social support, and ART side effects. Other relevant factors included long commuting time to healthcare facilities, long waiting time at health units, and issues with provider-patient relationships. Multiple factors may contribute to LTFU among PLHIV in complex and context-dependent ways. To address this issue, healthcare services must develop a comprehensive understanding of the communities they assist, recognizing distinct subgroups and their specific needs. Public health policies should be implemented to promote continuous care for PLHIV, including early diagnosis, multidisciplinary assessment, and social support.","author":[{"dropping-particle":"","family":"Salimo","given":"Zeca Manuel","non-dropping-particle":"","parse-names":false,"suffix":""},{"dropping-particle":"","family":"Avelino-Silva","given":"Vivian Iida","non-dropping-particle":"","parse-names":false,"suffix":""},{"dropping-particle":"da","family":"Silva","given":"Elizangela Farias","non-dropping-particle":"","parse-names":false,"suffix":""},{"dropping-particle":"","family":"Chaves","given":"Yury Oliveira","non-dropping-particle":"","parse-names":false,"suffix":""},{"dropping-particle":"El","family":"Kadri","given":"Michele Rocha de Araujo","non-dropping-particle":"","parse-names":false,"suffix":""},{"dropping-particle":"","family":"Nogueira","given":"Paulo Afonso","non-dropping-particle":"","parse-names":false,"suffix":""},{"dropping-particle":"","family":"Benzaken","given":"Adele Schwartz","non-dropping-particle":"","parse-names":false,"suffix":""}],"container-title":"Revista do Instituto de Medicina Tropical de Sao Paulo","id":"ITEM-1","issued":{"date-parts":[["2025"]]},"language":"eng","page":"e53","publisher-place":"Brazil","title":"Factors related to loss to follow-up among people living with HIV: a systematic  review.","type":"article-journal","volume":"67"},"uris":["http://www.mendeley.com/documents/?uuid=a0c942d9-f4bd-475b-ba9f-4cfa09c0a75e"]}],"mendeley":{"formattedCitation":"(Salimo et al., 2025)","plainTextFormattedCitation":"(Salimo et al., 2025)","previouslyFormattedCitation":"(Salimo et al., 2025)"},"properties":{"noteIndex":0},"schema":"https://github.com/citation-style-language/schema/raw/master/csl-citation.json"}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(Salimo et al., 2025)</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{"citationItems":[{"id":"ITEM-1","itemData":{"ISSN":"2540-7945","abstract":"___________________________________________________________________ Longlife Anti Retro Viral (ARV) treatment is an important component of Human Immunodeficiency Virus (HIV) care. Loss to follow up (LTFU) defined as not taking ARV refill for 3 months or longer from the last attendance for refill and not yet classified as dead or transferred out, this causes morbidity and mortality related to Acquired Immune Deficiency Syndrome (AIDS). The incidence of LTFU in ARV therapy among people living with HIV and AIDS (PLWHA) in Semarang City 924 people (21%) (WHO target LTFU &lt;20%). The aim of this research is to analyze education level, employment status and distance from residence to health services that affecting loss to follow-up of ARV therapy among people living with HIV and AIDS in Semarang City. The research used case control design. The sample of the research was 134 (67 cases and 67 controls) respondents obtained by purposive sampling technique. Technique for collecting the data were interview and questionnaire. Chi square and logistics regression test were used in analyzing the data. The result of the research showed that there were significant influences in the variables of education (p = 000), employment status (p = 0,000), distance from home to health services (p = 0.009 affect loss to follow up of antiretro viral therapy among people living with HIV and AIDS in Semarang City. Multivariate models showed the most influential factors was education level (p= 0,000. OR = 6.270). A treatment literacy program should be emphasized to people living with HIV and AIDS who are starting treatment and during treatment ARV.","author":[{"dropping-particle":"","family":"Sutini","given":"Sutini","non-dropping-particle":"","parse-names":false,"suffix":""},{"dropping-particle":"","family":"Cahyati","given":"Widya Hary","non-dropping-particle":"","parse-names":false,"suffix":""},{"dropping-particle":"","family":"Rahayu","given":"Ratna","non-dropping-particle":"","parse-names":false,"suffix":""}],"container-title":"Public Health Perspectives Journal Sutini Sutini","id":"ITEM-1","issue":"3","issued":{"date-parts":[["2020"]]},"page":"2020-186","title":"Socio-demographic Factors Associated with Loss to Follow up Anti Retro Viral Therapy among People Living with HIV and AIDS in Semarang City","type":"article-journal","volume":"5"},"uris":["http://www.mendeley.com/documents/?uuid=a5967c82-9495-4eed-921b-3bd07b58eadd"]}],"mendeley":{"formattedCitation":"(Sutini et al., 2020)","plainTextFormattedCitation":"(Sutini et al., 2020)","previouslyFormattedCitation":"(Sutini et al., 2020)"},"properties":{"noteIndex":0},"schema":"https://github.com/citation-style-language/schema/raw/master/csl-citation.json"}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(Sutini et al., 2020)</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{"citationItems":[{"id":"ITEM-1","itemData":{"DOI":"10.5114/hivar.2022.117210","ISSN":"17322707","abstract":"Introduction: Loss to follow-up (LTFU) slows the progress in reaching the goals of human immunodeficiency virus (HIV) prevention and treatment. Therefore, it is important to understand the causes behind this phenomena. Herein, we aimed to systematically review the prevalence of LTFU among people living with HIV and the reasons behind this event. Material and methods: A systematic search was conducted with key words applied in online databases, including PubMed, Web of Science, Scopus, UpToDate, and Science Direct, from January 2015 to March 2021. Most relevant papers were retrieved and screened in two phases against inclusion criteria, based on their title/abstract and their full texts, and eligible records were included in the review. Results: In this systematic review, 54 studies were included. Unfavorable socio-demographic and supportive status, distance to facility, age, gender, challenges related to antiretroviral therapy initiation and its' side effects, and CD4+ counts were among the most common reasons cited for LTFU in HIV clinics. Conclusions: LTFU remains a major factor halting the progress in the prevention and treatment of HIV. Great efforts are still needed to address this issue, especially in populations and regions with higher LTFU incidence. Accessibility of receiving care should be increased to encourage patients to continue their treatments. Upcoming follow-up studies are needed to re-evaluate the progress and to report future challenges and limitations.","author":[{"dropping-particle":"","family":"Alinaghi","given":"Seyed Ahmad","non-dropping-particle":"","parse-names":false,"suffix":""},{"dropping-particle":"","family":"Karimi","given":"Amirali","non-dropping-particle":"","parse-names":false,"suffix":""},{"dropping-particle":"","family":"Barzegary","given":"Alireza","non-dropping-particle":"","parse-names":false,"suffix":""},{"dropping-particle":"","family":"Pashaei","given":"Zahra","non-dropping-particle":"","parse-names":false,"suffix":""},{"dropping-particle":"","family":"Zargari","given":"Ghazal","non-dropping-particle":"","parse-names":false,"suffix":""},{"dropping-particle":"","family":"Kianzad","given":"Shaghayegh","non-dropping-particle":"","parse-names":false,"suffix":""},{"dropping-particle":"","family":"MohsseniPour","given":"Mehrzad","non-dropping-particle":"","parse-names":false,"suffix":""},{"dropping-particle":"","family":"Mirzapour","given":"Pegah","non-dropping-particle":"","parse-names":false,"suffix":""},{"dropping-particle":"","family":"Fakhfouri","given":"Amirata","non-dropping-particle":"","parse-names":false,"suffix":""},{"dropping-particle":"","family":"Mehraeen","given":"Esmaeil","non-dropping-particle":"","parse-names":false,"suffix":""},{"dropping-particle":"","family":"Dadras","given":"Omid","non-dropping-particle":"","parse-names":false,"suffix":""}],"container-title":"HIV and AIDS Review","id":"ITEM-1","issue":"3","issued":{"date-parts":[["2022"]]},"page":"179-190","title":"Prevalence and reasons of loss to follow-up in HIV clinics: a systematic review of current evidence","type":"article-journal","volume":"21"},"uris":["http://www.mendeley.com/documents/?uuid=4e8d22cf-efec-4d54-b3d4-bf56392080c0"]}],"mendeley":{"formattedCitation":"(Alinaghi et al., 2022)","plainTextFormattedCitation":"(Alinaghi et al., 2022)","previouslyFormattedCitation":"(Alinaghi et al., 2022)"},"properties":{"noteIndex":0},"schema":"https://github.com/citation-style-language/schema/raw/master/csl-citation.json"}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(Alinaghi et al., 2022)</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 xml:space="preserve">. </w:t>
      </w:r>
    </w:p>
    <w:p w14:paraId="78486561" w14:textId="34528F49" w:rsidR="0095731B" w:rsidRPr="00BA5758" w:rsidRDefault="009033F7" w:rsidP="00FD4B76">
      <w:pPr>
        <w:spacing w:after="0" w:line="360" w:lineRule="auto"/>
        <w:ind w:left="-2" w:firstLineChars="236" w:firstLine="566"/>
        <w:jc w:val="both"/>
        <w:rPr>
          <w:rFonts w:asciiTheme="majorBidi" w:eastAsia="Times New Roman" w:hAnsiTheme="majorBidi" w:cstheme="majorBidi"/>
          <w:sz w:val="24"/>
          <w:szCs w:val="24"/>
          <w:lang w:eastAsia="en-ID"/>
        </w:rPr>
      </w:pPr>
      <w:r w:rsidRPr="00BA5758">
        <w:rPr>
          <w:rFonts w:asciiTheme="majorBidi" w:hAnsiTheme="majorBidi" w:cstheme="majorBidi"/>
          <w:sz w:val="24"/>
          <w:szCs w:val="24"/>
        </w:rPr>
        <w:t xml:space="preserve">Health behavior models, such as the Health Belief Model, posit that knowledge serves as a predisposing factor influencing individuals’ awareness of disease severity and its consequences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{"citationItems":[{"id":"ITEM-1","itemData":{"author":[{"dropping-particle":"","family":"Alwi","given":"M Akbar","non-dropping-particle":"","parse-names":false,"suffix":""},{"dropping-particle":"","family":"Hamzah","given":"Hadzmawaty","non-dropping-particle":"","parse-names":false,"suffix":""},{"dropping-particle":"","family":"Syarifuddin","given":"Surya","non-dropping-particle":"","parse-names":false,"suffix":""},{"dropping-particle":"","family":"Karlina","given":"Lilis","non-dropping-particle":"","parse-names":false,"suffix":""},{"dropping-particle":"","family":"Artha","given":"Patria","non-dropping-particle":"","parse-names":false,"suffix":""}],"container-title":"Healthy Tadulako Journal (Jurnal Kesehatan Tadulako)","id":"ITEM-1","issue":"1","issued":{"date-parts":[["2025"]]},"page":"132-140","title":"Knowledge of HIV / AIDS Among Adolescents in Indonesia : A Systematic Review","type":"article-journal","volume":"11"},"uris":["http://www.mendeley.com/documents/?uuid=3286c5a7-817e-4ed1-af81-4ff8348c8f63"]}],"mendeley":{"formattedCitation":"(Alwi et al., 2025)","plainTextFormattedCitation":"(Alwi et al., 2025)","previouslyFormattedCitation":"(Alwi et al., 2025)"},"properties":{"noteIndex":0},"schema":"https://github.com/citation-style-language/schema/raw/master/csl-citation.json"}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(Alwi et al., 2025)</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{"citationItems":[{"id":"ITEM-1","itemData":{"DOI":"10.1002/jia2.25460","author":[{"dropping-particle":"V","family":"Kalinjuma","given":"Aneth","non-dropping-particle":"","parse-names":false,"suffix":""},{"dropping-particle":"","family":"Glass","given":"Tracy R","non-dropping-particle":"","parse-names":false,"suffix":""},{"dropping-particle":"","family":"Weisser","given":"Maja","non-dropping-particle":"","parse-names":false,"suffix":""},{"dropping-particle":"","family":"Myeya","given":"Selarine J","non-dropping-particle":"","parse-names":false,"suffix":""},{"dropping-particle":"","family":"Kasuga","given":"Bryson","non-dropping-particle":"","parse-names":false,"suffix":""},{"dropping-particle":"","family":"Kisung","given":"Yassin","non-dropping-particle":"","parse-names":false,"suffix":""},{"dropping-particle":"","family":"Sikalengo","given":"George","non-dropping-particle":"","parse-names":false,"suffix":""},{"dropping-particle":"","family":"Katende","given":"Andrew","non-dropping-particle":"","parse-names":false,"suffix":""},{"dropping-particle":"","family":"Battegay","given":"Manuel","non-dropping-particle":"","parse-names":false,"suffix":""},{"dropping-particle":"","family":"Vanobberghen","given":"Fiona","non-dropping-particle":"","parse-names":false,"suffix":""}],"container-title":"Journal of the International AIDS Society","id":"ITEM-1","issue":"e25460","issued":{"date-parts":[["2020"]]},"page":"1-10","title":"Prospective assessment of loss to follow-up : incidence and associated factors in a cohort of HIV-positive adults in rural Tanzania","type":"article-journal","volume":"23"},"uris":["http://www.mendeley.com/documents/?uuid=e8f412f5-7ba8-4ef1-83ed-2e5eb2e36b8e"]}],"mendeley":{"formattedCitation":"(Kalinjuma et al., 2020)","plainTextFormattedCitation":"(Kalinjuma et al., 2020)","previouslyFormattedCitation":"(Kalinjuma et al., 2020)"},"properties":{"noteIndex":0},"schema":"https://github.com/citation-style-language/schema/raw/master/csl-citation.json"}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(Kalinjuma et al., 2020)</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US" w:eastAsia="en-ID"/>
        </w:rPr>
        <w:t xml:space="preserve">. </w:t>
      </w:r>
      <w:r w:rsidRPr="00BA5758">
        <w:rPr>
          <w:rFonts w:asciiTheme="majorBidi" w:hAnsiTheme="majorBidi" w:cstheme="majorBidi"/>
          <w:sz w:val="24"/>
          <w:szCs w:val="24"/>
        </w:rPr>
        <w:t xml:space="preserve">Limited understanding of HIV transmission pathways has been associated with poor preventive practices and increased internalized stigma among PLWHA </w:t>
      </w:r>
      <w:r w:rsidR="00FD4B76"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{"citationItems":[{"id":"ITEM-1","itemData":{"DOI":"https://doi.org/10.22146/jkkk.49663","author":[{"dropping-particle":"","family":"Wulandari","given":"Erika Agustin","non-dropping-particle":"","parse-names":false,"suffix":""},{"dropping-particle":"","family":"Rukmi","given":"Dwi Kartika","non-dropping-particle":"","parse-names":false,"suffix":""}],"container-title":"Jurnal Keperawatan Klinis dan Komunitas","id":"ITEM-1","issue":"3","issued":{"date-parts":[["2021"]]},"page":"157-166","title":"Hubungan Tingkat Pengetahuan dengan Kepatuhan Terapi ARV pada ODHA di Yogyakarta The Correlation between The Level of Knowledge and The Adherence on ARV Therapy of ODHA in Yogyakarta Program Studi Ilmu Keperawatan , Fakultas Kesehatan , Universitas Jender","type":"article-journal","volume":"5"},"uris":["http://www.mendeley.com/documents/?uuid=b1180cfd-ebf7-41a6-9ac1-cac5727b9980"]}],"mendeley":{"formattedCitation":"(Wulandari &amp; Rukmi, 2021)","plainTextFormattedCitation":"(Wulandari &amp; Rukmi, 2021)","previouslyFormattedCitation":"(Wulandari &amp; Rukmi, 2021)"},"properties":{"noteIndex":0},"schema":"https://github.com/citation-style-language/schema/raw/master/csl-citation.json"}</w:instrText>
      </w:r>
      <w:r w:rsidR="00FD4B76" w:rsidRPr="00BA5758">
        <w:rPr>
          <w:rFonts w:asciiTheme="majorBidi" w:eastAsia="Times New Roman" w:hAnsiTheme="majorBidi" w:cstheme="majorBidi"/>
          <w:sz w:val="24"/>
          <w:szCs w:val="24"/>
          <w:lang w:val="en-ID" w:eastAsia="en-ID"/>
        </w:rPr>
        <w:fldChar w:fldCharType="separate"/>
      </w:r>
      <w:r w:rsidR="00FD4B76" w:rsidRPr="00BA5758">
        <w:rPr>
          <w:rFonts w:asciiTheme="majorBidi" w:eastAsia="Times New Roman" w:hAnsiTheme="majorBidi" w:cstheme="majorBidi"/>
          <w:noProof/>
          <w:sz w:val="24"/>
          <w:szCs w:val="24"/>
          <w:lang w:eastAsia="en-ID"/>
        </w:rPr>
        <w:t>(Wulandari &amp; Rukmi, 2021)</w:t>
      </w:r>
      <w:r w:rsidR="00FD4B76"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val="en-ID" w:eastAsia="en-ID"/>
        </w:rPr>
        <w:t>.</w:t>
      </w:r>
      <w:r w:rsidR="00FD4B76" w:rsidRPr="00BA5758">
        <w:rPr>
          <w:rFonts w:asciiTheme="majorBidi" w:eastAsia="Times New Roman" w:hAnsiTheme="majorBidi" w:cstheme="majorBidi"/>
          <w:sz w:val="24"/>
          <w:szCs w:val="24"/>
          <w:lang w:val="en-ID" w:eastAsia="en-ID"/>
        </w:rPr>
        <w:t xml:space="preserve"> </w:t>
      </w:r>
      <w:r w:rsidR="00300A3A" w:rsidRPr="00BA5758">
        <w:rPr>
          <w:rFonts w:asciiTheme="majorBidi" w:eastAsia="Times New Roman" w:hAnsiTheme="majorBidi" w:cstheme="majorBidi"/>
          <w:sz w:val="24"/>
          <w:szCs w:val="24"/>
          <w:lang w:val="en-ID" w:eastAsia="en-ID"/>
        </w:rPr>
        <w:t>K</w:t>
      </w:r>
      <w:r w:rsidR="00300A3A" w:rsidRPr="00BA5758">
        <w:rPr>
          <w:rFonts w:asciiTheme="majorBidi" w:hAnsiTheme="majorBidi" w:cstheme="majorBidi"/>
          <w:sz w:val="24"/>
          <w:szCs w:val="24"/>
        </w:rPr>
        <w:t xml:space="preserve">nowledge levels are often linked to the effectiveness of health communication within healthcare facilities, engagement with peer support organizations, and the quality of counseling received from diagnosis through treatment initiation. Peer support organizations that provide education and informational support have been shown to improve patient retention in HIV care; however, many studies emphasize that social support alone is insufficient without concurrent improvements in patients’ HIV-related literacy and understanding of the benefits of sustained ART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Adni","given":"Lailatul","non-dropping-particle":"","parse-names":false,"suffix":""},{"dropping-particle":"","family":"Maulana","given":"Jaya","non-dropping-particle":"","parse-names":false,"suffix":""},{"dropping-particle":"","family":"Fitriyani","given":"Nur Lu’lu","non-dropping-particle":"","parse-names":false,"suffix":""}],"container-title":"MULTIPLE: Journal of Global and Multidisciplinary","id":"ITEM-1","issue":"6","issued":{"date-parts":[["2023"]]},"page":"789-797","title":"Literature Review : Faktor Risiko Lost To Follow Up Pengobatan ARV Pada Penderita HIV / AIDS","type":"article-journal","volume":"1"},"uris":["http://www.mendeley.com/documents/?uuid=ba07c86d-eb30-4508-882c-bede22a59726"]}],"mendeley":{"formattedCitation":"(Adni et al., 2023)","plainTextFormattedCitation":"(Adni et al., 2023)","previouslyFormattedCitation":"(Adni et al., 2023)"},"properties":{"noteIndex":0},"schema":"https://github.com/citation-style-language/schema/raw/master/csl-citation.json"}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(Adni et al., 2023)</w:t>
      </w:r>
      <w:r w:rsidR="0095731B" w:rsidRPr="00BA5758">
        <w:rPr>
          <w:rFonts w:asciiTheme="majorBidi" w:eastAsia="Times New Roman" w:hAnsiTheme="majorBidi" w:cstheme="majorBidi"/>
          <w:sz w:val="24"/>
          <w:szCs w:val="24"/>
          <w:lang w:val="en-ID" w:eastAsia="en-ID"/>
        </w:rPr>
        <w:fldChar w:fldCharType="end"/>
      </w:r>
      <w:r w:rsidR="0095731B" w:rsidRPr="00BA5758">
        <w:rPr>
          <w:rFonts w:asciiTheme="majorBidi" w:eastAsia="Times New Roman" w:hAnsiTheme="majorBidi" w:cstheme="majorBidi"/>
          <w:sz w:val="24"/>
          <w:szCs w:val="24"/>
          <w:lang w:eastAsia="en-ID"/>
        </w:rPr>
        <w:t>,</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10.2174/18746136-v17-230726-2023-2","author":[{"dropping-particle":"","family":"Nhlongolwane","given":"Nkatingi","non-dropping-particle":"","parse-names":false,"suffix":""},{"dropping-particle":"","family":"Shonisani","given":"Tshivhase","non-dropping-particle":"","parse-names":false,"suffix":""}],"container-title":"The Open AIDS Journal","id":"ITEM-1","issued":{"date-parts":[["2023"]]},"page":"1-8","title":"Predictors and Barriers Associated with Non-Adherence to ART by People Living with HIV and AIDS in a Selected Local Municipality of Limpopo Province, South Africa","type":"article-journal","volume":"17"},"uris":["http://www.mendeley.com/documents/?uuid=e8a0c871-f97d-4c50-88b7-9202e8b2ab08"]}],"mendeley":{"formattedCitation":"(Nhlongolwane &amp; Shonisani, 2023)","plainTextFormattedCitation":"(Nhlongolwane &amp; Shonisani, 2023)","previouslyFormattedCitation":"(Nhlongolwane &amp; Shonisani, 2023)"},"properties":{"noteIndex":0},"schema":"https://github.com/citation-style-language/schema/raw/master/csl-citation.json"}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(Nhlongolwane &amp; Shonisani, 2023)</w:t>
      </w:r>
      <w:r w:rsidR="0095731B" w:rsidRPr="00BA5758">
        <w:rPr>
          <w:rFonts w:asciiTheme="majorBidi" w:eastAsia="Times New Roman" w:hAnsiTheme="majorBidi" w:cstheme="majorBidi"/>
          <w:sz w:val="24"/>
          <w:szCs w:val="24"/>
          <w:lang w:val="en-ID" w:eastAsia="en-ID"/>
        </w:rPr>
        <w:fldChar w:fldCharType="end"/>
      </w:r>
      <w:r w:rsidR="00FD4B76" w:rsidRPr="00BA5758">
        <w:rPr>
          <w:rFonts w:asciiTheme="majorBidi" w:eastAsia="Times New Roman" w:hAnsiTheme="majorBidi" w:cstheme="majorBidi"/>
          <w:sz w:val="24"/>
          <w:szCs w:val="24"/>
          <w:lang w:eastAsia="en-ID"/>
        </w:rPr>
        <w:t>.</w:t>
      </w:r>
    </w:p>
    <w:p w14:paraId="0C6632F4" w14:textId="77777777" w:rsidR="0095731B" w:rsidRPr="00057EAB" w:rsidRDefault="0095731B" w:rsidP="0095731B">
      <w:pPr>
        <w:spacing w:after="0" w:line="360" w:lineRule="auto"/>
        <w:ind w:left="0" w:hanging="2"/>
        <w:jc w:val="both"/>
        <w:rPr>
          <w:rFonts w:asciiTheme="majorBidi" w:eastAsia="Times New Roman" w:hAnsiTheme="majorBidi" w:cstheme="majorBidi"/>
          <w:sz w:val="24"/>
          <w:szCs w:val="24"/>
          <w:lang w:eastAsia="en-ID"/>
        </w:rPr>
      </w:pPr>
    </w:p>
    <w:p w14:paraId="311B06E2" w14:textId="6BF5DB09" w:rsidR="00300A3A" w:rsidRPr="00BA5758" w:rsidRDefault="00300A3A"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Association Between Attitude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7527BB22" w14:textId="73C5DE5A" w:rsidR="00211D0B" w:rsidRPr="00BA5758" w:rsidRDefault="00300A3A" w:rsidP="00D57E7E">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This study found that patients’ attitudes significantly influenced the occurrence of loss to follow-up (LtFU). Patients with negative attitudes toward ART were substantially more likely to experience LtFU compared to those with positive attitudes. Among patients who experienced LtFU, 64.8% exhibited negative attitudes toward ART. Conversely, among patients who did not experience LtFU, the majority (80.3%) demonstrated positive attitudes toward ART. These </w:t>
      </w:r>
      <w:r w:rsidRPr="00BA5758">
        <w:rPr>
          <w:rFonts w:asciiTheme="majorBidi" w:hAnsiTheme="majorBidi" w:cstheme="majorBidi"/>
          <w:sz w:val="24"/>
          <w:szCs w:val="24"/>
        </w:rPr>
        <w:lastRenderedPageBreak/>
        <w:t xml:space="preserve">findings confirm a significant association between attitude and LtFU. The odds ratio of 7.5 (95% CI: 3.77–14.94) indicates that patients with negative attitudes were 7.5 times more likely to experience LtFU than those with positive attitudes. LtFU may result in severe consequences, including viral resistance, disease progression, and increased mortality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{"citationItems":[{"id":"ITEM-1","itemData":{"author":[{"dropping-particle":"","family":"Luksita","given":"Awani Ceria","non-dropping-particle":"","parse-names":false,"suffix":""},{"dropping-particle":"","family":"Mahendradhata","given":"Yodi","non-dropping-particle":"","parse-names":false,"suffix":""},{"dropping-particle":"","family":"Subronto","given":"Yanri Wijayanti","non-dropping-particle":"","parse-names":false,"suffix":""}],"container-title":"Jurnal Manajemen Pelayanan Kesehatan","id":"ITEM-1","issue":"02","issued":{"date-parts":[["2022"]]},"page":"70-75","title":"Studi Kasus Terapi Arv Pada Pasien Lost To Follow-Up Di Jakarta Pusat Tahun 2021","type":"article-journal","volume":"25"},"uris":["http://www.mendeley.com/documents/?uuid=3cfc1a93-1b15-41cb-a148-558198097316"]}],"mendeley":{"formattedCitation":"(Luksita et al., 2022)","plainTextFormattedCitation":"(Luksita et al., 2022)","previouslyFormattedCitation":"(Luksita et al.,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(Luksita et al., 2022)</w:t>
      </w:r>
      <w:r w:rsidR="0095731B" w:rsidRPr="00BA5758">
        <w:rPr>
          <w:rFonts w:asciiTheme="majorBidi" w:hAnsiTheme="majorBidi" w:cstheme="majorBidi"/>
          <w:sz w:val="24"/>
          <w:szCs w:val="24"/>
        </w:rPr>
        <w:fldChar w:fldCharType="end"/>
      </w:r>
      <w:r w:rsidR="00D57E7E" w:rsidRPr="00BA5758">
        <w:rPr>
          <w:rFonts w:asciiTheme="majorBidi" w:hAnsiTheme="majorBidi" w:cstheme="majorBidi"/>
          <w:sz w:val="24"/>
          <w:szCs w:val="24"/>
          <w:lang w:val="en-US"/>
        </w:rPr>
        <w:t xml:space="preserve">. </w:t>
      </w:r>
    </w:p>
    <w:p w14:paraId="0E671408" w14:textId="5AEDBF0B" w:rsidR="00211D0B" w:rsidRPr="00BA5758" w:rsidRDefault="00300A3A" w:rsidP="00211D0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These results highlight a strong relationship between patients’ internal attitudes toward ART and their engagement in continuous care, which implicitly affects long-term treatment success</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{"citationItems":[{"id":"ITEM-1","itemData":{"abstract":"Loss to follow-up (LTFU) remains a major challenge in HIV care, particularly in resource-limited settings. While several studies have identified its predictors, many have neglected the competing risks of transfer out and death, as well as the dynamic influence of these predictors over time. A retrospective cohort study was conducted among adult HIV patients who initiated antiretroviral therapy (ART) between 2019 and 2024. LTFU was a primary outcome, whereas transfer out and death were competing risks. A Fine‒Gray subdistribution hazard ratio (SHR) regression analysis identified LTFU predictors within a competing risk framework. An extended SHR model with a time‒covariate interaction term was used to examine the predictors’ time‒varying effects on LTFU risk. Data analysis was performed via STATA 17 and Python 3.9. In a cohort of 4,135 HIV patients (8,521.54 person-years of follow-up), the overall incidence of LTFU was 13.10 per 100 person-years (95% CI: 12.35–13.89), with cumulative risks of 15%, 25%, and 35% at 1, 3, and 5 years post-ART, respectively. The predictors of LTFU included younger age (15–24 years: aSHR = 1.51), male sex (aSHR = 1.24), incomplete address details (aSHR = 1.72), noninitiation/noncompletion of TPT (aSHR = 2.16), poor adherence (aSHR = 2.54), and undernutrition (aSHR = 2.03). While younger age (e.g., 15–24 years) was associated with an increased risk of LTFU at baseline (baseline aSHR = 1.36, p = 0.014), this association diminished over time (interaction aSHR = 0.54, p = 0.001). Undernutrition consistently predicted LTFU (baseline aSHR = 1.64, p &lt; 0.001), with no significant time-dependent effect (interaction aSHR = 1.01, p = 0.903). In conclusion, this study highlights the high incidence of LTFU among HIV patients and its key predictors. Notably, age has a significant time-dependent effect, with its influence on the risk of LTFU being most pronounced during the early stage of ART initiation, whereas nutritional status remains a consistent predictor of LTFU over time.","author":[{"dropping-particle":"","family":"Gebre","given":"Tamrat Endebu","non-dropping-particle":"","parse-names":false,"suffix":""},{"dropping-particle":"","family":"Taye","given":"Girma","non-dropping-particle":"","parse-names":false,"suffix":""},{"dropping-particle":"","family":"Deressa","given":"Wakgari","non-dropping-particle":"","parse-names":false,"suffix":""}],"container-title":"PLOS ONE","id":"ITEM-1","issue":"7","issued":{"date-parts":[["2025","7","24"]]},"page":"e0329132","publisher":"Public Library of Science","title":"Time-dependent predictors of loss to follow-up in HIV care in low-resource settings: A competing risks approach","type":"article-journal","volume":"20"},"uris":["http://www.mendeley.com/documents/?uuid=738f443d-ee6d-426a-994e-90d312d05d9e"]}],"mendeley":{"formattedCitation":"(Gebre et al., 2025)","plainTextFormattedCitation":"(Gebre et al., 2025)","previouslyFormattedCitation":"(Gebre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(Gebre et al., 2025)</w:t>
      </w:r>
      <w:r w:rsidR="0095731B" w:rsidRPr="00BA5758">
        <w:rPr>
          <w:rFonts w:asciiTheme="majorBidi" w:hAnsiTheme="majorBidi" w:cstheme="majorBidi"/>
          <w:sz w:val="24"/>
          <w:szCs w:val="24"/>
        </w:rPr>
        <w:fldChar w:fldCharType="end"/>
      </w:r>
      <w:r w:rsidR="00D57E7E"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Attitude among PLWHA is a key determinant of health behavior and has a strong influence on medication adherence and continuity of ART care</w:t>
      </w:r>
      <w:r w:rsidR="00D57E7E"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{"citationItems":[{"id":"ITEM-1","itemData":{"DOI":"10.3389/fpubh.2025.1623805","author":[{"dropping-particle":"","family":"Abugah","given":"Michael","non-dropping-particle":"","parse-names":false,"suffix":""},{"dropping-particle":"","family":"Yabelang","given":"Angela Mwinorme","non-dropping-particle":"","parse-names":false,"suffix":""}],"container-title":"Frontiers in public health","id":"ITEM-1","issue":"August","issued":{"date-parts":[["2025"]]},"page":"1-13","title":"Predictors of loss to follow-up among people living with HIV on antiretroviral therapy in a rural health facility using paper-based records","type":"article-journal","volume":"13"},"uris":["http://www.mendeley.com/documents/?uuid=e90bc462-9970-496c-a147-03dc83541d93"]}],"mendeley":{"formattedCitation":"(Abugah &amp; Yabelang, 2025)","plainTextFormattedCitation":"(Abugah &amp; Yabelang, 2025)","previouslyFormattedCitation":"(Abugah &amp; Yabelang,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(Abugah &amp; Yabelang, 2025)</w:t>
      </w:r>
      <w:r w:rsidR="0095731B" w:rsidRPr="00BA5758">
        <w:rPr>
          <w:rFonts w:asciiTheme="majorBidi" w:hAnsiTheme="majorBidi" w:cstheme="majorBidi"/>
          <w:sz w:val="24"/>
          <w:szCs w:val="24"/>
        </w:rPr>
        <w:fldChar w:fldCharType="end"/>
      </w:r>
      <w:r w:rsidR="00D57E7E"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 xml:space="preserve">Attitudes toward ART are directly associated with adherence and treatment retention </w:t>
      </w:r>
      <w:r w:rsidR="00D57E7E"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Zulkarnain","given":"","non-dropping-particle":"","parse-names":false,"suffix":""},{"dropping-particle":"","family":"Huda","given":"Nurul","non-dropping-particle":"","parse-names":false,"suffix":""},{"dropping-particle":"","family":"Wahyuni","given":"Sri","non-dropping-particle":"","parse-names":false,"suffix":""}],"container-title":"Jurnal Ners","id":"ITEM-1","issue":"3","issued":{"date-parts":[["2025"]]},"page":"4136-4144","title":"Faktor-Faktor Yang Mempengaruhi Kepatuhan Minum Obat Antiretroviral (ARV) Pada Pasien HIV-AIDS: Literature Review","type":"article-journal","volume":"9"},"uris":["http://www.mendeley.com/documents/?uuid=d75f4bc4-4691-4b1f-8887-2c31b3a96437"]}],"mendeley":{"formattedCitation":"(Zulkarnain et al., 2025)","plainTextFormattedCitation":"(Zulkarnain et al., 2025)","previouslyFormattedCitation":"(Zulkarnain et al., 2025)"},"properties":{"noteIndex":0},"schema":"https://github.com/citation-style-language/schema/raw/master/csl-citation.json"}</w:instrText>
      </w:r>
      <w:r w:rsidR="00D57E7E" w:rsidRPr="00BA5758">
        <w:rPr>
          <w:rFonts w:asciiTheme="majorBidi" w:hAnsiTheme="majorBidi" w:cstheme="majorBidi"/>
          <w:sz w:val="24"/>
          <w:szCs w:val="24"/>
        </w:rPr>
        <w:fldChar w:fldCharType="separate"/>
      </w:r>
      <w:r w:rsidR="00D57E7E" w:rsidRPr="00BA5758">
        <w:rPr>
          <w:rFonts w:asciiTheme="majorBidi" w:hAnsiTheme="majorBidi" w:cstheme="majorBidi"/>
          <w:noProof/>
          <w:sz w:val="24"/>
          <w:szCs w:val="24"/>
        </w:rPr>
        <w:t>(Zulkarnain et al., 2025)</w:t>
      </w:r>
      <w:r w:rsidR="00D57E7E" w:rsidRPr="00BA5758">
        <w:rPr>
          <w:rFonts w:asciiTheme="majorBidi" w:hAnsiTheme="majorBidi" w:cstheme="majorBidi"/>
          <w:sz w:val="24"/>
          <w:szCs w:val="24"/>
        </w:rPr>
        <w:fldChar w:fldCharType="end"/>
      </w:r>
      <w:r w:rsidR="0095731B" w:rsidRPr="00BA5758">
        <w:rPr>
          <w:rFonts w:asciiTheme="majorBidi" w:hAnsiTheme="majorBidi" w:cstheme="majorBidi"/>
          <w:sz w:val="24"/>
          <w:szCs w:val="24"/>
        </w:rPr>
        <w:t>.</w:t>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Systematic reviews and multinational studies have demonstrated that negative attitudes from family members and the broader community, lack of social support, and poor patient–provider relationships act as major mediators increasing LtFU, whereas interventions targeting stigma reduction—such as counseling, peer support, and community education—significantly reduce LtFU rates</w:t>
      </w:r>
      <w:r w:rsidRPr="00BA5758">
        <w:rPr>
          <w:rFonts w:asciiTheme="majorBidi" w:hAnsiTheme="majorBidi" w:cstheme="majorBidi"/>
          <w:sz w:val="24"/>
          <w:szCs w:val="24"/>
          <w:lang w:val="en-US"/>
        </w:rPr>
        <w:t xml:space="preserve"> </w:t>
      </w:r>
      <w:r w:rsidR="00211D0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{"citationItems":[{"id":"ITEM-1","itemData":{"DOI":"10.1590/S1678-9946202567053","ISSN":"1678-9946 (Electronic)","PMID":"40834146","abstract":"Loss to follow-up (LTFU) among people living with HIV (PLHIV) is a concerning  reality in various healthcare services and can occur at any stage of HIV care. LTFU can lead to a decline in overall health and quality of life for PLHIV; moreover, antiretroviral therapy (ART) interruption increase the risk of HIV sexual transmission. This systematic review investigated factors related to LTFU among PLHIV. The review included sources from PubMed, Cochrane Library, Embase, and others. We included observational studies published in English, Spanish, or Portuguese, from January 1, 2004, to December 31, 2024. We identified 36 studies from 20 countries in North and South America, Europe, Asia, and Africa. The studies included 69,789 PLHIV, of whom 22% were classified as LTFU. The time frame used to define LTFU varied across studies, ranging from 14 to 365 days. The most frequently reported factors associated with LTFU were younger age, low educational level, financial instability, illicit drug use, stigma, absence of family and social support, and ART side effects. Other relevant factors included long commuting time to healthcare facilities, long waiting time at health units, and issues with provider-patient relationships. Multiple factors may contribute to LTFU among PLHIV in complex and context-dependent ways. To address this issue, healthcare services must develop a comprehensive understanding of the communities they assist, recognizing distinct subgroups and their specific needs. Public health policies should be implemented to promote continuous care for PLHIV, including early diagnosis, multidisciplinary assessment, and social support.","author":[{"dropping-particle":"","family":"Salimo","given":"Zeca Manuel","non-dropping-particle":"","parse-names":false,"suffix":""},{"dropping-particle":"","family":"Avelino-Silva","given":"Vivian Iida","non-dropping-particle":"","parse-names":false,"suffix":""},{"dropping-particle":"da","family":"Silva","given":"Elizangela Farias","non-dropping-particle":"","parse-names":false,"suffix":""},{"dropping-particle":"","family":"Chaves","given":"Yury Oliveira","non-dropping-particle":"","parse-names":false,"suffix":""},{"dropping-particle":"El","family":"Kadri","given":"Michele Rocha de Araujo","non-dropping-particle":"","parse-names":false,"suffix":""},{"dropping-particle":"","family":"Nogueira","given":"Paulo Afonso","non-dropping-particle":"","parse-names":false,"suffix":""},{"dropping-particle":"","family":"Benzaken","given":"Adele Schwartz","non-dropping-particle":"","parse-names":false,"suffix":""}],"container-title":"Revista do Instituto de Medicina Tropical de Sao Paulo","id":"ITEM-1","issued":{"date-parts":[["2025"]]},"language":"eng","page":"e53","publisher-place":"Brazil","title":"Factors related to loss to follow-up among people living with HIV: a systematic  review.","type":"article-journal","volume":"67"},"uris":["http://www.mendeley.com/documents/?uuid=a0c942d9-f4bd-475b-ba9f-4cfa09c0a75e"]}],"mendeley":{"formattedCitation":"(Salimo et al., 2025)","plainTextFormattedCitation":"(Salimo et al., 2025)","previouslyFormattedCitation":"(Salimo et al., 2025)"},"properties":{"noteIndex":0},"schema":"https://github.com/citation-style-language/schema/raw/master/csl-citation.json"}</w:instrText>
      </w:r>
      <w:r w:rsidR="00211D0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(Salimo et al., 2025)</w:t>
      </w:r>
      <w:r w:rsidR="00211D0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p>
    <w:p w14:paraId="30FA3086" w14:textId="41AFAD7A" w:rsidR="0095731B" w:rsidRPr="00BA5758" w:rsidRDefault="00300A3A" w:rsidP="00D57E7E">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According to the Health Belief Model and the Theory of Planned Behavior, attitude is a predisposing factor that shapes intention and action. A positive attitude toward ART can enhance quality of life and life expectancy, thereby motivating patients to adhere to follow-up schedules and treatment regimens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Widyowati","given":"Agustin","non-dropping-particle":"","parse-names":false,"suffix":""},{"dropping-particle":"","family":"Takariningsih","given":"","non-dropping-particle":"","parse-names":false,"suffix":""}],"container-title":"Jurnal Ilmiah Pamenang - JIP","id":"ITEM-1","issue":"2","issued":{"date-parts":[["2024"]]},"page":"168-175","title":"Stigma Yang Dirasakan Orang Dengan HIV/AIDS di Kelompok Dukungan Sebaya Kabupaten Jombang","type":"article-journal","volume":"6"},"uris":["http://www.mendeley.com/documents/?uuid=07490188-7656-4d4e-9eaf-5ca76d244f20"]}],"mendeley":{"formattedCitation":"(Widyowati &amp; Takariningsih, 2024)","plainTextFormattedCitation":"(Widyowati &amp; Takariningsih, 2024)","previouslyFormattedCitation":"(Widyowati &amp; Takariningsih,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(Widyowati &amp; Takariningsih, 2024)</w:t>
      </w:r>
      <w:r w:rsidR="0095731B" w:rsidRPr="00BA5758">
        <w:rPr>
          <w:rFonts w:asciiTheme="majorBidi" w:hAnsiTheme="majorBidi" w:cstheme="majorBidi"/>
          <w:sz w:val="24"/>
          <w:szCs w:val="24"/>
        </w:rPr>
        <w:fldChar w:fldCharType="end"/>
      </w:r>
      <w:r w:rsidR="00D57E7E"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 xml:space="preserve">Patients who demonstrate acceptance are more likely to adapt to HIV as a chronic condition and to perceive ART as a long-term necessity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{"citationItems":[{"id":"ITEM-1","itemData":{"DOI":"10.5114/hivar.2022.117210","ISSN":"17322707","abstract":"Introduction: Loss to follow-up (LTFU) slows the progress in reaching the goals of human immunodeficiency virus (HIV) prevention and treatment. Therefore, it is important to understand the causes behind this phenomena. Herein, we aimed to systematically review the prevalence of LTFU among people living with HIV and the reasons behind this event. Material and methods: A systematic search was conducted with key words applied in online databases, including PubMed, Web of Science, Scopus, UpToDate, and Science Direct, from January 2015 to March 2021. Most relevant papers were retrieved and screened in two phases against inclusion criteria, based on their title/abstract and their full texts, and eligible records were included in the review. Results: In this systematic review, 54 studies were included. Unfavorable socio-demographic and supportive status, distance to facility, age, gender, challenges related to antiretroviral therapy initiation and its' side effects, and CD4+ counts were among the most common reasons cited for LTFU in HIV clinics. Conclusions: LTFU remains a major factor halting the progress in the prevention and treatment of HIV. Great efforts are still needed to address this issue, especially in populations and regions with higher LTFU incidence. Accessibility of receiving care should be increased to encourage patients to continue their treatments. Upcoming follow-up studies are needed to re-evaluate the progress and to report future challenges and limitations.","author":[{"dropping-particle":"","family":"Alinaghi","given":"Seyed Ahmad","non-dropping-particle":"","parse-names":false,"suffix":""},{"dropping-particle":"","family":"Karimi","given":"Amirali","non-dropping-particle":"","parse-names":false,"suffix":""},{"dropping-particle":"","family":"Barzegary","given":"Alireza","non-dropping-particle":"","parse-names":false,"suffix":""},{"dropping-particle":"","family":"Pashaei","given":"Zahra","non-dropping-particle":"","parse-names":false,"suffix":""},{"dropping-particle":"","family":"Zargari","given":"Ghazal","non-dropping-particle":"","parse-names":false,"suffix":""},{"dropping-particle":"","family":"Kianzad","given":"Shaghayegh","non-dropping-particle":"","parse-names":false,"suffix":""},{"dropping-particle":"","family":"MohsseniPour","given":"Mehrzad","non-dropping-particle":"","parse-names":false,"suffix":""},{"dropping-particle":"","family":"Mirzapour","given":"Pegah","non-dropping-particle":"","parse-names":false,"suffix":""},{"dropping-particle":"","family":"Fakhfouri","given":"Amirata","non-dropping-particle":"","parse-names":false,"suffix":""},{"dropping-particle":"","family":"Mehraeen","given":"Esmaeil","non-dropping-particle":"","parse-names":false,"suffix":""},{"dropping-particle":"","family":"Dadras","given":"Omid","non-dropping-particle":"","parse-names":false,"suffix":""}],"container-title":"HIV and AIDS Review","id":"ITEM-1","issue":"3","issued":{"date-parts":[["2022"]]},"page":"179-190","title":"Prevalence and reasons of loss to follow-up in HIV clinics: a systematic review of current evidence","type":"article-journal","volume":"21"},"uris":["http://www.mendeley.com/documents/?uuid=4e8d22cf-efec-4d54-b3d4-bf56392080c0"]}],"mendeley":{"formattedCitation":"(Alinaghi et al., 2022)","plainTextFormattedCitation":"(Alinaghi et al., 2022)","previouslyFormattedCitation":"(Alinaghi et al., 2022)"},"properties":{"noteIndex":0},"schema":"https://github.com/citation-style-language/schema/raw/master/csl-citation.json"}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(Alinaghi et al., 2022)</w:t>
      </w:r>
      <w:r w:rsidR="0095731B" w:rsidRPr="00BA5758">
        <w:rPr>
          <w:rFonts w:asciiTheme="majorBidi" w:eastAsia="Times New Roman" w:hAnsiTheme="majorBidi" w:cstheme="majorBidi"/>
          <w:sz w:val="24"/>
          <w:szCs w:val="24"/>
          <w:lang w:val="en-ID" w:eastAsia="en-ID"/>
        </w:rPr>
        <w:fldChar w:fldCharType="end"/>
      </w:r>
      <w:r w:rsidR="00D57E7E" w:rsidRPr="00BA5758">
        <w:rPr>
          <w:rFonts w:asciiTheme="majorBidi" w:eastAsia="Times New Roman" w:hAnsiTheme="majorBidi" w:cstheme="majorBidi"/>
          <w:sz w:val="24"/>
          <w:szCs w:val="24"/>
          <w:lang w:eastAsia="en-ID"/>
        </w:rPr>
        <w:t>.</w:t>
      </w:r>
      <w:r w:rsidR="00D57E7E" w:rsidRPr="00BA5758">
        <w:rPr>
          <w:rFonts w:asciiTheme="majorBidi" w:eastAsia="Times New Roman" w:hAnsiTheme="majorBidi" w:cstheme="majorBidi"/>
          <w:sz w:val="24"/>
          <w:szCs w:val="24"/>
          <w:lang w:val="en-US" w:eastAsia="en-ID"/>
        </w:rPr>
        <w:t xml:space="preserve"> </w:t>
      </w:r>
      <w:r w:rsidRPr="00BA5758">
        <w:rPr>
          <w:rFonts w:asciiTheme="majorBidi" w:hAnsiTheme="majorBidi" w:cstheme="majorBidi"/>
          <w:sz w:val="24"/>
          <w:szCs w:val="24"/>
        </w:rPr>
        <w:t>Patients’ attitudes are closely related to the formation of perceptions, stigma, and discrimination—both enacted stigma and perceived stigma—which substantially influence PLWHA’s engagement with healthcare services</w:t>
      </w:r>
      <w:r w:rsidRPr="00BA5758">
        <w:rPr>
          <w:rFonts w:asciiTheme="majorBidi" w:hAnsiTheme="majorBidi" w:cstheme="majorBidi"/>
          <w:sz w:val="24"/>
          <w:szCs w:val="24"/>
          <w:lang w:val="en-US"/>
        </w:rPr>
        <w:t xml:space="preserve"> </w:t>
      </w:r>
      <w:r w:rsidR="00D57E7E"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Harison","given":"Nunu","non-dropping-particle":"","parse-names":false,"suffix":""},{"dropping-particle":"","family":"Waluyo","given":"Agung","non-dropping-particle":"","parse-names":false,"suffix":""},{"dropping-particle":"","family":"Jumaiyah","given":"Wati","non-dropping-particle":"","parse-names":false,"suffix":""}],"container-title":"Journal Health of Studies","id":"ITEM-1","issue":"1","issued":{"date-parts":[["2020"]]},"page":"87-95","title":"Asupan gizi, status dan status sindrom metabolik pegawai Pemahaman pengobatan antiretroviral dan kendala kepatuhan terhadap terapi antiretroviral pasien HIV / AIDS Asupan gizi , status biokimia , sindrom metabolik","type":"article-journal","volume":"4"},"uris":["http://www.mendeley.com/documents/?uuid=8efe8f40-6b07-46c3-a5ce-8d6354611cc6"]}],"mendeley":{"formattedCitation":"(Harison et al., 2020)","plainTextFormattedCitation":"(Harison et al., 2020)","previouslyFormattedCitation":"(Harison et al., 2020)"},"properties":{"noteIndex":0},"schema":"https://github.com/citation-style-language/schema/raw/master/csl-citation.json"}</w:instrText>
      </w:r>
      <w:r w:rsidR="00D57E7E" w:rsidRPr="00BA5758">
        <w:rPr>
          <w:rFonts w:asciiTheme="majorBidi" w:hAnsiTheme="majorBidi" w:cstheme="majorBidi"/>
          <w:sz w:val="24"/>
          <w:szCs w:val="24"/>
        </w:rPr>
        <w:fldChar w:fldCharType="separate"/>
      </w:r>
      <w:r w:rsidR="00D57E7E" w:rsidRPr="00BA5758">
        <w:rPr>
          <w:rFonts w:asciiTheme="majorBidi" w:hAnsiTheme="majorBidi" w:cstheme="majorBidi"/>
          <w:noProof/>
          <w:sz w:val="24"/>
          <w:szCs w:val="24"/>
        </w:rPr>
        <w:t>(Harison et al., 2020)</w:t>
      </w:r>
      <w:r w:rsidR="00D57E7E" w:rsidRPr="00BA5758">
        <w:rPr>
          <w:rFonts w:asciiTheme="majorBidi" w:hAnsiTheme="majorBidi" w:cstheme="majorBidi"/>
          <w:sz w:val="24"/>
          <w:szCs w:val="24"/>
        </w:rPr>
        <w:fldChar w:fldCharType="end"/>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Negative attitudes arising from fear of disclosure often lead patients to avoid healthcare facilities, contributing to treatment interruption and LtFU</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{"citationItems":[{"id":"ITEM-1","itemData":{"DOI":"10.20473/ijph.vl18i2.2023.291-301","author":[{"dropping-particle":"","family":"Adiansyah","given":"Mohammad Taufiq","non-dropping-particle":"","parse-names":false,"suffix":""},{"dropping-particle":"","family":"Andrei Ramani","given":"","non-dropping-particle":"","parse-names":false,"suffix":""},{"dropping-particle":"","family":"Baroya","given":"Ni’mal","non-dropping-particle":"","parse-names":false,"suffix":""}],"container-title":"The Indonesian Journal of Public Health","id":"ITEM-1","issue":"2","issued":{"date-parts":[["2023"]]},"page":"291-301","title":"Determinants Of Stigma On People Living With HIV and AIDS In Indonesia (Evidence From 2017 Idhs Data)","type":"article-journal","volume":"18"},"uris":["http://www.mendeley.com/documents/?uuid=88a90122-493a-4c6c-86e9-983e1e17d270"]}],"mendeley":{"formattedCitation":"(Adiansyah et al., 2023)","plainTextFormattedCitation":"(Adiansyah et al., 2023)","previouslyFormattedCitation":"(Adiansyah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(Adiansyah et al., 2023)</w:t>
      </w:r>
      <w:r w:rsidR="0095731B" w:rsidRPr="00BA5758">
        <w:rPr>
          <w:rFonts w:asciiTheme="majorBidi" w:hAnsiTheme="majorBidi" w:cstheme="majorBidi"/>
          <w:sz w:val="24"/>
          <w:szCs w:val="24"/>
        </w:rPr>
        <w:fldChar w:fldCharType="end"/>
      </w:r>
      <w:r w:rsidR="00D57E7E" w:rsidRPr="00BA5758">
        <w:rPr>
          <w:rFonts w:asciiTheme="majorBidi" w:hAnsiTheme="majorBidi" w:cstheme="majorBidi"/>
          <w:sz w:val="24"/>
          <w:szCs w:val="24"/>
          <w:lang w:val="en-US"/>
        </w:rPr>
        <w:t xml:space="preserve">, </w:t>
      </w:r>
      <w:r w:rsidR="00D57E7E"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{"citationItems":[{"id":"ITEM-1","itemData":{"DOI":"10.1038/s41591-021-01590-5","ISSN":"1546-170X (Electronic)","PMID":"34848888","abstract":"Despite the success of antiretroviral therapy (ART) for people living with HIV,  lifelong treatment is required and there is no cure. HIV can integrate in the host genome and persist for the life span of the infected cell. These latently infected cells are not recognized as foreign because they are largely transcriptionally silent, but contain replication-competent virus that drives resurgence of the infection once ART is stopped. With a combination of immune activators, neutralizing antibodies, and therapeutic vaccines, some nonhuman primate models have been cured, providing optimism for these approaches now being evaluated in human clinical trials. In vivo delivery of gene-editing tools to either target the virus, boost immunity or protect cells from infection, also holds promise for future HIV cure strategies. In this Review, we discuss advances related to HIV cure in the last 5 years, highlight remaining knowledge gaps and identify priority areas for research for the next 5 years.","author":[{"dropping-particle":"","family":"Deeks","given":"Steven G","non-dropping-particle":"","parse-names":false,"suffix":""},{"dropping-particle":"","family":"Archin","given":"Nancie","non-dropping-particle":"","parse-names":false,"suffix":""},{"dropping-particle":"","family":"Cannon","given":"Paula","non-dropping-particle":"","parse-names":false,"suffix":""},{"dropping-particle":"","family":"Collins","given":"Simon","non-dropping-particle":"","parse-names":false,"suffix":""},{"dropping-particle":"","family":"Jones","given":"R Brad","non-dropping-particle":"","parse-names":false,"suffix":""},{"dropping-particle":"","family":"Jong","given":"Marein A W P","non-dropping-particle":"de","parse-names":false,"suffix":""},{"dropping-particle":"","family":"Lambotte","given":"Olivier","non-dropping-particle":"","parse-names":false,"suffix":""},{"dropping-particle":"","family":"Lamplough","given":"Rosanne","non-dropping-particle":"","parse-names":false,"suffix":""},{"dropping-particle":"","family":"Ndung'u","given":"Thumbi","non-dropping-particle":"","parse-names":false,"suffix":""},{"dropping-particle":"","family":"Sugarman","given":"Jeremy","non-dropping-particle":"","parse-names":false,"suffix":""},{"dropping-particle":"","family":"Tiemessen","given":"Caroline T","non-dropping-particle":"","parse-names":false,"suffix":""},{"dropping-particle":"","family":"Vandekerckhove","given":"Linos","non-dropping-particle":"","parse-names":false,"suffix":""},{"dropping-particle":"","family":"Lewin","given":"Sharon R","non-dropping-particle":"","parse-names":false,"suffix":""}],"container-title":"Nature medicine","id":"ITEM-1","issue":"12","issued":{"date-parts":[["2021","12"]]},"language":"eng","page":"2085-2098","publisher-place":"United States","title":"Research priorities for an HIV cure: International AIDS Society Global Scientific  Strategy 2021.","type":"article-journal","volume":"27"},"uris":["http://www.mendeley.com/documents/?uuid=15c872b3-9630-4478-94cc-087dd1732bff"]}],"mendeley":{"formattedCitation":"(Deeks et al., 2021)","plainTextFormattedCitation":"(Deeks et al., 2021)","previouslyFormattedCitation":"(Deeks et al., 2021)"},"properties":{"noteIndex":0},"schema":"https://github.com/citation-style-language/schema/raw/master/csl-citation.json"}</w:instrText>
      </w:r>
      <w:r w:rsidR="00D57E7E" w:rsidRPr="00BA5758">
        <w:rPr>
          <w:rFonts w:asciiTheme="majorBidi" w:eastAsia="Times New Roman" w:hAnsiTheme="majorBidi" w:cstheme="majorBidi"/>
          <w:sz w:val="24"/>
          <w:szCs w:val="24"/>
          <w:lang w:val="en-ID" w:eastAsia="en-ID"/>
        </w:rPr>
        <w:fldChar w:fldCharType="separate"/>
      </w:r>
      <w:r w:rsidR="00D57E7E" w:rsidRPr="00BA5758">
        <w:rPr>
          <w:rFonts w:asciiTheme="majorBidi" w:eastAsia="Times New Roman" w:hAnsiTheme="majorBidi" w:cstheme="majorBidi"/>
          <w:noProof/>
          <w:sz w:val="24"/>
          <w:szCs w:val="24"/>
          <w:lang w:eastAsia="en-ID"/>
        </w:rPr>
        <w:t>(Deeks et al., 2021)</w:t>
      </w:r>
      <w:r w:rsidR="00D57E7E" w:rsidRPr="00BA5758">
        <w:rPr>
          <w:rFonts w:asciiTheme="majorBidi" w:eastAsia="Times New Roman" w:hAnsiTheme="majorBidi" w:cstheme="majorBidi"/>
          <w:sz w:val="24"/>
          <w:szCs w:val="24"/>
          <w:lang w:val="en-ID" w:eastAsia="en-ID"/>
        </w:rPr>
        <w:fldChar w:fldCharType="end"/>
      </w:r>
      <w:r w:rsidR="00D57E7E" w:rsidRPr="00BA5758">
        <w:rPr>
          <w:rFonts w:asciiTheme="majorBidi" w:eastAsia="Times New Roman" w:hAnsiTheme="majorBidi" w:cstheme="majorBidi"/>
          <w:sz w:val="24"/>
          <w:szCs w:val="24"/>
          <w:lang w:val="en-ID" w:eastAsia="en-ID"/>
        </w:rPr>
        <w:t>.</w:t>
      </w:r>
    </w:p>
    <w:p w14:paraId="09244C51" w14:textId="77777777" w:rsidR="0095731B" w:rsidRPr="00BA5758" w:rsidRDefault="0095731B" w:rsidP="0095731B">
      <w:pPr>
        <w:spacing w:after="0" w:line="360" w:lineRule="auto"/>
        <w:ind w:left="0" w:hanging="2"/>
        <w:jc w:val="both"/>
        <w:rPr>
          <w:rFonts w:asciiTheme="majorBidi" w:hAnsiTheme="majorBidi" w:cstheme="majorBidi"/>
          <w:sz w:val="24"/>
          <w:szCs w:val="24"/>
        </w:rPr>
      </w:pPr>
    </w:p>
    <w:p w14:paraId="6BABF5DC" w14:textId="73DF7996" w:rsidR="00300A3A" w:rsidRPr="00BA5758" w:rsidRDefault="00300A3A"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lang w:val="id-ID"/>
        </w:rPr>
      </w:pPr>
      <w:r w:rsidRPr="00BA5758">
        <w:rPr>
          <w:rFonts w:asciiTheme="majorBidi" w:hAnsiTheme="majorBidi" w:cstheme="majorBidi"/>
          <w:b/>
          <w:bCs/>
          <w:szCs w:val="24"/>
        </w:rPr>
        <w:t>Association Between Perception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25F0F32F" w14:textId="3A028B80" w:rsidR="00211D0B" w:rsidRPr="00BA5758" w:rsidRDefault="00300A3A" w:rsidP="00211D0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The findings of this study indicate that 51.3% of respondents had good perceptions toward antiretroviral therapy (ART), while 48.7% demonstrated poor perceptions. In theory, positive perceptions are closely related to patients’ motivation to remain adherent to ART. This finding is consistent with previous research showing that patients’ perceptions are complex and not always positive, even when most individuals understand the benefits of ART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{"citationItems":[{"id":"ITEM-1","itemData":{"author":[{"dropping-particle":"","family":"Seimahuira","given":"Theresia Natalia","non-dropping-particle":"","parse-names":false,"suffix":""},{"dropping-particle":"","family":"Lepertery","given":"Johan Weinand","non-dropping-particle":"","parse-names":false,"suffix":""},{"dropping-particle":"","family":"Azzahra","given":"Fatimah","non-dropping-particle":"","parse-names":false,"suffix":""}],"container-title":"Berkala Ilmu Kesehatan Kulit dan Kelamin","id":"ITEM-1","issue":"3","issued":{"date-parts":[["2025"]]},"page":"179-184","title":"Factors Influencing Loss to Follow-Up in HIV Patients: a Retrospective Study","type":"article-journal","volume":"37"},"uris":["http://www.mendeley.com/documents/?uuid=e8d02765-4516-46b2-bce2-6a9278e52010"]}],"mendeley":{"formattedCitation":"(Seimahuira et al., 2025)","plainTextFormattedCitation":"(Seimahuira et al., 2025)","previouslyFormattedCitation":"(Seimahuira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(Seimahuira et al.,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 xml:space="preserve">Perception plays a crucial role in shaping patients’ behavior, influencing whether </w:t>
      </w:r>
      <w:r w:rsidRPr="00BA5758">
        <w:rPr>
          <w:rFonts w:asciiTheme="majorBidi" w:hAnsiTheme="majorBidi" w:cstheme="majorBidi"/>
          <w:sz w:val="24"/>
          <w:szCs w:val="24"/>
        </w:rPr>
        <w:lastRenderedPageBreak/>
        <w:t>they adhere to treatment or experience Loss to Follow-Up (LtFU)</w:t>
      </w:r>
      <w:r w:rsidRPr="00BA5758">
        <w:rPr>
          <w:rFonts w:asciiTheme="majorBidi" w:hAnsiTheme="majorBidi" w:cstheme="majorBidi"/>
          <w:sz w:val="24"/>
          <w:szCs w:val="24"/>
          <w:lang w:val="en-US"/>
        </w:rPr>
        <w:t xml:space="preserve"> </w:t>
      </w:r>
      <w:r w:rsidR="00211D0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Olyvia","given":"Novy","non-dropping-particle":"","parse-names":false,"suffix":""},{"dropping-particle":"","family":"Purnamawati","given":"Dewi","non-dropping-particle":"","parse-names":false,"suffix":""}],"container-title":"Jurnal Kesehatan Tam","id":"ITEM-1","issue":"2","issued":{"date-parts":[["2025"]]},"page":"5367-5375","title":"Pengaruh kepatuhan terapi arv dengan rata-rata kadar viral load pada odhiv","type":"article-journal","volume":"6"},"uris":["http://www.mendeley.com/documents/?uuid=33da8a87-086c-42e3-914a-a3c02e74cb1e"]}],"mendeley":{"formattedCitation":"(Olyvia &amp; Purnamawati, 2025)","plainTextFormattedCitation":"(Olyvia &amp; Purnamawati, 2025)","previouslyFormattedCitation":"(Olyvia &amp; Purnamawati, 2025)"},"properties":{"noteIndex":0},"schema":"https://github.com/citation-style-language/schema/raw/master/csl-citation.json"}</w:instrText>
      </w:r>
      <w:r w:rsidR="00211D0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(Olyvia &amp; Purnamawati, 2025)</w:t>
      </w:r>
      <w:r w:rsidR="00211D0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In the context of health behavior, perception is commonly explained using the Health Belief Model (HBM), which encompasses perceived susceptibility, perceived severity, perceived benefits, perceived barriers, and self-efficacy. These perceptual constructs have been shown to significantly influence patients’ decisions to continue or discontinue ART</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{"citationItems":[{"id":"ITEM-1","itemData":{"author":[{"dropping-particle":"","family":"Yudiawan","given":"Ricki Hendri","non-dropping-particle":"","parse-names":false,"suffix":""},{"dropping-particle":"","family":"Rukmana","given":"Nova Mega","non-dropping-particle":"","parse-names":false,"suffix":""},{"dropping-particle":"","family":"Novariana","given":"Nana","non-dropping-particle":"","parse-names":false,"suffix":""}],"container-title":"International Journal of Health Science and Technology","id":"ITEM-1","issue":"3","issued":{"date-parts":[["2025"]]},"page":"258-265","title":"Factors associated with lost to follow-up behavior among HIV / AIDS patients undergoing ARV therapy","type":"article-journal","volume":"6"},"uris":["http://www.mendeley.com/documents/?uuid=d2201408-4a3f-4487-814f-050d67ab6f0f"]}],"mendeley":{"formattedCitation":"(Yudiawan et al., 2025)","plainTextFormattedCitation":"(Yudiawan et al., 2025)","previouslyFormattedCitation":"(Yudiawan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(Yudiawan et al.,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rPr>
        <w:t>.</w:t>
      </w:r>
      <w:r w:rsidR="00211D0B" w:rsidRPr="00BA5758">
        <w:rPr>
          <w:rFonts w:asciiTheme="majorBidi" w:hAnsiTheme="majorBidi" w:cstheme="majorBidi"/>
          <w:sz w:val="24"/>
          <w:szCs w:val="24"/>
          <w:lang w:val="en-US"/>
        </w:rPr>
        <w:t xml:space="preserve"> </w:t>
      </w:r>
    </w:p>
    <w:p w14:paraId="4901F87A" w14:textId="27835ED7" w:rsidR="00211D0B" w:rsidRPr="00BA5758" w:rsidRDefault="00300A3A" w:rsidP="00211D0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 analysis demonstrated a highly significant association between perception and LtFU (p = 0.000), with an odds ratio (OR) of 9.719 (95% CI: 4.726–19.986). Patients with poor perceptions were nearly ten times more likely to experience LtFU compared with those who had good perceptions. This finding aligns with the HBM framework, suggesting that patients who do not perceive ART as beneficial or who believe that its risks outweigh its benefits tend to be less motivated to remain engaged in ART programs</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{"citationItems":[{"id":"ITEM-1","itemData":{"author":[{"dropping-particle":"","family":"Seimahuira","given":"Theresia Natalia","non-dropping-particle":"","parse-names":false,"suffix":""},{"dropping-particle":"","family":"Lepertery","given":"Johan Weinand","non-dropping-particle":"","parse-names":false,"suffix":""},{"dropping-particle":"","family":"Azzahra","given":"Fatimah","non-dropping-particle":"","parse-names":false,"suffix":""}],"container-title":"Berkala Ilmu Kesehatan Kulit dan Kelamin","id":"ITEM-1","issue":"3","issued":{"date-parts":[["2025"]]},"page":"179-184","title":"Factors Influencing Loss to Follow-Up in HIV Patients: a Retrospective Study","type":"article-journal","volume":"37"},"uris":["http://www.mendeley.com/documents/?uuid=e8d02765-4516-46b2-bce2-6a9278e52010"]}],"mendeley":{"formattedCitation":"(Seimahuira et al., 2025)","plainTextFormattedCitation":"(Seimahuira et al., 2025)","previouslyFormattedCitation":"(Seimahuira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(Seimahuira et al.,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rPr>
        <w:t xml:space="preserve">. </w:t>
      </w:r>
      <w:r w:rsidRPr="00BA5758">
        <w:rPr>
          <w:rFonts w:asciiTheme="majorBidi" w:hAnsiTheme="majorBidi" w:cstheme="majorBidi"/>
          <w:sz w:val="24"/>
          <w:szCs w:val="24"/>
        </w:rPr>
        <w:t>Cohort and survey studies have further indicated that social stigma and experiences of discrimination are associated with an increased risk of disengagement from care or treatment discontinuation</w:t>
      </w:r>
      <w:r w:rsidRPr="00BA5758">
        <w:rPr>
          <w:rFonts w:asciiTheme="majorBidi" w:hAnsiTheme="majorBidi" w:cstheme="majorBidi"/>
          <w:sz w:val="24"/>
          <w:szCs w:val="24"/>
          <w:lang w:val="en-US"/>
        </w:rPr>
        <w:t xml:space="preserve"> </w:t>
      </w:r>
      <w:r w:rsidR="00211D0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{"citationItems":[{"id":"ITEM-1","itemData":{"DOI":"10.55887/nrpm.v1i3.24","ISSN":"2828-9528","abstract":"Latar Belakang: Loss to follow-up (LTFU) pada manajemen antiretroviral merupakan tantangan untuk mengurangi morbiditas dan mortalitas akibat HIV/AIDS. Masalah psiko-sosiologis seperti stigma dan diskriminasi dapat menyebabkan LTFU. Tujuan: Untuk mengetahui hubungan stigma dengan kejadian LTFU pada ODHA merupakan tujuan dari penelitian ini. Penelitian telah dilakukan selama lima minggu di Kabupaten Badung, Provinsi Bali, Indonesia. Metode: Desain penelitian menggunakan pendekatan kohort retrospektif. Jumlah partisipan adalah 96 orang dan ditentukan menggunakan simple random sampling. Pengumpulan data menggunakan kuesioner stigma dan data rekam medis untuk melihat catatan pengalaman LTFU. Analisis data menggunakan uji Chi-Square. Hasil: Laki-laki adalah peserta dominan dalam penelitian ini (88,5%), empat puluh enam laki-laki mengalami stigma. Sebanyak 47% peserta mengalami LTFU, sebanyak 50% peserta mengalami stigma. Hasil uji bivariat dengan nilai chi-square diperoleh 18,38 (X2 hitung &gt; X tabel) dan p-value &lt; 0,001 (α = 0,05). Stigma berkorelasi dengan kejadian LTFU pada ODHA. Nilai risiko relatif menunjukkan bahwa Odha yang terstigma enam kali lebih mungkin mengalami LTFU. Kesimpulan: Ada hubungan antara stigma dengan kejadian LTFU pada ODHA.","author":[{"dropping-particle":"","family":"Arisudhana","given":"Gede Arya Bagus","non-dropping-particle":"","parse-names":false,"suffix":""},{"dropping-particle":"","family":"Artati","given":"Luh Putu Novi","non-dropping-particle":"","parse-names":false,"suffix":""}],"container-title":"Journal Nursing Research Publication Media (NURSEPEDIA)","id":"ITEM-1","issue":"3","issued":{"date-parts":[["2022"]]},"page":"152-160","title":"Korelasi Stigma dengan Lost To-Follow Up pada Orang Dengan HIV dan AIDS","type":"article-journal","volume":"1"},"uris":["http://www.mendeley.com/documents/?uuid=317e49bc-abfe-4310-96a0-b5328387549f"]}],"mendeley":{"formattedCitation":"(Arisudhana &amp; Artati, 2022)","plainTextFormattedCitation":"(Arisudhana &amp; Artati, 2022)","previouslyFormattedCitation":"(Arisudhana &amp; Artati, 2022)"},"properties":{"noteIndex":0},"schema":"https://github.com/citation-style-language/schema/raw/master/csl-citation.json"}</w:instrText>
      </w:r>
      <w:r w:rsidR="00211D0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(Arisudhana &amp; Artati, 2022)</w:t>
      </w:r>
      <w:r w:rsidR="00211D0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Therefore, programmatic efforts to improve retention should incorporate strategies aimed at modifying patients’ perceptions and attitudes to reduce psychosocial barriers that contribute to LtFU</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{"citationItems":[{"id":"ITEM-1","itemData":{"abstract":"Loss to follow-up (LTFU) remains a major challenge in HIV care, particularly in resource-limited settings. While several studies have identified its predictors, many have neglected the competing risks of transfer out and death, as well as the dynamic influence of these predictors over time. A retrospective cohort study was conducted among adult HIV patients who initiated antiretroviral therapy (ART) between 2019 and 2024. LTFU was a primary outcome, whereas transfer out and death were competing risks. A Fine‒Gray subdistribution hazard ratio (SHR) regression analysis identified LTFU predictors within a competing risk framework. An extended SHR model with a time‒covariate interaction term was used to examine the predictors’ time‒varying effects on LTFU risk. Data analysis was performed via STATA 17 and Python 3.9. In a cohort of 4,135 HIV patients (8,521.54 person-years of follow-up), the overall incidence of LTFU was 13.10 per 100 person-years (95% CI: 12.35–13.89), with cumulative risks of 15%, 25%, and 35% at 1, 3, and 5 years post-ART, respectively. The predictors of LTFU included younger age (15–24 years: aSHR = 1.51), male sex (aSHR = 1.24), incomplete address details (aSHR = 1.72), noninitiation/noncompletion of TPT (aSHR = 2.16), poor adherence (aSHR = 2.54), and undernutrition (aSHR = 2.03). While younger age (e.g., 15–24 years) was associated with an increased risk of LTFU at baseline (baseline aSHR = 1.36, p = 0.014), this association diminished over time (interaction aSHR = 0.54, p = 0.001). Undernutrition consistently predicted LTFU (baseline aSHR = 1.64, p &lt; 0.001), with no significant time-dependent effect (interaction aSHR = 1.01, p = 0.903). In conclusion, this study highlights the high incidence of LTFU among HIV patients and its key predictors. Notably, age has a significant time-dependent effect, with its influence on the risk of LTFU being most pronounced during the early stage of ART initiation, whereas nutritional status remains a consistent predictor of LTFU over time.","author":[{"dropping-particle":"","family":"Gebre","given":"Tamrat Endebu","non-dropping-particle":"","parse-names":false,"suffix":""},{"dropping-particle":"","family":"Taye","given":"Girma","non-dropping-particle":"","parse-names":false,"suffix":""},{"dropping-particle":"","family":"Deressa","given":"Wakgari","non-dropping-particle":"","parse-names":false,"suffix":""}],"container-title":"PLOS ONE","id":"ITEM-1","issue":"7","issued":{"date-parts":[["2025","7","24"]]},"page":"e0329132","publisher":"Public Library of Science","title":"Time-dependent predictors of loss to follow-up in HIV care in low-resource settings: A competing risks approach","type":"article-journal","volume":"20"},"uris":["http://www.mendeley.com/documents/?uuid=738f443d-ee6d-426a-994e-90d312d05d9e"]}],"mendeley":{"formattedCitation":"(Gebre et al., 2025)","plainTextFormattedCitation":"(Gebre et al., 2025)","previouslyFormattedCitation":"(Gebre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(Gebre et al.,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 xml:space="preserve">. </w:t>
      </w:r>
    </w:p>
    <w:p w14:paraId="22FFB717" w14:textId="5BA7C96F" w:rsidR="0095731B" w:rsidRPr="00BA5758" w:rsidRDefault="00300A3A" w:rsidP="00211D0B">
      <w:pPr>
        <w:spacing w:after="0" w:line="360" w:lineRule="auto"/>
        <w:ind w:left="-2" w:firstLineChars="236" w:firstLine="566"/>
        <w:jc w:val="both"/>
        <w:rPr>
          <w:rFonts w:asciiTheme="majorBidi" w:hAnsiTheme="majorBidi" w:cstheme="majorBidi"/>
          <w:sz w:val="24"/>
          <w:szCs w:val="24"/>
        </w:rPr>
      </w:pPr>
      <w:r w:rsidRPr="00BA5758">
        <w:rPr>
          <w:rFonts w:asciiTheme="majorBidi" w:hAnsiTheme="majorBidi" w:cstheme="majorBidi"/>
          <w:sz w:val="24"/>
          <w:szCs w:val="24"/>
        </w:rPr>
        <w:t>Several factors influence patients’ perceptions of ART and social support, including inadequate documentation of side effects and ineffective counseling</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{"citationItems":[{"id":"ITEM-1","itemData":{"author":[{"dropping-particle":"","family":"Seimahuira","given":"Theresia Natalia","non-dropping-particle":"","parse-names":false,"suffix":""},{"dropping-particle":"","family":"Lepertery","given":"Johan Weinand","non-dropping-particle":"","parse-names":false,"suffix":""},{"dropping-particle":"","family":"Azzahra","given":"Fatimah","non-dropping-particle":"","parse-names":false,"suffix":""}],"container-title":"Berkala Ilmu Kesehatan Kulit dan Kelamin","id":"ITEM-1","issue":"3","issued":{"date-parts":[["2025"]]},"page":"179-184","title":"Factors Influencing Loss to Follow-Up in HIV Patients: a Retrospective Study","type":"article-journal","volume":"37"},"uris":["http://www.mendeley.com/documents/?uuid=e8d02765-4516-46b2-bce2-6a9278e52010"]}],"mendeley":{"formattedCitation":"(Seimahuira et al., 2025)","plainTextFormattedCitation":"(Seimahuira et al., 2025)","previouslyFormattedCitation":"(Seimahuira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(Seimahuira et al.,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lang w:val="en-US"/>
        </w:rPr>
        <w:t>N</w:t>
      </w:r>
      <w:r w:rsidRPr="00BA5758">
        <w:rPr>
          <w:rFonts w:asciiTheme="majorBidi" w:hAnsiTheme="majorBidi" w:cstheme="majorBidi"/>
          <w:sz w:val="24"/>
          <w:szCs w:val="24"/>
        </w:rPr>
        <w:t>egative perceptions related to side effects, stigma, and insufficient social support have been identified as strong determinants of non-adherence and poor treatment retention among young populations in Sub-Saharan Africa, findings that remain contextually relevant despite geographical differences</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{"citationItems":[{"id":"ITEM-1","itemData":{"DOI":"10.1186/s12889-025-22579-6","ISBN":"1288902522","ISSN":"1471-2458","author":[{"dropping-particle":"","family":"Seunanden","given":"Tamlyn Carmin","non-dropping-particle":"","parse-names":false,"suffix":""},{"dropping-particle":"","family":"Ngwenya","given":"Nothando","non-dropping-particle":"","parse-names":false,"suffix":""},{"dropping-particle":"","family":"Seeley","given":"Janet","non-dropping-particle":"","parse-names":false,"suffix":""}],"container-title":"BMC Public Health","id":"ITEM-1","issue":"1450","issued":{"date-parts":[["2025"]]},"publisher":"BioMed Central","title":"Experiences and perceptions on antiretroviral therapy adherence and non ‑ adherence : a scoping review of young people living with HIV in sub ‑ Saharan Africa","type":"article-journal","volume":"25"},"uris":["http://www.mendeley.com/documents/?uuid=45a47daa-ae15-4e30-b4ce-1b6917a046aa"]}],"mendeley":{"formattedCitation":"(Seunanden et al., 2025)","plainTextFormattedCitation":"(Seunanden et al., 2025)","previouslyFormattedCitation":"(Seunanden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(Seunanden et al.,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egative perceptions related to side effects, stigma, and insufficient social support have been identified as strong determinants of non-adherence and poor treatment retention among young populations in Sub-Saharan Africa, findings that remain contextually relevant despite geographical differences</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{"citationItems":[{"id":"ITEM-1","itemData":{"DOI":"10.33475/mhjns.v6i3.907","author":[{"dropping-particle":"","family":"Mufidah","given":"Dewi","non-dropping-particle":"","parse-names":false,"suffix":""}],"container-title":"Media Husada Journal of Nursing Science","id":"ITEM-1","issue":"3","issued":{"date-parts":[["2025"]]},"page":"200-205","title":"Hubungan Stigma Sosial dengan Perilaku Lost to Follow-Up Pasien HIV / AIDS dengan Terapi ARV","type":"article-journal","volume":"6"},"uris":["http://www.mendeley.com/documents/?uuid=e9ce9b48-1bf2-4794-ae78-f8ca3054a977"]}],"mendeley":{"formattedCitation":"(Mufidah, 2025)","plainTextFormattedCitation":"(Mufidah, 2025)","previouslyFormattedCitation":"(Mufidah,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(Mufidah,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rPr>
        <w:t>.</w:t>
      </w:r>
    </w:p>
    <w:p w14:paraId="471FAC4C" w14:textId="77777777" w:rsidR="0095731B" w:rsidRPr="00BA5758" w:rsidRDefault="0095731B" w:rsidP="0095731B">
      <w:pPr>
        <w:spacing w:after="0" w:line="360" w:lineRule="auto"/>
        <w:ind w:left="0" w:hanging="2"/>
        <w:jc w:val="both"/>
        <w:rPr>
          <w:rFonts w:asciiTheme="majorBidi" w:hAnsiTheme="majorBidi" w:cstheme="majorBidi"/>
          <w:sz w:val="24"/>
          <w:szCs w:val="24"/>
        </w:rPr>
      </w:pPr>
    </w:p>
    <w:p w14:paraId="23D148BB" w14:textId="088192C5" w:rsidR="00300A3A" w:rsidRPr="00BA5758" w:rsidRDefault="00300A3A"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Association Between Family Support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4D850719" w14:textId="18B64530" w:rsidR="00211D0B" w:rsidRPr="00BA5758" w:rsidRDefault="00300A3A" w:rsidP="00211D0B">
      <w:pPr>
        <w:spacing w:after="0" w:line="360" w:lineRule="auto"/>
        <w:ind w:left="-2" w:firstLineChars="236" w:firstLine="566"/>
        <w:jc w:val="both"/>
        <w:rPr>
          <w:rFonts w:asciiTheme="majorBidi" w:hAnsiTheme="majorBidi" w:cstheme="majorBidi"/>
          <w:sz w:val="24"/>
          <w:szCs w:val="24"/>
        </w:rPr>
      </w:pPr>
      <w:r w:rsidRPr="00BA5758">
        <w:rPr>
          <w:rFonts w:asciiTheme="majorBidi" w:hAnsiTheme="majorBidi" w:cstheme="majorBidi"/>
          <w:sz w:val="24"/>
          <w:szCs w:val="24"/>
        </w:rPr>
        <w:t xml:space="preserve">This study found that 60.3% of respondents perceived their family support as good, while 39.7% reported inadequate family support. Family support encompasses multiple dimensions, including emotional, informational, instrumental, material, and psychosocial reinforcement, all of which contribute to the well-being of people living with HIV/AIDS (PLWHA). Strong emotional support has been shown to enhance self-esteem, reduce depressive symptoms, and </w:t>
      </w:r>
      <w:r w:rsidRPr="00BA5758">
        <w:rPr>
          <w:rFonts w:asciiTheme="majorBidi" w:hAnsiTheme="majorBidi" w:cstheme="majorBidi"/>
          <w:sz w:val="24"/>
          <w:szCs w:val="24"/>
        </w:rPr>
        <w:lastRenderedPageBreak/>
        <w:t>improve psychological adaptation among PLWHA</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{"citationItems":[{"id":"ITEM-1","itemData":{"author":[{"dropping-particle":"","family":"Yayup","given":"Keri Saputri","non-dropping-particle":"","parse-names":false,"suffix":""},{"dropping-particle":"","family":"Daramatasia","given":"Wira","non-dropping-particle":"","parse-names":false,"suffix":""},{"dropping-particle":"","family":"Qodir","given":"Abdul","non-dropping-particle":"","parse-names":false,"suffix":""}],"container-title":"Jurnal Kesehatan Tambusai","id":"ITEM-1","issue":"3","issued":{"date-parts":[["2024"]]},"page":"10036-10043","title":"Hubungan Dukungan Keluarga Dengan Konsep Diri Pada Orang Dengan Hiv/Aids (ODHIV) di Jombang Care Center (JCC+) Kabupaten Jombang","type":"article-journal","volume":"5"},"uris":["http://www.mendeley.com/documents/?uuid=2715a64e-9669-4424-9d45-78f211e85fe2"]}],"mendeley":{"formattedCitation":"(Yayup et al., 2024)","plainTextFormattedCitation":"(Yayup et al., 2024)","previouslyFormattedCitation":"(Yayup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(Yayup et al., 2024)</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Families serve as a crucial source of both emotional and material support for individuals living with HIV</w:t>
      </w:r>
      <w:r w:rsidR="00211D0B"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{"citationItems":[{"id":"ITEM-1","itemData":{"author":[{"dropping-particle":"","family":"Irawan","given":"Bambang","non-dropping-particle":"","parse-names":false,"suffix":""}],"container-title":"JUKEJ: Jurnal Kesehatan Jompa","id":"ITEM-1","issue":"1","issued":{"date-parts":[["2023"]]},"page":"62-71","title":"Pendampingan Ibu Terdeteksi HIV dan Dukungan Keluarga Selama Proses Persalinan","type":"article-journal","volume":"2"},"uris":["http://www.mendeley.com/documents/?uuid=2de029ba-c027-456d-890b-33752f54ab7d"]}],"mendeley":{"formattedCitation":"(Irawan, 2023)","plainTextFormattedCitation":"(Irawan, 2023)","previouslyFormattedCitation":"(Irawan,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(Irawan, 2023)</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r w:rsidR="00211D0B" w:rsidRPr="00BA5758">
        <w:rPr>
          <w:rFonts w:asciiTheme="majorBidi" w:hAnsiTheme="majorBidi" w:cstheme="majorBidi"/>
          <w:sz w:val="24"/>
          <w:szCs w:val="24"/>
        </w:rPr>
        <w:t xml:space="preserve"> </w:t>
      </w:r>
      <w:r w:rsidRPr="00BA5758">
        <w:rPr>
          <w:rFonts w:asciiTheme="majorBidi" w:hAnsiTheme="majorBidi" w:cstheme="majorBidi"/>
          <w:sz w:val="24"/>
          <w:szCs w:val="24"/>
        </w:rPr>
        <w:t>Effective retention interventions should therefore incorporate family-based components, such as family education, strengthened caregiving capacity, psychosocial support, and stigma reduction within the household, as these strategies are essential for preventing LtFU and improving clinical outcomes among PLWHA</w:t>
      </w:r>
      <w:r w:rsidRPr="00BA5758">
        <w:rPr>
          <w:rFonts w:asciiTheme="majorBidi" w:hAnsiTheme="majorBidi" w:cstheme="majorBidi"/>
          <w:sz w:val="24"/>
          <w:szCs w:val="24"/>
          <w:lang w:val="en-US"/>
        </w:rPr>
        <w:t xml:space="preserve"> </w:t>
      </w:r>
      <w:r w:rsidR="00211D0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10.1371/journal.pone.0264462","ISBN":"1111111111","author":[{"dropping-particle":"","family":"Klau","given":"Nelsensius","non-dropping-particle":"","parse-names":false,"suffix":""},{"dropping-particle":"","family":"Id","given":"Fauk","non-dropping-particle":"","parse-names":false,"suffix":""},{"dropping-particle":"","family":"Id","given":"Lillian Mwanri","non-dropping-particle":"","parse-names":false,"suffix":""},{"dropping-particle":"","family":"Hawke","given":"Karen","non-dropping-particle":"","parse-names":false,"suffix":""},{"dropping-particle":"","family":"Ward","given":"Paul Russell","non-dropping-particle":"","parse-names":false,"suffix":""}],"container-title":"Plos Oke","id":"ITEM-1","issue":"7","issued":{"date-parts":[["2022"]]},"page":"1-16","title":"Traditional Human Immunodeficiency Virus treatment and family and social influence as barriers to accessing HIV care services in Belu , Indonesia","type":"article-journal","volume":"17"},"uris":["http://www.mendeley.com/documents/?uuid=3e21eaca-3f81-48e6-9345-651beaec6486"]}],"mendeley":{"formattedCitation":"(Klau et al., 2022)","plainTextFormattedCitation":"(Klau et al., 2022)","previouslyFormattedCitation":"(Klau et al., 2022)"},"properties":{"noteIndex":0},"schema":"https://github.com/citation-style-language/schema/raw/master/csl-citation.json"}</w:instrText>
      </w:r>
      <w:r w:rsidR="00211D0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(Klau et al., 2022)</w:t>
      </w:r>
      <w:r w:rsidR="00211D0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rPr>
        <w:t>.</w:t>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Several studies have identified inadequate family support as a significant predictor of LtFU (p &lt; 0.05)</w:t>
      </w:r>
      <w:r w:rsidRPr="00BA5758">
        <w:rPr>
          <w:rFonts w:asciiTheme="majorBidi" w:hAnsiTheme="majorBidi" w:cstheme="majorBidi"/>
          <w:sz w:val="24"/>
          <w:szCs w:val="24"/>
          <w:lang w:val="en-US"/>
        </w:rPr>
        <w:t xml:space="preserve"> </w:t>
      </w:r>
      <w:r w:rsidR="00211D0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{"citationItems":[{"id":"ITEM-1","itemData":{"DOI":"10.33024/hjk.v16i6.7820","ISSN":"1978-3337","abstract":"Background: Based on data from the Tangerang District Hospital in October 2020, it was found that data on follow-up under antiretroviral therapy (ARV) among people living with HIV/AIDS (PLWHA) during the pandemic period for the last 3 months from February to April 2020 showed a decrease in the number but had a fluctuating graph in taking drugs every month, reaching 1012 patients, of which 20% were children. In addition, during the pandemic, there was an increase in LFU (lost to follow-up) cases of ARV treatment regimens.Purpose: To identify determinant factors of loss to follow-up under antiretroviral therapy (ARV) among people living with HIV/AIDS (PLWHA)Method: A quantitative research with a cross-sectional approach. The number of samples in this study was 45 respondents. The analysis used is univariate and bivariate. The statistical tests used are Chi-Square test and logistic regression.Results: Finding that the factors related to the cause of the withdrawal of ARV drugs were health insurance, side effects of ARVs, CD4 values, family support, hopelessness, stress levels, and self-esteem. Then a logistic regression test was carried out to find out which factor had the most influence and the results showed that the CD4 value was the most significant indicator with an OR (Odds Ratio) value of 26,812 812, meaning that people living with HIV who had CD4 values &lt; 200 had a 26,812 times greater risk of dropping out of ARV drugs, compared to people living with HIV who have CD4 values 200.Conclusion: CD4 value is the most significant factor in the incidence of ARV drug withdrawal in living with HIV.Keywords: Loss to follow-up; Antiretroviral therapy (ARV); People living with HIV/AIDS (PLWHA)Pendahuluan: Berdasarkan data RSUD Kab.Tangerang Oktober 2020 didapatkan data follow up pada orang dengan HIV dan AIDS (ODHA) yang menerima terapi Antiretroviral (ARV selama masa pandemi 3 bulan terakhir Februari-April 2020 menunjukan penurunan angka follow up  namum memiliki grafik fluktuatif dalam pengambilan obat tiap bulan mencapai 1012 pasien dimana 20% termasuk usia anak. Selain itu, selama pandemi terjadi peningkatan kasus LFU (lost to follow up) dari regiment pengobatan ARV.Tujuan: Mengidentifikasi faktor-faktor determinan penyebab loss to follow up pada orang dengan HIV dan AIDS (ODHA) yang menerima terapi Antiretroviral (ARV)Metode: Penelitian kuantitatif dengan pendekatan cross sectional. Jumlah sampel dalam penelitian ini 45 responden. Analisis yang digunakan a…","author":[{"dropping-particle":"","family":"Kurniawan","given":"Rahmat","non-dropping-particle":"","parse-names":false,"suffix":""},{"dropping-particle":"","family":"Pratiwi","given":"Rita Dwi","non-dropping-particle":"","parse-names":false,"suffix":""},{"dropping-particle":"","family":"Suyono","given":"Suyono","non-dropping-particle":"","parse-names":false,"suffix":""}],"container-title":"Holistik Jurnal Kesehatan","id":"ITEM-1","issue":"6","issued":{"date-parts":[["2022"]]},"page":"485-494","title":"Faktor-faktor determinan penyebab loss to follow up pada orang dengan HIV dan AIDS (ODHA) yang menerima terapi Antiretroviral (ARV)","type":"article-journal","volume":"16"},"uris":["http://www.mendeley.com/documents/?uuid=9e858a7f-31b6-4d21-ac0b-5c12a717876f"]}],"mendeley":{"formattedCitation":"(Kurniawan et al., 2022)","plainTextFormattedCitation":"(Kurniawan et al., 2022)","previouslyFormattedCitation":"(Kurniawan et al., 2022)"},"properties":{"noteIndex":0},"schema":"https://github.com/citation-style-language/schema/raw/master/csl-citation.json"}</w:instrText>
      </w:r>
      <w:r w:rsidR="00211D0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(Kurniawan et al., 2022)</w:t>
      </w:r>
      <w:r w:rsidR="00211D0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p>
    <w:p w14:paraId="5D9C7081" w14:textId="53F16795" w:rsidR="00211D0B" w:rsidRPr="00BA5758" w:rsidRDefault="00300A3A" w:rsidP="00211D0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Cross-tabulation analysis in this study demonstrated a statistically significant association between family support and LtFU. Among respondents with poor family support, 57.8% experienced LtFU, compared with only 7.0% among those with good family support. The Fisher’s Exact Test yielded a p-value of 0.000, indicating strong statistical significance. The odds ratio of 18.089 (95% CI: 6.8–47.93) suggests that PLWHA with inadequate family support were nearly 18 times more likely to experience LtFU than those with good family support. Family support plays a critical role in reducing the risk of LtFU by enhancing emotional, practical (e.g., medication reminders and accompaniment to clinic visits), and informational assistance, thereby strengthening patients’ engagement with HIV and ART services. In contrast, the absence of family support—manifested through rejection, household stigma, or pressure to pursue alternative treatments—has been strongly associated with treatment discontinuation and disengagement from care</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https://doi.org/10.3390/ijerph191811473","author":[{"dropping-particle":"","family":"Knight","given":"Lucia","non-dropping-particle":"","parse-names":false,"suffix":""},{"dropping-particle":"","family":"Schatz","given":"Enid","non-dropping-particle":"","parse-names":false,"suffix":""}],"container-title":"International Journal of Environmental Research and Public Health","id":"ITEM-1","issue":"11472","issued":{"date-parts":[["2022"]]},"page":"1-16","title":"Social Support for Improved ART Adherence and Retention in Care among Older People Living with HIV in Urban South Africa : A Complex Balance between Disclosure and Stigma","type":"article-journal","volume":"19"},"uris":["http://www.mendeley.com/documents/?uuid=9636eb25-f858-4808-a192-494c83c86f2d"]}],"mendeley":{"formattedCitation":"(Knight &amp; Schatz, 2022)","plainTextFormattedCitation":"(Knight &amp; Schatz, 2022)","previouslyFormattedCitation":"(Knight &amp; Schatz,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(Knight &amp; Schatz, 2022)</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p>
    <w:p w14:paraId="2AA6A4AE" w14:textId="17F0BFE8" w:rsidR="0095731B" w:rsidRPr="00BA5758" w:rsidRDefault="00300A3A" w:rsidP="00211D0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Social factors, including family and broader social support as well as stigma, contribute significantly to patients’ risk of failing to return to care. Multinational studies have identified limited social support and socioeconomic barriers as key predictors of LtFU</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{"citationItems":[{"id":"ITEM-1","itemData":{"DOI":"10.1590/S1678-9946202567053","ISSN":"1678-9946 (Electronic)","PMID":"40834146","abstract":"Loss to follow-up (LTFU) among people living with HIV (PLHIV) is a concerning  reality in various healthcare services and can occur at any stage of HIV care. LTFU can lead to a decline in overall health and quality of life for PLHIV; moreover, antiretroviral therapy (ART) interruption increase the risk of HIV sexual transmission. This systematic review investigated factors related to LTFU among PLHIV. The review included sources from PubMed, Cochrane Library, Embase, and others. We included observational studies published in English, Spanish, or Portuguese, from January 1, 2004, to December 31, 2024. We identified 36 studies from 20 countries in North and South America, Europe, Asia, and Africa. The studies included 69,789 PLHIV, of whom 22% were classified as LTFU. The time frame used to define LTFU varied across studies, ranging from 14 to 365 days. The most frequently reported factors associated with LTFU were younger age, low educational level, financial instability, illicit drug use, stigma, absence of family and social support, and ART side effects. Other relevant factors included long commuting time to healthcare facilities, long waiting time at health units, and issues with provider-patient relationships. Multiple factors may contribute to LTFU among PLHIV in complex and context-dependent ways. To address this issue, healthcare services must develop a comprehensive understanding of the communities they assist, recognizing distinct subgroups and their specific needs. Public health policies should be implemented to promote continuous care for PLHIV, including early diagnosis, multidisciplinary assessment, and social support.","author":[{"dropping-particle":"","family":"Salimo","given":"Zeca Manuel","non-dropping-particle":"","parse-names":false,"suffix":""},{"dropping-particle":"","family":"Avelino-Silva","given":"Vivian Iida","non-dropping-particle":"","parse-names":false,"suffix":""},{"dropping-particle":"da","family":"Silva","given":"Elizangela Farias","non-dropping-particle":"","parse-names":false,"suffix":""},{"dropping-particle":"","family":"Chaves","given":"Yury Oliveira","non-dropping-particle":"","parse-names":false,"suffix":""},{"dropping-particle":"El","family":"Kadri","given":"Michele Rocha de Araujo","non-dropping-particle":"","parse-names":false,"suffix":""},{"dropping-particle":"","family":"Nogueira","given":"Paulo Afonso","non-dropping-particle":"","parse-names":false,"suffix":""},{"dropping-particle":"","family":"Benzaken","given":"Adele Schwartz","non-dropping-particle":"","parse-names":false,"suffix":""}],"container-title":"Revista do Instituto de Medicina Tropical de Sao Paulo","id":"ITEM-1","issued":{"date-parts":[["2025"]]},"language":"eng","page":"e53","publisher-place":"Brazil","title":"Factors related to loss to follow-up among people living with HIV: a systematic  review.","type":"article-journal","volume":"67"},"uris":["http://www.mendeley.com/documents/?uuid=a0c942d9-f4bd-475b-ba9f-4cfa09c0a75e"]}],"mendeley":{"formattedCitation":"(Salimo et al., 2025)","plainTextFormattedCitation":"(Salimo et al., 2025)","previouslyFormattedCitation":"(Salimo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(Salimo et al., 2025)</w:t>
      </w:r>
      <w:r w:rsidR="0095731B" w:rsidRPr="00BA5758">
        <w:rPr>
          <w:rFonts w:asciiTheme="majorBidi" w:hAnsiTheme="majorBidi" w:cstheme="majorBidi"/>
          <w:sz w:val="24"/>
          <w:szCs w:val="24"/>
        </w:rPr>
        <w:fldChar w:fldCharType="end"/>
      </w:r>
      <w:r w:rsidR="0095731B" w:rsidRPr="00BA5758">
        <w:rPr>
          <w:rFonts w:asciiTheme="majorBidi" w:hAnsiTheme="majorBidi" w:cstheme="majorBidi"/>
          <w:sz w:val="24"/>
          <w:szCs w:val="24"/>
        </w:rPr>
        <w:t>,</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{"citationItems":[{"id":"ITEM-1","itemData":{"DOI":"10.1136/bmjopen-2023-078370","author":[{"dropping-particle":"","family":"Bankere","given":"Assefa Washo","non-dropping-particle":"","parse-names":false,"suffix":""},{"dropping-particle":"","family":"Daba","given":"Sintayehu Gabisa","non-dropping-particle":"","parse-names":false,"suffix":""},{"dropping-particle":"","family":"Ami","given":"Bonso","non-dropping-particle":"","parse-names":false,"suffix":""},{"dropping-particle":"","family":"Gedefa","given":"Lalisa Kebebe","non-dropping-particle":"","parse-names":false,"suffix":""},{"dropping-particle":"","family":"Lencha","given":"Bikila","non-dropping-particle":"","parse-names":false,"suffix":""}],"container-title":"BMJ open","id":"ITEM-1","issue":"e078370.","issued":{"date-parts":[["2024"]]},"page":"1-9","title":"Loss to follow- ­ up and its predictors among children living with HIV on antiretroviral therapy , southern Oromia , Ethiopia : a 5- ­ year retrospective cohort study","type":"article-journal","volume":"14"},"uris":["http://www.mendeley.com/documents/?uuid=515c720a-4a9d-4db2-a6f5-9b6915c68147"]}],"mendeley":{"formattedCitation":"(Bankere et al., 2024)","plainTextFormattedCitation":"(Bankere et al., 2024)","previouslyFormattedCitation":"(Bankere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(Bankere et al., 2024)</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 xml:space="preserve">Evidence from Indonesia further supports these findings, with studies in Jakarta demonstrating a significant association between family support and adherence to ART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{"citationItems":[{"id":"ITEM-1","itemData":{"author":[{"dropping-particle":"","family":"Aresta","given":"Annisa Septiani","non-dropping-particle":"","parse-names":false,"suffix":""},{"dropping-particle":"","family":"Jumaiyah","given":"Wati","non-dropping-particle":"","parse-names":false,"suffix":""}],"container-title":"Indonesian Journal of Nursing Science and Practice","id":"ITEM-1","issue":"2","issued":{"date-parts":[["2020"]]},"title":"Pengetahuan dan Dukungan Keluarga Dengan Kepatuhan dalam Menjalankan Pengobatan Antiretroviral (ARV) pada Pasien HIV/AIDS","type":"article-journal","volume":"2"},"uris":["http://www.mendeley.com/documents/?uuid=bed28922-dec7-4e86-92e2-48abd6188f24"]}],"mendeley":{"formattedCitation":"(Aresta &amp; Jumaiyah, 2020)","plainTextFormattedCitation":"(Aresta &amp; Jumaiyah, 2020)","previouslyFormattedCitation":"(Aresta &amp; Jumaiyah, 2020)"},"properties":{"noteIndex":0},"schema":"https://github.com/citation-style-language/schema/raw/master/csl-citation.json"}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(Aresta &amp; Jumaiyah, 2020)</w:t>
      </w:r>
      <w:r w:rsidR="0095731B" w:rsidRPr="00BA5758">
        <w:rPr>
          <w:rFonts w:asciiTheme="majorBidi" w:hAnsiTheme="majorBidi" w:cstheme="majorBidi"/>
          <w:sz w:val="24"/>
          <w:szCs w:val="24"/>
        </w:rPr>
        <w:fldChar w:fldCharType="end"/>
      </w:r>
      <w:r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and more recent research in Jember confirming the relationship between family support and ART adherence among mothers living with HIV</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{"citationItems":[{"id":"ITEM-1","itemData":{"author":[{"dropping-particle":"","family":"Skripsiwati","given":"Lulus Eka","non-dropping-particle":"","parse-names":false,"suffix":""},{"dropping-particle":"","family":"Kiswati","given":"","non-dropping-particle":"","parse-names":false,"suffix":""},{"dropping-particle":"","family":"Bachri","given":"Syaiful","non-dropping-particle":"","parse-names":false,"suffix":""},{"dropping-particle":"","family":"Sugijati","given":"","non-dropping-particle":"","parse-names":false,"suffix":""}],"container-title":"HEALTHY : Jurnal Inovasi Riset Ilmu Kesehatan","id":"ITEM-1","issue":"3","issued":{"date-parts":[["2025"]]},"page":"309-321","title":"Hubungan Dukungan Keluarga dengan Kepatuhan Minum ARV (Antiretroviral) Pada Ibu Balita Odhiv di Wilayah Kerja Puskesmas Kencong Jember","type":"article-journal","volume":"4"},"uris":["http://www.mendeley.com/documents/?uuid=9623b809-e854-4ef2-afda-127ee0d1f193"]}],"mendeley":{"formattedCitation":"(Skripsiwati et al., 2025)","plainTextFormattedCitation":"(Skripsiwati et al., 2025)","previouslyFormattedCitation":"(Skripsiwati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(Skripsiwati et al., 2025)</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 xml:space="preserve">Overall, social support—particularly from family members—plays a vital role in reducing non-adherence and LtFU while enhancing patient engagement with healthcare services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https://doi.org/10.4102/sajid.v40i1.752","author":[{"dropping-particle":"","family":"Shivambu","given":"Sophy","non-dropping-particle":"","parse-names":false,"suffix":""},{"dropping-particle":"","family":"Ngcobo","given":"Sanele","non-dropping-particle":"","parse-names":false,"suffix":""},{"dropping-particle":"","family":"Sciences","given":"Health","non-dropping-particle":"","parse-names":false,"suffix":""}],"container-title":"Southern African Journal of Infectious Diseases","id":"ITEM-1","issue":"1","issued":{"date-parts":[["2023"]]},"page":"1-12","title":"Perceptions and experiences of HIV care retention during the first 12 months at Kanyamazane CHC","type":"article-journal","volume":"40"},"uris":["http://www.mendeley.com/documents/?uuid=bb7cc1bf-a155-4179-92c3-09186bb1c0d9"]}],"mendeley":{"formattedCitation":"(Shivambu et al., 2023)","plainTextFormattedCitation":"(Shivambu et al., 2023)","previouslyFormattedCitation":"(Shivambu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(Shivambu et al., 2023)</w:t>
      </w:r>
      <w:r w:rsidR="0095731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rPr>
        <w:t>.</w:t>
      </w:r>
      <w:r w:rsidR="00211D0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 xml:space="preserve">Adolescents living with HIV often experience limited family or social support, resulting in lower motivation and supervision for long-term therapy adherence </w:t>
      </w:r>
      <w:r w:rsidR="00211D0B" w:rsidRPr="00BA5758">
        <w:rPr>
          <w:rFonts w:asciiTheme="majorBidi" w:hAnsiTheme="majorBidi" w:cstheme="majorBidi"/>
          <w:sz w:val="24"/>
          <w:szCs w:val="24"/>
        </w:rPr>
        <w:fldChar w:fldCharType="begin" w:fldLock="1"/>
      </w:r>
      <w:r w:rsidR="005F44C8" w:rsidRPr="00BA5758">
        <w:rPr>
          <w:rFonts w:asciiTheme="majorBidi" w:hAnsiTheme="majorBidi" w:cstheme="majorBidi"/>
          <w:sz w:val="24"/>
          <w:szCs w:val="24"/>
        </w:rPr>
        <w:instrText>ADDIN CSL_CITATION {"citationItems":[{"id":"ITEM-1","itemData":{"DOI":"10.1155/2021/8659372","author":[{"dropping-particle":"","family":"Gebremichael","given":"Mathewos Alemu","non-dropping-particle":"","parse-names":false,"suffix":""},{"dropping-particle":"","family":"Gurara","given":"Mekdes Kondale","non-dropping-particle":"","parse-names":false,"suffix":""},{"dropping-particle":"","family":"Weldehawaryat","given":"Haymanot Nigussie","non-dropping-particle":"","parse-names":false,"suffix":""},{"dropping-particle":"","family":"Mengesha","given":"Melkamu Merid","non-dropping-particle":"","parse-names":false,"suffix":""},{"dropping-particle":"","family":"Berbada","given":"Dessalegn Ajema","non-dropping-particle":"","parse-names":false,"suffix":""}],"container-title":"BioMed Research International","id":"ITEM-1","issued":{"date-parts":[["2021"]]},"page":"1-12","title":"Predictors of Loss to Follow-Up among HIV-Infected Adults after Initiation of the First-Line Antiretroviral Therapy at Arba Minch General Hospital , Southern Ethiopia : A 5-Year Retrospective Cohort Study","type":"article-journal","volume":"8659372"},"uris":["http://www.mendeley.com/documents/?uuid=134ebd11-2069-4f6d-9f7f-daae8d250f27"]}],"mendeley":{"formattedCitation":"(Gebremichael et al., 2021)","plainTextFormattedCitation":"(Gebremichael et al., 2021)","previouslyFormattedCitation":"(Gebremichael et al., 2021)"},"properties":{"noteIndex":0},"schema":"https://github.com/citation-style-language/schema/raw/master/csl-citation.json"}</w:instrText>
      </w:r>
      <w:r w:rsidR="00211D0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(Gebremichael et al., 2021)</w:t>
      </w:r>
      <w:r w:rsidR="00211D0B" w:rsidRPr="00BA5758">
        <w:rPr>
          <w:rFonts w:asciiTheme="majorBidi" w:hAnsiTheme="majorBidi" w:cstheme="majorBidi"/>
          <w:sz w:val="24"/>
          <w:szCs w:val="24"/>
        </w:rPr>
        <w:fldChar w:fldCharType="end"/>
      </w:r>
      <w:r w:rsidR="00211D0B" w:rsidRPr="00BA5758">
        <w:rPr>
          <w:rFonts w:asciiTheme="majorBidi" w:hAnsiTheme="majorBidi" w:cstheme="majorBidi"/>
          <w:sz w:val="24"/>
          <w:szCs w:val="24"/>
          <w:lang w:val="en-US"/>
        </w:rPr>
        <w:t>.</w:t>
      </w:r>
    </w:p>
    <w:p w14:paraId="5608731D" w14:textId="77777777" w:rsidR="0095731B" w:rsidRPr="00BA5758" w:rsidRDefault="0095731B" w:rsidP="0095731B">
      <w:pPr>
        <w:pStyle w:val="ListParagraph"/>
        <w:widowControl w:val="0"/>
        <w:ind w:leftChars="0" w:left="284" w:firstLineChars="0" w:firstLine="0"/>
        <w:rPr>
          <w:rFonts w:asciiTheme="majorBidi" w:hAnsiTheme="majorBidi" w:cstheme="majorBidi"/>
          <w:b/>
          <w:bCs/>
          <w:szCs w:val="24"/>
        </w:rPr>
      </w:pPr>
    </w:p>
    <w:p w14:paraId="55E57D34" w14:textId="1D2CBB39" w:rsidR="00300A3A" w:rsidRPr="00BA5758" w:rsidRDefault="00300A3A"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lastRenderedPageBreak/>
        <w:t>Association Between Peer Support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3D6EA324" w14:textId="284E743D" w:rsidR="0095731B" w:rsidRPr="00BA5758" w:rsidRDefault="00300A3A" w:rsidP="00A86F96">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 results of this study indicate that 49.2% of respondents received adequate peer support, whereas 50.8% reported insufficient peer support. Peer support refers to interactions among individuals who share similar life experiences or health conditions, in this case, people living with HIV/AIDS. Such relationships provide emotional, informational, motivational, and instrumental support that may not always be available through formal healthcare services. Peer support extends beyond medical assistance by addressing psychological needs that are strongly influenced by social stigma</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{"citationItems":[{"id":"ITEM-1","itemData":{"author":[{"dropping-particle":"","family":"Pramatasari","given":"Lina Ayu","non-dropping-particle":"","parse-names":false,"suffix":""},{"dropping-particle":"","family":"Martini","given":"","non-dropping-particle":"","parse-names":false,"suffix":""},{"dropping-particle":"","family":"Sutiningsih","given":"Dwi","non-dropping-particle":"","parse-names":false,"suffix":""}],"container-title":"Jurnal Sains Teknologi dan Kesehatan","id":"ITEM-1","issue":"2","issued":{"date-parts":[["2025"]]},"page":"307-318","title":"A Systematic Review Of Peer Support For Mental Health In People Living With HIV","type":"article-journal","volume":"2"},"uris":["http://www.mendeley.com/documents/?uuid=984223ab-81d4-40a4-a42e-e837dcef5c71"]}],"mendeley":{"formattedCitation":"(Pramatasari et al., 2025)","plainTextFormattedCitation":"(Pramatasari et al., 2025)","previouslyFormattedCitation":"(Pramatasari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(Pramatasari et al., 2025)</w:t>
      </w:r>
      <w:r w:rsidR="0095731B" w:rsidRPr="00BA5758">
        <w:rPr>
          <w:rFonts w:asciiTheme="majorBidi" w:hAnsiTheme="majorBidi" w:cstheme="majorBidi"/>
          <w:sz w:val="24"/>
          <w:szCs w:val="24"/>
        </w:rPr>
        <w:fldChar w:fldCharType="end"/>
      </w:r>
      <w:r w:rsidR="00A86F96"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Through shared experiences, PLWHA gain safe spaces to exchange information, share coping strategies, and reinforce mutual encouragement</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https://doi.org/10.3390/ijerph191811473","author":[{"dropping-particle":"","family":"Knight","given":"Lucia","non-dropping-particle":"","parse-names":false,"suffix":""},{"dropping-particle":"","family":"Schatz","given":"Enid","non-dropping-particle":"","parse-names":false,"suffix":""}],"container-title":"International Journal of Environmental Research and Public Health","id":"ITEM-1","issue":"11472","issued":{"date-parts":[["2022"]]},"page":"1-16","title":"Social Support for Improved ART Adherence and Retention in Care among Older People Living with HIV in Urban South Africa : A Complex Balance between Disclosure and Stigma","type":"article-journal","volume":"19"},"uris":["http://www.mendeley.com/documents/?uuid=9636eb25-f858-4808-a192-494c83c86f2d"]}],"mendeley":{"formattedCitation":"(Knight &amp; Schatz, 2022)","plainTextFormattedCitation":"(Knight &amp; Schatz, 2022)","previouslyFormattedCitation":"(Knight &amp; Schatz,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(Knight &amp; Schatz, 2022)</w:t>
      </w:r>
      <w:r w:rsidR="0095731B" w:rsidRPr="00BA5758">
        <w:rPr>
          <w:rFonts w:asciiTheme="majorBidi" w:hAnsiTheme="majorBidi" w:cstheme="majorBidi"/>
          <w:sz w:val="24"/>
          <w:szCs w:val="24"/>
        </w:rPr>
        <w:fldChar w:fldCharType="end"/>
      </w:r>
      <w:r w:rsidR="00A86F96" w:rsidRPr="00BA5758">
        <w:rPr>
          <w:rFonts w:asciiTheme="majorBidi" w:hAnsiTheme="majorBidi" w:cstheme="majorBidi"/>
          <w:sz w:val="24"/>
          <w:szCs w:val="24"/>
          <w:lang w:val="en-US"/>
        </w:rPr>
        <w:t>.</w:t>
      </w:r>
    </w:p>
    <w:p w14:paraId="1C285BA2" w14:textId="248E4E53" w:rsidR="00895DC5" w:rsidRPr="00BA5758" w:rsidRDefault="00300A3A" w:rsidP="00895DC5">
      <w:pPr>
        <w:spacing w:after="0" w:line="360" w:lineRule="auto"/>
        <w:ind w:left="-2" w:firstLineChars="236" w:firstLine="566"/>
        <w:jc w:val="both"/>
        <w:rPr>
          <w:rFonts w:asciiTheme="majorBidi" w:hAnsiTheme="majorBidi" w:cstheme="majorBidi"/>
          <w:sz w:val="24"/>
          <w:szCs w:val="24"/>
        </w:rPr>
      </w:pPr>
      <w:r w:rsidRPr="00BA5758">
        <w:rPr>
          <w:rFonts w:asciiTheme="majorBidi" w:hAnsiTheme="majorBidi" w:cstheme="majorBidi"/>
          <w:sz w:val="24"/>
          <w:szCs w:val="24"/>
        </w:rPr>
        <w:t>This study found a significant association between peer support and LtFU among PLWHA. Of the 128 respondents who experienced LtFU, 81 (63.3%) reported inadequate peer support, whereas those who received good peer support exhibited a lower proportion of LtFU (36.7%). Statistical analysis demonstrated a significant relationship between peer support and LtFU (p = 0.000). The odds ratio of 4.395 (95% CI: 2.34–8.249) indicates that patients with poor peer support were nearly 4.4 times more likely to experience LtFU than those with adequate peer support. Peer support has been shown to enhance self-efficacy, particularly among adolescents and young adult</w:t>
      </w:r>
      <w:r w:rsidRPr="00BA5758">
        <w:rPr>
          <w:rFonts w:asciiTheme="majorBidi" w:hAnsiTheme="majorBidi" w:cstheme="majorBidi"/>
          <w:sz w:val="24"/>
          <w:szCs w:val="24"/>
          <w:lang w:val="en-US"/>
        </w:rPr>
        <w:t xml:space="preserve">s </w:t>
      </w:r>
      <w:r w:rsidR="00A86F96" w:rsidRPr="00BA5758">
        <w:rPr>
          <w:rFonts w:asciiTheme="majorBidi" w:hAnsiTheme="majorBidi" w:cstheme="majorBidi"/>
          <w:sz w:val="24"/>
          <w:szCs w:val="24"/>
        </w:rPr>
        <w:fldChar w:fldCharType="begin" w:fldLock="1"/>
      </w:r>
      <w:r w:rsidR="00A86F96" w:rsidRPr="00BA5758">
        <w:rPr>
          <w:rFonts w:asciiTheme="majorBidi" w:hAnsiTheme="majorBidi" w:cstheme="majorBidi"/>
          <w:sz w:val="24"/>
          <w:szCs w:val="24"/>
        </w:rPr>
        <w:instrText>ADDIN CSL_CITATION {"citationItems":[{"id":"ITEM-1","itemData":{"author":[{"dropping-particle":"","family":"Widyawati","given":"Sri Wulan","non-dropping-particle":"","parse-names":false,"suffix":""},{"dropping-particle":"","family":"Rekawati","given":"Etty","non-dropping-particle":"","parse-names":false,"suffix":""},{"dropping-particle":"","family":"Setiawan","given":"Agus","non-dropping-particle":"","parse-names":false,"suffix":""},{"dropping-particle":"","family":"Permatasari","given":"Indah","non-dropping-particle":"","parse-names":false,"suffix":""}],"container-title":"Malahayati International Journal of Nursing and Health Science","id":"ITEM-1","issue":"6","issued":{"date-parts":[["2025"]]},"page":"760-769","title":"The effect of peer support intervention on improving self - efficacy in adolescents with HIV : A systematic review","type":"article-journal","volume":"8"},"uris":["http://www.mendeley.com/documents/?uuid=e3a92e13-469b-4b54-94c4-dda769330878"]}],"mendeley":{"formattedCitation":"(Widyawati et al., 2025)","plainTextFormattedCitation":"(Widyawati et al., 2025)","previouslyFormattedCitation":"(Widyawati et al., 2025)"},"properties":{"noteIndex":0},"schema":"https://github.com/citation-style-language/schema/raw/master/csl-citation.json"}</w:instrText>
      </w:r>
      <w:r w:rsidR="00A86F96" w:rsidRPr="00BA5758">
        <w:rPr>
          <w:rFonts w:asciiTheme="majorBidi" w:hAnsiTheme="majorBidi" w:cstheme="majorBidi"/>
          <w:sz w:val="24"/>
          <w:szCs w:val="24"/>
        </w:rPr>
        <w:fldChar w:fldCharType="separate"/>
      </w:r>
      <w:r w:rsidR="00A86F96" w:rsidRPr="00BA5758">
        <w:rPr>
          <w:rFonts w:asciiTheme="majorBidi" w:hAnsiTheme="majorBidi" w:cstheme="majorBidi"/>
          <w:noProof/>
          <w:sz w:val="24"/>
          <w:szCs w:val="24"/>
        </w:rPr>
        <w:t>(Widyawati et al., 2025)</w:t>
      </w:r>
      <w:r w:rsidR="00A86F96" w:rsidRPr="00BA5758">
        <w:rPr>
          <w:rFonts w:asciiTheme="majorBidi" w:hAnsiTheme="majorBidi" w:cstheme="majorBidi"/>
          <w:sz w:val="24"/>
          <w:szCs w:val="24"/>
        </w:rPr>
        <w:fldChar w:fldCharType="end"/>
      </w:r>
      <w:r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 xml:space="preserve">and to help PLWHA overcome practical barriers that may lead to missed treatment schedules or routine clinic visits </w:t>
      </w:r>
      <w:r w:rsidR="00895DC5" w:rsidRPr="00BA5758">
        <w:rPr>
          <w:rFonts w:asciiTheme="majorBidi" w:hAnsiTheme="majorBidi" w:cstheme="majorBidi"/>
          <w:sz w:val="24"/>
          <w:szCs w:val="24"/>
        </w:rPr>
        <w:fldChar w:fldCharType="begin" w:fldLock="1"/>
      </w:r>
      <w:r w:rsidR="00895DC5" w:rsidRPr="00BA5758">
        <w:rPr>
          <w:rFonts w:asciiTheme="majorBidi" w:hAnsiTheme="majorBidi" w:cstheme="majorBidi"/>
          <w:sz w:val="24"/>
          <w:szCs w:val="24"/>
        </w:rPr>
        <w:instrText>ADDIN CSL_CITATION {"citationItems":[{"id":"ITEM-1","itemData":{"author":[{"dropping-particle":"","family":"Aini","given":"Nila Nur","non-dropping-particle":"","parse-names":false,"suffix":""},{"dropping-particle":"","family":"Indriyani","given":"Diyan","non-dropping-particle":"","parse-names":false,"suffix":""},{"dropping-particle":"","family":"Adriani","given":"Sri Wahyuni","non-dropping-particle":"","parse-names":false,"suffix":""}],"container-title":"Journals of Ners Community","id":"ITEM-1","issue":"2","issued":{"date-parts":[["2021"]]},"page":"182-195","title":"Peer Support Improves Psychological Adaptation of HIV / AIDS Patients","type":"article-journal","volume":"12"},"uris":["http://www.mendeley.com/documents/?uuid=33d8f3ce-ec4e-45a5-89cf-615116d24d8f"]}],"mendeley":{"formattedCitation":"(Aini et al., 2021)","plainTextFormattedCitation":"(Aini et al., 2021)","previouslyFormattedCitation":"(Aini et al., 2021)"},"properties":{"noteIndex":0},"schema":"https://github.com/citation-style-language/schema/raw/master/csl-citation.json"}</w:instrText>
      </w:r>
      <w:r w:rsidR="00895DC5" w:rsidRPr="00BA5758">
        <w:rPr>
          <w:rFonts w:asciiTheme="majorBidi" w:hAnsiTheme="majorBidi" w:cstheme="majorBidi"/>
          <w:sz w:val="24"/>
          <w:szCs w:val="24"/>
        </w:rPr>
        <w:fldChar w:fldCharType="separate"/>
      </w:r>
      <w:r w:rsidR="00895DC5" w:rsidRPr="00BA5758">
        <w:rPr>
          <w:rFonts w:asciiTheme="majorBidi" w:hAnsiTheme="majorBidi" w:cstheme="majorBidi"/>
          <w:noProof/>
          <w:sz w:val="24"/>
          <w:szCs w:val="24"/>
        </w:rPr>
        <w:t>(Aini et al., 2021)</w:t>
      </w:r>
      <w:r w:rsidR="00895DC5"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rPr>
        <w:t xml:space="preserve">. </w:t>
      </w:r>
    </w:p>
    <w:p w14:paraId="7EEBD1A8" w14:textId="4EB93F70" w:rsidR="00A86F96" w:rsidRPr="00BA5758" w:rsidRDefault="00300A3A" w:rsidP="00A86F96">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Overall, peer support demonstrates a protective effect against LtFU by improving service retention and treatment adherence through practical accompaniment, enhanced self-efficacy, sustained motivation, and emotional reinforcement</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{"citationItems":[{"id":"ITEM-1","itemData":{"DOI":"10.2196/43635","ISSN":"2369-2960","abstract":"Background: Community-based organizations deliver peer-led support services to people living with HIV. Systematic reviews have found that peer-led community-based support services can improve HIV treatment outcomes; however, few studies have been implemented to evaluate its impact on mortality using long-term follow-up data. Objective: We aimed to evaluate the associations between the receipt of peer-led community-based support services and HIV treatment outcomes and survival among people living with HIV in Wuxi, China. Methods: We performed a propensity score–matched retrospective cohort study using data collected from the Chinese National HIV/AIDS Comprehensive Information Management System for people living with HIV in Wuxi, China, between 2006 and 2021. People living with HIV who received adjunctive peer-led community-based support for at least 6 months from a local community-based organization (exposure group) were matched to people living with HIV who only received routine clinic-based HIV care (control group). We compared the differences in HIV treatment outcomes and survival between these 2 groups using Kaplan-Meier curves. We used competing risk and Cox proportional hazards models to assess correlates of AIDS-related mortality (ARM) and all-cause mortality. We reported adjusted subdistribution hazard ratio and adjusted hazard ratio with 95% CIs. Results: A total of 860 people living with HIV were included (430 in the exposure group and 430 in the control group). The exposure group was more likely to adhere to antiretroviral therapy (ART; 396/430, 92.1% vs 360/430, 83.7%; P&lt;.001), remain retained in care 12 months after ART initiation (402/430, 93.5% vs 327/430, 76.1%; P&lt;.001), and achieve viral suppression 9 to 24 months after ART initiation (357/381, 93.7% vs 217/243, 89.3%; P=.048) than the control group. The exposure group had significantly lower ARM (1.8 vs 7.0 per 1000 person-years; P=.01) and all-cause mortality (2.3 vs 9.3 per 1000 person-years; P=.002) and significantly higher cumulative survival rates (P=.003). The exposure group had a 72% reduction in ARM (adjusted subdistribution hazard ratio 0.28, 95% CI 0.09-0.95) and a 70% reduction in all-cause mortality (adjusted hazard ratio 0.30, 95% CI 0.11-0.82). The nonrandomized retrospective nature of our analysis prevents us from determining whether peer-led community-based support caused the observed differences in HIV treatment outcomes and survival between the exposure and control gro…","author":[{"dropping-particle":"","family":"Meng","given":"Xiaojun","non-dropping-particle":"","parse-names":false,"suffix":""},{"dropping-particle":"","family":"Yin","given":"Hanlu","non-dropping-particle":"","parse-names":false,"suffix":""},{"dropping-particle":"","family":"Ma","given":"Wenjuan","non-dropping-particle":"","parse-names":false,"suffix":""},{"dropping-particle":"","family":"Gu","given":"Jing","non-dropping-particle":"","parse-names":false,"suffix":""},{"dropping-particle":"","family":"Lu","given":"Zhen","non-dropping-particle":"","parse-names":false,"suffix":""},{"dropping-particle":"","family":"Fitzpatrick","given":"Thomas","non-dropping-particle":"","parse-names":false,"suffix":""},{"dropping-particle":"","family":"Zou","given":"Huachun","non-dropping-particle":"","parse-names":false,"suffix":""}],"container-title":"JMIR Public Health Surveill","id":"ITEM-1","issued":{"date-parts":[["2023"]]},"page":"e43635","title":"Peer-Led Community-Based Support Services and HIV Treatment Outcomes Among People Living With HIV in Wuxi, China: Propensity Score–Matched Analysis of Surveillance Data From 2006 to 2021","type":"article-journal","volume":"9"},"uris":["http://www.mendeley.com/documents/?uuid=b539de6d-5b5d-4f2e-94ff-3c1b0bea6eaa"]}],"mendeley":{"formattedCitation":"(Meng et al., 2023)","plainTextFormattedCitation":"(Meng et al., 2023)","previouslyFormattedCitation":"(Meng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(Meng et al., 2023)</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 xml:space="preserve">, </w:t>
      </w:r>
      <w:r w:rsidR="00895DC5" w:rsidRPr="00BA5758">
        <w:rPr>
          <w:rFonts w:asciiTheme="majorBidi" w:hAnsiTheme="majorBidi" w:cstheme="majorBidi"/>
          <w:sz w:val="24"/>
          <w:szCs w:val="24"/>
        </w:rPr>
        <w:fldChar w:fldCharType="begin" w:fldLock="1"/>
      </w:r>
      <w:r w:rsidR="00895DC5" w:rsidRPr="00BA5758">
        <w:rPr>
          <w:rFonts w:asciiTheme="majorBidi" w:hAnsiTheme="majorBidi" w:cstheme="majorBidi"/>
          <w:sz w:val="24"/>
          <w:szCs w:val="24"/>
        </w:rPr>
        <w:instrText>ADDIN CSL_CITATION {"citationItems":[{"id":"ITEM-1","itemData":{"author":[{"dropping-particle":"","family":"Muthoni","given":"Kibibi","non-dropping-particle":"","parse-names":false,"suffix":""}],"container-title":"Research Output Journal of Public Health and Medicine","id":"ITEM-1","issue":"3","issued":{"date-parts":[["2025"]]},"page":"50-53","title":"Effect of Peer Support Groups on ART Adherence Among Young Adults With HIV : A Narrative Review","type":"article-journal","volume":"5"},"uris":["http://www.mendeley.com/documents/?uuid=ecd174d8-4fbb-4a9c-ad97-9615b273c59d"]}],"mendeley":{"formattedCitation":"(Muthoni, 2025)","plainTextFormattedCitation":"(Muthoni, 2025)","previouslyFormattedCitation":"(Muthoni, 2025)"},"properties":{"noteIndex":0},"schema":"https://github.com/citation-style-language/schema/raw/master/csl-citation.json"}</w:instrText>
      </w:r>
      <w:r w:rsidR="00895DC5" w:rsidRPr="00BA5758">
        <w:rPr>
          <w:rFonts w:asciiTheme="majorBidi" w:hAnsiTheme="majorBidi" w:cstheme="majorBidi"/>
          <w:sz w:val="24"/>
          <w:szCs w:val="24"/>
        </w:rPr>
        <w:fldChar w:fldCharType="separate"/>
      </w:r>
      <w:r w:rsidR="00895DC5" w:rsidRPr="00BA5758">
        <w:rPr>
          <w:rFonts w:asciiTheme="majorBidi" w:hAnsiTheme="majorBidi" w:cstheme="majorBidi"/>
          <w:noProof/>
          <w:sz w:val="24"/>
          <w:szCs w:val="24"/>
        </w:rPr>
        <w:t>(Muthoni, 2025)</w:t>
      </w:r>
      <w:r w:rsidR="00895DC5"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r w:rsidR="00895DC5" w:rsidRPr="00BA5758">
        <w:rPr>
          <w:rFonts w:asciiTheme="majorBidi" w:hAnsiTheme="majorBidi" w:cstheme="majorBidi"/>
          <w:sz w:val="24"/>
          <w:szCs w:val="24"/>
          <w:lang w:val="en-US"/>
        </w:rPr>
        <w:t xml:space="preserve"> </w:t>
      </w:r>
      <w:r w:rsidR="00F6457A" w:rsidRPr="00BA5758">
        <w:rPr>
          <w:rFonts w:asciiTheme="majorBidi" w:hAnsiTheme="majorBidi" w:cstheme="majorBidi"/>
          <w:sz w:val="24"/>
          <w:szCs w:val="24"/>
        </w:rPr>
        <w:t xml:space="preserve">Peer-led interventions, such as structured support groups and community peer navigators, have been associated with improved retention in care and better treatment outcomes, particularly when programs are well-structured and integrated into health systems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{"citationItems":[{"id":"ITEM-1","itemData":{"DOI":"10.1089/apc.2023.0094","ISSN":"1087-2914","abstract":"Despite widespread availability of life-saving antiretroviral therapy (ART) in sub-Saharan Africa, AIDS remains one of the leading causes of death among adolescents living with HIV (ALHIV) in sub-Saharan Africa. The purpose of this article was to review the state of the science regarding interventions to improve ART adherence and/or HIV care retention among ALHIV throughout sub-Saharan Africa. The primary aim of this review was to describe the impact of peer support interventions in improving treatment outcomes (i.e., ART adherence and retention in HIV care) among ALHIV in sub-Saharan Africa. The secondary aim of this review was to determine whether these interventions may be efficacious at improving mental health outcomes. We identified 27 articles that met the eligibility criteria for our review, and categorized each article based on the type of peer support provided to ALHIV?individualized peer support, group-based support, and individualized plus group-based support. Results regarding the efficacy of these interventions are mixed and most of the studies included were deemed moderate in methodological quality. Although studies evaluating group-based peer support interventions were the most common, most of these studies were not associated with retention, adherence, or mental health outcomes. More robust, fully powered studies are needed to strengthen our knowledge base regarding peer support for ALHIV.","author":[{"dropping-particle":"V","family":"Ahmed","given":"Charisse","non-dropping-particle":"","parse-names":false,"suffix":""},{"dropping-particle":"","family":"Doyle","given":"Rebecca","non-dropping-particle":"","parse-names":false,"suffix":""},{"dropping-particle":"","family":"Gallagher","given":"Darby","non-dropping-particle":"","parse-names":false,"suffix":""},{"dropping-particle":"","family":"Imoohi","given":"Olore","non-dropping-particle":"","parse-names":false,"suffix":""},{"dropping-particle":"","family":"Ofoegbu","given":"Ugochi","non-dropping-particle":"","parse-names":false,"suffix":""},{"dropping-particle":"","family":"Wright","given":"Robyn","non-dropping-particle":"","parse-names":false,"suffix":""},{"dropping-particle":"","family":"Yore","given":"Mackensie A","non-dropping-particle":"","parse-names":false,"suffix":""},{"dropping-particle":"","family":"Brooks","given":"Merrian J","non-dropping-particle":"","parse-names":false,"suffix":""},{"dropping-particle":"","family":"Flores","given":"Dalmacio Dennis","non-dropping-particle":"","parse-names":false,"suffix":""},{"dropping-particle":"","family":"Lowenthal","given":"Elizabeth D","non-dropping-particle":"","parse-names":false,"suffix":""},{"dropping-particle":"","family":"Rice","given":"Bridgette M","non-dropping-particle":"","parse-names":false,"suffix":""},{"dropping-particle":"","family":"Buttenheim","given":"Alison M","non-dropping-particle":"","parse-names":false,"suffix":""}],"container-title":"AIDS Patient Care and STDs","id":"ITEM-1","issue":"11","issued":{"date-parts":[["2023","11","1"]]},"note":"doi: 10.1089/apc.2023.0094","page":"535-559","publisher":"Mary Ann Liebert, Inc., publishers","title":"A Systematic Review of Peer Support Interventions for Adolescents Living with HIV in Sub-Saharan Africa","type":"article-journal","volume":"37"},"uris":["http://www.mendeley.com/documents/?uuid=e64e0e03-00db-47bc-9019-2bc169d2928c"]}],"mendeley":{"formattedCitation":"(Ahmed et al., 2023)","plainTextFormattedCitation":"(Ahmed et al., 2023)","previouslyFormattedCitation":"(Ahmed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(Ahmed et al., 2023)</w:t>
      </w:r>
      <w:r w:rsidR="0095731B" w:rsidRPr="00BA5758">
        <w:rPr>
          <w:rFonts w:asciiTheme="majorBidi" w:hAnsiTheme="majorBidi" w:cstheme="majorBidi"/>
          <w:sz w:val="24"/>
          <w:szCs w:val="24"/>
        </w:rPr>
        <w:fldChar w:fldCharType="end"/>
      </w:r>
      <w:r w:rsidR="00A86F96"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00F6457A" w:rsidRPr="00BA5758">
        <w:rPr>
          <w:rFonts w:asciiTheme="majorBidi" w:hAnsiTheme="majorBidi" w:cstheme="majorBidi"/>
          <w:sz w:val="24"/>
          <w:szCs w:val="24"/>
        </w:rPr>
        <w:t>Conversely, the absence of peer support has been identified as a predictor of increased LtFU risk following ART initiation</w:t>
      </w:r>
      <w:r w:rsidR="00F6457A"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{"citationItems":[{"id":"ITEM-1","itemData":{"DOI":"10.1177/15248399211049824","ISSN":"1552-6372 (Electronic)","PMID":"34693785","abstract":"Peer support for people living with HIV has gained increasing traction and is  considered a way to take an active role in self-management. The existing research examining peer support interventions has reported promising evidence of the benefits of peer support. The purpose of our scoping review was to describe research on peer support for people living with HIV. We included 53 studies and sorted them into analytic categories and conducted descriptive analyses. The studies that were published between November/December 2000 and May 2021, had a range of study designs and heterogeneous priority groups, and included 20,657 participants from 16 countries. We identified 43 evaluations of the effect of peer support and 10 evaluations of implementation, process, feasibility, cost of peer support. We also categorized peer support by key functions, finding that the most common key functions were linkage to clinical care and community resources and assistance in daily management, with only one study directly related to chronic care. There is growing research interest in peer support for people living with HIV, particularly in high-income countries and related to the evaluation of effects. The revealed gaps of prioritized functions of peer support have implications for further research. Further focus on interventions addressing secondary prevention related to noncommunicable diseases as part of a care package is recommended to meet people's needs and preferences and increase self-management related to a chronic lifelong condition.","author":[{"dropping-particle":"","family":"Øgård-Repål","given":"Anita","non-dropping-particle":"","parse-names":false,"suffix":""},{"dropping-particle":"","family":"Berg","given":"Rigmor C","non-dropping-particle":"","parse-names":false,"suffix":""},{"dropping-particle":"","family":"Fossum","given":"Mariann","non-dropping-particle":"","parse-names":false,"suffix":""}],"container-title":"Health promotion practice","id":"ITEM-1","issue":"1","issued":{"date-parts":[["2023","1"]]},"language":"eng","page":"172-190","publisher-place":"United States","title":"Peer Support for People Living With HIV: A Scoping Review.","type":"article-journal","volume":"24"},"uris":["http://www.mendeley.com/documents/?uuid=f556ee07-bc6d-4866-913a-259f74f64834"]}],"mendeley":{"formattedCitation":"(Øgård-Repål et al., 2023)","plainTextFormattedCitation":"(Øgård-Repål et al., 2023)","previouslyFormattedCitation":"(Øgård-Repål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(Øgård-Repål et al., 2023)</w:t>
      </w:r>
      <w:r w:rsidR="0095731B" w:rsidRPr="00BA5758">
        <w:rPr>
          <w:rFonts w:asciiTheme="majorBidi" w:hAnsiTheme="majorBidi" w:cstheme="majorBidi"/>
          <w:sz w:val="24"/>
          <w:szCs w:val="24"/>
        </w:rPr>
        <w:fldChar w:fldCharType="end"/>
      </w:r>
      <w:r w:rsidR="00A86F96"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00F6457A" w:rsidRPr="00BA5758">
        <w:rPr>
          <w:rFonts w:asciiTheme="majorBidi" w:hAnsiTheme="majorBidi" w:cstheme="majorBidi"/>
          <w:sz w:val="24"/>
          <w:szCs w:val="24"/>
        </w:rPr>
        <w:t>Evidence from systematic reviews indicates that peer support contributes to improved retention (risk ratio [RR] 1.07) and higher ART adherence (RR 1.06) within the first 12 months of HIV treatment</w:t>
      </w:r>
      <w:r w:rsidR="00F6457A"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{"citationItems":[{"id":"ITEM-1","itemData":{"DOI":"10.1371/journal.pone.0252623","ISSN":"1932-6203 (Electronic)","PMID":"34138897","abstract":"BACKGROUND: The practice of involving people living with HIV in the development  and provision of healthcare has gained increasing traction. Peer-support for people living with HIV is assistance and encouragement by an individual considered equal, in taking an active role in self-management of their chronic health condition. The objective of this systematic review was to assess the effects of peer-support for people living with HIV. METHODS: We conducted a systematic review in accordance with international guidelines. Following systematic searches of eight databases until May 2020, two reviewers performed independent screening of studies according to preset inclusion criteria. We conducted risk of bias assessments and meta-analyses of the available evidence in randomised controlled trials (RCTs). The certainty of the evidence for each primary outcome was evaluated with the Grading of Recommendations Assessment, Development, and Evaluation system. RESULTS: After screening 219 full texts we included 20 RCTs comprising 7605 participants at baseline from nine different countries. The studies generally had low risk of bias. Main outcomes with high certainty of evidence showed modest, but superior retention in care (Risk Ratio [RR] 1.07; Confidence Interval [CI] 95% 1.02-1.12 at 12 months follow-up), antiretroviral therapy (ART) adherence (RR 1.06; CI 95% 1.01-1.10 at 3 months follow-up), and viral suppression (Odds Ratio up to 6.24; CI 95% 1.28-30.5 at 6 months follow-up) for peer-support participants. The results showed that the current state of evidence for most other main outcomes (ART initiation, CD4 cell count, quality of life, mental health) was promising, but too uncertain for firm conclusions. CONCLUSIONS: Overall, peer-support with routine medical care is superior to routine clinic follow-up in improving outcomes for people living with HIV. It is a feasible and effective approach for linking and retaining people living with HIV to HIV care, which can help shoulder existing services. TRIAL REGISTRATION: CRD42020173433.","author":[{"dropping-particle":"","family":"Berg","given":"Rigmor C","non-dropping-particle":"","parse-names":false,"suffix":""},{"dropping-particle":"","family":"Page","given":"Samantha","non-dropping-particle":"","parse-names":false,"suffix":""},{"dropping-particle":"","family":"Øgård-Repål","given":"Anita","non-dropping-particle":"","parse-names":false,"suffix":""}],"container-title":"PloS one","id":"ITEM-1","issue":"6","issued":{"date-parts":[["2021"]]},"language":"eng","page":"e0252623","publisher-place":"United States","title":"The effectiveness of peer-support for people living with HIV: A systematic review  and meta-analysis.","type":"article-journal","volume":"16"},"uris":["http://www.mendeley.com/documents/?uuid=0d7edce7-5613-4886-a49e-deb4fcb6fe94"]}],"mendeley":{"formattedCitation":"(Berg et al., 2021)","plainTextFormattedCitation":"(Berg et al., 2021)","previouslyFormattedCitation":"(Berg et al., 2021)"},"properties":{"noteIndex":0},"schema":"https://github.com/citation-style-language/schema/raw/master/csl-citation.json"}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(Berg et al., 2021)</w:t>
      </w:r>
      <w:r w:rsidR="0095731B" w:rsidRPr="00BA5758">
        <w:rPr>
          <w:rFonts w:asciiTheme="majorBidi" w:hAnsiTheme="majorBidi" w:cstheme="majorBidi"/>
          <w:sz w:val="24"/>
          <w:szCs w:val="24"/>
        </w:rPr>
        <w:fldChar w:fldCharType="end"/>
      </w:r>
      <w:r w:rsidR="00A86F96" w:rsidRPr="00BA5758">
        <w:rPr>
          <w:rFonts w:asciiTheme="majorBidi" w:hAnsiTheme="majorBidi" w:cstheme="majorBidi"/>
          <w:sz w:val="24"/>
          <w:szCs w:val="24"/>
          <w:lang w:val="en-US"/>
        </w:rPr>
        <w:t xml:space="preserve">. </w:t>
      </w:r>
      <w:r w:rsidR="00F6457A" w:rsidRPr="00BA5758">
        <w:rPr>
          <w:rFonts w:asciiTheme="majorBidi" w:hAnsiTheme="majorBidi" w:cstheme="majorBidi"/>
          <w:sz w:val="24"/>
          <w:szCs w:val="24"/>
        </w:rPr>
        <w:t xml:space="preserve">The presence of peer companions has also been associated with reduced LtFU rates </w:t>
      </w:r>
      <w:r w:rsidR="00895DC5" w:rsidRPr="00BA5758">
        <w:rPr>
          <w:rFonts w:asciiTheme="majorBidi" w:hAnsiTheme="majorBidi" w:cstheme="majorBidi"/>
          <w:sz w:val="24"/>
          <w:szCs w:val="24"/>
        </w:rPr>
        <w:fldChar w:fldCharType="begin" w:fldLock="1"/>
      </w:r>
      <w:r w:rsidR="00895DC5" w:rsidRPr="00BA5758">
        <w:rPr>
          <w:rFonts w:asciiTheme="majorBidi" w:hAnsiTheme="majorBidi" w:cstheme="majorBidi"/>
          <w:sz w:val="24"/>
          <w:szCs w:val="24"/>
        </w:rPr>
        <w:instrText>ADDIN CSL_CITATION {"citationItems":[{"id":"ITEM-1","itemData":{"author":[{"dropping-particle":"","family":"Purnomo","given":"Cahyo","non-dropping-particle":"","parse-names":false,"suffix":""},{"dropping-particle":"","family":"Kusyairi","given":"Achmad","non-dropping-particle":"","parse-names":false,"suffix":""},{"dropping-particle":"","family":"Mariani","given":"","non-dropping-particle":"","parse-names":false,"suffix":""}],"container-title":"Jurnal Ilmu Kesehatan Mandira Cendikia","id":"ITEM-1","issue":"3","issued":{"date-parts":[["2025"]]},"page":"33-41","title":"Hubungan Peran Pendamping Teman Sebaya Dengan Penurunan Lost Follow Up Penderita HIV / AIDS di Klinik VCT RSUD Dr . Haryoto Lumajang","type":"article-journal","volume":"4"},"uris":["http://www.mendeley.com/documents/?uuid=272d1ac3-6a14-4b46-be1d-43aeb0c888a4"]}],"mendeley":{"formattedCitation":"(Purnomo et al., 2025)","plainTextFormattedCitation":"(Purnomo et al., 2025)","previouslyFormattedCitation":"(Purnomo et al., 2025)"},"properties":{"noteIndex":0},"schema":"https://github.com/citation-style-language/schema/raw/master/csl-citation.json"}</w:instrText>
      </w:r>
      <w:r w:rsidR="00895DC5" w:rsidRPr="00BA5758">
        <w:rPr>
          <w:rFonts w:asciiTheme="majorBidi" w:hAnsiTheme="majorBidi" w:cstheme="majorBidi"/>
          <w:sz w:val="24"/>
          <w:szCs w:val="24"/>
        </w:rPr>
        <w:fldChar w:fldCharType="separate"/>
      </w:r>
      <w:r w:rsidR="00895DC5" w:rsidRPr="00BA5758">
        <w:rPr>
          <w:rFonts w:asciiTheme="majorBidi" w:hAnsiTheme="majorBidi" w:cstheme="majorBidi"/>
          <w:noProof/>
          <w:sz w:val="24"/>
          <w:szCs w:val="24"/>
        </w:rPr>
        <w:t>(Purnomo et al., 2025)</w:t>
      </w:r>
      <w:r w:rsidR="00895DC5" w:rsidRPr="00BA5758">
        <w:rPr>
          <w:rFonts w:asciiTheme="majorBidi" w:hAnsiTheme="majorBidi" w:cstheme="majorBidi"/>
          <w:sz w:val="24"/>
          <w:szCs w:val="24"/>
        </w:rPr>
        <w:fldChar w:fldCharType="end"/>
      </w:r>
      <w:r w:rsidR="00F6457A" w:rsidRPr="00BA5758">
        <w:rPr>
          <w:rFonts w:asciiTheme="majorBidi" w:hAnsiTheme="majorBidi" w:cstheme="majorBidi"/>
          <w:sz w:val="24"/>
          <w:szCs w:val="24"/>
          <w:lang w:val="en-US"/>
        </w:rPr>
        <w:t xml:space="preserve">, </w:t>
      </w:r>
      <w:r w:rsidR="00F6457A" w:rsidRPr="00BA5758">
        <w:rPr>
          <w:rFonts w:asciiTheme="majorBidi" w:hAnsiTheme="majorBidi" w:cstheme="majorBidi"/>
          <w:sz w:val="24"/>
          <w:szCs w:val="24"/>
        </w:rPr>
        <w:t xml:space="preserve">s peer interactions help alleviate stress and fear related to social stigma—factors that strongly influence treatment adherence and LtFU </w:t>
      </w:r>
      <w:r w:rsidR="00895DC5" w:rsidRPr="00BA5758">
        <w:rPr>
          <w:rFonts w:asciiTheme="majorBidi" w:hAnsiTheme="majorBidi" w:cstheme="majorBidi"/>
          <w:sz w:val="24"/>
          <w:szCs w:val="24"/>
        </w:rPr>
        <w:fldChar w:fldCharType="begin" w:fldLock="1"/>
      </w:r>
      <w:r w:rsidR="00895DC5" w:rsidRPr="00BA5758">
        <w:rPr>
          <w:rFonts w:asciiTheme="majorBidi" w:hAnsiTheme="majorBidi" w:cstheme="majorBidi"/>
          <w:sz w:val="24"/>
          <w:szCs w:val="24"/>
        </w:rPr>
        <w:instrText>ADDIN CSL_CITATION {"citationItems":[{"id":"ITEM-1","itemData":{"DOI":"10.1186/s12954-022-00595-8","ISSN":"1477-7517 (Electronic)","PMID":"35148776","abstract":"INTRODUCTION: People who use, including those who inject, drugs in Indonesia are  disproportionately affected by HIV, but tend to be diagnosed at a late stage of infection, delay initiation to and have poor rates of retention in antiretroviral treatment, resulting in high rates of morbidity and mortality. In addition to legal, policy and health system barriers, PWID may be hesitant to engage in HIV, treatment and care due to lack of knowledge, distrust of the health care system, and stigma related to their dual drug use and HIV status. Implementation of formal peer support initiatives may reduce provider- and individual-level barriers and increase testing, linkage to, and engagement in HIV care among people who use drugs. METHODS: We conducted a community-led qualitative study to explore the impacts of peer support for people who inject drugs on HIV care access and engagement in Indonesia. Semi-structured, in-depth interviews were conducted with 20 participants in Jakarta and Bandung. Thematic analysis was used to explore how people who inject drugs living with HIV (PWID LHIV) (n = 8), peer support workers (n = 6), and service providers (n = 6) perceived peer support provision by non-governmental organisations. RESULTS: Participants unanimously described peer support as beneficial. Peer support workers were widely credited with facilitating access to HIV testing, referral to care, uptake of and adherence to antiretroviral treatment, as well as sustaining engagement in care for PWID. Support mechanisms that facilitated positive peer experiences included provision of HIV knowledge and awareness, emotional support, help with navigating complex bureaucracy, developing trust in health care services, enhancing confidence and motivation, and supporting peers to navigate a wide range of health and social welfare services beyond HIV-related care. CONCLUSIONS: Findings indicate that peer support can enhance access to testing, linkage to, and engagement in HIV care for people who use drugs living with HIV in Indonesia. In a context of an ongoing HIV epidemic among people who use drugs, reduced funding and policy attention to HIV and harm reduction, there is an urgent need to prioritize peer support interventions to identify people who use drugs facing health risks and link them to appropriate services.","author":[{"dropping-particle":"","family":"Iryawan","given":"Arif Rachman","non-dropping-particle":"","parse-names":false,"suffix":""},{"dropping-particle":"","family":"Stoicescu","given":"Claudia","non-dropping-particle":"","parse-names":false,"suffix":""},{"dropping-particle":"","family":"Sjahrial","given":"Faisyal","non-dropping-particle":"","parse-names":false,"suffix":""},{"dropping-particle":"","family":"Nio","given":"Kuntanto","non-dropping-particle":"","parse-names":false,"suffix":""},{"dropping-particle":"","family":"Dominich","given":"Alexa","non-dropping-particle":"","parse-names":false,"suffix":""}],"container-title":"Harm reduction journal","id":"ITEM-1","issue":"1","issued":{"date-parts":[["2022","2"]]},"language":"eng","page":"16","publisher-place":"England","title":"The impact of peer support on testing, linkage to and engagement in HIV care for  people who inject drugs in Indonesia: qualitative perspectives from a community-led study.","type":"article-journal","volume":"19"},"uris":["http://www.mendeley.com/documents/?uuid=327a1b4e-1449-4345-b6f5-4805d8bde092"]}],"mendeley":{"formattedCitation":"(Iryawan et al., 2022)","plainTextFormattedCitation":"(Iryawan et al., 2022)","previouslyFormattedCitation":"(Iryawan et al., 2022)"},"properties":{"noteIndex":0},"schema":"https://github.com/citation-style-language/schema/raw/master/csl-citation.json"}</w:instrText>
      </w:r>
      <w:r w:rsidR="00895DC5" w:rsidRPr="00BA5758">
        <w:rPr>
          <w:rFonts w:asciiTheme="majorBidi" w:hAnsiTheme="majorBidi" w:cstheme="majorBidi"/>
          <w:sz w:val="24"/>
          <w:szCs w:val="24"/>
        </w:rPr>
        <w:fldChar w:fldCharType="separate"/>
      </w:r>
      <w:r w:rsidR="00895DC5" w:rsidRPr="00BA5758">
        <w:rPr>
          <w:rFonts w:asciiTheme="majorBidi" w:hAnsiTheme="majorBidi" w:cstheme="majorBidi"/>
          <w:noProof/>
          <w:sz w:val="24"/>
          <w:szCs w:val="24"/>
        </w:rPr>
        <w:t>(Iryawan et al., 2022)</w:t>
      </w:r>
      <w:r w:rsidR="00895DC5"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p>
    <w:p w14:paraId="04A96A31" w14:textId="0E5C422F" w:rsidR="000A41C1" w:rsidRPr="00BA5758" w:rsidRDefault="000A41C1"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lastRenderedPageBreak/>
        <w:t>Association Between Healthcare Provider Support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6FF8B0A8" w14:textId="18CE80EC" w:rsidR="00895DC5" w:rsidRPr="00BA5758" w:rsidRDefault="000A41C1" w:rsidP="00895DC5">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The study found that 61.3% of respondents perceived healthcare provider support as good, while 38.7% perceived it as inadequate. Perceived support from healthcare providers is closely associated with long-term treatment success. Attention to patient education and effective communication has been shown to improve patients’ knowledge, which in turn enhances treatment engagement and clinical outcomes </w:t>
      </w:r>
      <w:r w:rsidR="0095731B" w:rsidRPr="00BA5758">
        <w:rPr>
          <w:rFonts w:asciiTheme="majorBidi" w:hAnsiTheme="majorBidi" w:cstheme="majorBidi"/>
          <w:sz w:val="24"/>
          <w:szCs w:val="24"/>
        </w:rPr>
        <w:fldChar w:fldCharType="begin" w:fldLock="1"/>
      </w:r>
      <w:r w:rsidR="005F44C8" w:rsidRPr="00BA5758">
        <w:rPr>
          <w:rFonts w:asciiTheme="majorBidi" w:hAnsiTheme="majorBidi" w:cstheme="majorBidi"/>
          <w:sz w:val="24"/>
          <w:szCs w:val="24"/>
        </w:rPr>
        <w:instrText>ADDIN CSL_CITATION {"citationItems":[{"id":"ITEM-1","itemData":{"DOI":"10.1155/2021/8659372","author":[{"dropping-particle":"","family":"Gebremichael","given":"Mathewos Alemu","non-dropping-particle":"","parse-names":false,"suffix":""},{"dropping-particle":"","family":"Gurara","given":"Mekdes Kondale","non-dropping-particle":"","parse-names":false,"suffix":""},{"dropping-particle":"","family":"Weldehawaryat","given":"Haymanot Nigussie","non-dropping-particle":"","parse-names":false,"suffix":""},{"dropping-particle":"","family":"Mengesha","given":"Melkamu Merid","non-dropping-particle":"","parse-names":false,"suffix":""},{"dropping-particle":"","family":"Berbada","given":"Dessalegn Ajema","non-dropping-particle":"","parse-names":false,"suffix":""}],"container-title":"BioMed Research International","id":"ITEM-1","issued":{"date-parts":[["2021"]]},"page":"1-12","title":"Predictors of Loss to Follow-Up among HIV-Infected Adults after Initiation of the First-Line Antiretroviral Therapy at Arba Minch General Hospital , Southern Ethiopia : A 5-Year Retrospective Cohort Study","type":"article-journal","volume":"8659372"},"uris":["http://www.mendeley.com/documents/?uuid=134ebd11-2069-4f6d-9f7f-daae8d250f27"]}],"mendeley":{"formattedCitation":"(Gebremichael et al., 2021)","plainTextFormattedCitation":"(Gebremichael et al., 2021)","previouslyFormattedCitation":"(Gebremichael et al., 2021)"},"properties":{"noteIndex":0},"schema":"https://github.com/citation-style-language/schema/raw/master/csl-citation.json"}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(Gebremichael et al., 2021)</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Inadequate services may reinforce feelings of alienation and lack of appreciation among patients, thereby increasing the risk of treatment discontinuation</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{"citationItems":[{"id":"ITEM-1","itemData":{"DOI":"10.1186/s12879-024-10089-6","ISSN":"14712334","PMID":"39425041","abstract":"Background: Patient loss-to-follow-up (LTFU) in HIV care is a major challenge, especially in low-resource settings. Although the literature has focused on the total rate at which patients disengage from care, it has not sufficiently examined the specific risk periods during which patients are most likely to disengage from care. By addressing this gap, researchers and healthcare providers can develop more targeted interventions to improve patient engagement in HIV care. Methods: We conducted a retrospective cohort study on newly enrolled adult HIV patients at seven randomly selected high-volume health facilities in Ethiopia from May 2022 to April 2024. Data analysis was performed using SPSS version 26, with a focus on the incidence rate of LTFU during the critical risk periods. Cumulative hazard analysis was used to compare event distributions, whereas a Poisson regression model was used to identify factors predicting LTFU, with statistical significance set at p &lt; 0.05. Results: The analysis included 737 individuals newly enrolled in HIV care; 165 participants (22.4%, 95% CI: 19.5–25.2) were LTFU by the end of two years, of which 50.1% occurred within the first 6 months, 29.7% within 7–12 months, and 19.4% from 13 to 24 months on ART. The overall incidence rate of LTFU was 18.3 per 1,000 PMO (95% CI: 15.9–20.6), with rates of 167.7 in the first 6 months, 55.4 in 7–12 months, and 18.1 in 13–24 months. Incomplete addresses lacking a phone number or location information (IRR: 1.61; 95% CI: 1.14, 2.27) and poor adherence (IRR: 1.78; 95% CI: 1.28, 2.48) were factors predicting the incidence rate of LTFU. Conclusion: LTFU peaked in the first 6 months, accounting for approximately half of total losses, remained elevated from months 7–12, and stabilized after the first year of HIV care and treatment. Address information and adherence were predictors of LTFU. To effectively minimize LTFU, efforts should focus on intensive support during the first six months of care, followed by sustained efforts and monitoring in the next six months. Our findings highlight a critical period for targeted interventions to reduce LTFU in HIV care.","author":[{"dropping-particle":"","family":"Endebu","given":"Tamrat","non-dropping-particle":"","parse-names":false,"suffix":""},{"dropping-particle":"","family":"Taye","given":"Girma","non-dropping-particle":"","parse-names":false,"suffix":""},{"dropping-particle":"","family":"Deressa","given":"Wakgari","non-dropping-particle":"","parse-names":false,"suffix":""}],"container-title":"BMC Infectious Diseases","id":"ITEM-1","issue":"1","issued":{"date-parts":[["2024"]]},"title":"Rate and predictors of loss to follow-up in HIV care in a low-resource setting: analyzing critical risk periods","type":"article-journal","volume":"24"},"uris":["http://www.mendeley.com/documents/?uuid=40ed5864-0120-4c10-a81b-8dbf1987a662"]},{"id":"ITEM-2","itemData":{"DOI":"10.1371/journal.pone.0217606","ISBN":"1111111111","ISSN":"19326203","PMID":"32255796","abstract":"Background Retaining patients starting antiretroviral therapy (ART) and ensuring good adherence remain cornerstone of long-term viral suppression. In this era of test and treat (T&amp;T) policy, ensuring that patients starting ART remain connected to HIV clinics is key to achieve the UNAIDS 90-90-90 targets. Currently, limited studies have evaluated the effect of early ART initiation on loss to follow up in a routine health care delivery setting. We studied the cumulative incidence, incidence rate of loss to follow up (LTFU), and factors associated with LTFU in a primary healthcare clinic that has practiced T&amp;T since 2012. Methods We retrospectively analyzed extracted routine program data on patients who started ART from January 2012 to 4th July 2016. We defined LTFU as failure of a patient to return to the HIV clinic for at least 90 days from the date of their last appointment. We calculated cumulative incidence, incidence rate and fitted a multivariable Cox proportion hazards regression model to determine factors associated with LTFU. Results Of the 7,553 patients included in our sample, 3,231 (42.8%) started ART within seven days following HIV diagnosis. There were 1,180 cases of LTFU observed over 15,807.7 person years at risk. The overall incidence rate (IR) of LTFU was 7.5 (95% CI, 7.1-7.9) per 100 person years of observation (pyo). Cumulative incidence of LTFU increased with duration of follow up from 8.9% (95% CI, 8.2-9.6%) at 6 months to 20.2% (95% CI, 19.0-21.4%) at 48 months. Predictors of elevated risk of LTFU were: starting ART within 7 days following HIV diagnosis ((aHR) = 1.69, 95% CI, 1.50-1.91), lack of a telephone set (aHR = 1.52, 95% CI, 1.35-1.71), CD4 cell count of 200-350μ/ml (aHR = 1.21, 95% CI, 1.01-1.45) and baseline WHO clinical stage 3 or 4 (aHR = 1.35, 95% CI, 1.10-1.65). Factors associated with a reduced risk of LTFU were: baseline age ≥25 years (aHR ranging from 0.62, 95% CI, 0.47-0.81 for age group 25-29 years to 0.24, 95% CI, 0.13-0.44 for age group ≥50 years), at least primary education level (aHR ranging from aHR = 0.77, 95% CI, 0.62-0.94 for primary education level to 0.50, 95% CI, 0.34-0.75 for post-secondary education level), and having a BMI ≥ 30 (aHR = 0.28, 95% CI, 0.15-0.51). Conclusion The risk of loss to follow up increased with time and was higher among patients who started ART within seven days following HIV diagnosis, higher among patients without a telephone set, lower among patients aged ≥ 25 years, lower amon…","author":[{"dropping-particle":"","family":"Kiwanuka","given":"Julius","non-dropping-particle":"","parse-names":false,"suffix":""},{"dropping-particle":"","family":"Waila","given":"Jacinta Mukulu","non-dropping-particle":"","parse-names":false,"suffix":""},{"dropping-particle":"","family":"Kahungu","given":"Methuselah Muhindo","non-dropping-particle":"","parse-names":false,"suffix":""},{"dropping-particle":"","family":"Kitonsa","given":"Jonathan","non-dropping-particle":"","parse-names":false,"suffix":""},{"dropping-particle":"","family":"Kiwanuka","given":"Noah","non-dropping-particle":"","parse-names":false,"suffix":""}],"container-title":"PLoS ONE","id":"ITEM-2","issue":"4","issued":{"date-parts":[["2020"]]},"page":"1-17","title":"Determinants of loss to follow-up among HIV positive patients receiving antiretroviral therapy in a test and treat setting: A retrospective cohort study in Masaka, Uganda","type":"article-journal","volume":"15"},"uris":["http://www.mendeley.com/documents/?uuid=077347d9-8bd6-4aa5-9662-9b8787ed9ec3"]}],"mendeley":{"formattedCitation":"(Endebu et al., 2024; Kiwanuka et al., 2020)","plainTextFormattedCitation":"(Endebu et al., 2024; Kiwanuka et al., 2020)","previouslyFormattedCitation":"(Endebu et al., 2024; Kiwanuka et al., 2020)"},"properties":{"noteIndex":0},"schema":"https://github.com/citation-style-language/schema/raw/master/csl-citation.json"}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(Endebu et al., 2024; Kiwanuka et al., 2020)</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r w:rsidR="00895DC5" w:rsidRPr="00BA5758">
        <w:rPr>
          <w:rFonts w:asciiTheme="majorBidi" w:hAnsiTheme="majorBidi" w:cstheme="majorBidi"/>
          <w:sz w:val="24"/>
          <w:szCs w:val="24"/>
        </w:rPr>
        <w:t xml:space="preserve"> </w:t>
      </w:r>
      <w:r w:rsidRPr="00BA5758">
        <w:rPr>
          <w:rFonts w:asciiTheme="majorBidi" w:hAnsiTheme="majorBidi" w:cstheme="majorBidi"/>
          <w:sz w:val="24"/>
          <w:szCs w:val="24"/>
        </w:rPr>
        <w:t>Patient–provider interactions significantly influence medication adherence, retention in HIV clinical care, and long-term outcomes</w:t>
      </w:r>
      <w:r w:rsidR="00895DC5" w:rsidRPr="00BA5758">
        <w:rPr>
          <w:rFonts w:asciiTheme="majorBidi" w:hAnsiTheme="majorBidi" w:cstheme="majorBidi"/>
          <w:sz w:val="24"/>
          <w:szCs w:val="24"/>
          <w:lang w:val="en-US"/>
        </w:rPr>
        <w:t xml:space="preserve"> </w:t>
      </w:r>
      <w:r w:rsidR="00895DC5" w:rsidRPr="00BA5758">
        <w:rPr>
          <w:rFonts w:asciiTheme="majorBidi" w:hAnsiTheme="majorBidi" w:cstheme="majorBidi"/>
          <w:sz w:val="24"/>
          <w:szCs w:val="24"/>
        </w:rPr>
        <w:fldChar w:fldCharType="begin" w:fldLock="1"/>
      </w:r>
      <w:r w:rsidR="00895DC5" w:rsidRPr="00BA5758">
        <w:rPr>
          <w:rFonts w:asciiTheme="majorBidi" w:hAnsiTheme="majorBidi" w:cstheme="majorBidi"/>
          <w:sz w:val="24"/>
          <w:szCs w:val="24"/>
        </w:rPr>
        <w:instrText>ADDIN CSL_CITATION {"citationItems":[{"id":"ITEM-1","itemData":{"author":[{"dropping-particle":"","family":"Kristia","given":"Ghanis","non-dropping-particle":"","parse-names":false,"suffix":""},{"dropping-particle":"","family":"Djannah","given":"Sitti Nur","non-dropping-particle":"","parse-names":false,"suffix":""},{"dropping-particle":"","family":"Wardani","given":"Yuniar","non-dropping-particle":"","parse-names":false,"suffix":""}],"container-title":"Jurnal Promotif Preventif","id":"ITEM-1","issue":"5","issued":{"date-parts":[["2025"]]},"page":"1145-1155","title":"Peran Dukungan Sosial dalam Kepatuhan Terapi Antiretroviral pada Orang dengan HIV: Systematic Review","type":"article-journal","volume":"8"},"uris":["http://www.mendeley.com/documents/?uuid=922e9dfb-9e95-4fff-bf93-196c951f19cc"]}],"mendeley":{"formattedCitation":"(Kristia et al., 2025)","plainTextFormattedCitation":"(Kristia et al., 2025)","previouslyFormattedCitation":"(Kristia et al., 2025)"},"properties":{"noteIndex":0},"schema":"https://github.com/citation-style-language/schema/raw/master/csl-citation.json"}</w:instrText>
      </w:r>
      <w:r w:rsidR="00895DC5" w:rsidRPr="00BA5758">
        <w:rPr>
          <w:rFonts w:asciiTheme="majorBidi" w:hAnsiTheme="majorBidi" w:cstheme="majorBidi"/>
          <w:sz w:val="24"/>
          <w:szCs w:val="24"/>
        </w:rPr>
        <w:fldChar w:fldCharType="separate"/>
      </w:r>
      <w:r w:rsidR="00895DC5" w:rsidRPr="00BA5758">
        <w:rPr>
          <w:rFonts w:asciiTheme="majorBidi" w:hAnsiTheme="majorBidi" w:cstheme="majorBidi"/>
          <w:noProof/>
          <w:sz w:val="24"/>
          <w:szCs w:val="24"/>
        </w:rPr>
        <w:t>(Kristia et al., 2025)</w:t>
      </w:r>
      <w:r w:rsidR="00895DC5"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The quality of education delivered by healthcare providers is strongly associated with adherence and retention of patients living with HIV within healthcare services</w:t>
      </w:r>
      <w:r w:rsidRPr="00BA5758">
        <w:rPr>
          <w:rFonts w:asciiTheme="majorBidi" w:hAnsiTheme="majorBidi" w:cstheme="majorBidi"/>
          <w:sz w:val="24"/>
          <w:szCs w:val="24"/>
          <w:lang w:val="en-US"/>
        </w:rPr>
        <w:t xml:space="preserve"> </w:t>
      </w:r>
      <w:r w:rsidR="00895DC5" w:rsidRPr="00BA5758">
        <w:rPr>
          <w:rFonts w:asciiTheme="majorBidi" w:eastAsia="Times New Roman" w:hAnsiTheme="majorBidi" w:cstheme="majorBidi"/>
          <w:sz w:val="24"/>
          <w:szCs w:val="24"/>
          <w:lang w:val="en-ID" w:eastAsia="en-ID"/>
        </w:rPr>
        <w:fldChar w:fldCharType="begin" w:fldLock="1"/>
      </w:r>
      <w:r w:rsidR="00895DC5" w:rsidRPr="00BA5758">
        <w:rPr>
          <w:rFonts w:asciiTheme="majorBidi" w:eastAsia="Times New Roman" w:hAnsiTheme="majorBidi" w:cstheme="majorBidi"/>
          <w:sz w:val="24"/>
          <w:szCs w:val="24"/>
          <w:lang w:eastAsia="en-ID"/>
        </w:rPr>
        <w:instrText>ADDIN CSL_CITATION {"citationItems":[{"id":"ITEM-1","itemData":{"DOI":"10.1186/s12913-022-08065-4","ISSN":"1472-6963 (Electronic)","PMID":"35578274","abstract":"BACKGROUND: In sub-Saharan Africa, the prevalence of non-communicable diseases  (NCDs) has risen sharply amidst a high burden of communicable diseases. An integrated approach to HIV and NCD care offers the potential of strengthening disease control programmes. We used qualitative methods to explore patients' and care-providers' experiences and perspectives on the acceptability of integrated care for HIV-infection, diabetes mellitus (DM), and hypertension (HT) in Tanzania. METHODS: A qualitative study was conducted in selected health facilities in Dar es Salaam and Coastal regions, which had started to provide integrated care and management for HIV, DM, and HT using a single research clinic for patients with one or more of these conditions. In-depth interviews were held with patients and healthcare providers at three time points: At enrolment (prior to the patient receiving integrated care, at the mid-line and at the study end). A minimum of 16 patients and 12 healthcare providers were sampled for each time point. Observation was also carried out in the respective clinics during pre- and mid-line phases. The Theoretical Framework of Acceptability (TFA) underpinned the structure and interpretation of the combined qualitative and observational data sets. RESULTS: Patients and healthcare providers revealed a positive attitude towards the integrated care delivery model at the mid-line and at study end-time points. High acceptability was related to increased exposure to service integration in terms of satisfaction with the clinic setup, seating arrangements and the provision of medical care services. Satisfaction also centred on the patients' freedom to move from one service point to another, and to discuss the services and their own health status amongst themselves. Adherence to medication and scheduling of clinic appointments appeared central to the patient-provider relationship as an aspect in the provision of quality services. Multi-condition health education, patient time and cost-saving, and detection of undiagnosed disease conditions emerged as benefits. On the other hand, a few challenges included long waiting times and limited privacy in lower and periphery health facilities due to infrastructural limitations. CONCLUSION: The study reveals a continued high level of acceptability of the integrated care model among study participants in Tanzania. This calls for evaluation in a larger and a comparative study. Nevertheless, much more concerted efforts ar…","author":[{"dropping-particle":"","family":"Shayo","given":"Elizabeth H","non-dropping-particle":"","parse-names":false,"suffix":""},{"dropping-particle":"","family":"Kivuyo","given":"Sokoine","non-dropping-particle":"","parse-names":false,"suffix":""},{"dropping-particle":"","family":"Seeley","given":"Janet","non-dropping-particle":"","parse-names":false,"suffix":""},{"dropping-particle":"","family":"Bukenya","given":"Dominic","non-dropping-particle":"","parse-names":false,"suffix":""},{"dropping-particle":"","family":"Karoli","given":"Peter","non-dropping-particle":"","parse-names":false,"suffix":""},{"dropping-particle":"","family":"Mfinanga","given":"Sayoki Godfrey","non-dropping-particle":"","parse-names":false,"suffix":""},{"dropping-particle":"","family":"Jaffar","given":"Shabbar","non-dropping-particle":"","parse-names":false,"suffix":""},{"dropping-particle":"","family":"Hout","given":"Marie-Claire","non-dropping-particle":"Van","parse-names":false,"suffix":""}],"container-title":"BMC health services research","id":"ITEM-1","issue":"1","issued":{"date-parts":[["2022","5"]]},"language":"eng","page":"655","publisher-place":"England","title":"The acceptability of integrated healthcare services for HIV and non-communicable  diseases: experiences from patients and healthcare workers in Tanzania.","type":"article-journal","volume":"22"},"uris":["http://www.mendeley.com/documents/?uuid=f7bdc30c-5e91-4480-b924-b3db9ee7989b"]}],"mendeley":{"formattedCitation":"(Shayo et al., 2022)","plainTextFormattedCitation":"(Shayo et al., 2022)","previouslyFormattedCitation":"(Shayo et al., 2022)"},"properties":{"noteIndex":0},"schema":"https://github.com/citation-style-language/schema/raw/master/csl-citation.json"}</w:instrText>
      </w:r>
      <w:r w:rsidR="00895DC5" w:rsidRPr="00BA5758">
        <w:rPr>
          <w:rFonts w:asciiTheme="majorBidi" w:eastAsia="Times New Roman" w:hAnsiTheme="majorBidi" w:cstheme="majorBidi"/>
          <w:sz w:val="24"/>
          <w:szCs w:val="24"/>
          <w:lang w:val="en-ID" w:eastAsia="en-ID"/>
        </w:rPr>
        <w:fldChar w:fldCharType="separate"/>
      </w:r>
      <w:r w:rsidR="00895DC5" w:rsidRPr="00BA5758">
        <w:rPr>
          <w:rFonts w:asciiTheme="majorBidi" w:eastAsia="Times New Roman" w:hAnsiTheme="majorBidi" w:cstheme="majorBidi"/>
          <w:noProof/>
          <w:sz w:val="24"/>
          <w:szCs w:val="24"/>
          <w:lang w:eastAsia="en-ID"/>
        </w:rPr>
        <w:t>(Shayo et al., 2022)</w:t>
      </w:r>
      <w:r w:rsidR="00895DC5" w:rsidRPr="00BA5758">
        <w:rPr>
          <w:rFonts w:asciiTheme="majorBidi" w:eastAsia="Times New Roman" w:hAnsiTheme="majorBidi" w:cstheme="majorBidi"/>
          <w:sz w:val="24"/>
          <w:szCs w:val="24"/>
          <w:lang w:val="en-ID" w:eastAsia="en-ID"/>
        </w:rPr>
        <w:fldChar w:fldCharType="end"/>
      </w:r>
      <w:r w:rsidR="00895DC5" w:rsidRPr="00BA5758">
        <w:rPr>
          <w:rFonts w:asciiTheme="majorBidi" w:eastAsia="Times New Roman" w:hAnsiTheme="majorBidi" w:cstheme="majorBidi"/>
          <w:sz w:val="24"/>
          <w:szCs w:val="24"/>
          <w:lang w:val="en-ID" w:eastAsia="en-ID"/>
        </w:rPr>
        <w:t xml:space="preserve">. </w:t>
      </w:r>
    </w:p>
    <w:p w14:paraId="4B13313C" w14:textId="54AEB8D1" w:rsidR="00895DC5" w:rsidRPr="00BA5758" w:rsidRDefault="000A41C1" w:rsidP="00895DC5">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 results demonstrated a highly significant association between healthcare provider support and the occurrence of LtFU among people living with HIV/AIDS in Demak Regency. The majority of respondents who experienced LtFU belonged to the group receiving inadequate healthcare provider support (59.4%), whereas almost all respondents who did not experience LtFU reported receiving good healthcare provider support (98.6%). Fisher’s Exact Test yielded a p-value of 0.000, indicating a statistically highly significant association. Furthermore, the odds ratio (OR) of 102.308 (95% CI: 13.7–759.885) suggests that PLWHA receiving inadequate support from healthcare providers were more than 100 times more likely to experience LtFU compared to those receiving adequate support. The quality of the patient–provider relationship has been identified as a primary predictor of retention in HIV care</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Rahma","given":"Gusni","non-dropping-particle":"","parse-names":false,"suffix":""},{"dropping-particle":"","family":"Yulia","given":"","non-dropping-particle":"","parse-names":false,"suffix":""},{"dropping-particle":"","family":"Handiny","given":"F","non-dropping-particle":"","parse-names":false,"suffix":""}],"container-title":"JIK (Jurnal Ilmu Kesehatan)","id":"ITEM-1","issue":"1","issued":{"date-parts":[["2023"]]},"page":"158-165","title":"Determinan Kejadian HIV AIDS pada Populasi Kunci di Indonesia : Systematic Review Systematic Review","type":"article-journal","volume":"8"},"uris":["http://www.mendeley.com/documents/?uuid=87ac2a81-aef0-4154-9073-129fe71ebad0"]}],"mendeley":{"formattedCitation":"(Rahma et al., 2023)","plainTextFormattedCitation":"(Rahma et al., 2023)","previouslyFormattedCitation":"(Rahma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(Rahma et al., 2023)</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{"citationItems":[{"id":"ITEM-1","itemData":{"DOI":"10.1002/jia2.26258","author":[{"dropping-particle":"","family":"Beres","given":"Laura K","non-dropping-particle":"","parse-names":false,"suffix":""},{"dropping-particle":"","family":"Underwood","given":"Ashley","non-dropping-particle":"","parse-names":false,"suffix":""},{"dropping-particle":"Le","family":"Tourneau","given":"Noelle","non-dropping-particle":"","parse-names":false,"suffix":""},{"dropping-particle":"","family":"Kemp","given":"Christopher Galloway","non-dropping-particle":"","parse-names":false,"suffix":""},{"dropping-particle":"","family":"Kore","given":"Gauri","non-dropping-particle":"","parse-names":false,"suffix":""},{"dropping-particle":"","family":"Yaeger","given":"Lauren","non-dropping-particle":"","parse-names":false,"suffix":""},{"dropping-particle":"","family":"Li","given":"Jingjia","non-dropping-particle":"","parse-names":false,"suffix":""},{"dropping-particle":"","family":"Aaron","given":"Alec","non-dropping-particle":"","parse-names":false,"suffix":""},{"dropping-particle":"","family":"Keene","given":"Claire","non-dropping-particle":"","parse-names":false,"suffix":""},{"dropping-particle":"","family":"Mallela","given":"Deepthi Priyanka","non-dropping-particle":"","parse-names":false,"suffix":""},{"dropping-particle":"","family":"Khalifa","given":"Banda A A","non-dropping-particle":"","parse-names":false,"suffix":""},{"dropping-particle":"","family":"Mody","given":"Aaloke","non-dropping-particle":"","parse-names":false,"suffix":""},{"dropping-particle":"","family":"Schwartz","given":"Sheree Renae","non-dropping-particle":"","parse-names":false,"suffix":""},{"dropping-particle":"","family":"Baral","given":"Stefan","non-dropping-particle":"","parse-names":false,"suffix":""},{"dropping-particle":"","family":"Mwamba","given":"Chanda","non-dropping-particle":"","parse-names":false,"suffix":""},{"dropping-particle":"","family":"Sikombe","given":"Kombatende","non-dropping-particle":"","parse-names":false,"suffix":""},{"dropping-particle":"","family":"Eshun-wilson","given":"Ingrid","non-dropping-particle":"","parse-names":false,"suffix":""},{"dropping-particle":"","family":"Geng","given":"Elvin H","non-dropping-particle":"","parse-names":false,"suffix":""},{"dropping-particle":"","family":"Lavoie","given":"Marie-claude C","non-dropping-particle":"","parse-names":false,"suffix":""}],"id":"ITEM-1","issue":"September 2023","issued":{"date-parts":[["2024"]]},"page":"1-29","title":"Person-centred interventions to improve patient − provider relationships for HIV services in low- and middle-income countries : a systematic review","type":"article-journal"},"uris":["http://www.mendeley.com/documents/?uuid=c4751123-9706-4dda-91f4-14d48c7f5abd"]}],"mendeley":{"formattedCitation":"(Beres et al., 2024)","plainTextFormattedCitation":"(Beres et al., 2024)","previouslyFormattedCitation":"(Beres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(Beres et al., 2024)</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p>
    <w:p w14:paraId="399F3DC8" w14:textId="44CFBEC6" w:rsidR="0095731B" w:rsidRPr="00BA5758" w:rsidRDefault="000A41C1" w:rsidP="00895DC5">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A study by Kiplagat et al. (2021) in Kenya found that healthcare provider support—characterized by effective communication, continuous education, and non-discriminatory attitudes—significantly reduced the incidence of LtFU</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{"citationItems":[{"id":"ITEM-1","itemData":{"author":[{"dropping-particle":"","family":"Kiplagat","given":"Augustine B","non-dropping-particle":"","parse-names":false,"suffix":""},{"dropping-particle":"","family":"Kako","given":"Peninnah M","non-dropping-particle":"","parse-names":false,"suffix":""},{"dropping-particle":"","family":"Mkandawire-Valhmu","given":"Lucy","non-dropping-particle":"","parse-names":false,"suffix":""},{"dropping-particle":"","family":"Chelagat","given":"Dinah","non-dropping-particle":"","parse-names":false,"suffix":""},{"dropping-particle":"","family":"Gwon","given":"Seok Hyun","non-dropping-particle":"","parse-names":false,"suffix":""},{"dropping-particle":"","family":"Luo","given":"Jake","non-dropping-particle":"","parse-names":false,"suffix":""},{"dropping-particle":"V","family":"Dixon","given":"Morgan","non-dropping-particle":"","parse-names":false,"suffix":""}],"container-title":"International Journal of Health Promotion and Education","id":"ITEM-1","issued":{"date-parts":[["2021"]]},"page":"492-506","title":"The HIV transmission risk factors and opportunities for use of mHealth in HIV prevention among emerging adult population in the Sub-Saharan Africa context: a review of the literature","type":"article-journal","volume":"62"},"uris":["http://www.mendeley.com/documents/?uuid=b154c436-ed47-4954-a069-81c9fef8ceba"]}],"mendeley":{"formattedCitation":"(Kiplagat et al., 2021)","plainTextFormattedCitation":"(Kiplagat et al., 2021)","previouslyFormattedCitation":"(Kiplagat et al., 2021)"},"properties":{"noteIndex":0},"schema":"https://github.com/citation-style-language/schema/raw/master/csl-citation.json"}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(Kiplagat et al., 2021)</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Healthcare provider support influences LtFU through several key mechanisms, including enhancing patients’ understanding of HIV and the importance of ART. Such support also helps patients cope with stress, anxiety, and depression commonly associated with an HIV diagnosis. Improved psychological stability contributes to greater patient engagement in long-term care</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{"citationItems":[{"id":"ITEM-1","itemData":{"DOI":"https://doi.org/10.1016/S2352-3018(24)00123-1","ISSN":"2352-3018","abstract":"Summary More than a fifth of people living with HIV in the US President's Emergency Plan for AIDS Relief-supported programmes are older individuals, defined as aged 50 years and older, yet optimal person-centred models of care for older adults with HIV in sub-Saharan Africa, including screening and treatment for geriatric syndromes and common comorbidities associated with ageing, remain undefined. This Position Paper explores the disproportionate burden of comorbidities and geriatric syndromes faced by older adults with HIV, with a special focus on women. We seek to motivate global interest in improving quality of life for older people with HIV by presenting available research and identifying research gaps for common geriatric syndromes, including frailty and cognitive decline, and multimorbidity among older people with HIV in sub-Saharan Africa. We share two successful models of holistic care for older people with HIV that are ongoing in Zimbabwe and Kenya. Lastly, we provide policy, research, and implementation considerations to best serve this growing population.","author":[{"dropping-particle":"","family":"Goldstein","given":"Deborah","non-dropping-particle":"","parse-names":false,"suffix":""},{"dropping-particle":"","family":"Kiplagat","given":"Jepchirchir","non-dropping-particle":"","parse-names":false,"suffix":""},{"dropping-particle":"","family":"Taderera","given":"Charlotte","non-dropping-particle":"","parse-names":false,"suffix":""},{"dropping-particle":"","family":"Whitehouse","given":"Erin R","non-dropping-particle":"","parse-names":false,"suffix":""},{"dropping-particle":"","family":"Chimbetete","given":"Cleophas","non-dropping-particle":"","parse-names":false,"suffix":""},{"dropping-particle":"","family":"Kimaiyo","given":"Sylvester","non-dropping-particle":"","parse-names":false,"suffix":""},{"dropping-particle":"","family":"Urasa","given":"Sarah","non-dropping-particle":"","parse-names":false,"suffix":""},{"dropping-particle":"","family":"Paddick","given":"Stella-Maria","non-dropping-particle":"","parse-names":false,"suffix":""},{"dropping-particle":"","family":"Godfrey","given":"Catherine","non-dropping-particle":"","parse-names":false,"suffix":""}],"container-title":"The Lancet HIV","id":"ITEM-1","issue":"8","issued":{"date-parts":[["2024"]]},"page":"e552-e560","title":"Person-centred care for older adults living with HIV in sub-Saharan Africa","type":"article-journal","volume":"11"},"uris":["http://www.mendeley.com/documents/?uuid=d3b182aa-8157-464f-a01a-62f318966799"]}],"mendeley":{"formattedCitation":"(Goldstein et al., 2024)","plainTextFormattedCitation":"(Goldstein et al., 2024)","previouslyFormattedCitation":"(Goldstein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(Goldstein et al., 2024)</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Conversely, stigma and discrimination within healthcare settings remain major drivers of treatment discontinuation among PLWHA</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{"citationItems":[{"id":"ITEM-1","itemData":{"DOI":"10.1002/jia2.25908","ISSN":"1758-2652 (Electronic)","PMID":"35818873","abstract":"INTRODUCTION: In Ghana, men who have sex with men (MSM) are estimated to be 11  times more likely to be living with HIV than the general population. Stigmas at the intersection of HIV, same-sex and gender non-conformity are potential key drivers behind this outsized HIV disease burden. Healthcare workers (HCWs) are essential to HIV prevention, care and treatment and can also be sources of stigma for people living with HIV and MSM. This article describes the process and results of adapting an evidence-based HIV stigma-reduction HCW training curriculum to address HIV, same-sex and gender non-conformity stigma among HCWs in the Greater Accra and Ashanti regions, Ghana. METHODS: Six steps were implemented from March 2020 to September 2021: formative research (in-depth interviews with stigma-reduction trainers [n = 8] and MSM living with HIV [n = 10], and focus group discussions with HCWs [n = 8] and MSM [n = 8]); rapid data analysis to inform a first-draft adapted curriculum; a stakeholder adaptation workshop; triangulation of adaptation with HCW baseline survey data (N = 200) and deeper analysis of formative data; iterative discussions with partner organizations for further refinement; external expert review; and final adaptation with the teams of HCWs and MSM being trained to deliver the curriculum. RESULTS: Key themes emerging under four immediately actionable drivers of health facility intersectional stigma (awareness, fear, attitudes and facility environment) informed the adaptation of the HIV training curriculum. Based on the findings, existing curriculum exercises were placed in one of four categories: (1) Expand-existing exercises that needed modifications to incorporate deeper MSM and gender non-conformity stigma content; (2) Generate-new exercises to fill gaps; (3) Maintain-exercises to keep with no modifications; and (4) Eliminate-exercises that could be dropped given training time constraints. New exercises were developed to address gender norms, the belief that being MSM is a mental illness and stigmatizing attitudes towards MSM. CONCLUSIONS: Getting to the \"heart of stigma\" requires understanding and responding to both HIV and other intersecting stigma targeting sexual and gender diversity. Findings from this study can inform health facility stigma reduction programming not only for MSM, but also for other populations affected by HIV-related and intersectional stigma in Ghana and beyond.","author":[{"dropping-particle":"","family":"Nyblade","given":"Laura","non-dropping-particle":"","parse-names":false,"suffix":""},{"dropping-particle":"","family":"Stockton","given":"Melissa A","non-dropping-particle":"","parse-names":false,"suffix":""},{"dropping-particle":"","family":"Saalim","given":"Khalida","non-dropping-particle":"","parse-names":false,"suffix":""},{"dropping-particle":"","family":"Rabiu Abu-Ba'are","given":"Gamji","non-dropping-particle":"","parse-names":false,"suffix":""},{"dropping-particle":"","family":"Clay","given":"Sue","non-dropping-particle":"","parse-names":false,"suffix":""},{"dropping-particle":"","family":"Chonta","given":"Mutale","non-dropping-particle":"","parse-names":false,"suffix":""},{"dropping-particle":"","family":"Dada","given":"Debbie","non-dropping-particle":"","parse-names":false,"suffix":""},{"dropping-particle":"","family":"Mankattah","given":"Emmanuel","non-dropping-particle":"","parse-names":false,"suffix":""},{"dropping-particle":"","family":"Vormawor","given":"Richard","non-dropping-particle":"","parse-names":false,"suffix":""},{"dropping-particle":"","family":"Appiah","given":"Patrick","non-dropping-particle":"","parse-names":false,"suffix":""},{"dropping-particle":"","family":"Boakye","given":"Francis","non-dropping-particle":"","parse-names":false,"suffix":""},{"dropping-particle":"","family":"Akrong","given":"Ransford","non-dropping-particle":"","parse-names":false,"suffix":""},{"dropping-particle":"","family":"Manu","given":"Adom","non-dropping-particle":"","parse-names":false,"suffix":""},{"dropping-particle":"","family":"Gyamerah","given":"Emma","non-dropping-particle":"","parse-names":false,"suffix":""},{"dropping-particle":"","family":"Turner","given":"DeAnne","non-dropping-particle":"","parse-names":false,"suffix":""},{"dropping-particle":"","family":"Sharma","given":"Karan","non-dropping-particle":"","parse-names":false,"suffix":""},{"dropping-particle":"","family":"Torpey","given":"Kwasi","non-dropping-particle":"","parse-names":false,"suffix":""},{"dropping-particle":"","family":"Nelson","given":"LaRon E","non-dropping-particle":"","parse-names":false,"suffix":""}],"container-title":"Journal of the International AIDS Society","id":"ITEM-1","issue":"Suppl 1","issued":{"date-parts":[["2022","7"]]},"language":"eng","page":"e25908","publisher-place":"Switzerland","title":"Using a mixed-methods approach to adapt an HIV stigma reduction to address  intersectional stigma faced by men who have sex with men in Ghana.","type":"article-journal","volume":"25 Suppl 1"},"uris":["http://www.mendeley.com/documents/?uuid=208b6440-3f4b-4f62-b19c-7f50abf3044a"]}],"mendeley":{"formattedCitation":"(Nyblade et al., 2022)","plainTextFormattedCitation":"(Nyblade et al., 2022)","previouslyFormattedCitation":"(Nyblade et al.,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(Nyblade et al., 2022)</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lastRenderedPageBreak/>
        <w:t>Patients who feel heard and respected are more likely to openly communicate concerns, including medication side effects and social barriers to care</w:t>
      </w:r>
      <w:r w:rsidRPr="00BA5758">
        <w:rPr>
          <w:rFonts w:asciiTheme="majorBidi" w:hAnsiTheme="majorBidi" w:cstheme="majorBidi"/>
          <w:sz w:val="24"/>
          <w:szCs w:val="24"/>
          <w:lang w:val="en-US"/>
        </w:rPr>
        <w:t xml:space="preserve"> </w:t>
      </w:r>
      <w:r w:rsidR="00895DC5" w:rsidRPr="00BA5758">
        <w:rPr>
          <w:rFonts w:asciiTheme="majorBidi" w:hAnsiTheme="majorBidi" w:cstheme="majorBidi"/>
          <w:sz w:val="24"/>
          <w:szCs w:val="24"/>
        </w:rPr>
        <w:fldChar w:fldCharType="begin" w:fldLock="1"/>
      </w:r>
      <w:r w:rsidR="00895DC5" w:rsidRPr="00BA5758">
        <w:rPr>
          <w:rFonts w:asciiTheme="majorBidi" w:hAnsiTheme="majorBidi" w:cstheme="majorBidi"/>
          <w:sz w:val="24"/>
          <w:szCs w:val="24"/>
        </w:rPr>
        <w:instrText>ADDIN CSL_CITATION {"citationItems":[{"id":"ITEM-1","itemData":{"DOI":"10.1136/bmjopen-2021-052810","ISSN":"2044-6055 (Electronic)","PMID":"34551953","abstract":"OBJECTIVE: In this systematic review, we aimed to summarise the empirical  evidence on common mental disorders (CMDs), cognitive impairment, frailty and health-related quality of life (HRQoL) among people living with HIV aged ≥50 years (PLWH50 +) residing in sub-Saharan Africa (SSA). Specifically, we document the prevalence and correlates of these outcomes. DESIGN, DATA SOURCES AND ELIGIBILITY CRITERIA: The following online databases were systematically searched: PubMed, CINAHL, PsycINFO, Embase and Scopus up to January 2021. English-language publications on depression, anxiety, cognitive function, frailty and quality of life among PLWH50+ residing in SSA were included. DATA EXTRACTION AND SYNTHESIS: We extracted information, including study characteristics and main findings. These were tabulated, and a narrative synthesis approach was adopted, given the substantial heterogeneity among included studies. RESULTS: A total of 50 studies from fifteen SSA countries met the inclusion criteria. About two-thirds of these studies emanated from Ethiopia, Uganda and South Africa. Studies regarding depression predominated (n=26), followed by cognitive impairment (n=13). Overall, PLWH50+ exhibited varying prevalence of depression (6%-59%), cognitive impairments (4%-61%) and frailty (3%-15%). The correlates of CMDs, cognitive impairment, frailty and HRQoL were rarely investigated, but those reported were sociodemographic variables, many of which were inconsistent. CONCLUSIONS: This review documented an increasing number of published studies on HIV and ageing from SSA. However, the current evidence on the mental and well-being outcomes in PLWH50+ is inadequate to characterise the public health dimension of these impairments in SSA, because of heterogeneous findings, few well-designed studies and substantial methodological limitations in many of the available studies. Future work should have sufficiently large samples of PLWH50+, engage appropriate comparison groups, harmonise the measurement of these outcomes using a standardised methodology to generate more robust prevalence estimates and confirm predictors. PROSPERO REGISTRATION NUMBER: CRD42020145791.","author":[{"dropping-particle":"","family":"Mwangala","given":"Patrick Nzivo","non-dropping-particle":"","parse-names":false,"suffix":""},{"dropping-particle":"","family":"Mabrouk","given":"Adam","non-dropping-particle":"","parse-names":false,"suffix":""},{"dropping-particle":"","family":"Wagner","given":"Ryan","non-dropping-particle":"","parse-names":false,"suffix":""},{"dropping-particle":"","family":"Newton","given":"Charles R J C","non-dropping-particle":"","parse-names":false,"suffix":""},{"dropping-particle":"","family":"Abubakar","given":"Amina A","non-dropping-particle":"","parse-names":false,"suffix":""}],"container-title":"BMJ open","id":"ITEM-1","issue":"9","issued":{"date-parts":[["2021","9"]]},"language":"eng","page":"e052810","publisher-place":"England","title":"Mental health and well-being of older adults living with HIV in sub-Saharan  Africa: a systematic review.","type":"article-journal","volume":"11"},"uris":["http://www.mendeley.com/documents/?uuid=1688d13b-511d-49aa-a359-7fb7e2c877cc"]}],"mendeley":{"formattedCitation":"(Mwangala et al., 2021)","plainTextFormattedCitation":"(Mwangala et al., 2021)","previouslyFormattedCitation":"(Mwangala et al., 2021)"},"properties":{"noteIndex":0},"schema":"https://github.com/citation-style-language/schema/raw/master/csl-citation.json"}</w:instrText>
      </w:r>
      <w:r w:rsidR="00895DC5" w:rsidRPr="00BA5758">
        <w:rPr>
          <w:rFonts w:asciiTheme="majorBidi" w:hAnsiTheme="majorBidi" w:cstheme="majorBidi"/>
          <w:sz w:val="24"/>
          <w:szCs w:val="24"/>
        </w:rPr>
        <w:fldChar w:fldCharType="separate"/>
      </w:r>
      <w:r w:rsidR="00895DC5" w:rsidRPr="00BA5758">
        <w:rPr>
          <w:rFonts w:asciiTheme="majorBidi" w:hAnsiTheme="majorBidi" w:cstheme="majorBidi"/>
          <w:noProof/>
          <w:sz w:val="24"/>
          <w:szCs w:val="24"/>
        </w:rPr>
        <w:t>(Mwangala et al., 2021)</w:t>
      </w:r>
      <w:r w:rsidR="00895DC5"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p>
    <w:p w14:paraId="2D11E41E" w14:textId="77777777" w:rsidR="0095731B" w:rsidRPr="00BA5758" w:rsidRDefault="0095731B" w:rsidP="0095731B">
      <w:pPr>
        <w:pStyle w:val="ListParagraph"/>
        <w:widowControl w:val="0"/>
        <w:ind w:leftChars="0" w:left="284" w:firstLineChars="0" w:firstLine="0"/>
        <w:rPr>
          <w:rFonts w:asciiTheme="majorBidi" w:hAnsiTheme="majorBidi" w:cstheme="majorBidi"/>
          <w:b/>
          <w:bCs/>
          <w:szCs w:val="24"/>
        </w:rPr>
      </w:pPr>
    </w:p>
    <w:p w14:paraId="71AB9703" w14:textId="520DBFDF" w:rsidR="000A41C1" w:rsidRPr="00BA5758" w:rsidRDefault="000A41C1" w:rsidP="00B44173">
      <w:pPr>
        <w:pStyle w:val="ListParagraph"/>
        <w:widowControl w:val="0"/>
        <w:numPr>
          <w:ilvl w:val="2"/>
          <w:numId w:val="2"/>
        </w:numPr>
        <w:suppressAutoHyphens w:val="0"/>
        <w:ind w:leftChars="0" w:left="284" w:firstLineChars="0" w:hanging="284"/>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Association Between Stigma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492E36FA" w14:textId="0C17D6EC" w:rsidR="00895DC5" w:rsidRPr="00BA5758" w:rsidRDefault="000A41C1" w:rsidP="00895DC5">
      <w:pPr>
        <w:spacing w:after="0" w:line="360" w:lineRule="auto"/>
        <w:ind w:left="-2" w:firstLineChars="236" w:firstLine="566"/>
        <w:jc w:val="both"/>
        <w:rPr>
          <w:rFonts w:asciiTheme="majorBidi" w:hAnsiTheme="majorBidi" w:cstheme="majorBidi"/>
          <w:sz w:val="24"/>
          <w:szCs w:val="24"/>
        </w:rPr>
      </w:pPr>
      <w:r w:rsidRPr="00BA5758">
        <w:rPr>
          <w:rFonts w:asciiTheme="majorBidi" w:hAnsiTheme="majorBidi" w:cstheme="majorBidi"/>
          <w:sz w:val="24"/>
          <w:szCs w:val="24"/>
        </w:rPr>
        <w:t xml:space="preserve">The study found that the majority of respondents (58.8%) were categorized as having low or manageable levels of stigma, while 41.2% experienced higher levels of stigma. HIV-related stigma varies across individuals depending on social context, family support, and experiences of discrimination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{"citationItems":[{"id":"ITEM-1","itemData":{"DOI":"10.55887/nrpm.v1i3.24","ISSN":"2828-9528","abstract":"Latar Belakang: Loss to follow-up (LTFU) pada manajemen antiretroviral merupakan tantangan untuk mengurangi morbiditas dan mortalitas akibat HIV/AIDS. Masalah psiko-sosiologis seperti stigma dan diskriminasi dapat menyebabkan LTFU. Tujuan: Untuk mengetahui hubungan stigma dengan kejadian LTFU pada ODHA merupakan tujuan dari penelitian ini. Penelitian telah dilakukan selama lima minggu di Kabupaten Badung, Provinsi Bali, Indonesia. Metode: Desain penelitian menggunakan pendekatan kohort retrospektif. Jumlah partisipan adalah 96 orang dan ditentukan menggunakan simple random sampling. Pengumpulan data menggunakan kuesioner stigma dan data rekam medis untuk melihat catatan pengalaman LTFU. Analisis data menggunakan uji Chi-Square. Hasil: Laki-laki adalah peserta dominan dalam penelitian ini (88,5%), empat puluh enam laki-laki mengalami stigma. Sebanyak 47% peserta mengalami LTFU, sebanyak 50% peserta mengalami stigma. Hasil uji bivariat dengan nilai chi-square diperoleh 18,38 (X2 hitung &gt; X tabel) dan p-value &lt; 0,001 (α = 0,05). Stigma berkorelasi dengan kejadian LTFU pada ODHA. Nilai risiko relatif menunjukkan bahwa Odha yang terstigma enam kali lebih mungkin mengalami LTFU. Kesimpulan: Ada hubungan antara stigma dengan kejadian LTFU pada ODHA.","author":[{"dropping-particle":"","family":"Arisudhana","given":"Gede Arya Bagus","non-dropping-particle":"","parse-names":false,"suffix":""},{"dropping-particle":"","family":"Artati","given":"Luh Putu Novi","non-dropping-particle":"","parse-names":false,"suffix":""}],"container-title":"Journal Nursing Research Publication Media (NURSEPEDIA)","id":"ITEM-1","issue":"3","issued":{"date-parts":[["2022"]]},"page":"152-160","title":"Korelasi Stigma dengan Lost To-Follow Up pada Orang Dengan HIV dan AIDS","type":"article-journal","volume":"1"},"uris":["http://www.mendeley.com/documents/?uuid=317e49bc-abfe-4310-96a0-b5328387549f"]}],"mendeley":{"formattedCitation":"(Arisudhana &amp; Artati, 2022)","plainTextFormattedCitation":"(Arisudhana &amp; Artati, 2022)","previouslyFormattedCitation":"(Arisudhana &amp; Artati,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(Arisudhana &amp; Artati, 2022)</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Stigma may lead to social isolation and discriminatory treatment, ultimately reducing patient engagement with healthcare services and increasing the likelihood of loss to follow-up</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{"citationItems":[{"id":"ITEM-1","itemData":{"DOI":"10.33475/mhjns.v6i3.907","author":[{"dropping-particle":"","family":"Mufidah","given":"Dewi","non-dropping-particle":"","parse-names":false,"suffix":""}],"container-title":"Media Husada Journal of Nursing Science","id":"ITEM-1","issue":"3","issued":{"date-parts":[["2025"]]},"page":"200-205","title":"Hubungan Stigma Sosial dengan Perilaku Lost to Follow-Up Pasien HIV / AIDS dengan Terapi ARV","type":"article-journal","volume":"6"},"uris":["http://www.mendeley.com/documents/?uuid=e9ce9b48-1bf2-4794-ae78-f8ca3054a977"]}],"mendeley":{"formattedCitation":"(Mufidah, 2025)","plainTextFormattedCitation":"(Mufidah, 2025)","previouslyFormattedCitation":"(Mufidah,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(Mufidah, 2025)</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rPr>
        <w:t>.</w:t>
      </w:r>
      <w:r w:rsidR="00895DC5" w:rsidRPr="00BA5758">
        <w:rPr>
          <w:rFonts w:asciiTheme="majorBidi" w:eastAsia="Times New Roman" w:hAnsiTheme="majorBidi" w:cstheme="majorBidi"/>
          <w:sz w:val="24"/>
          <w:szCs w:val="24"/>
          <w:lang w:eastAsia="en-ID"/>
        </w:rPr>
        <w:t xml:space="preserve"> </w:t>
      </w:r>
      <w:r w:rsidRPr="00BA5758">
        <w:rPr>
          <w:rFonts w:asciiTheme="majorBidi" w:hAnsiTheme="majorBidi" w:cstheme="majorBidi"/>
          <w:sz w:val="24"/>
          <w:szCs w:val="24"/>
        </w:rPr>
        <w:t>HIV stigma is among the most extensively studied issues in the HIV/AIDS literature due to its broad impact on quality of life, mental health, service engagement, as well as prevention and treatment outcomes</w:t>
      </w:r>
      <w:r w:rsidR="00895DC5" w:rsidRPr="00BA5758">
        <w:rPr>
          <w:rFonts w:asciiTheme="majorBidi" w:eastAsia="Times New Roman" w:hAnsiTheme="majorBidi" w:cstheme="majorBidi"/>
          <w:sz w:val="24"/>
          <w:szCs w:val="24"/>
          <w:lang w:eastAsia="en-ID"/>
        </w:rPr>
        <w:t xml:space="preserve"> </w:t>
      </w:r>
      <w:r w:rsidR="00895DC5" w:rsidRPr="00BA5758">
        <w:rPr>
          <w:rFonts w:asciiTheme="majorBidi" w:eastAsia="Times New Roman" w:hAnsiTheme="majorBidi" w:cstheme="majorBidi"/>
          <w:sz w:val="24"/>
          <w:szCs w:val="24"/>
          <w:lang w:val="en-ID" w:eastAsia="en-ID"/>
        </w:rPr>
        <w:fldChar w:fldCharType="begin" w:fldLock="1"/>
      </w:r>
      <w:r w:rsidR="00895DC5" w:rsidRPr="00BA5758">
        <w:rPr>
          <w:rFonts w:asciiTheme="majorBidi" w:eastAsia="Times New Roman" w:hAnsiTheme="majorBidi" w:cstheme="majorBidi"/>
          <w:sz w:val="24"/>
          <w:szCs w:val="24"/>
          <w:lang w:eastAsia="en-ID"/>
        </w:rPr>
        <w:instrText>ADDIN CSL_CITATION {"citationItems":[{"id":"ITEM-1","itemData":{"DOI":"10.3390/healthcare13080891","ISSN":"2227-9032 (Print)","PMID":"40281840","abstract":"Introduction: This study aimed to assess, through health metrics and bibliometric  analysis, the global research on attitudes and social stigma of people living with HIV/AIDS and to identify research findings, gaps, and future directions. Methods: A cross-sectional bibliometric study was conducted through a structured search in different databases. Fifteen thousand four hundred and ninety-six documents were found between 1981 and 2024. Results: 83.5% were original articles, and international co-authorship was 30.66%. Since 2000, there has been an increase in research on HIV/AIDS attitudes and social stigma. The United States is the most prolific country worldwide (n = 7837 publications; 50.5%), with the highest number of prolific institutions (n = 4/5), as well as the greatest influence and relevance in research (h-index 170). The most studied topics worldwide are social support and social psychology concerning homosexuality, middle age, and youth in people living with HIV/AIDS. There was no significant correlation between the volume of publications, countries' income levels, and the most prolific geographic regions with adult HIV prevalence, overall HIV incidence and prevalence, or antiretroviral therapy coverage in people living with HIV (p &gt; 0.05 for all cases). Conclusions: Over the past two decades, research has shifted from human rights, legal rights, and ethics to attitudes toward healthcare, with the recent interest in pre-exposure prophylaxis, gender minorities, and intersectional stigma. The absence of strong correlations between publications volume and global health HIV-related indicators underscores the necessity of translating evidence into actionable strategies to reduce stigma and improve health outcomes.","author":[{"dropping-particle":"","family":"Picón-Jaimes","given":"Yelson Alejandro","non-dropping-particle":"","parse-names":false,"suffix":""},{"dropping-particle":"","family":"Lozada-Martinez","given":"Ivan David","non-dropping-particle":"","parse-names":false,"suffix":""},{"dropping-particle":"","family":"Tosas","given":"Mar Rosàs","non-dropping-particle":"","parse-names":false,"suffix":""},{"dropping-particle":"","family":"Tiraboschi","given":"Juan","non-dropping-particle":"","parse-names":false,"suffix":""},{"dropping-particle":"","family":"Fiorillo-Moreno","given":"Ornella","non-dropping-particle":"","parse-names":false,"suffix":""},{"dropping-particle":"","family":"Bermúdez","given":"Valmore","non-dropping-particle":"","parse-names":false,"suffix":""}],"container-title":"Healthcare (Basel, Switzerland)","id":"ITEM-1","issue":"8","issued":{"date-parts":[["2025","4"]]},"language":"eng","publisher-place":"Switzerland","title":"What Has Been Studied About Attitudes and Social Stigma Towards HIV/AIDS? A  Global Bibliometric Study with Correlations on Global Health HIV-Related Indicators.","type":"article-journal","volume":"13"},"uris":["http://www.mendeley.com/documents/?uuid=e6e6f179-63ba-46f0-96bd-0af9d5f312d7"]}],"mendeley":{"formattedCitation":"(Picón-Jaimes et al., 2025)","plainTextFormattedCitation":"(Picón-Jaimes et al., 2025)","previouslyFormattedCitation":"(Picón-Jaimes et al., 2025)"},"properties":{"noteIndex":0},"schema":"https://github.com/citation-style-language/schema/raw/master/csl-citation.json"}</w:instrText>
      </w:r>
      <w:r w:rsidR="00895DC5" w:rsidRPr="00BA5758">
        <w:rPr>
          <w:rFonts w:asciiTheme="majorBidi" w:eastAsia="Times New Roman" w:hAnsiTheme="majorBidi" w:cstheme="majorBidi"/>
          <w:sz w:val="24"/>
          <w:szCs w:val="24"/>
          <w:lang w:val="en-ID" w:eastAsia="en-ID"/>
        </w:rPr>
        <w:fldChar w:fldCharType="separate"/>
      </w:r>
      <w:r w:rsidR="00895DC5" w:rsidRPr="00BA5758">
        <w:rPr>
          <w:rFonts w:asciiTheme="majorBidi" w:eastAsia="Times New Roman" w:hAnsiTheme="majorBidi" w:cstheme="majorBidi"/>
          <w:noProof/>
          <w:sz w:val="24"/>
          <w:szCs w:val="24"/>
          <w:lang w:eastAsia="en-ID"/>
        </w:rPr>
        <w:t>(Picón-Jaimes et al., 2025)</w:t>
      </w:r>
      <w:r w:rsidR="00895DC5" w:rsidRPr="00BA5758">
        <w:rPr>
          <w:rFonts w:asciiTheme="majorBidi" w:eastAsia="Times New Roman" w:hAnsiTheme="majorBidi" w:cstheme="majorBidi"/>
          <w:sz w:val="24"/>
          <w:szCs w:val="24"/>
          <w:lang w:val="en-ID" w:eastAsia="en-ID"/>
        </w:rPr>
        <w:fldChar w:fldCharType="end"/>
      </w:r>
      <w:r w:rsidR="00895DC5" w:rsidRPr="00BA5758">
        <w:rPr>
          <w:rFonts w:asciiTheme="majorBidi" w:eastAsia="Times New Roman" w:hAnsiTheme="majorBidi" w:cstheme="majorBidi"/>
          <w:sz w:val="24"/>
          <w:szCs w:val="24"/>
          <w:lang w:val="en-ID" w:eastAsia="en-ID"/>
        </w:rPr>
        <w:t>.</w:t>
      </w:r>
      <w:r w:rsidR="00895DC5"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Limited knowledge regarding HIV epidemiology, transmission mechanisms, and the effectiveness of treatment (ART/PrEP) may reinforce negative stereotypes and unfounded fears, which are further strengthened by social stigma and cultural structures</w:t>
      </w:r>
      <w:r w:rsidR="00895DC5" w:rsidRPr="00BA5758">
        <w:rPr>
          <w:rFonts w:asciiTheme="majorBidi" w:hAnsiTheme="majorBidi" w:cstheme="majorBidi"/>
          <w:sz w:val="24"/>
          <w:szCs w:val="24"/>
          <w:lang w:val="en-US"/>
        </w:rPr>
        <w:t xml:space="preserve"> </w:t>
      </w:r>
      <w:r w:rsidR="00895DC5" w:rsidRPr="00BA5758">
        <w:rPr>
          <w:rFonts w:asciiTheme="majorBidi" w:hAnsiTheme="majorBidi" w:cstheme="majorBidi"/>
          <w:sz w:val="24"/>
          <w:szCs w:val="24"/>
        </w:rPr>
        <w:fldChar w:fldCharType="begin" w:fldLock="1"/>
      </w:r>
      <w:r w:rsidR="00895DC5" w:rsidRPr="00BA5758">
        <w:rPr>
          <w:rFonts w:asciiTheme="majorBidi" w:hAnsiTheme="majorBidi" w:cstheme="majorBidi"/>
          <w:sz w:val="24"/>
          <w:szCs w:val="24"/>
        </w:rPr>
        <w:instrText>ADDIN CSL_CITATION {"citationItems":[{"id":"ITEM-1","itemData":{"URL":"https://www.unaids.org/","author":[{"dropping-particle":"","family":"UNAIDS","given":"","non-dropping-particle":"","parse-names":false,"suffix":""}],"container-title":"Human Rights Fact Sheet Series","id":"ITEM-1","issued":{"date-parts":[["2024"]]},"page":"1-20","title":"HIV and Stigma and Discrimination","type":"webpage"},"uris":["http://www.mendeley.com/documents/?uuid=f73ef7d4-cefb-4ba9-87f1-6186028fb79f"]}],"mendeley":{"formattedCitation":"(UNAIDS, 2024)","plainTextFormattedCitation":"(UNAIDS, 2024)","previouslyFormattedCitation":"(UNAIDS, 2024)"},"properties":{"noteIndex":0},"schema":"https://github.com/citation-style-language/schema/raw/master/csl-citation.json"}</w:instrText>
      </w:r>
      <w:r w:rsidR="00895DC5" w:rsidRPr="00BA5758">
        <w:rPr>
          <w:rFonts w:asciiTheme="majorBidi" w:hAnsiTheme="majorBidi" w:cstheme="majorBidi"/>
          <w:sz w:val="24"/>
          <w:szCs w:val="24"/>
        </w:rPr>
        <w:fldChar w:fldCharType="separate"/>
      </w:r>
      <w:r w:rsidR="00895DC5" w:rsidRPr="00BA5758">
        <w:rPr>
          <w:rFonts w:asciiTheme="majorBidi" w:hAnsiTheme="majorBidi" w:cstheme="majorBidi"/>
          <w:noProof/>
          <w:sz w:val="24"/>
          <w:szCs w:val="24"/>
        </w:rPr>
        <w:t>(UNAIDS, 2024)</w:t>
      </w:r>
      <w:r w:rsidR="00895DC5"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p>
    <w:p w14:paraId="11F02265" w14:textId="614C2214" w:rsidR="00895DC5" w:rsidRPr="00BA5758" w:rsidRDefault="000A41C1" w:rsidP="00895DC5">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 analysis demonstrated a statistically significant association between perceived stigma and the occurrence of LtFU among PLWHA (p = 0.007). Respondents experiencing higher levels of stigma had a 2.395-fold increased risk of LtFU compared to those with lower stigma levels. This finding is consistent with previous studies identifying stigma as a major barrier to engagement in HIV care and continuity of treatment, including clinic attendance, retention within healthcare systems, and medication adherence</w:t>
      </w:r>
      <w:r w:rsidR="00895DC5"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{"citationItems":[{"id":"ITEM-1","itemData":{"DOI":"10.3389/fpubh.2024.1356430","author":[{"dropping-particle":"","family":"Dessie","given":"Zelalem G","non-dropping-particle":"","parse-names":false,"suffix":""},{"dropping-particle":"","family":"Zewotir","given":"Temesgen","non-dropping-particle":"","parse-names":false,"suffix":""}],"container-title":"Frontiers in public health","id":"ITEM-1","issue":"1356430","issued":{"date-parts":[["2024"]]},"page":"1-12","title":"HIV-related stigma and associated factors : a systematic review and meta-analysis","type":"article-journal","volume":"12"},"uris":["http://www.mendeley.com/documents/?uuid=3ed0896c-303f-4c35-b987-3753673accbe"]}],"mendeley":{"formattedCitation":"(Dessie &amp; Zewotir, 2024)","plainTextFormattedCitation":"(Dessie &amp; Zewotir, 2024)","previouslyFormattedCitation":"(Dessie &amp; Zewotir,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(Dessie &amp; Zewotir, 2024)</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Perceived stigma has been linked to reduced adherence to ART and lower retention in HIV care, particularly among younger populations. Anticipated stigma—such as fear of disclosure and social avoidance—represents one of the most significant barriers to healthcare engagement and transition to adult HIV care</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10.1007/s10461-024-04534-5","ISBN":"0123456789","ISSN":"1573-3254","author":[{"dropping-particle":"","family":"Perger","given":"Teodora","non-dropping-particle":"","parse-names":false,"suffix":""},{"dropping-particle":"","family":"Davtyan","given":"Mariam","non-dropping-particle":"","parse-names":false,"suffix":""},{"dropping-particle":"","family":"Foster","given":"Caroline","non-dropping-particle":"","parse-names":false,"suffix":""},{"dropping-particle":"","family":"Evangeli","given":"Michael","non-dropping-particle":"","parse-names":false,"suffix":""},{"dropping-particle":"","family":"Berman","given":"Claire","non-dropping-particle":"","parse-names":false,"suffix":""},{"dropping-particle":"","family":"Kacanek","given":"Deborah","non-dropping-particle":"","parse-names":false,"suffix":""},{"dropping-particle":"","family":"Puga","given":"Ana M","non-dropping-particle":"","parse-names":false,"suffix":""},{"dropping-particle":"","family":"Sekidde","given":"Serufusa","non-dropping-particle":"","parse-names":false,"suffix":""},{"dropping-particle":"","family":"Bhopal","given":"Sanj","non-dropping-particle":"","parse-names":false,"suffix":""}],"container-title":"AIDS and Behavior","id":"ITEM-1","issue":"2","issued":{"date-parts":[["2025"]]},"page":"497-516","publisher":"Springer US","title":"Impact of HIV ‑ Related Stigma on Antiretroviral Therapy Adherence , Engagement and Retention in HIV Care , and Transition to Adult HIV Care in Pediatric and Young Adult Populations Living With HIV : A Literature Review","type":"article-journal","volume":"29"},"uris":["http://www.mendeley.com/documents/?uuid=b8d54f1d-fd17-4fd8-b719-e6ee0a7ad812"]}],"mendeley":{"formattedCitation":"(Perger et al., 2025)","plainTextFormattedCitation":"(Perger et al., 2025)","previouslyFormattedCitation":"(Perger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(Perger et al., 2025)</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p>
    <w:p w14:paraId="22B1A9B5" w14:textId="5C7C54EC" w:rsidR="0095731B" w:rsidRPr="00BA5758" w:rsidRDefault="000A41C1" w:rsidP="0075334C">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Stigma has been identified as an independent predictor of LtFU in both hospital and primary healthcare settings, alongside other factors such as younger age, poverty, and service-related challenges, highlighting the need for stigma-reduction interventions to reduce LtFU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{"citationItems":[{"id":"ITEM-1","itemData":{"DOI":"10.3389/fpubh.2025.1623805","author":[{"dropping-particle":"","family":"Abugah","given":"Michael","non-dropping-particle":"","parse-names":false,"suffix":""},{"dropping-particle":"","family":"Yabelang","given":"Angela Mwinorme","non-dropping-particle":"","parse-names":false,"suffix":""}],"container-title":"Frontiers in public health","id":"ITEM-1","issue":"August","issued":{"date-parts":[["2025"]]},"page":"1-13","title":"Predictors of loss to follow-up among people living with HIV on antiretroviral therapy in a rural health facility using paper-based records","type":"article-journal","volume":"13"},"uris":["http://www.mendeley.com/documents/?uuid=e90bc462-9970-496c-a147-03dc83541d93"]}],"mendeley":{"formattedCitation":"(Abugah &amp; Yabelang, 2025)","plainTextFormattedCitation":"(Abugah &amp; Yabelang, 2025)","previouslyFormattedCitation":"(Abugah &amp; Yabelang,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(Abugah &amp; Yabelang, 2025)</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Community knowledge, education level, cultural acculturation, and socioeconomic status are associated with the degree of stigma perceived or expressed within society</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{"citationItems":[{"id":"ITEM-1","itemData":{"author":[{"dropping-particle":"","family":"Puspita","given":"Ayu","non-dropping-particle":"","parse-names":false,"suffix":""},{"dropping-particle":"","family":"Katimenta","given":"Karmitasari Yanra","non-dropping-particle":"","parse-names":false,"suffix":""},{"dropping-particle":"","family":"Rosela","given":"Kristin","non-dropping-particle":"","parse-names":false,"suffix":""},{"dropping-particle":"","family":"Trigusman","given":"Hendy","non-dropping-particle":"","parse-names":false,"suffix":""}],"container-title":"Jurnal Rumpun Ilmu Kesehatan","id":"ITEM-1","issue":"1","issued":{"date-parts":[["2023"]]},"page":"1-10","title":"Hubungan Tingkat Pengetahuan Masyarakat Tentang HIV-AIDS Dengan Stigma pada ODHA di RT/RW 03/008 Wilayah Kerja Puskesmas Menteng Palangka Raya","type":"article-journal","volume":"3"},"uris":["http://www.mendeley.com/documents/?uuid=deccd3ea-4436-40e9-8126-fcf8563e621b"]}],"mendeley":{"formattedCitation":"(Puspita et al., 2023)","plainTextFormattedCitation":"(Puspita et al., 2023)","previouslyFormattedCitation":"(Puspita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(Puspita et al., 2023)</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 xml:space="preserve">Both external and internalized stigma among PLWHA are strongly associated with depression and reduced motivation to continue antiretroviral therapy, </w:t>
      </w:r>
      <w:r w:rsidRPr="00BA5758">
        <w:rPr>
          <w:rFonts w:asciiTheme="majorBidi" w:hAnsiTheme="majorBidi" w:cstheme="majorBidi"/>
          <w:sz w:val="24"/>
          <w:szCs w:val="24"/>
        </w:rPr>
        <w:lastRenderedPageBreak/>
        <w:t xml:space="preserve">thereby increasing the likelihood of treatment interruption and loss to follow-up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{"citationItems":[{"id":"ITEM-1","itemData":{"DOI":"10.1089/apc.2023.0178","ISSN":"1557-7449 (Electronic)","PMID":"38150524","abstract":"This systematic review explores the roles of HIV stigma and disclosure of HIV  serostatus in antiretroviral therapy (ART) adherence and retention in care (RIC) among women with HIV (WHIV) in the United States and Canada. We conducted a systematic search of electronic databases (PubMed, Embase, CINAHL, PsycINFO, and Google scholar) to identify peer-reviewed articles published between January 1996 and December 2022. The search yielded 1120 articles after duplicates were removed. Of these, 27 articles met the inclusion criteria. The majority (89%) of the studies were conducted in the United States. The studies included WHIV from diverse racial/ethnic groups, residing in both urban and rural areas. Most of the studies suggested that internalized stigma, perceived community stigma, and fear of disclosure were important barriers to ART adherence and RIC among WHIV. HIV-related stigma experienced within the health care setting was also reported as a factor impacting health care utilization. A few studies identified mental health distress as a potential mechanism accounting for the association and suggested that social support and resilience may buffer the negative effects of stigma and disclosure on ART adherence and RIC among WHIV. Our review indicates that stigma and concerns about disclosure continue to significantly affect HIV health outcomes for WHIV in high-income countries. It underscores the importance of integrated HIV care services and interventions targeting mental health, resilience building, and improved patient-provider relationships for WHIV to enhance ART adherence and RIC. Longitudinal studies and investigations into additional mechanisms are needed to advance understanding and inform women-centered interventions.","author":[{"dropping-particle":"","family":"Nawfal","given":"Ekpereka Sandra","non-dropping-particle":"","parse-names":false,"suffix":""},{"dropping-particle":"","family":"Gray","given":"Aaliyah","non-dropping-particle":"","parse-names":false,"suffix":""},{"dropping-particle":"","family":"Sheehan","given":"Diana M","non-dropping-particle":"","parse-names":false,"suffix":""},{"dropping-particle":"","family":"Ibañez","given":"Gladys E","non-dropping-particle":"","parse-names":false,"suffix":""},{"dropping-particle":"","family":"Trepka","given":"Mary Jo","non-dropping-particle":"","parse-names":false,"suffix":""}],"container-title":"AIDS patient care and STDs","id":"ITEM-1","issue":"1","issued":{"date-parts":[["2024","1"]]},"language":"eng","page":"23-49","publisher-place":"United States","title":"A Systematic Review of the Impact of HIV-Related Stigma and Serostatus Disclosure  on Retention in Care and Antiretroviral Therapy Adherence Among Women with HIV in the United States/Canada.","type":"article-journal","volume":"38"},"uris":["http://www.mendeley.com/documents/?uuid=995cfa7d-952a-498b-bc0f-99bbdb70933d"]}],"mendeley":{"formattedCitation":"(Nawfal et al., 2024)","plainTextFormattedCitation":"(Nawfal et al., 2024)","previouslyFormattedCitation":"(Nawfal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(Nawfal et al., 2024)</w:t>
      </w:r>
      <w:r w:rsidR="0095731B" w:rsidRPr="00BA5758">
        <w:rPr>
          <w:rFonts w:asciiTheme="majorBidi" w:hAnsiTheme="majorBidi" w:cstheme="majorBidi"/>
          <w:sz w:val="24"/>
          <w:szCs w:val="24"/>
        </w:rPr>
        <w:fldChar w:fldCharType="end"/>
      </w:r>
      <w:r w:rsidR="00895DC5" w:rsidRPr="00BA5758">
        <w:rPr>
          <w:rFonts w:asciiTheme="majorBidi" w:hAnsiTheme="majorBidi" w:cstheme="majorBidi"/>
          <w:sz w:val="24"/>
          <w:szCs w:val="24"/>
          <w:lang w:val="en-US"/>
        </w:rPr>
        <w:t>.</w:t>
      </w:r>
    </w:p>
    <w:p w14:paraId="14C85694" w14:textId="77777777" w:rsidR="0095731B" w:rsidRPr="00BA5758" w:rsidRDefault="0095731B" w:rsidP="0095731B">
      <w:pPr>
        <w:pStyle w:val="ListParagraph"/>
        <w:widowControl w:val="0"/>
        <w:ind w:leftChars="0" w:left="284" w:firstLineChars="0" w:firstLine="0"/>
        <w:rPr>
          <w:rFonts w:asciiTheme="majorBidi" w:hAnsiTheme="majorBidi" w:cstheme="majorBidi"/>
          <w:b/>
          <w:bCs/>
          <w:szCs w:val="24"/>
        </w:rPr>
      </w:pPr>
    </w:p>
    <w:p w14:paraId="3A8C2462" w14:textId="30198413" w:rsidR="000A41C1" w:rsidRPr="00BA5758" w:rsidRDefault="000A41C1"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Association Between Healthcare Services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7E604EDF" w14:textId="15E41116" w:rsidR="0095731B" w:rsidRPr="006564AF" w:rsidRDefault="000A41C1" w:rsidP="0075334C">
      <w:pPr>
        <w:spacing w:after="0" w:line="360" w:lineRule="auto"/>
        <w:ind w:left="-2" w:firstLineChars="236" w:firstLine="566"/>
        <w:jc w:val="both"/>
        <w:rPr>
          <w:rFonts w:asciiTheme="majorBidi" w:eastAsia="Times New Roman" w:hAnsiTheme="majorBidi" w:cstheme="majorBidi"/>
          <w:sz w:val="24"/>
          <w:szCs w:val="24"/>
          <w:lang w:val="en-ID" w:eastAsia="en-ID"/>
        </w:rPr>
      </w:pPr>
      <w:r w:rsidRPr="00BA5758">
        <w:rPr>
          <w:rFonts w:asciiTheme="majorBidi" w:hAnsiTheme="majorBidi" w:cstheme="majorBidi"/>
          <w:sz w:val="24"/>
          <w:szCs w:val="24"/>
        </w:rPr>
        <w:t xml:space="preserve">The study found that 52.3% of respondents perceived healthcare services as good, while 47.7% perceived them as inadequate. Healthcare services for PLWHA constitute a critical component of the public health response to the HIV epidemic. Antiretroviral therapy (ART) remains the cornerstone of HIV/AIDS control strategies, as it has been clinically proven to reduce viral load, slow disease progression, and improve patients’ quality of life. However, the success of ART is highly dependent on the continuum of care—from diagnosis and ART initiation to retention in care and achievement of viral suppression. In Indonesia, the number of people living with HIV has reached hundreds of thousands, yet only a proportion remain actively engaged in care, with substantial gaps observed in treatment coverage and viral suppression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author":[{"dropping-particle":"","family":"Imtihani","given":"Nila","non-dropping-particle":"","parse-names":false,"suffix":""},{"dropping-particle":"","family":"Menap","given":"","non-dropping-particle":"","parse-names":false,"suffix":""}],"container-title":"Care: Jurnal Ilmiah Ilmu Kesehatan","id":"ITEM-1","issue":"3","issued":{"date-parts":[["2025"]]},"page":"479-489","title":"A Literature Review on Factors Influencing Non-Adherence to Antiretroviral (ARV) Among People Living with HIV","type":"article-journal","volume":"13"},"uris":["http://www.mendeley.com/documents/?uuid=18cfd663-7e51-4ce3-9401-09f42b9623e9"]}],"mendeley":{"formattedCitation":"(Imtihani &amp; Menap, 2025)","plainTextFormattedCitation":"(Imtihani &amp; Menap, 2025)","previouslyFormattedCitation":"(Imtihani &amp; Menap, 2025)"},"properties":{"noteIndex":0},"schema":"https://github.com/citation-style-language/schema/raw/master/csl-citation.json"}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(Imtihani &amp; Menap, 2025)</w:t>
      </w:r>
      <w:r w:rsidR="0095731B" w:rsidRPr="00BA5758">
        <w:rPr>
          <w:rFonts w:asciiTheme="majorBidi" w:eastAsia="Times New Roman" w:hAnsiTheme="majorBidi" w:cstheme="majorBidi"/>
          <w:sz w:val="24"/>
          <w:szCs w:val="24"/>
          <w:lang w:val="en-ID" w:eastAsia="en-ID"/>
        </w:rPr>
        <w:fldChar w:fldCharType="end"/>
      </w:r>
      <w:r w:rsidR="0075334C" w:rsidRPr="00BA5758">
        <w:rPr>
          <w:rFonts w:asciiTheme="majorBidi" w:eastAsia="Times New Roman" w:hAnsiTheme="majorBidi" w:cstheme="majorBidi"/>
          <w:sz w:val="24"/>
          <w:szCs w:val="24"/>
          <w:lang w:val="en-ID" w:eastAsia="en-ID"/>
        </w:rPr>
        <w:t>.</w:t>
      </w:r>
      <w:r w:rsidR="0095731B" w:rsidRPr="00BA5758">
        <w:rPr>
          <w:rFonts w:asciiTheme="majorBidi" w:eastAsia="Times New Roman" w:hAnsiTheme="majorBidi" w:cstheme="majorBidi"/>
          <w:sz w:val="24"/>
          <w:szCs w:val="24"/>
          <w:lang w:val="en-ID" w:eastAsia="en-ID"/>
        </w:rPr>
        <w:t xml:space="preserve"> </w:t>
      </w:r>
      <w:r w:rsidRPr="00BA5758">
        <w:rPr>
          <w:rFonts w:asciiTheme="majorBidi" w:hAnsiTheme="majorBidi" w:cstheme="majorBidi"/>
          <w:sz w:val="24"/>
          <w:szCs w:val="24"/>
        </w:rPr>
        <w:t>Service-related aspects such as accessibility, effective communication, staff friendliness, medication availability, facility comfort, and clarity of information form the foundation for addressing HIV/AIDS care challenges</w:t>
      </w:r>
      <w:r w:rsidRPr="00BA5758">
        <w:rPr>
          <w:rFonts w:asciiTheme="majorBidi" w:hAnsiTheme="majorBidi" w:cstheme="majorBidi"/>
          <w:sz w:val="24"/>
          <w:szCs w:val="24"/>
          <w:lang w:val="en-US"/>
        </w:rPr>
        <w:t xml:space="preserve"> </w:t>
      </w:r>
      <w:r w:rsidR="0095731B" w:rsidRPr="00BA5758">
        <w:rPr>
          <w:rFonts w:asciiTheme="majorBidi" w:eastAsia="Times New Roman" w:hAnsiTheme="majorBidi" w:cstheme="majorBidi"/>
          <w:sz w:val="24"/>
          <w:szCs w:val="24"/>
          <w:lang w:val="en-ID" w:eastAsia="en-ID"/>
        </w:rPr>
        <w:fldChar w:fldCharType="begin" w:fldLock="1"/>
      </w:r>
      <w:r w:rsidR="00211D0B" w:rsidRPr="00BA5758">
        <w:rPr>
          <w:rFonts w:asciiTheme="majorBidi" w:eastAsia="Times New Roman" w:hAnsiTheme="majorBidi" w:cstheme="majorBidi"/>
          <w:sz w:val="24"/>
          <w:szCs w:val="24"/>
          <w:lang w:eastAsia="en-ID"/>
        </w:rPr>
        <w:instrText>ADDIN CSL_CITATION {"citationItems":[{"id":"ITEM-1","itemData":{"DOI":"10.1186/s12913-023-09114-2","ISSN":"1472-6963","author":[{"dropping-particle":"","family":"Baleeta","given":"Keith","non-dropping-particle":"","parse-names":false,"suffix":""},{"dropping-particle":"","family":"Muhwezi","given":"Augustin","non-dropping-particle":"","parse-names":false,"suffix":""},{"dropping-particle":"","family":"Tumwesigye","given":"Nathan","non-dropping-particle":"","parse-names":false,"suffix":""},{"dropping-particle":"","family":"Kintu","given":"Betty Nsangi","non-dropping-particle":"","parse-names":false,"suffix":""},{"dropping-particle":"","family":"Riese","given":"Sara","non-dropping-particle":"","parse-names":false,"suffix":""},{"dropping-particle":"","family":"Byonanebye","given":"Dathan","non-dropping-particle":"","parse-names":false,"suffix":""},{"dropping-particle":"","family":"Mbonye","given":"Martin","non-dropping-particle":"","parse-names":false,"suffix":""},{"dropping-particle":"","family":"Mwehire","given":"Daniel","non-dropping-particle":"","parse-names":false,"suffix":""},{"dropping-particle":"","family":"Iriso","given":"Robert","non-dropping-particle":"","parse-names":false,"suffix":""},{"dropping-particle":"","family":"Ayebazibwe","given":"Bernard","non-dropping-particle":"","parse-names":false,"suffix":""},{"dropping-particle":"","family":"Bailey","given":"Lauren","non-dropping-particle":"","parse-names":false,"suffix":""},{"dropping-particle":"","family":"Lopez","given":"Deborah","non-dropping-particle":"","parse-names":false,"suffix":""},{"dropping-particle":"","family":"Mcgough","given":"Laura","non-dropping-particle":"","parse-names":false,"suffix":""},{"dropping-particle":"","family":"Etukoit","given":"Michael","non-dropping-particle":"","parse-names":false,"suffix":""},{"dropping-particle":"","family":"Nantamu","given":"Dyogo","non-dropping-particle":"","parse-names":false,"suffix":""}],"container-title":"BMC Health Services Research","id":"ITEM-1","issued":{"date-parts":[["2023"]]},"page":"1-11","publisher":"BioMed Central","title":"Factors that influence the satisfaction of people living with HIV with differentiated antiretroviral therapy delivery models in East Central Uganda : a cross ‑ sectional study","type":"article-journal"},"uris":["http://www.mendeley.com/documents/?uuid=dce4c94f-c88e-4329-b3d0-0128867ed872"]}],"mendeley":{"formattedCitation":"(Baleeta et al., 2023)","plainTextFormattedCitation":"(Baleeta et al., 2023)","previouslyFormattedCitation":"(Baleeta et al., 2023)"},"properties":{"noteIndex":0},"schema":"https://github.com/citation-style-language/schema/raw/master/csl-citation.json"}</w:instrText>
      </w:r>
      <w:r w:rsidR="0095731B" w:rsidRPr="00BA5758">
        <w:rPr>
          <w:rFonts w:asciiTheme="majorBidi" w:eastAsia="Times New Roman" w:hAnsiTheme="majorBidi" w:cstheme="majorBidi"/>
          <w:sz w:val="24"/>
          <w:szCs w:val="24"/>
          <w:lang w:val="en-ID" w:eastAsia="en-ID"/>
        </w:rPr>
        <w:fldChar w:fldCharType="separate"/>
      </w:r>
      <w:r w:rsidR="0095731B" w:rsidRPr="00BA5758">
        <w:rPr>
          <w:rFonts w:asciiTheme="majorBidi" w:eastAsia="Times New Roman" w:hAnsiTheme="majorBidi" w:cstheme="majorBidi"/>
          <w:noProof/>
          <w:sz w:val="24"/>
          <w:szCs w:val="24"/>
          <w:lang w:eastAsia="en-ID"/>
        </w:rPr>
        <w:t>(Baleeta et al., 2023)</w:t>
      </w:r>
      <w:r w:rsidR="0095731B" w:rsidRPr="00BA5758">
        <w:rPr>
          <w:rFonts w:asciiTheme="majorBidi" w:eastAsia="Times New Roman" w:hAnsiTheme="majorBidi" w:cstheme="majorBidi"/>
          <w:sz w:val="24"/>
          <w:szCs w:val="24"/>
          <w:lang w:val="en-ID" w:eastAsia="en-ID"/>
        </w:rPr>
        <w:fldChar w:fldCharType="end"/>
      </w:r>
      <w:r w:rsidR="0075334C" w:rsidRPr="00BA5758">
        <w:rPr>
          <w:rFonts w:asciiTheme="majorBidi" w:eastAsia="Times New Roman" w:hAnsiTheme="majorBidi" w:cstheme="majorBidi"/>
          <w:sz w:val="24"/>
          <w:szCs w:val="24"/>
          <w:lang w:val="en-ID" w:eastAsia="en-ID"/>
        </w:rPr>
        <w:t>.</w:t>
      </w:r>
    </w:p>
    <w:p w14:paraId="0A855E5D" w14:textId="6E419D31" w:rsidR="0075334C" w:rsidRPr="00BA5758" w:rsidRDefault="001864AD" w:rsidP="0075334C">
      <w:pPr>
        <w:spacing w:after="0" w:line="360" w:lineRule="auto"/>
        <w:ind w:left="-2" w:firstLineChars="236" w:firstLine="566"/>
        <w:jc w:val="both"/>
        <w:rPr>
          <w:rFonts w:asciiTheme="majorBidi" w:hAnsiTheme="majorBidi" w:cstheme="majorBidi"/>
          <w:sz w:val="24"/>
          <w:szCs w:val="24"/>
        </w:rPr>
      </w:pPr>
      <w:r w:rsidRPr="00BA5758">
        <w:rPr>
          <w:rFonts w:asciiTheme="majorBidi" w:hAnsiTheme="majorBidi" w:cstheme="majorBidi"/>
          <w:sz w:val="24"/>
          <w:szCs w:val="24"/>
        </w:rPr>
        <w:t xml:space="preserve">The study demonstrated a significant association between healthcare service quality and the occurrence of LtFU. Respondents who perceived healthcare services as inadequate had nearly a 12-fold higher risk of experiencing LtFU compared to those who received good-quality services (OR = 12.058; p = 0.000). LtFU represents a major challenge in HIV services, as patients who disengage from care are less likely to adhere consistently to ART, increasing the risk of drug resistance, opportunistic infections, and failure to achieve viral suppression. Studies conducted in Ghana and other local settings have similarly shown that LtFU is strongly influenced by service-related factors, family support, and patients’ health perceptions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{"citationItems":[{"id":"ITEM-1","itemData":{"ISBN":"0812400887","abstract":"analisi untuk tingkat pengetahuan ρ-value 0,535 &gt; α (0,05), keterjangkauan klinik VCT ρ-value 0,092 &gt; α (0,05), kepatuhan terapi ARV ρ-value 0,367 &gt; α (0,05), dukungan keluarga ρ-value 0,049 &lt; α (0,05), perceived susceptibility ρ-value 0,006 &lt; α (0,05) dan perceived severity ρ-value 0,014 &lt; α (0,05). Kesimpulan terdapat pengaruh antara dukungan keluarga, perceived susceptibility, perceived severty dan variabel yang paling berisiko adalah perceived susceptibility dengan besar risiko 2,489 kali terhadap lost to follow-up terapi ARV pada kelompok LSL. Saran untuk pasien agar lebih terbuka dengan status kesehatan yang dimiliki.","author":[{"dropping-particle":"","family":"Andriani","given":"Ni Ketut","non-dropping-particle":"","parse-names":false,"suffix":""},{"dropping-particle":"","family":"Aulia","given":"Ulfa","non-dropping-particle":"","parse-names":false,"suffix":""},{"dropping-particle":"","family":"Irwan","given":"","non-dropping-particle":"","parse-names":false,"suffix":""}],"container-title":"Preventif: Jurnal Kesehatan Masyarakat","id":"ITEM-1","issue":"1","issued":{"date-parts":[["2024"]]},"page":"94-114","title":"Faktor yang Mempengaruhi Lost to Follow-Up Pasien HIV-AIDS dengan Terapi ARV pada Kelompok LSL","type":"article-journal","volume":"15"},"uris":["http://www.mendeley.com/documents/?uuid=8566080a-1197-4da8-858e-08068d8329fa"]}],"mendeley":{"formattedCitation":"(Andriani et al., 2024)","plainTextFormattedCitation":"(Andriani et al., 2024)","previouslyFormattedCitation":"(Andriani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(Andriani et al., 2024)</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rPr>
        <w:t xml:space="preserve">. </w:t>
      </w:r>
      <w:r w:rsidRPr="00BA5758">
        <w:rPr>
          <w:rFonts w:asciiTheme="majorBidi" w:hAnsiTheme="majorBidi" w:cstheme="majorBidi"/>
          <w:sz w:val="24"/>
          <w:szCs w:val="24"/>
        </w:rPr>
        <w:t>Other studies have identified patient origin and referral status as predictors of LtFU in urban settings such as Depok, underscoring the need for robust support systems for patients undergoing long-term HIV treatment</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{"citationItems":[{"id":"ITEM-1","itemData":{"author":[{"dropping-particle":"","family":"Putri","given":"Novia Fatmawati","non-dropping-particle":"","parse-names":false,"suffix":""},{"dropping-particle":"","family":"Tanesib","given":"Amran Julianto","non-dropping-particle":"","parse-names":false,"suffix":""},{"dropping-particle":"","family":"Herdayanti","given":"Mila","non-dropping-particle":"","parse-names":false,"suffix":""}],"container-title":"Jurnal Epidemiologi Kesehatan Komunitas","id":"ITEM-1","issue":"3","issued":{"date-parts":[["2025"]]},"page":"34-41","title":"Determinan Kejadian Loss to Follow Up (LtFU) Pengobatan Antiretroviral (ARV) pada Pasien HIV/AIDS di RS “X” Kota Depok","type":"article-journal","volume":"10"},"uris":["http://www.mendeley.com/documents/?uuid=7cc08a5b-7a90-4fa0-af13-59bff3df6ab9"]}],"mendeley":{"formattedCitation":"(Putri et al., 2025)","plainTextFormattedCitation":"(Putri et al., 2025)","previouslyFormattedCitation":"(Putri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(Putri et al., 2025)</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rPr>
        <w:t>.</w:t>
      </w:r>
    </w:p>
    <w:p w14:paraId="538B7490" w14:textId="360CF933" w:rsidR="0095731B" w:rsidRPr="00BA5758" w:rsidRDefault="001864AD" w:rsidP="0075334C">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 quality of HIV/AIDS healthcare services encompasses multiple dimensions, including staff attitude, waiting time, clarity of information, and physical facilities, all of which are associated with care outcomes and ART adherence</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https://doi.org/10.3390/healthcare13121400","author":[{"dropping-particle":"","family":"Edwards","given":"Jonathan","non-dropping-particle":"","parse-names":false,"suffix":""},{"dropping-particle":"","family":"Soyer","given":"Sharon","non-dropping-particle":"","parse-names":false,"suffix":""},{"dropping-particle":"","family":"Jack","given":"Noreen","non-dropping-particle":"","parse-names":false,"suffix":""},{"dropping-particle":"","family":"Boyce","given":"Gregory","non-dropping-particle":"","parse-names":false,"suffix":""},{"dropping-particle":"","family":"Edwards","given":"Robert Jeffrey","non-dropping-particle":"","parse-names":false,"suffix":""},{"dropping-particle":"","family":"Ayoung","given":"Verolyn","non-dropping-particle":"","parse-names":false,"suffix":""},{"dropping-particle":"","family":"Todd","given":"Selena","non-dropping-particle":"","parse-names":false,"suffix":""}],"container-title":"Healthcare","id":"ITEM-1","issue":"1400","issued":{"date-parts":[["2025"]]},"page":"1-14","title":"A Cross-Sectional Client Satisfaction Study Among Persons Living with HIV Attending a Large HIV Treatment Centre in Trinidad","type":"article-journal","volume":"13"},"uris":["http://www.mendeley.com/documents/?uuid=b8f27f0a-4eae-4992-8e4a-18867fb2b27e"]}],"mendeley":{"formattedCitation":"(Edwards et al., 2025)","plainTextFormattedCitation":"(Edwards et al., 2025)","previouslyFormattedCitation":"(Edwards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(Edwards et al., 2025)</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ART adherence in Surakarta has been shown to depend on both individual and healthcare service factors that ensure patients follow treatment regimens correctly</w:t>
      </w:r>
      <w:r w:rsidR="0075334C"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10.31965/infokes.Vol23.Iss3.1660","author":[{"dropping-particle":"","family":"Nurhayatun","given":"Evi","non-dropping-particle":"","parse-names":false,"suffix":""},{"dropping-particle":"","family":"Ulfia","given":"Mila","non-dropping-particle":"","parse-names":false,"suffix":""},{"dropping-particle":"","family":"Angelina","given":"Tirsa","non-dropping-particle":"","parse-names":false,"suffix":""},{"dropping-particle":"","family":"Java","given":"Central","non-dropping-particle":"","parse-names":false,"suffix":""}],"container-title":"Jurnal Info Kesehatan","id":"ITEM-1","issue":"3","issued":{"date-parts":[["2025"]]},"page":"464-472","title":"Adherence to Antiretroviral Theraphy and Associated Factors Among People Living with HIV in Surakarta","type":"article-journal","volume":"23"},"uris":["http://www.mendeley.com/documents/?uuid=dcf69021-a5cc-473a-bee1-4485e568a28c"]}],"mendeley":{"formattedCitation":"(Nurhayatun et al., 2025)","plainTextFormattedCitation":"(Nurhayatun et al., 2025)","previouslyFormattedCitation":"(Nurhayatun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(Nurhayatun et al., 2025)</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Research in sub-</w:t>
      </w:r>
      <w:r w:rsidRPr="00BA5758">
        <w:rPr>
          <w:rFonts w:asciiTheme="majorBidi" w:hAnsiTheme="majorBidi" w:cstheme="majorBidi"/>
          <w:sz w:val="24"/>
          <w:szCs w:val="24"/>
        </w:rPr>
        <w:lastRenderedPageBreak/>
        <w:t>Saharan Africa indicates that differentiated service delivery models (DSDMs), which offer greater flexibility, significantly improve patient satisfaction and treatment retention</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10.1186/s12913-023-09114-2","ISSN":"1472-6963","author":[{"dropping-particle":"","family":"Baleeta","given":"Keith","non-dropping-particle":"","parse-names":false,"suffix":""},{"dropping-particle":"","family":"Muhwezi","given":"Augustin","non-dropping-particle":"","parse-names":false,"suffix":""},{"dropping-particle":"","family":"Tumwesigye","given":"Nathan","non-dropping-particle":"","parse-names":false,"suffix":""},{"dropping-particle":"","family":"Kintu","given":"Betty Nsangi","non-dropping-particle":"","parse-names":false,"suffix":""},{"dropping-particle":"","family":"Riese","given":"Sara","non-dropping-particle":"","parse-names":false,"suffix":""},{"dropping-particle":"","family":"Byonanebye","given":"Dathan","non-dropping-particle":"","parse-names":false,"suffix":""},{"dropping-particle":"","family":"Mbonye","given":"Martin","non-dropping-particle":"","parse-names":false,"suffix":""},{"dropping-particle":"","family":"Mwehire","given":"Daniel","non-dropping-particle":"","parse-names":false,"suffix":""},{"dropping-particle":"","family":"Iriso","given":"Robert","non-dropping-particle":"","parse-names":false,"suffix":""},{"dropping-particle":"","family":"Ayebazibwe","given":"Bernard","non-dropping-particle":"","parse-names":false,"suffix":""},{"dropping-particle":"","family":"Bailey","given":"Lauren","non-dropping-particle":"","parse-names":false,"suffix":""},{"dropping-particle":"","family":"Lopez","given":"Deborah","non-dropping-particle":"","parse-names":false,"suffix":""},{"dropping-particle":"","family":"Mcgough","given":"Laura","non-dropping-particle":"","parse-names":false,"suffix":""},{"dropping-particle":"","family":"Etukoit","given":"Michael","non-dropping-particle":"","parse-names":false,"suffix":""},{"dropping-particle":"","family":"Nantamu","given":"Dyogo","non-dropping-particle":"","parse-names":false,"suffix":""}],"container-title":"BMC Health Services Research","id":"ITEM-1","issued":{"date-parts":[["2023"]]},"page":"1-11","publisher":"BioMed Central","title":"Factors that influence the satisfaction of people living with HIV with differentiated antiretroviral therapy delivery models in East Central Uganda : a cross ‑ sectional study","type":"article-journal"},"uris":["http://www.mendeley.com/documents/?uuid=dce4c94f-c88e-4329-b3d0-0128867ed872"]}],"mendeley":{"formattedCitation":"(Baleeta et al., 2023)","plainTextFormattedCitation":"(Baleeta et al., 2023)","previouslyFormattedCitation":"(Baleeta et al., 2023)"},"properties":{"noteIndex":0},"schema":"https://github.com/citation-style-language/schema/raw/master/csl-citation.json"}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(Baleeta et al., 2023)</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Efforts to reduce LtFU must therefore include improvements in service delivery systems—such as staff training, reduction of access barriers, protection of patient confidentiality, and provision of patient support services—in addition to purely clinical strategies</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{"citationItems":[{"id":"ITEM-1","itemData":{"DOI":"10.2147/HIV.S458545","ISSN":"1179-1373 (Print)","PMID":"39081498","abstract":"PURPOSE: To explore the enabling factors, barriers, and strategies to improve  retention in HIV care and adherence to antiretroviral therapy (ART) among adults (18 years and above) living with HIV in Dar es Salaam, Tanzania. METHODS: We conducted a descriptive qualitative study to better understand and explore enablers, barriers, and strategies to improve retention in HIV care and adherence to antiretroviral therapy (ART) among PLHIV in Dar es Salaam, Tanzania. Focus group discussions (FGD) were conducted with a semi-structured discussion guide between December 2021 and June 2022. A non-random purposive sampling technique was used to select PLHIV and people involved in provision of healthcare and socioeconomic support to PLHIV. Thematic analysis was used to identify and interpret the themes. RESULTS: Three major themes with 10 sub-themes emerged. Participants indicated that family and partner support, peer-support group/adherence clubs, and healthcare provider counselling on medication adherence facilitated retention and adherence to ART. In contrast, stigma and discrimination, financial constraints, disease outbreaks such as the COVID-19 pandemic, myths and misconceptions about HIV, and side effects of antiretrovirals were mentioned as barriers. Strengthening community and patient education about HIV and ART through peer support groups and financial support for poor PLHIV were the proposed mitigation. CONCLUSION: Addressing the challenges to ART adherence may require a more holistic approach. We recommend the implementation of peer support groups and financial support through small microfinance groups as interventions to increase retention in HIV care and adherence to ART in the study area.","author":[{"dropping-particle":"","family":"Sambayi","given":"Godfrey L","non-dropping-particle":"","parse-names":false,"suffix":""},{"dropping-particle":"","family":"Bwire","given":"George M","non-dropping-particle":"","parse-names":false,"suffix":""},{"dropping-particle":"","family":"Kilapilo","given":"Mary Spicar","non-dropping-particle":"","parse-names":false,"suffix":""},{"dropping-particle":"","family":"Myemba","given":"David T","non-dropping-particle":"","parse-names":false,"suffix":""},{"dropping-particle":"","family":"Mosha","given":"Idda H","non-dropping-particle":"","parse-names":false,"suffix":""},{"dropping-particle":"","family":"Kilonzi","given":"Manase","non-dropping-particle":"","parse-names":false,"suffix":""},{"dropping-particle":"","family":"Magati","given":"Renatus B","non-dropping-particle":"","parse-names":false,"suffix":""},{"dropping-particle":"","family":"Amour","given":"Maryam","non-dropping-particle":"","parse-names":false,"suffix":""},{"dropping-particle":"","family":"Mwakalukwa","given":"Rogers","non-dropping-particle":"","parse-names":false,"suffix":""},{"dropping-particle":"","family":"Mangara","given":"Ally Nassoro","non-dropping-particle":"","parse-names":false,"suffix":""},{"dropping-particle":"","family":"Bakari","given":"Muhammad","non-dropping-particle":"","parse-names":false,"suffix":""},{"dropping-particle":"","family":"Sudfeld","given":"Christopher R","non-dropping-particle":"","parse-names":false,"suffix":""},{"dropping-particle":"","family":"Matee","given":"Mecky I N","non-dropping-particle":"","parse-names":false,"suffix":""},{"dropping-particle":"","family":"Sangeda","given":"Raphael Z","non-dropping-particle":"","parse-names":false,"suffix":""},{"dropping-particle":"V","family":"Adams","given":"Lisa","non-dropping-particle":"","parse-names":false,"suffix":""},{"dropping-particle":"","family":"Killewo","given":"Japhet","non-dropping-particle":"","parse-names":false,"suffix":""}],"container-title":"HIV/AIDS (Auckland, N.Z.)","id":"ITEM-1","issued":{"date-parts":[["2024"]]},"language":"eng","page":"301-311","publisher-place":"New Zealand","title":"Barriers and Enablers to Retention in HIV Care and Adherence to Antiretroviral  Therapy: Evidence from Dar es Salaam, Tanzania.","type":"article-journal","volume":"16"},"uris":["http://www.mendeley.com/documents/?uuid=e1056618-6771-401a-a18d-79fb279e9de3"]}],"mendeley":{"formattedCitation":"(Sambayi et al., 2024)","plainTextFormattedCitation":"(Sambayi et al., 2024)","previouslyFormattedCitation":"(Sambayi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(Sambayi et al., 2024)</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Effective educational interventions, including patient empowerment to understand the importance of adherence, have been shown to enhance long-term engagement in care and reduce the risk of LtFU</w:t>
      </w:r>
      <w:r w:rsidR="0075334C"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{"citationItems":[{"id":"ITEM-1","itemData":{"author":[{"dropping-particle":"","family":"Sasono","given":"Tri Nurhudi","non-dropping-particle":"","parse-names":false,"suffix":""},{"dropping-particle":"","family":"Yunitasari","given":"Esti","non-dropping-particle":"","parse-names":false,"suffix":""},{"dropping-particle":"","family":"Kurniawati","given":"Ninuk Dian","non-dropping-particle":"","parse-names":false,"suffix":""}],"container-title":"Jurnal Kesehatan Islam","id":"ITEM-1","issue":"2","issued":{"date-parts":[["2022"]]},"page":"98-101","title":"Pemberdayaan Pasien HIV dalam Kepatuhan Minum Obat ARV di Yayasan Cakap Peduli AIDS Turen","type":"article-journal","volume":"11"},"uris":["http://www.mendeley.com/documents/?uuid=c377a578-4094-47c1-90f6-2e8d6dd498dc"]}],"mendeley":{"formattedCitation":"(Sasono et al., 2022)","plainTextFormattedCitation":"(Sasono et al., 2022)","previouslyFormattedCitation":"(Sasono et al.,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(Sasono et al., 2022)</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w:t>
      </w:r>
    </w:p>
    <w:p w14:paraId="2803911B" w14:textId="77777777" w:rsidR="0095731B" w:rsidRPr="00BA5758" w:rsidRDefault="0095731B" w:rsidP="0095731B">
      <w:pPr>
        <w:pStyle w:val="ListParagraph"/>
        <w:widowControl w:val="0"/>
        <w:ind w:leftChars="0" w:left="284" w:firstLineChars="0" w:firstLine="0"/>
        <w:rPr>
          <w:rFonts w:asciiTheme="majorBidi" w:hAnsiTheme="majorBidi" w:cstheme="majorBidi"/>
          <w:szCs w:val="24"/>
        </w:rPr>
      </w:pPr>
    </w:p>
    <w:p w14:paraId="5603FB09" w14:textId="524C0D92" w:rsidR="001864AD" w:rsidRPr="00BA5758" w:rsidRDefault="001864AD"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Association between Access to Services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04662B87" w14:textId="530D876F" w:rsidR="0095731B" w:rsidRPr="00BA5758" w:rsidRDefault="001864AD" w:rsidP="0075334C">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 study found that 62.3% of respondents were classified as having good access to HIV services, while 37.7% experienced poor access, with a mean total access score of 26.68. This indicates that overall service accessibility remains moderate and has not yet reached an optimal level. Ease of access to healthcare facilities includes travel time, distance to health services, and transportation availability</w:t>
      </w:r>
      <w:r w:rsidRPr="00BA5758">
        <w:rPr>
          <w:rFonts w:asciiTheme="majorBidi" w:hAnsiTheme="majorBidi" w:cstheme="majorBidi"/>
          <w:sz w:val="24"/>
          <w:szCs w:val="24"/>
          <w:lang w:val="en-US"/>
        </w:rPr>
        <w:t xml:space="preserve"> </w:t>
      </w:r>
      <w:r w:rsidR="0075334C" w:rsidRPr="00BA5758">
        <w:rPr>
          <w:rFonts w:asciiTheme="majorBidi" w:hAnsiTheme="majorBidi" w:cstheme="majorBidi"/>
          <w:sz w:val="24"/>
          <w:szCs w:val="24"/>
        </w:rPr>
        <w:fldChar w:fldCharType="begin" w:fldLock="1"/>
      </w:r>
      <w:r w:rsidR="0075334C" w:rsidRPr="00BA5758">
        <w:rPr>
          <w:rFonts w:asciiTheme="majorBidi" w:hAnsiTheme="majorBidi" w:cstheme="majorBidi"/>
          <w:sz w:val="24"/>
          <w:szCs w:val="24"/>
        </w:rPr>
        <w:instrText>ADDIN CSL_CITATION {"citationItems":[{"id":"ITEM-1","itemData":{"author":[{"dropping-particle":"","family":"Arif","given":"Muhamad Rijal","non-dropping-particle":"","parse-names":false,"suffix":""},{"dropping-particle":"","family":"Septimar","given":"Zahrah Maulidia","non-dropping-particle":"","parse-names":false,"suffix":""},{"dropping-particle":"","family":"Pratiwi","given":"Ayu","non-dropping-particle":"","parse-names":false,"suffix":""}],"container-title":"Jurnal Penelitian Nusantara","id":"ITEM-1","issue":"9","issued":{"date-parts":[["2025"]]},"page":"128-139","title":"Hubungan Stigma Dengan Tingkat Stres Pasien Odhiv Di Yayasan Cita Andaru Bersama Kota Tangerang","type":"article-journal","volume":"1"},"uris":["http://www.mendeley.com/documents/?uuid=3f562e78-612a-4224-bf38-54b1c43ed5df"]}],"mendeley":{"formattedCitation":"(Arif et al., 2025)","plainTextFormattedCitation":"(Arif et al., 2025)","previouslyFormattedCitation":"(Arif et al., 2025)"},"properties":{"noteIndex":0},"schema":"https://github.com/citation-style-language/schema/raw/master/csl-citation.json"}</w:instrText>
      </w:r>
      <w:r w:rsidR="0075334C" w:rsidRPr="00BA5758">
        <w:rPr>
          <w:rFonts w:asciiTheme="majorBidi" w:hAnsiTheme="majorBidi" w:cstheme="majorBidi"/>
          <w:sz w:val="24"/>
          <w:szCs w:val="24"/>
        </w:rPr>
        <w:fldChar w:fldCharType="separate"/>
      </w:r>
      <w:r w:rsidR="0075334C" w:rsidRPr="00BA5758">
        <w:rPr>
          <w:rFonts w:asciiTheme="majorBidi" w:hAnsiTheme="majorBidi" w:cstheme="majorBidi"/>
          <w:noProof/>
          <w:sz w:val="24"/>
          <w:szCs w:val="24"/>
        </w:rPr>
        <w:t>(Arif et al., 2025)</w:t>
      </w:r>
      <w:r w:rsidR="0075334C"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In the context of HIV care, access encompasses not only physical reachability of health facilities but also linkage to care, continuity of care (retention), affordability, service acceptability, and the presence of social and legal support systems, particularly for patients facing stigma and discrimination</w:t>
      </w:r>
      <w:r w:rsidR="0075334C"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10.1111/hex.70141","author":[{"dropping-particle":"","family":"Timilsina","given":"Amit","non-dropping-particle":"","parse-names":false,"suffix":""},{"dropping-particle":"","family":"Shrestha","given":"Anisha","non-dropping-particle":"","parse-names":false,"suffix":""},{"dropping-particle":"","family":"Neupane","given":"Pabitra","non-dropping-particle":"","parse-names":false,"suffix":""},{"dropping-particle":"","family":"Nepal","given":"Sudip","non-dropping-particle":"","parse-names":false,"suffix":""},{"dropping-particle":"","family":"Kandel","given":"Bishow","non-dropping-particle":"","parse-names":false,"suffix":""},{"dropping-particle":"","family":"Devkota","given":"Sudha","non-dropping-particle":"","parse-names":false,"suffix":""},{"dropping-particle":"","family":"Thapa","given":"Subash","non-dropping-particle":"","parse-names":false,"suffix":""}],"container-title":"Health Expectations ORIGINAL","id":"ITEM-1","issue":"e70141","issued":{"date-parts":[["2024"]]},"page":"1-11","title":"HIV Care Seeking Pathways and Barriers to the Continuum of Care Faced by Persons Living With HIV in Rural Nepal : A Qualitative Study","type":"article-journal","volume":"28"},"uris":["http://www.mendeley.com/documents/?uuid=484b2f7c-2f92-4f2a-bb9a-382ca33f4add"]}],"mendeley":{"formattedCitation":"(Timilsina et al., 2024)","plainTextFormattedCitation":"(Timilsina et al., 2024)","previouslyFormattedCitation":"(Timilsina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(Timilsina et al., 2024)</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 xml:space="preserve">Several respondents reported persistent difficulties in accessing services, especially due to geographical barriers and high transportation costs </w:t>
      </w:r>
      <w:r w:rsidR="0075334C"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{"citationItems":[{"id":"ITEM-1","itemData":{"DOI":"https://doi.org/10.1093/heapol/czae098","ISSN":"1460-2237","abstract":"DOI: https://doi.org/10.1093/heapol/czae098 Health Policy and Planning, 00, 00, xx xx xxxx. Abstract: Farm workers are vulnerable working populations who face significant inequalities in accessing health services, including those for human immunodeficiency virus (HIV) prevention, treatment and care. This descriptive phenomenological study aimed to explore farm workers’ experiences when accessing HIV services and was conducted in Limpopo province, South Africa. Eighteen in-depth interviews were conducted in four health facilities from two districts, and two focus group discussions were conducted in one of the farms within the province. Purposive sampling and systematic random sampling were used to select study participants. A deductive thematic approach was used to analyse data, informed by the social–ecological model of health. The results reveal that farm workers perceive multiple interdependent factors that inhibit or enable their access to HIV healthcare services. Key barriers to HIV healthcare were transport affordability, health worker attitudes, stigma and discrimination, models of HIV healthcare delivery, geographic location of health facilities and difficult working conditions. Key facilitators to HIV healthcare included the availability of mobile health services, the presence of community health workers and a supportive work environment. The findings suggest disparities in farm workers’ access to HIV services, with work being the main determinant of access. We, therefore, recommend a review of HIV policies and programmes for the agricultural sector and models of HIV healthcare delivery that address the unique needs of farm workers.","author":[{"dropping-particle":"","family":"Mlangeni","given":"Nosimilo","non-dropping-particle":"","parse-names":false,"suffix":""},{"dropping-particle":"","family":"Lembani","given":"Martina","non-dropping-particle":"","parse-names":false,"suffix":""},{"dropping-particle":"","family":"Adetokunboh","given":"Olatunji","non-dropping-particle":"","parse-names":false,"suffix":""},{"dropping-particle":"","family":"Nyasulu","given":"Peter S","non-dropping-particle":"","parse-names":false,"suffix":""}],"container-title":"Health Policy and Planning","id":"ITEM-1","issue":"00","issued":{"date-parts":[["2025"]]},"page":"75-84","publisher":"OUP Publishing","title":"Structural barriers and facilitators to accessing HIV services for marginalized working populations : insights from farm workers in South Africa","type":"article-journal","volume":"40"},"uris":["http://www.mendeley.com/documents/?uuid=36b9aa4f-15fd-4cb4-912e-0dc4de4023f4"]}],"mendeley":{"formattedCitation":"(Mlangeni et al., 2025)","plainTextFormattedCitation":"(Mlangeni et al., 2025)","previouslyFormattedCitation":"(Mlangeni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(Mlangeni et al., 2025)</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w:t>
      </w:r>
    </w:p>
    <w:p w14:paraId="33D5940B" w14:textId="14137BD8" w:rsidR="0075334C" w:rsidRPr="00BA5758" w:rsidRDefault="001864AD" w:rsidP="0075334C">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This study demonstrated a highly significant association between access to healthcare services and the occurrence of Loss to Follow-Up (LtFU). Patients experiencing difficult access had approximately 96 times higher odds of becoming LtFU compared to those with easy access (OR = 95.926; p &lt; 0.001). This finding aligns with previous studies indicating that barriers to healthcare access—such as transportation difficulties, social stigma, limited social support, and negative attitudes of healthcare providers—substantially increase the likelihood of missed clinic visits and treatment discontinuation</w:t>
      </w:r>
      <w:r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fldChar w:fldCharType="begin" w:fldLock="1"/>
      </w:r>
      <w:r w:rsidRPr="00BA5758">
        <w:rPr>
          <w:rFonts w:asciiTheme="majorBidi" w:hAnsiTheme="majorBidi" w:cstheme="majorBidi"/>
          <w:sz w:val="24"/>
          <w:szCs w:val="24"/>
        </w:rPr>
        <w:instrText>ADDIN CSL_CITATION {"citationItems":[{"id":"ITEM-1","itemData":{"author":[{"dropping-particle":"","family":"Asyari","given":"Dian Paramitha","non-dropping-particle":"","parse-names":false,"suffix":""},{"dropping-particle":"","family":"Wahyuni","given":"Annisa","non-dropping-particle":"","parse-names":false,"suffix":""},{"dropping-particle":"","family":"Harmen","given":"Elsa Luvia","non-dropping-particle":"","parse-names":false,"suffix":""}],"container-title":"Applicare journal","id":"ITEM-1","issue":"4","issued":{"date-parts":[["2024"]]},"title":"Stigma Sosial dan Dampaknya pada Akses Layanan Kesehatan bagi Penderita HIV/AIDS Di Indonesia","type":"article-journal","volume":"1"},"uris":["http://www.mendeley.com/documents/?uuid=9b8e8e44-2b42-40bb-8d79-ecf5dd3ea518"]}],"mendeley":{"formattedCitation":"(Asyari et al., 2024)","plainTextFormattedCitation":"(Asyari et al., 2024)","previouslyFormattedCitation":"(Asyari et al., 2024)"},"properties":{"noteIndex":0},"schema":"https://github.com/citation-style-language/schema/raw/master/csl-citation.json"}</w:instrText>
      </w:r>
      <w:r w:rsidRPr="00BA5758">
        <w:rPr>
          <w:rFonts w:asciiTheme="majorBidi" w:hAnsiTheme="majorBidi" w:cstheme="majorBidi"/>
          <w:sz w:val="24"/>
          <w:szCs w:val="24"/>
        </w:rPr>
        <w:fldChar w:fldCharType="separate"/>
      </w:r>
      <w:r w:rsidRPr="00BA5758">
        <w:rPr>
          <w:rFonts w:asciiTheme="majorBidi" w:hAnsiTheme="majorBidi" w:cstheme="majorBidi"/>
          <w:noProof/>
          <w:sz w:val="24"/>
          <w:szCs w:val="24"/>
        </w:rPr>
        <w:t>(Asyari et al., 2024)</w:t>
      </w:r>
      <w:r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Within the global HIV care continuum, limited access has been identified as a major contributor to gaps in both linkage to care and retention in care</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10.1007/s11524-025-01021-7","ISBN":"1152402501","ISSN":"1468-2869","author":[{"dropping-particle":"","family":"Cristina","given":"Fabiana","non-dropping-particle":"","parse-names":false,"suffix":""},{"dropping-particle":"","family":"Santos","given":"Dos","non-dropping-particle":"","parse-names":false,"suffix":""},{"dropping-particle":"","family":"Apiruknapanond","given":"Panta","non-dropping-particle":"","parse-names":false,"suffix":""},{"dropping-particle":"","family":"Wang","given":"Tongyao","non-dropping-particle":"","parse-names":false,"suffix":""},{"dropping-particle":"","family":"Dawson","given":"Carol","non-dropping-particle":"","parse-names":false,"suffix":""},{"dropping-particle":"","family":"Valencia","given":"Claudia P","non-dropping-particle":"","parse-names":false,"suffix":""},{"dropping-particle":"","family":"Christine","given":"Molina","non-dropping-particle":"","parse-names":false,"suffix":""},{"dropping-particle":"","family":"Davey","given":"Horvat","non-dropping-particle":"","parse-names":false,"suffix":""},{"dropping-particle":"","family":"Solís","given":"Solymar","non-dropping-particle":"","parse-names":false,"suffix":""},{"dropping-particle":"","family":"Emilia","given":"Báez","non-dropping-particle":"","parse-names":false,"suffix":""},{"dropping-particle":"","family":"Sabone","given":"Motshedisi","non-dropping-particle":"","parse-names":false,"suffix":""},{"dropping-particle":"","family":"Makhado","given":"Lufuno","non-dropping-particle":"","parse-names":false,"suffix":""},{"dropping-particle":"","family":"Phillips","given":"J Craig","non-dropping-particle":"","parse-names":false,"suffix":""},{"dropping-particle":"","family":"Corless","given":"Inge B","non-dropping-particle":"","parse-names":false,"suffix":""},{"dropping-particle":"","family":"Shaibu","given":"Sheila","non-dropping-particle":"","parse-names":false,"suffix":""},{"dropping-particle":"","family":"Ti","given":"Wei","non-dropping-particle":"","parse-names":false,"suffix":""},{"dropping-particle":"","family":"Diane","given":"Chen","non-dropping-particle":"","parse-names":false,"suffix":""},{"dropping-particle":"","family":"Maria","given":"Santa","non-dropping-particle":"","parse-names":false,"suffix":""},{"dropping-particle":"","family":"Cuca","given":"Yvette P","non-dropping-particle":"","parse-names":false,"suffix":""},{"dropping-particle":"","family":"Schnall","given":"Rebecca","non-dropping-particle":"","parse-names":false,"suffix":""}],"container-title":"Journal of Urban Health","id":"ITEM-1","issue":"0123456789","issued":{"date-parts":[["2025"]]},"publisher":"Springer US","title":"Global Measures of HIV Care Accessibility Across Urban , Suburban , and Rural Areas","type":"article-journal"},"uris":["http://www.mendeley.com/documents/?uuid=0a4a408f-a47f-40e0-b9c9-48efbb8d2f12"]}],"mendeley":{"formattedCitation":"(Cristina et al., 2025)","plainTextFormattedCitation":"(Cristina et al., 2025)","previouslyFormattedCitation":"(Cristina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(Cristina et al., 2025)</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w:t>
      </w:r>
      <w:r w:rsidR="0075334C" w:rsidRPr="00BA5758">
        <w:rPr>
          <w:rFonts w:asciiTheme="majorBidi" w:hAnsiTheme="majorBidi" w:cstheme="majorBidi"/>
          <w:sz w:val="24"/>
          <w:szCs w:val="24"/>
        </w:rPr>
        <w:t xml:space="preserve"> </w:t>
      </w:r>
    </w:p>
    <w:p w14:paraId="420C7BE4" w14:textId="71AF9D2D" w:rsidR="0095731B" w:rsidRPr="00BA5758" w:rsidRDefault="001864AD" w:rsidP="004178D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Cohort studies and predictive analyses consistently report that patients with restricted access to HIV services have significantly higher odds of LTFU across diverse age groups and clinical profiles. Evidence suggests that improving access through decentralization of services, multi-month ART dispensing, flexible clinic hours, transportation support, cost reduction, and </w:t>
      </w:r>
      <w:r w:rsidRPr="00BA5758">
        <w:rPr>
          <w:rFonts w:asciiTheme="majorBidi" w:hAnsiTheme="majorBidi" w:cstheme="majorBidi"/>
          <w:sz w:val="24"/>
          <w:szCs w:val="24"/>
        </w:rPr>
        <w:lastRenderedPageBreak/>
        <w:t>stigma-reduction interventions can substantially decrease LTFU rates</w:t>
      </w:r>
      <w:r w:rsidRPr="00BA5758">
        <w:rPr>
          <w:rFonts w:asciiTheme="majorBidi" w:hAnsiTheme="majorBidi" w:cstheme="majorBidi"/>
          <w:sz w:val="24"/>
          <w:szCs w:val="24"/>
          <w:lang w:val="en-US"/>
        </w:rPr>
        <w:t xml:space="preserve"> </w:t>
      </w:r>
      <w:r w:rsidR="00211D0B" w:rsidRPr="00BA5758">
        <w:rPr>
          <w:rFonts w:asciiTheme="majorBidi" w:hAnsiTheme="majorBidi" w:cstheme="majorBidi"/>
          <w:sz w:val="24"/>
          <w:szCs w:val="24"/>
        </w:rPr>
        <w:fldChar w:fldCharType="begin" w:fldLock="1"/>
      </w:r>
      <w:r w:rsidR="005F44C8" w:rsidRPr="00BA5758">
        <w:rPr>
          <w:rFonts w:asciiTheme="majorBidi" w:hAnsiTheme="majorBidi" w:cstheme="majorBidi"/>
          <w:sz w:val="24"/>
          <w:szCs w:val="24"/>
        </w:rPr>
        <w:instrText>ADDIN CSL_CITATION {"citationItems":[{"id":"ITEM-1","itemData":{"DOI":"10.1155/2021/8659372","author":[{"dropping-particle":"","family":"Gebremichael","given":"Mathewos Alemu","non-dropping-particle":"","parse-names":false,"suffix":""},{"dropping-particle":"","family":"Gurara","given":"Mekdes Kondale","non-dropping-particle":"","parse-names":false,"suffix":""},{"dropping-particle":"","family":"Weldehawaryat","given":"Haymanot Nigussie","non-dropping-particle":"","parse-names":false,"suffix":""},{"dropping-particle":"","family":"Mengesha","given":"Melkamu Merid","non-dropping-particle":"","parse-names":false,"suffix":""},{"dropping-particle":"","family":"Berbada","given":"Dessalegn Ajema","non-dropping-particle":"","parse-names":false,"suffix":""}],"container-title":"BioMed Research International","id":"ITEM-1","issued":{"date-parts":[["2021"]]},"page":"1-12","title":"Predictors of Loss to Follow-Up among HIV-Infected Adults after Initiation of the First-Line Antiretroviral Therapy at Arba Minch General Hospital , Southern Ethiopia : A 5-Year Retrospective Cohort Study","type":"article-journal","volume":"8659372"},"uris":["http://www.mendeley.com/documents/?uuid=134ebd11-2069-4f6d-9f7f-daae8d250f27"]}],"mendeley":{"formattedCitation":"(Gebremichael et al., 2021)","plainTextFormattedCitation":"(Gebremichael et al., 2021)","previouslyFormattedCitation":"(Gebremichael et al., 2021)"},"properties":{"noteIndex":0},"schema":"https://github.com/citation-style-language/schema/raw/master/csl-citation.json"}</w:instrText>
      </w:r>
      <w:r w:rsidR="00211D0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(Gebremichael et al., 2021)</w:t>
      </w:r>
      <w:r w:rsidR="00211D0B" w:rsidRPr="00BA5758">
        <w:rPr>
          <w:rFonts w:asciiTheme="majorBidi" w:hAnsiTheme="majorBidi" w:cstheme="majorBidi"/>
          <w:sz w:val="24"/>
          <w:szCs w:val="24"/>
        </w:rPr>
        <w:fldChar w:fldCharType="end"/>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Health services perceived as unresponsive or unfriendly further diminish patient motivation to remain engaged in care</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10.1111/hex.70141","author":[{"dropping-particle":"","family":"Timilsina","given":"Amit","non-dropping-particle":"","parse-names":false,"suffix":""},{"dropping-particle":"","family":"Shrestha","given":"Anisha","non-dropping-particle":"","parse-names":false,"suffix":""},{"dropping-particle":"","family":"Neupane","given":"Pabitra","non-dropping-particle":"","parse-names":false,"suffix":""},{"dropping-particle":"","family":"Nepal","given":"Sudip","non-dropping-particle":"","parse-names":false,"suffix":""},{"dropping-particle":"","family":"Kandel","given":"Bishow","non-dropping-particle":"","parse-names":false,"suffix":""},{"dropping-particle":"","family":"Devkota","given":"Sudha","non-dropping-particle":"","parse-names":false,"suffix":""},{"dropping-particle":"","family":"Thapa","given":"Subash","non-dropping-particle":"","parse-names":false,"suffix":""}],"container-title":"Health Expectations ORIGINAL","id":"ITEM-1","issue":"e70141","issued":{"date-parts":[["2024"]]},"page":"1-11","title":"HIV Care Seeking Pathways and Barriers to the Continuum of Care Faced by Persons Living With HIV in Rural Nepal : A Qualitative Study","type":"article-journal","volume":"28"},"uris":["http://www.mendeley.com/documents/?uuid=484b2f7c-2f92-4f2a-bb9a-382ca33f4add"]}],"mendeley":{"formattedCitation":"(Timilsina et al., 2024)","plainTextFormattedCitation":"(Timilsina et al., 2024)","previouslyFormattedCitation":"(Timilsina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(Timilsina et al., 2024)</w:t>
      </w:r>
      <w:r w:rsidR="0095731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Therefore, retention strategies must prioritize eliminating access barriers as a critical step toward improving patient retention and achieving the global 95-95-95 HIV targets</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{"citationItems":[{"id":"ITEM-1","itemData":{"DOI":"10.1080/09540121.2021.1929816","ISSN":"0954-0121","author":[{"dropping-particle":"","family":"Hoang","given":"Nhien Thi","non-dropping-particle":"","parse-names":false,"suffix":""},{"dropping-particle":"","family":"Foo","given":"Tiara J","non-dropping-particle":"","parse-names":false,"suffix":""},{"dropping-particle":"","family":"Tran","given":"Bach Xuan","non-dropping-particle":"","parse-names":false,"suffix":""},{"dropping-particle":"","family":"Do","given":"Nhan Thi","non-dropping-particle":"","parse-names":false,"suffix":""},{"dropping-particle":"","family":"Vu","given":"Giang Thu","non-dropping-particle":"","parse-names":false,"suffix":""},{"dropping-particle":"","family":"Nguyen","given":"Cuong Tat","non-dropping-particle":"","parse-names":false,"suffix":""},{"dropping-particle":"","family":"Pham","given":"Hai Quang","non-dropping-particle":"","parse-names":false,"suffix":""},{"dropping-particle":"","family":"Latkin","given":"Carl A","non-dropping-particle":"","parse-names":false,"suffix":""},{"dropping-particle":"","family":"Ho","given":"Cyrus S H","non-dropping-particle":"","parse-names":false,"suffix":""},{"dropping-particle":"","family":"Ho","given":"Roger C M","non-dropping-particle":"","parse-names":false,"suffix":""}],"container-title":"AIDS Care","id":"ITEM-1","issue":"8","issued":{"date-parts":[["2022","8","3"]]},"note":"doi: 10.1080/09540121.2021.1929816","page":"992-999","publisher":"Taylor &amp; Francis","title":"Structural barriers for retention of HIV/AIDS patients after initiating antiretroviral therapy in outpatient clinics of Vietnam","type":"article-journal","volume":"34"},"uris":["http://www.mendeley.com/documents/?uuid=f2804b5e-d73e-4a2a-8062-5239c49eb4b9"]}],"mendeley":{"formattedCitation":"(Hoang et al., 2022)","plainTextFormattedCitation":"(Hoang et al., 2022)","previouslyFormattedCitation":"(Hoang et al.,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(Hoang et al., 2022)</w:t>
      </w:r>
      <w:r w:rsidR="0095731B" w:rsidRPr="00BA5758">
        <w:rPr>
          <w:rFonts w:asciiTheme="majorBidi" w:hAnsiTheme="majorBidi" w:cstheme="majorBidi"/>
          <w:sz w:val="24"/>
          <w:szCs w:val="24"/>
        </w:rPr>
        <w:fldChar w:fldCharType="end"/>
      </w:r>
      <w:r w:rsidR="0075334C" w:rsidRPr="00BA5758">
        <w:rPr>
          <w:rFonts w:asciiTheme="majorBidi" w:hAnsiTheme="majorBidi" w:cstheme="majorBidi"/>
          <w:sz w:val="24"/>
          <w:szCs w:val="24"/>
          <w:lang w:val="en-US"/>
        </w:rPr>
        <w:t>.</w:t>
      </w:r>
    </w:p>
    <w:p w14:paraId="73F9BEAE" w14:textId="77777777" w:rsidR="0095731B" w:rsidRPr="00BA5758" w:rsidRDefault="0095731B" w:rsidP="0095731B">
      <w:pPr>
        <w:pStyle w:val="ListParagraph"/>
        <w:widowControl w:val="0"/>
        <w:ind w:left="0" w:hanging="2"/>
        <w:rPr>
          <w:rFonts w:asciiTheme="majorBidi" w:hAnsiTheme="majorBidi" w:cstheme="majorBidi"/>
          <w:szCs w:val="24"/>
        </w:rPr>
      </w:pPr>
    </w:p>
    <w:p w14:paraId="6D4752CA" w14:textId="5865B16B" w:rsidR="001864AD" w:rsidRPr="00BA5758" w:rsidRDefault="001864AD" w:rsidP="00B44173">
      <w:pPr>
        <w:pStyle w:val="ListParagraph"/>
        <w:widowControl w:val="0"/>
        <w:numPr>
          <w:ilvl w:val="2"/>
          <w:numId w:val="2"/>
        </w:numPr>
        <w:suppressAutoHyphens w:val="0"/>
        <w:ind w:leftChars="0" w:left="284" w:firstLineChars="0" w:hanging="284"/>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Association between Health Service Policy and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656BFCBE" w14:textId="2F7E975B" w:rsidR="004178DB" w:rsidRPr="00BA5758" w:rsidRDefault="001864AD" w:rsidP="004178D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The study found that 51.8% of respondents perceived HIV service policies as “good,” while 48.2% rated them as “poor,” with a mean policy score of 27.11 (range 14–43). Health service policies for HIV/AIDS encompass a set of rules, procedures, and clinical guidelines designed to facilitate access, ensure service quality, protect patient rights, and promote adherence to antiretroviral therapy (ART)</w:t>
      </w:r>
      <w:r w:rsidR="004178DB" w:rsidRPr="00BA5758">
        <w:rPr>
          <w:rFonts w:asciiTheme="majorBidi" w:eastAsia="Times New Roman" w:hAnsiTheme="majorBidi" w:cstheme="majorBidi"/>
          <w:sz w:val="24"/>
          <w:szCs w:val="24"/>
          <w:lang w:val="en-ID" w:eastAsia="en-ID"/>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{"citationItems":[{"id":"ITEM-1","itemData":{"author":[{"dropping-particle":"","family":"Choirunnisa","given":"Adinda","non-dropping-particle":"","parse-names":false,"suffix":""},{"dropping-particle":"","family":"Monica","given":"Rizqy Dimas","non-dropping-particle":"","parse-names":false,"suffix":""},{"dropping-particle":"","family":"Soelistijaningroem","given":"Matoeari","non-dropping-particle":"","parse-names":false,"suffix":""}],"container-title":"Jurnal Kesehatan Tambusai","id":"ITEM-1","issue":"3","issued":{"date-parts":[["2025"]]},"page":"10692-10702","title":"Tinjauan Pengelolaan Rekam Medis Pasien HIV/AIDS Berdasarkan Aspek Keamanan dan Kerahasiaan Guna Melindungi Hak Pasien di RSUD Welas Asih Provinsi Jawa Barat","type":"article-journal","volume":"6"},"uris":["http://www.mendeley.com/documents/?uuid=27d32bae-926d-40e3-b96f-1e954bbdf43d"]}],"mendeley":{"formattedCitation":"(Choirunnisa et al., 2025)","plainTextFormattedCitation":"(Choirunnisa et al., 2025)","previouslyFormattedCitation":"(Choirunnisa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(Choirunnisa et al., 2025)</w:t>
      </w:r>
      <w:r w:rsidR="0095731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Health policy frameworks play a significant role in shaping Loss to Follow-Up (LTFU) among people living with HIV</w:t>
      </w:r>
      <w:r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10.1371/journal.pone.0268226","ISBN":"1111111111","author":[{"dropping-particle":"","family":"Mugenyi","given":"Levicatus","non-dropping-particle":"","parse-names":false,"suffix":""},{"dropping-particle":"","family":"Nanfuka","given":"Mastula","non-dropping-particle":"","parse-names":false,"suffix":""},{"dropping-particle":"","family":"Byawaka","given":"Jaffer","non-dropping-particle":"","parse-names":false,"suffix":""},{"dropping-particle":"","family":"Agaba","given":"Collins","non-dropping-particle":"","parse-names":false,"suffix":""},{"dropping-particle":"","family":"Mijumbi","given":"Andrew","non-dropping-particle":"","parse-names":false,"suffix":""},{"dropping-particle":"","family":"Kagimu","given":"David","non-dropping-particle":"","parse-names":false,"suffix":""},{"dropping-particle":"","family":"Mugisha","given":"Kenneth","non-dropping-particle":"","parse-names":false,"suffix":""},{"dropping-particle":"","family":"Shabbar","given":"Jaffer","non-dropping-particle":"","parse-names":false,"suffix":""},{"dropping-particle":"","family":"Etukoit","given":"Michael","non-dropping-particle":"","parse-names":false,"suffix":""}],"container-title":"Plos one","id":"ITEM-1","issued":{"date-parts":[["2022"]]},"page":"1-13","title":"Effect of universal test and treat on retention and mortality among people living with HIV- infection in Uganda : An interrupted time series analysis","type":"article-journal","volume":"12757"},"uris":["http://www.mendeley.com/documents/?uuid=baf6c922-7568-4fdd-a4b7-980fee5e7171"]}],"mendeley":{"formattedCitation":"(Mugenyi et al., 2022)","plainTextFormattedCitation":"(Mugenyi et al., 2022)","previouslyFormattedCitation":"(Mugenyi et al.,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(Mugenyi et al., 2022)</w:t>
      </w:r>
      <w:r w:rsidR="0095731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 xml:space="preserve">Global HIV response strategies, including the 90-90-90 and 95-95-95 targets, provide policy direction for national HIV programs and healthcare delivery systems. Policy quality—reflected in patient understanding, service consistency, privacy protection, and procedural simplicity—has a substantial impact on continuity of care </w:t>
      </w:r>
      <w:r w:rsidR="004178DB" w:rsidRPr="00BA5758">
        <w:rPr>
          <w:rFonts w:asciiTheme="majorBidi" w:hAnsiTheme="majorBidi" w:cstheme="majorBidi"/>
          <w:sz w:val="24"/>
          <w:szCs w:val="24"/>
        </w:rPr>
        <w:fldChar w:fldCharType="begin" w:fldLock="1"/>
      </w:r>
      <w:r w:rsidR="004178DB" w:rsidRPr="00BA5758">
        <w:rPr>
          <w:rFonts w:asciiTheme="majorBidi" w:hAnsiTheme="majorBidi" w:cstheme="majorBidi"/>
          <w:sz w:val="24"/>
          <w:szCs w:val="24"/>
        </w:rPr>
        <w:instrText>ADDIN CSL_CITATION {"citationItems":[{"id":"ITEM-1","itemData":{"DOI":"10.1371/journal.pgph.0004604","author":[{"dropping-particle":"","family":"Dhir","given":"Amit Mickey","non-dropping-particle":"","parse-names":false,"suffix":""}],"container-title":"Plos Global Public Health","id":"ITEM-1","issue":"5","issued":{"date-parts":[["2025"]]},"page":"1-21","title":"Interventions for stigma reduction in HIV treatment and prevention designed to enhance antiretroviral uptake and adherence : A systematic review","type":"article-journal","volume":"5"},"uris":["http://www.mendeley.com/documents/?uuid=c5f1d0d5-6e5a-4cf4-b8c3-1aca198038e8"]}],"mendeley":{"formattedCitation":"(Dhir, 2025)","plainTextFormattedCitation":"(Dhir, 2025)","previouslyFormattedCitation":"(Dhir, 2025)"},"properties":{"noteIndex":0},"schema":"https://github.com/citation-style-language/schema/raw/master/csl-citation.json"}</w:instrText>
      </w:r>
      <w:r w:rsidR="004178DB" w:rsidRPr="00BA5758">
        <w:rPr>
          <w:rFonts w:asciiTheme="majorBidi" w:hAnsiTheme="majorBidi" w:cstheme="majorBidi"/>
          <w:sz w:val="24"/>
          <w:szCs w:val="24"/>
        </w:rPr>
        <w:fldChar w:fldCharType="separate"/>
      </w:r>
      <w:r w:rsidR="004178DB" w:rsidRPr="00BA5758">
        <w:rPr>
          <w:rFonts w:asciiTheme="majorBidi" w:hAnsiTheme="majorBidi" w:cstheme="majorBidi"/>
          <w:noProof/>
          <w:sz w:val="24"/>
          <w:szCs w:val="24"/>
        </w:rPr>
        <w:t>(Dhir, 2025)</w:t>
      </w:r>
      <w:r w:rsidR="004178D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w:t>
      </w:r>
    </w:p>
    <w:p w14:paraId="1D4A6CF9" w14:textId="77777777" w:rsidR="00BA5758" w:rsidRPr="00BA5758" w:rsidRDefault="001864AD" w:rsidP="004178DB">
      <w:pPr>
        <w:spacing w:after="0" w:line="360" w:lineRule="auto"/>
        <w:ind w:left="-2" w:firstLineChars="236" w:firstLine="566"/>
        <w:jc w:val="both"/>
        <w:rPr>
          <w:rFonts w:asciiTheme="majorBidi" w:hAnsiTheme="majorBidi" w:cstheme="majorBidi"/>
          <w:sz w:val="24"/>
          <w:szCs w:val="24"/>
        </w:rPr>
      </w:pPr>
      <w:r w:rsidRPr="00BA5758">
        <w:rPr>
          <w:rFonts w:asciiTheme="majorBidi" w:hAnsiTheme="majorBidi" w:cstheme="majorBidi"/>
          <w:sz w:val="24"/>
          <w:szCs w:val="24"/>
        </w:rPr>
        <w:t>Statistical analysis revealed a significant association between service policy quality and LtFU. Among respondents who experienced LtFU, the majority were in the group perceiving policies as poor (63.3%). Conversely, among those who did not experience LtFU, most reported receiving services under good policy conditions (78.9%). Fisher’s Exact Test yielded a p-value of 0.000, confirming a statistically significant relationship between health service policy and LtFU. The Odds Ratio (OR = 6.434; 95% CI: 3.2–12.62) indicates that patients exposed to poor service policies were approximately 6.4 times more likely to experience LtFU than those receiving services under good policies</w:t>
      </w:r>
      <w:r w:rsidR="0095731B" w:rsidRPr="00BA5758">
        <w:rPr>
          <w:rFonts w:asciiTheme="majorBidi" w:hAnsiTheme="majorBidi" w:cstheme="majorBidi"/>
          <w:sz w:val="24"/>
          <w:szCs w:val="24"/>
        </w:rPr>
        <w:t xml:space="preserve">. </w:t>
      </w:r>
    </w:p>
    <w:p w14:paraId="5DE0FEB2" w14:textId="4F76094C" w:rsidR="004178DB" w:rsidRPr="00BA5758" w:rsidRDefault="001864AD" w:rsidP="00BA5758">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Policy interventions that focus solely on access without addressing sociodemographic factors and service-related aspects are less effective in reducing loss to follow-up (LTFU); programs that incorporate community support, active patient tracking, and repeated counseling demonstrate better retention outcomes</w:t>
      </w:r>
      <w:r w:rsidRPr="00BA5758">
        <w:rPr>
          <w:rFonts w:asciiTheme="majorBidi" w:hAnsiTheme="majorBidi" w:cstheme="majorBidi"/>
          <w:sz w:val="24"/>
          <w:szCs w:val="24"/>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{"citationItems":[{"id":"ITEM-1","itemData":{"DOI":"10.1016/j.jiph.2022.08.012","ISSN":"1876-035X (Electronic)","PMID":"36063721","abstract":"Long-term adherence to antiretroviral medication continues to present as a  challenge along the continuum of the HIV care cascade. HIV interventions and support programs are significantly threatened in resource-limited settings by challenges in maintaining long-term follow-up for ART adherence. We sought to complete a systematic review to comprehensively examine ART adherence and retention in care interventions in Sub-Saharan Africa and to report on the implementation of interventions in real-world settings to inform future health investments in HIV care. Interventions were grouped according to their impact on individual, community, and health-systems levels. While a vast majority of studies evaluated a combination of interventions, those studies that incorporated the community as a resource were most successful. In addition, providing education and behavior reminders proved effective and should be accompanied by community and peer efforts for best results. Multi-level interventions, such as combining individual and community-level interventions showed promising results for long term ART adherence.","author":[{"dropping-particle":"","family":"Pugh","given":"Laura E","non-dropping-particle":"","parse-names":false,"suffix":""},{"dropping-particle":"","family":"Roberts","given":"Jacob S","non-dropping-particle":"","parse-names":false,"suffix":""},{"dropping-particle":"","family":"Viswasam","given":"Nikita","non-dropping-particle":"","parse-names":false,"suffix":""},{"dropping-particle":"","family":"Hahn","given":"Elizabeth","non-dropping-particle":"","parse-names":false,"suffix":""},{"dropping-particle":"","family":"Ryan","given":"Sophia","non-dropping-particle":"","parse-names":false,"suffix":""},{"dropping-particle":"","family":"Turpin","given":"Ghilane","non-dropping-particle":"","parse-names":false,"suffix":""},{"dropping-particle":"","family":"Lyons","given":"Carrie E","non-dropping-particle":"","parse-names":false,"suffix":""},{"dropping-particle":"","family":"Baral","given":"Stefan","non-dropping-particle":"","parse-names":false,"suffix":""},{"dropping-particle":"","family":"Hansoti","given":"Bhakti","non-dropping-particle":"","parse-names":false,"suffix":""}],"container-title":"Journal of infection and public health","id":"ITEM-1","issue":"10","issued":{"date-parts":[["2022","10"]]},"language":"eng","page":"1053-1060","publisher-place":"England","title":"Systematic review of interventions aimed at improving HIV adherence to care in  low- and middle-income countries in Sub-Saharan Africa.","type":"article-journal","volume":"15"},"uris":["http://www.mendeley.com/documents/?uuid=4f5d3885-fa71-4f96-8f11-c3121188aaaa"]}],"mendeley":{"formattedCitation":"(Pugh et al., 2022)","plainTextFormattedCitation":"(Pugh et al., 2022)","previouslyFormattedCitation":"(Pugh et al.,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(Pugh et al., 2022)</w:t>
      </w:r>
      <w:r w:rsidR="0095731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w:t>
      </w:r>
      <w:r w:rsidR="00BA5758" w:rsidRPr="00BA5758">
        <w:rPr>
          <w:rFonts w:asciiTheme="majorBidi" w:hAnsiTheme="majorBidi" w:cstheme="majorBidi"/>
          <w:sz w:val="24"/>
          <w:szCs w:val="24"/>
        </w:rPr>
        <w:t xml:space="preserve"> </w:t>
      </w:r>
      <w:r w:rsidR="00BA5758" w:rsidRPr="00BA5758">
        <w:rPr>
          <w:rFonts w:asciiTheme="majorBidi" w:hAnsiTheme="majorBidi" w:cstheme="majorBidi"/>
          <w:sz w:val="24"/>
          <w:szCs w:val="24"/>
        </w:rPr>
        <w:t>Research also highlights that the highest risk of LTFU occurs within the first 6–12 months following ART initiation, emphasizing the need for policy reinforcement during this critical period</w:t>
      </w:r>
      <w:r w:rsidR="00BA5758" w:rsidRPr="00BA5758">
        <w:rPr>
          <w:rFonts w:asciiTheme="majorBidi" w:hAnsiTheme="majorBidi" w:cstheme="majorBidi"/>
          <w:sz w:val="24"/>
          <w:szCs w:val="24"/>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{"citationItems":[{"id":"ITEM-1","itemData":{"DOI":"10.1186/s12879-024-10089-6","ISSN":"14712334","PMID":"39425041","abstract":"Background: Patient loss-to-follow-up (LTFU) in HIV care is a major challenge, especially in low-resource settings. Although the literature has focused on the total rate at which patients disengage from care, it has not sufficiently examined the specific risk periods during which patients are most likely to disengage from care. By addressing this gap, researchers and healthcare providers can develop more targeted interventions to improve patient engagement in HIV care. Methods: We conducted a retrospective cohort study on newly enrolled adult HIV patients at seven randomly selected high-volume health facilities in Ethiopia from May 2022 to April 2024. Data analysis was performed using SPSS version 26, with a focus on the incidence rate of LTFU during the critical risk periods. Cumulative hazard analysis was used to compare event distributions, whereas a Poisson regression model was used to identify factors predicting LTFU, with statistical significance set at p &lt; 0.05. Results: The analysis included 737 individuals newly enrolled in HIV care; 165 participants (22.4%, 95% CI: 19.5–25.2) were LTFU by the end of two years, of which 50.1% occurred within the first 6 months, 29.7% within 7–12 months, and 19.4% from 13 to 24 months on ART. The overall incidence rate of LTFU was 18.3 per 1,000 PMO (95% CI: 15.9–20.6), with rates of 167.7 in the first 6 months, 55.4 in 7–12 months, and 18.1 in 13–24 months. Incomplete addresses lacking a phone number or location information (IRR: 1.61; 95% CI: 1.14, 2.27) and poor adherence (IRR: 1.78; 95% CI: 1.28, 2.48) were factors predicting the incidence rate of LTFU. Conclusion: LTFU peaked in the first 6 months, accounting for approximately half of total losses, remained elevated from months 7–12, and stabilized after the first year of HIV care and treatment. Address information and adherence were predictors of LTFU. To effectively minimize LTFU, efforts should focus on intensive support during the first six months of care, followed by sustained efforts and monitoring in the next six months. Our findings highlight a critical period for targeted interventions to reduce LTFU in HIV care.","author":[{"dropping-particle":"","family":"Endebu","given":"Tamrat","non-dropping-particle":"","parse-names":false,"suffix":""},{"dropping-particle":"","family":"Taye","given":"Girma","non-dropping-particle":"","parse-names":false,"suffix":""},{"dropping-particle":"","family":"Deressa","given":"Wakgari","non-dropping-particle":"","parse-names":false,"suffix":""}],"container-title":"BMC Infectious Diseases","id":"ITEM-1","issue":"1","issued":{"date-parts":[["2024"]]},"title":"Rate and predictors of loss to follow-up in HIV care in a low-resource setting: analyzing critical risk periods","type":"article-journal","volume":"24"},"uris":["http://www.mendeley.com/documents/?uuid=40ed5864-0120-4c10-a81b-8dbf1987a662"]}],"mendeley":{"formattedCitation":"(Endebu et al., 2024)","plainTextFormattedCitation":"(Endebu et al., 2024)","previouslyFormattedCitation":"(Endebu et al.,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211D0B" w:rsidRPr="00BA5758">
        <w:rPr>
          <w:rFonts w:asciiTheme="majorBidi" w:hAnsiTheme="majorBidi" w:cstheme="majorBidi"/>
          <w:noProof/>
          <w:sz w:val="24"/>
          <w:szCs w:val="24"/>
        </w:rPr>
        <w:t>(Endebu et al., 2024)</w:t>
      </w:r>
      <w:r w:rsidR="0095731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 xml:space="preserve">. </w:t>
      </w:r>
      <w:r w:rsidR="00BA5758" w:rsidRPr="00BA5758">
        <w:rPr>
          <w:rFonts w:asciiTheme="majorBidi" w:hAnsiTheme="majorBidi" w:cstheme="majorBidi"/>
          <w:sz w:val="24"/>
          <w:szCs w:val="24"/>
        </w:rPr>
        <w:t xml:space="preserve">Effective policies to combat LTFU must therefore be comprehensive, strengthening facility capacity, referral governance, patient-tracking mechanisms, and social interventions </w:t>
      </w:r>
      <w:r w:rsidR="00BA5758" w:rsidRPr="00BA5758">
        <w:rPr>
          <w:rFonts w:asciiTheme="majorBidi" w:hAnsiTheme="majorBidi" w:cstheme="majorBidi"/>
          <w:sz w:val="24"/>
          <w:szCs w:val="24"/>
        </w:rPr>
        <w:lastRenderedPageBreak/>
        <w:t>addressing contextual barriers faced by patients</w:t>
      </w:r>
      <w:r w:rsidR="004178DB"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10.1371/journal.pone.0268226","ISBN":"1111111111","author":[{"dropping-particle":"","family":"Mugenyi","given":"Levicatus","non-dropping-particle":"","parse-names":false,"suffix":""},{"dropping-particle":"","family":"Nanfuka","given":"Mastula","non-dropping-particle":"","parse-names":false,"suffix":""},{"dropping-particle":"","family":"Byawaka","given":"Jaffer","non-dropping-particle":"","parse-names":false,"suffix":""},{"dropping-particle":"","family":"Agaba","given":"Collins","non-dropping-particle":"","parse-names":false,"suffix":""},{"dropping-particle":"","family":"Mijumbi","given":"Andrew","non-dropping-particle":"","parse-names":false,"suffix":""},{"dropping-particle":"","family":"Kagimu","given":"David","non-dropping-particle":"","parse-names":false,"suffix":""},{"dropping-particle":"","family":"Mugisha","given":"Kenneth","non-dropping-particle":"","parse-names":false,"suffix":""},{"dropping-particle":"","family":"Shabbar","given":"Jaffer","non-dropping-particle":"","parse-names":false,"suffix":""},{"dropping-particle":"","family":"Etukoit","given":"Michael","non-dropping-particle":"","parse-names":false,"suffix":""}],"container-title":"Plos one","id":"ITEM-1","issued":{"date-parts":[["2022"]]},"page":"1-13","title":"Effect of universal test and treat on retention and mortality among people living with HIV- infection in Uganda : An interrupted time series analysis","type":"article-journal","volume":"12757"},"uris":["http://www.mendeley.com/documents/?uuid=baf6c922-7568-4fdd-a4b7-980fee5e7171"]}],"mendeley":{"formattedCitation":"(Mugenyi et al., 2022)","plainTextFormattedCitation":"(Mugenyi et al., 2022)","previouslyFormattedCitation":"(Mugenyi et al., 2022)"},"properties":{"noteIndex":0},"schema":"https://github.com/citation-style-language/schema/raw/master/csl-citation.json"}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(Mugenyi et al., 2022)</w:t>
      </w:r>
      <w:r w:rsidR="0095731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 xml:space="preserve">. </w:t>
      </w:r>
      <w:r w:rsidR="00BA5758" w:rsidRPr="00BA5758">
        <w:rPr>
          <w:rFonts w:asciiTheme="majorBidi" w:hAnsiTheme="majorBidi" w:cstheme="majorBidi"/>
          <w:sz w:val="24"/>
          <w:szCs w:val="24"/>
        </w:rPr>
        <w:t>Inconsistent service delivery and fragmented implementation across healthcare providers negatively affect patient experiences and retention</w:t>
      </w:r>
      <w:r w:rsidR="004178DB"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{"citationItems":[{"id":"ITEM-1","itemData":{"DOI":"10.3389/fpubh.2024.1356430","author":[{"dropping-particle":"","family":"Dessie","given":"Zelalem G","non-dropping-particle":"","parse-names":false,"suffix":""},{"dropping-particle":"","family":"Zewotir","given":"Temesgen","non-dropping-particle":"","parse-names":false,"suffix":""}],"container-title":"Frontiers in public health","id":"ITEM-1","issue":"1356430","issued":{"date-parts":[["2024"]]},"page":"1-12","title":"HIV-related stigma and associated factors : a systematic review and meta-analysis","type":"article-journal","volume":"12"},"uris":["http://www.mendeley.com/documents/?uuid=3ed0896c-303f-4c35-b987-3753673accbe"]}],"mendeley":{"formattedCitation":"(Dessie &amp; Zewotir, 2024)","plainTextFormattedCitation":"(Dessie &amp; Zewotir, 2024)","previouslyFormattedCitation":"(Dessie &amp; Zewotir, 2024)"},"properties":{"noteIndex":0},"schema":"https://github.com/citation-style-language/schema/raw/master/csl-citation.json"}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(Dessie &amp; Zewotir, 2024)</w:t>
      </w:r>
      <w:r w:rsidR="0095731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 xml:space="preserve">. </w:t>
      </w:r>
      <w:r w:rsidR="00BA5758" w:rsidRPr="00BA5758">
        <w:rPr>
          <w:rFonts w:asciiTheme="majorBidi" w:hAnsiTheme="majorBidi" w:cstheme="majorBidi"/>
          <w:sz w:val="24"/>
          <w:szCs w:val="24"/>
        </w:rPr>
        <w:t>Moreover, literature consistently reports that service-level barriers and stigma within healthcare facilities significantly undermine ART adherence and continuity of care</w:t>
      </w:r>
      <w:r w:rsidR="00BA5758" w:rsidRPr="00BA5758">
        <w:rPr>
          <w:rFonts w:asciiTheme="majorBidi" w:hAnsiTheme="majorBidi" w:cstheme="majorBidi"/>
          <w:sz w:val="24"/>
          <w:szCs w:val="24"/>
        </w:rPr>
        <w:t xml:space="preserve"> </w:t>
      </w:r>
      <w:r w:rsidR="004178DB" w:rsidRPr="00BA5758">
        <w:rPr>
          <w:rFonts w:asciiTheme="majorBidi" w:hAnsiTheme="majorBidi" w:cstheme="majorBidi"/>
          <w:sz w:val="24"/>
          <w:szCs w:val="24"/>
        </w:rPr>
        <w:fldChar w:fldCharType="begin" w:fldLock="1"/>
      </w:r>
      <w:r w:rsidR="004178DB" w:rsidRPr="00BA5758">
        <w:rPr>
          <w:rFonts w:asciiTheme="majorBidi" w:hAnsiTheme="majorBidi" w:cstheme="majorBidi"/>
          <w:sz w:val="24"/>
          <w:szCs w:val="24"/>
        </w:rPr>
        <w:instrText>ADDIN CSL_CITATION {"citationItems":[{"id":"ITEM-1","itemData":{"author":[{"dropping-particle":"","family":"Alandia","given":"","non-dropping-particle":"","parse-names":false,"suffix":""},{"dropping-particle":"","family":"Yona","given":"Sri","non-dropping-particle":"","parse-names":false,"suffix":""}],"container-title":"Indonesian Journal of Global Health Research","id":"ITEM-1","issue":"6","issued":{"date-parts":[["2025"]]},"page":"4035-4046","title":"Mobile Health For Adherence To Antiretroviral Therapy In HIV-AIDS: A Systematic Review","type":"article-journal","volume":"6"},"uris":["http://www.mendeley.com/documents/?uuid=ebe8c356-989e-49e5-8ad8-554fbd0bef86"]}],"mendeley":{"formattedCitation":"(Alandia &amp; Yona, 2025)","plainTextFormattedCitation":"(Alandia &amp; Yona, 2025)","previouslyFormattedCitation":"(Alandia &amp; Yona, 2025)"},"properties":{"noteIndex":0},"schema":"https://github.com/citation-style-language/schema/raw/master/csl-citation.json"}</w:instrText>
      </w:r>
      <w:r w:rsidR="004178DB" w:rsidRPr="00BA5758">
        <w:rPr>
          <w:rFonts w:asciiTheme="majorBidi" w:hAnsiTheme="majorBidi" w:cstheme="majorBidi"/>
          <w:sz w:val="24"/>
          <w:szCs w:val="24"/>
        </w:rPr>
        <w:fldChar w:fldCharType="separate"/>
      </w:r>
      <w:r w:rsidR="004178DB" w:rsidRPr="00BA5758">
        <w:rPr>
          <w:rFonts w:asciiTheme="majorBidi" w:hAnsiTheme="majorBidi" w:cstheme="majorBidi"/>
          <w:noProof/>
          <w:sz w:val="24"/>
          <w:szCs w:val="24"/>
        </w:rPr>
        <w:t>(Alandia &amp; Yona, 2025)</w:t>
      </w:r>
      <w:r w:rsidR="004178DB" w:rsidRPr="00BA5758">
        <w:rPr>
          <w:rFonts w:asciiTheme="majorBidi" w:hAnsiTheme="majorBidi" w:cstheme="majorBidi"/>
          <w:sz w:val="24"/>
          <w:szCs w:val="24"/>
        </w:rPr>
        <w:fldChar w:fldCharType="end"/>
      </w:r>
      <w:r w:rsidR="004178DB" w:rsidRPr="00BA5758">
        <w:rPr>
          <w:rFonts w:asciiTheme="majorBidi" w:hAnsiTheme="majorBidi" w:cstheme="majorBidi"/>
          <w:sz w:val="24"/>
          <w:szCs w:val="24"/>
          <w:lang w:val="en-US"/>
        </w:rPr>
        <w:t>.</w:t>
      </w:r>
    </w:p>
    <w:p w14:paraId="0C0EB984" w14:textId="1B97DE30" w:rsidR="004178DB" w:rsidRPr="00BA5758" w:rsidRDefault="004178DB" w:rsidP="0095731B">
      <w:pPr>
        <w:spacing w:after="0" w:line="360" w:lineRule="auto"/>
        <w:ind w:left="0" w:hanging="2"/>
        <w:jc w:val="both"/>
        <w:rPr>
          <w:rFonts w:asciiTheme="majorBidi" w:hAnsiTheme="majorBidi" w:cstheme="majorBidi"/>
          <w:sz w:val="24"/>
          <w:szCs w:val="24"/>
          <w:lang w:val="en-US"/>
        </w:rPr>
      </w:pPr>
    </w:p>
    <w:p w14:paraId="261BC416" w14:textId="117BA5E9" w:rsidR="00BA5758" w:rsidRPr="00BA5758" w:rsidRDefault="00BA5758" w:rsidP="00B44173">
      <w:pPr>
        <w:pStyle w:val="ListParagraph"/>
        <w:widowControl w:val="0"/>
        <w:numPr>
          <w:ilvl w:val="2"/>
          <w:numId w:val="2"/>
        </w:numPr>
        <w:suppressAutoHyphens w:val="0"/>
        <w:ind w:leftChars="0" w:left="284" w:firstLineChars="0" w:hanging="286"/>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Factors Associated with Loss to Follow-Up (</w:t>
      </w:r>
      <w:proofErr w:type="spellStart"/>
      <w:r w:rsidRPr="00BA5758">
        <w:rPr>
          <w:rFonts w:asciiTheme="majorBidi" w:hAnsiTheme="majorBidi" w:cstheme="majorBidi"/>
          <w:b/>
          <w:bCs/>
          <w:szCs w:val="24"/>
        </w:rPr>
        <w:t>LtFU</w:t>
      </w:r>
      <w:proofErr w:type="spellEnd"/>
      <w:r w:rsidRPr="00BA5758">
        <w:rPr>
          <w:rFonts w:asciiTheme="majorBidi" w:hAnsiTheme="majorBidi" w:cstheme="majorBidi"/>
          <w:b/>
          <w:bCs/>
          <w:szCs w:val="24"/>
        </w:rPr>
        <w:t>)</w:t>
      </w:r>
    </w:p>
    <w:p w14:paraId="26D7E149" w14:textId="260FBFCF" w:rsidR="004178DB" w:rsidRPr="00BA5758" w:rsidRDefault="00BA5758" w:rsidP="004178DB">
      <w:pPr>
        <w:spacing w:after="0" w:line="360" w:lineRule="auto"/>
        <w:ind w:left="-2" w:firstLineChars="236" w:firstLine="566"/>
        <w:jc w:val="both"/>
        <w:rPr>
          <w:rFonts w:asciiTheme="majorBidi" w:hAnsiTheme="majorBidi" w:cstheme="majorBidi"/>
          <w:sz w:val="24"/>
          <w:szCs w:val="24"/>
        </w:rPr>
      </w:pPr>
      <w:r w:rsidRPr="00BA5758">
        <w:rPr>
          <w:rFonts w:asciiTheme="majorBidi" w:hAnsiTheme="majorBidi" w:cstheme="majorBidi"/>
          <w:sz w:val="24"/>
          <w:szCs w:val="24"/>
        </w:rPr>
        <w:t>This study identified several factors significantly associated with Loss to Follow-Up (LtFU) among HIV/AIDS patients in Demak Regency in 2025 (N = 199). Among the ten independent variables analyzed, inadequate knowledge was associated with a 4.6-fold increased risk of LtFU (OR = 4.629; p = 0.016; 95% CI: 1.330–16.118). Negative attitudes toward treatment or healthcare services increased the likelihood of LtFU nearly fivefold (OR = 4.966; p = 0.011; 95% CI: 1.445–17.069). Poor perception emerged as a substantial risk factor, increasing the odds of LtFU by approximately 6.4 times (OR = 6.431; p = 0.003; 95% CI: 1.875–22.057). Negative perceptions may hinder patient engagement and sustained participation in HIV care services</w:t>
      </w:r>
      <w:r w:rsidR="0095731B" w:rsidRPr="00BA5758">
        <w:rPr>
          <w:rFonts w:asciiTheme="majorBidi" w:hAnsiTheme="majorBidi" w:cstheme="majorBidi"/>
          <w:sz w:val="24"/>
          <w:szCs w:val="24"/>
        </w:rPr>
        <w:t>.</w:t>
      </w:r>
      <w:r w:rsidRPr="00BA5758">
        <w:rPr>
          <w:rFonts w:asciiTheme="majorBidi" w:hAnsiTheme="majorBidi" w:cstheme="majorBidi"/>
          <w:sz w:val="24"/>
          <w:szCs w:val="24"/>
        </w:rPr>
        <w:t xml:space="preserve"> </w:t>
      </w:r>
      <w:r w:rsidRPr="00BA5758">
        <w:rPr>
          <w:rFonts w:asciiTheme="majorBidi" w:hAnsiTheme="majorBidi" w:cstheme="majorBidi"/>
          <w:sz w:val="24"/>
          <w:szCs w:val="24"/>
        </w:rPr>
        <w:t>Family support demonstrated a strong protective role; patients with inadequate family support had nearly 12.8 times higher odds of experiencing LtFU (OR = 12.799; p = 0.002; 95% CI: 2.622–62.466). Access to healthcare services showed the greatest influence in the multivariate model, with patients facing difficult access having approximately 23 times higher odds of LtFU (OR = 22.941; p = 0.043; 95% CI: 1.104–476.732), identifying access as the primary determinant of LtFU in this study.</w:t>
      </w:r>
    </w:p>
    <w:p w14:paraId="22961F93" w14:textId="4F559E99" w:rsidR="004178DB" w:rsidRPr="00BA5758" w:rsidRDefault="00BA5758" w:rsidP="004178DB">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Loss to Follow-Up refers to patients who fail to attend scheduled clinical visits or medication pick-ups for a defined period (e.g., 90 days or more). LTFU remains a major challenge in HIV services, particularly in low- and middle-income countries, due to complex HIV epidemiology and health system limitations. Retention in care is critical not only for individual health outcomes but also for public health, as non-retained patients are more likely to experience disease progression, develop drug resistance, and contribute to ongoing HIV transmission within the community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{"citationItems":[{"id":"ITEM-1","itemData":{"DOI":"10.1590/S1678-9946202567053","ISSN":"1678-9946 (Electronic)","PMID":"40834146","abstract":"Loss to follow-up (LTFU) among people living with HIV (PLHIV) is a concerning  reality in various healthcare services and can occur at any stage of HIV care. LTFU can lead to a decline in overall health and quality of life for PLHIV; moreover, antiretroviral therapy (ART) interruption increase the risk of HIV sexual transmission. This systematic review investigated factors related to LTFU among PLHIV. The review included sources from PubMed, Cochrane Library, Embase, and others. We included observational studies published in English, Spanish, or Portuguese, from January 1, 2004, to December 31, 2024. We identified 36 studies from 20 countries in North and South America, Europe, Asia, and Africa. The studies included 69,789 PLHIV, of whom 22% were classified as LTFU. The time frame used to define LTFU varied across studies, ranging from 14 to 365 days. The most frequently reported factors associated with LTFU were younger age, low educational level, financial instability, illicit drug use, stigma, absence of family and social support, and ART side effects. Other relevant factors included long commuting time to healthcare facilities, long waiting time at health units, and issues with provider-patient relationships. Multiple factors may contribute to LTFU among PLHIV in complex and context-dependent ways. To address this issue, healthcare services must develop a comprehensive understanding of the communities they assist, recognizing distinct subgroups and their specific needs. Public health policies should be implemented to promote continuous care for PLHIV, including early diagnosis, multidisciplinary assessment, and social support.","author":[{"dropping-particle":"","family":"Salimo","given":"Zeca Manuel","non-dropping-particle":"","parse-names":false,"suffix":""},{"dropping-particle":"","family":"Avelino-Silva","given":"Vivian Iida","non-dropping-particle":"","parse-names":false,"suffix":""},{"dropping-particle":"da","family":"Silva","given":"Elizangela Farias","non-dropping-particle":"","parse-names":false,"suffix":""},{"dropping-particle":"","family":"Chaves","given":"Yury Oliveira","non-dropping-particle":"","parse-names":false,"suffix":""},{"dropping-particle":"El","family":"Kadri","given":"Michele Rocha de Araujo","non-dropping-particle":"","parse-names":false,"suffix":""},{"dropping-particle":"","family":"Nogueira","given":"Paulo Afonso","non-dropping-particle":"","parse-names":false,"suffix":""},{"dropping-particle":"","family":"Benzaken","given":"Adele Schwartz","non-dropping-particle":"","parse-names":false,"suffix":""}],"container-title":"Revista do Instituto de Medicina Tropical de Sao Paulo","id":"ITEM-1","issued":{"date-parts":[["2025"]]},"language":"eng","page":"e53","publisher-place":"Brazil","title":"Factors related to loss to follow-up among people living with HIV: a systematic  review.","type":"article-journal","volume":"67"},"uris":["http://www.mendeley.com/documents/?uuid=a0c942d9-f4bd-475b-ba9f-4cfa09c0a75e"]}],"mendeley":{"formattedCitation":"(Salimo et al., 2025)","plainTextFormattedCitation":"(Salimo et al., 2025)","previouslyFormattedCitation":"(Salimo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(Salimo et al., 2025)</w:t>
      </w:r>
      <w:r w:rsidR="0095731B" w:rsidRPr="00BA5758">
        <w:rPr>
          <w:rFonts w:asciiTheme="majorBidi" w:hAnsiTheme="majorBidi" w:cstheme="majorBidi"/>
          <w:sz w:val="24"/>
          <w:szCs w:val="24"/>
        </w:rPr>
        <w:fldChar w:fldCharType="end"/>
      </w:r>
      <w:r w:rsidR="003B60FA" w:rsidRPr="00BA5758">
        <w:rPr>
          <w:rFonts w:asciiTheme="majorBidi" w:hAnsiTheme="majorBidi" w:cstheme="majorBidi"/>
          <w:sz w:val="24"/>
          <w:szCs w:val="24"/>
          <w:lang w:val="en-US"/>
        </w:rPr>
        <w:t>.</w:t>
      </w:r>
    </w:p>
    <w:p w14:paraId="30FB3D80" w14:textId="6B135753" w:rsidR="0095731B" w:rsidRPr="00BA5758" w:rsidRDefault="00BA5758" w:rsidP="003B60FA">
      <w:pPr>
        <w:spacing w:after="0" w:line="360" w:lineRule="auto"/>
        <w:ind w:left="-2" w:firstLineChars="236" w:firstLine="566"/>
        <w:jc w:val="both"/>
        <w:rPr>
          <w:rFonts w:asciiTheme="majorBidi" w:hAnsiTheme="majorBidi" w:cstheme="majorBidi"/>
          <w:sz w:val="24"/>
          <w:szCs w:val="24"/>
          <w:lang w:val="en-US"/>
        </w:rPr>
      </w:pPr>
      <w:r w:rsidRPr="00BA5758">
        <w:rPr>
          <w:rFonts w:asciiTheme="majorBidi" w:hAnsiTheme="majorBidi" w:cstheme="majorBidi"/>
          <w:sz w:val="24"/>
          <w:szCs w:val="24"/>
        </w:rPr>
        <w:t xml:space="preserve">The determinants of LTFU in HIV care are multifactorial, encompassing individual, social, economic, clinical, and health system–related factors. Cross-national studies report wide variability in LTFU prevalence depending on definitions, settings, and population characteristics; however, it remains a persistent issue across HIV programs globally. Common predictors include younger age, low socioeconomic status, insufficient social support, </w:t>
      </w:r>
      <w:r w:rsidRPr="00BA5758">
        <w:rPr>
          <w:rFonts w:asciiTheme="majorBidi" w:hAnsiTheme="majorBidi" w:cstheme="majorBidi"/>
          <w:sz w:val="24"/>
          <w:szCs w:val="24"/>
        </w:rPr>
        <w:lastRenderedPageBreak/>
        <w:t>transportation challenges, advanced disease stage, low CD4 count, and ART-related side effects</w:t>
      </w:r>
      <w:r w:rsidRPr="00BA5758">
        <w:rPr>
          <w:rFonts w:asciiTheme="majorBidi" w:hAnsiTheme="majorBidi" w:cstheme="majorBidi"/>
          <w:sz w:val="24"/>
          <w:szCs w:val="24"/>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{"citationItems":[{"id":"ITEM-1","itemData":{"DOI":"10.1186/s40249-021-00822-7","ISBN":"4201811441","ISSN":"2049-9957","author":[{"dropping-particle":"","family":"Kebede","given":"Hafte Kahsay","non-dropping-particle":"","parse-names":false,"suffix":""},{"dropping-particle":"","family":"Mwanri","given":"Lillian","non-dropping-particle":"","parse-names":false,"suffix":""},{"dropping-particle":"","family":"Ward","given":"Paul","non-dropping-particle":"","parse-names":false,"suffix":""},{"dropping-particle":"","family":"Gesesew","given":"Hailay Abrha","non-dropping-particle":"","parse-names":false,"suffix":""}],"container-title":"Infectious Diseases of Poverty","id":"ITEM-1","issue":"33","issued":{"date-parts":[["2021"]]},"page":"1-18","publisher":"BioMed Central","title":"Predictors of lost to follow up from antiretroviral therapy among adults in sub ‑ Saharan Africa : a systematic review and meta ‑ analysis","type":"article-journal","volume":"10"},"uris":["http://www.mendeley.com/documents/?uuid=8512bfc9-5439-485a-b939-f9d2abca6b19"]}],"mendeley":{"formattedCitation":"(Kebede et al., 2021)","plainTextFormattedCitation":"(Kebede et al., 2021)","previouslyFormattedCitation":"(Kebede et al., 2021)"},"properties":{"noteIndex":0},"schema":"https://github.com/citation-style-language/schema/raw/master/csl-citation.json"}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(Kebede et al., 2021)</w:t>
      </w:r>
      <w:r w:rsidR="0095731B" w:rsidRPr="00BA5758">
        <w:rPr>
          <w:rFonts w:asciiTheme="majorBidi" w:hAnsiTheme="majorBidi" w:cstheme="majorBidi"/>
          <w:sz w:val="24"/>
          <w:szCs w:val="24"/>
        </w:rPr>
        <w:fldChar w:fldCharType="end"/>
      </w:r>
      <w:r w:rsidR="003B60FA" w:rsidRPr="00BA5758">
        <w:rPr>
          <w:rFonts w:asciiTheme="majorBidi" w:hAnsiTheme="majorBidi" w:cstheme="majorBidi"/>
          <w:sz w:val="24"/>
          <w:szCs w:val="24"/>
          <w:lang w:val="en-US"/>
        </w:rPr>
        <w:t>.</w:t>
      </w:r>
      <w:r w:rsidR="0095731B" w:rsidRPr="00BA5758">
        <w:rPr>
          <w:rFonts w:asciiTheme="majorBidi" w:hAnsiTheme="majorBidi" w:cstheme="majorBidi"/>
          <w:sz w:val="24"/>
          <w:szCs w:val="24"/>
        </w:rPr>
        <w:t xml:space="preserve"> </w:t>
      </w:r>
      <w:r w:rsidRPr="00BA5758">
        <w:rPr>
          <w:rFonts w:asciiTheme="majorBidi" w:hAnsiTheme="majorBidi" w:cstheme="majorBidi"/>
          <w:sz w:val="24"/>
          <w:szCs w:val="24"/>
        </w:rPr>
        <w:t>Previous research also emphasizes that limited knowledge of HIV and ART reduces understanding of the importance of long-term retention, thereby increasing the risk of treatment discontinuation</w:t>
      </w:r>
      <w:r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ounger age, lower educational attainment, financial instability, substance use, stigma, and lack of family or social support are among the most frequently reported factors associated with LTFU among people living with HIV</w:t>
      </w:r>
      <w:r w:rsidRPr="00BA5758">
        <w:rPr>
          <w:rFonts w:asciiTheme="majorBidi" w:hAnsiTheme="majorBidi" w:cstheme="majorBidi"/>
          <w:sz w:val="24"/>
          <w:szCs w:val="24"/>
          <w:lang w:val="en-US"/>
        </w:rPr>
        <w:t xml:space="preserve"> </w:t>
      </w:r>
      <w:r w:rsidR="003B60FA" w:rsidRPr="00BA5758">
        <w:rPr>
          <w:rFonts w:asciiTheme="majorBidi" w:hAnsiTheme="majorBidi" w:cstheme="majorBidi"/>
          <w:sz w:val="24"/>
          <w:szCs w:val="24"/>
        </w:rPr>
        <w:fldChar w:fldCharType="begin" w:fldLock="1"/>
      </w:r>
      <w:r w:rsidR="003B60FA" w:rsidRPr="00BA5758">
        <w:rPr>
          <w:rFonts w:asciiTheme="majorBidi" w:hAnsiTheme="majorBidi" w:cstheme="majorBidi"/>
          <w:sz w:val="24"/>
          <w:szCs w:val="24"/>
        </w:rPr>
        <w:instrText>ADDIN CSL_CITATION {"citationItems":[{"id":"ITEM-1","itemData":{"DOI":"10.1590/S1678-9946202567053","ISSN":"1678-9946 (Electronic)","PMID":"40834146","abstract":"Loss to follow-up (LTFU) among people living with HIV (PLHIV) is a concerning  reality in various healthcare services and can occur at any stage of HIV care. LTFU can lead to a decline in overall health and quality of life for PLHIV; moreover, antiretroviral therapy (ART) interruption increase the risk of HIV sexual transmission. This systematic review investigated factors related to LTFU among PLHIV. The review included sources from PubMed, Cochrane Library, Embase, and others. We included observational studies published in English, Spanish, or Portuguese, from January 1, 2004, to December 31, 2024. We identified 36 studies from 20 countries in North and South America, Europe, Asia, and Africa. The studies included 69,789 PLHIV, of whom 22% were classified as LTFU. The time frame used to define LTFU varied across studies, ranging from 14 to 365 days. The most frequently reported factors associated with LTFU were younger age, low educational level, financial instability, illicit drug use, stigma, absence of family and social support, and ART side effects. Other relevant factors included long commuting time to healthcare facilities, long waiting time at health units, and issues with provider-patient relationships. Multiple factors may contribute to LTFU among PLHIV in complex and context-dependent ways. To address this issue, healthcare services must develop a comprehensive understanding of the communities they assist, recognizing distinct subgroups and their specific needs. Public health policies should be implemented to promote continuous care for PLHIV, including early diagnosis, multidisciplinary assessment, and social support.","author":[{"dropping-particle":"","family":"Salimo","given":"Zeca Manuel","non-dropping-particle":"","parse-names":false,"suffix":""},{"dropping-particle":"","family":"Avelino-Silva","given":"Vivian Iida","non-dropping-particle":"","parse-names":false,"suffix":""},{"dropping-particle":"da","family":"Silva","given":"Elizangela Farias","non-dropping-particle":"","parse-names":false,"suffix":""},{"dropping-particle":"","family":"Chaves","given":"Yury Oliveira","non-dropping-particle":"","parse-names":false,"suffix":""},{"dropping-particle":"El","family":"Kadri","given":"Michele Rocha de Araujo","non-dropping-particle":"","parse-names":false,"suffix":""},{"dropping-particle":"","family":"Nogueira","given":"Paulo Afonso","non-dropping-particle":"","parse-names":false,"suffix":""},{"dropping-particle":"","family":"Benzaken","given":"Adele Schwartz","non-dropping-particle":"","parse-names":false,"suffix":""}],"container-title":"Revista do Instituto de Medicina Tropical de Sao Paulo","id":"ITEM-1","issued":{"date-parts":[["2025"]]},"language":"eng","page":"e53","publisher-place":"Brazil","title":"Factors related to loss to follow-up among people living with HIV: a systematic  review.","type":"article-journal","volume":"67"},"uris":["http://www.mendeley.com/documents/?uuid=a0c942d9-f4bd-475b-ba9f-4cfa09c0a75e"]}],"mendeley":{"formattedCitation":"(Salimo et al., 2025)","plainTextFormattedCitation":"(Salimo et al., 2025)","previouslyFormattedCitation":"(Salimo et al., 2025)"},"properties":{"noteIndex":0},"schema":"https://github.com/citation-style-language/schema/raw/master/csl-citation.json"}</w:instrText>
      </w:r>
      <w:r w:rsidR="003B60FA" w:rsidRPr="00BA5758">
        <w:rPr>
          <w:rFonts w:asciiTheme="majorBidi" w:hAnsiTheme="majorBidi" w:cstheme="majorBidi"/>
          <w:sz w:val="24"/>
          <w:szCs w:val="24"/>
        </w:rPr>
        <w:fldChar w:fldCharType="separate"/>
      </w:r>
      <w:r w:rsidR="003B60FA" w:rsidRPr="00BA5758">
        <w:rPr>
          <w:rFonts w:asciiTheme="majorBidi" w:hAnsiTheme="majorBidi" w:cstheme="majorBidi"/>
          <w:noProof/>
          <w:sz w:val="24"/>
          <w:szCs w:val="24"/>
        </w:rPr>
        <w:t>(Salimo et al., 2025)</w:t>
      </w:r>
      <w:r w:rsidR="003B60FA" w:rsidRPr="00BA5758">
        <w:rPr>
          <w:rFonts w:asciiTheme="majorBidi" w:hAnsiTheme="majorBidi" w:cstheme="majorBidi"/>
          <w:sz w:val="24"/>
          <w:szCs w:val="24"/>
        </w:rPr>
        <w:fldChar w:fldCharType="end"/>
      </w:r>
      <w:r w:rsidR="003B60FA" w:rsidRPr="00BA5758">
        <w:rPr>
          <w:rFonts w:asciiTheme="majorBidi" w:hAnsiTheme="majorBidi" w:cstheme="majorBidi"/>
          <w:sz w:val="24"/>
          <w:szCs w:val="24"/>
          <w:lang w:val="en-US"/>
        </w:rPr>
        <w:t xml:space="preserve">. </w:t>
      </w:r>
      <w:r w:rsidRPr="00BA5758">
        <w:rPr>
          <w:rFonts w:asciiTheme="majorBidi" w:hAnsiTheme="majorBidi" w:cstheme="majorBidi"/>
          <w:sz w:val="24"/>
          <w:szCs w:val="24"/>
        </w:rPr>
        <w:t>Family support has been consistently identified as a key predictor of retention in HIV care, as it mitigates stigma and enhances patient motivation</w:t>
      </w:r>
      <w:r w:rsidR="003B60FA" w:rsidRPr="00BA5758">
        <w:rPr>
          <w:rFonts w:asciiTheme="majorBidi" w:hAnsiTheme="majorBidi" w:cstheme="majorBidi"/>
          <w:sz w:val="24"/>
          <w:szCs w:val="24"/>
          <w:lang w:val="en-US"/>
        </w:rPr>
        <w:t xml:space="preserve"> </w:t>
      </w:r>
      <w:r w:rsidR="003B60FA" w:rsidRPr="00BA5758">
        <w:rPr>
          <w:rFonts w:asciiTheme="majorBidi" w:hAnsiTheme="majorBidi" w:cstheme="majorBidi"/>
          <w:sz w:val="24"/>
          <w:szCs w:val="24"/>
        </w:rPr>
        <w:fldChar w:fldCharType="begin" w:fldLock="1"/>
      </w:r>
      <w:r w:rsidR="003B60FA" w:rsidRPr="00BA5758">
        <w:rPr>
          <w:rFonts w:asciiTheme="majorBidi" w:hAnsiTheme="majorBidi" w:cstheme="majorBidi"/>
          <w:sz w:val="24"/>
          <w:szCs w:val="24"/>
        </w:rPr>
        <w:instrText>ADDIN CSL_CITATION {"citationItems":[{"id":"ITEM-1","itemData":{"ISBN":"0812400887","abstract":"analisi untuk tingkat pengetahuan ρ-value 0,535 &gt; α (0,05), keterjangkauan klinik VCT ρ-value 0,092 &gt; α (0,05), kepatuhan terapi ARV ρ-value 0,367 &gt; α (0,05), dukungan keluarga ρ-value 0,049 &lt; α (0,05), perceived susceptibility ρ-value 0,006 &lt; α (0,05) dan perceived severity ρ-value 0,014 &lt; α (0,05). Kesimpulan terdapat pengaruh antara dukungan keluarga, perceived susceptibility, perceived severty dan variabel yang paling berisiko adalah perceived susceptibility dengan besar risiko 2,489 kali terhadap lost to follow-up terapi ARV pada kelompok LSL. Saran untuk pasien agar lebih terbuka dengan status kesehatan yang dimiliki.","author":[{"dropping-particle":"","family":"Andriani","given":"Ni Ketut","non-dropping-particle":"","parse-names":false,"suffix":""},{"dropping-particle":"","family":"Aulia","given":"Ulfa","non-dropping-particle":"","parse-names":false,"suffix":""},{"dropping-particle":"","family":"Irwan","given":"","non-dropping-particle":"","parse-names":false,"suffix":""}],"container-title":"Preventif: Jurnal Kesehatan Masyarakat","id":"ITEM-1","issue":"1","issued":{"date-parts":[["2024"]]},"page":"94-114","title":"Faktor yang Mempengaruhi Lost to Follow-Up Pasien HIV-AIDS dengan Terapi ARV pada Kelompok LSL","type":"article-journal","volume":"15"},"uris":["http://www.mendeley.com/documents/?uuid=8566080a-1197-4da8-858e-08068d8329fa"]}],"mendeley":{"formattedCitation":"(Andriani et al., 2024)","plainTextFormattedCitation":"(Andriani et al., 2024)","previouslyFormattedCitation":"(Andriani et al., 2024)"},"properties":{"noteIndex":0},"schema":"https://github.com/citation-style-language/schema/raw/master/csl-citation.json"}</w:instrText>
      </w:r>
      <w:r w:rsidR="003B60FA" w:rsidRPr="00BA5758">
        <w:rPr>
          <w:rFonts w:asciiTheme="majorBidi" w:hAnsiTheme="majorBidi" w:cstheme="majorBidi"/>
          <w:sz w:val="24"/>
          <w:szCs w:val="24"/>
        </w:rPr>
        <w:fldChar w:fldCharType="separate"/>
      </w:r>
      <w:r w:rsidR="003B60FA" w:rsidRPr="00BA5758">
        <w:rPr>
          <w:rFonts w:asciiTheme="majorBidi" w:hAnsiTheme="majorBidi" w:cstheme="majorBidi"/>
          <w:noProof/>
          <w:sz w:val="24"/>
          <w:szCs w:val="24"/>
        </w:rPr>
        <w:t>(Andriani et al., 2024)</w:t>
      </w:r>
      <w:r w:rsidR="003B60FA" w:rsidRPr="00BA5758">
        <w:rPr>
          <w:rFonts w:asciiTheme="majorBidi" w:hAnsiTheme="majorBidi" w:cstheme="majorBidi"/>
          <w:sz w:val="24"/>
          <w:szCs w:val="24"/>
        </w:rPr>
        <w:fldChar w:fldCharType="end"/>
      </w:r>
      <w:r w:rsidR="003B60FA" w:rsidRPr="00BA5758">
        <w:rPr>
          <w:rFonts w:asciiTheme="majorBidi" w:hAnsiTheme="majorBidi" w:cstheme="majorBidi"/>
          <w:sz w:val="24"/>
          <w:szCs w:val="24"/>
          <w:lang w:val="en-US"/>
        </w:rPr>
        <w:t>.</w:t>
      </w:r>
      <w:r w:rsidR="003B60FA"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t>Faktor usia muda, pendidikan rendah, ketidakstabilan keuangan, konsumsi obat terlarang, stigma, serta kurangnya dukungan keluarga/sosial merupakan faktor yang sering dikaitkan dengan LTFU di antara orang hidup dengan HIV</w:t>
      </w:r>
      <w:r w:rsidR="003B60FA" w:rsidRPr="00BA5758">
        <w:rPr>
          <w:rFonts w:asciiTheme="majorBidi" w:hAnsiTheme="majorBidi" w:cstheme="majorBidi"/>
          <w:sz w:val="24"/>
          <w:szCs w:val="24"/>
          <w:lang w:val="en-US"/>
        </w:rPr>
        <w:t xml:space="preserve"> </w:t>
      </w:r>
      <w:r w:rsidR="0095731B" w:rsidRPr="00BA5758">
        <w:rPr>
          <w:rFonts w:asciiTheme="majorBidi" w:hAnsiTheme="majorBidi" w:cstheme="majorBidi"/>
          <w:sz w:val="24"/>
          <w:szCs w:val="24"/>
        </w:rPr>
        <w:fldChar w:fldCharType="begin" w:fldLock="1"/>
      </w:r>
      <w:r w:rsidR="00211D0B" w:rsidRPr="00BA5758">
        <w:rPr>
          <w:rFonts w:asciiTheme="majorBidi" w:hAnsiTheme="majorBidi" w:cstheme="majorBidi"/>
          <w:sz w:val="24"/>
          <w:szCs w:val="24"/>
        </w:rPr>
        <w:instrText>ADDIN CSL_CITATION {"citationItems":[{"id":"ITEM-1","itemData":{"DOI":"10.1590/S1678-9946202567053","ISSN":"1678-9946 (Electronic)","PMID":"40834146","abstract":"Loss to follow-up (LTFU) among people living with HIV (PLHIV) is a concerning  reality in various healthcare services and can occur at any stage of HIV care. LTFU can lead to a decline in overall health and quality of life for PLHIV; moreover, antiretroviral therapy (ART) interruption increase the risk of HIV sexual transmission. This systematic review investigated factors related to LTFU among PLHIV. The review included sources from PubMed, Cochrane Library, Embase, and others. We included observational studies published in English, Spanish, or Portuguese, from January 1, 2004, to December 31, 2024. We identified 36 studies from 20 countries in North and South America, Europe, Asia, and Africa. The studies included 69,789 PLHIV, of whom 22% were classified as LTFU. The time frame used to define LTFU varied across studies, ranging from 14 to 365 days. The most frequently reported factors associated with LTFU were younger age, low educational level, financial instability, illicit drug use, stigma, absence of family and social support, and ART side effects. Other relevant factors included long commuting time to healthcare facilities, long waiting time at health units, and issues with provider-patient relationships. Multiple factors may contribute to LTFU among PLHIV in complex and context-dependent ways. To address this issue, healthcare services must develop a comprehensive understanding of the communities they assist, recognizing distinct subgroups and their specific needs. Public health policies should be implemented to promote continuous care for PLHIV, including early diagnosis, multidisciplinary assessment, and social support.","author":[{"dropping-particle":"","family":"Salimo","given":"Zeca Manuel","non-dropping-particle":"","parse-names":false,"suffix":""},{"dropping-particle":"","family":"Avelino-Silva","given":"Vivian Iida","non-dropping-particle":"","parse-names":false,"suffix":""},{"dropping-particle":"da","family":"Silva","given":"Elizangela Farias","non-dropping-particle":"","parse-names":false,"suffix":""},{"dropping-particle":"","family":"Chaves","given":"Yury Oliveira","non-dropping-particle":"","parse-names":false,"suffix":""},{"dropping-particle":"El","family":"Kadri","given":"Michele Rocha de Araujo","non-dropping-particle":"","parse-names":false,"suffix":""},{"dropping-particle":"","family":"Nogueira","given":"Paulo Afonso","non-dropping-particle":"","parse-names":false,"suffix":""},{"dropping-particle":"","family":"Benzaken","given":"Adele Schwartz","non-dropping-particle":"","parse-names":false,"suffix":""}],"container-title":"Revista do Instituto de Medicina Tropical de Sao Paulo","id":"ITEM-1","issued":{"date-parts":[["2025"]]},"language":"eng","page":"e53","publisher-place":"Brazil","title":"Factors related to loss to follow-up among people living with HIV: a systematic  review.","type":"article-journal","volume":"67"},"uris":["http://www.mendeley.com/documents/?uuid=a0c942d9-f4bd-475b-ba9f-4cfa09c0a75e"]}],"mendeley":{"formattedCitation":"(Salimo et al., 2025)","plainTextFormattedCitation":"(Salimo et al., 2025)","previouslyFormattedCitation":"(Salimo et al., 2025)"},"properties":{"noteIndex":0},"schema":"https://github.com/citation-style-language/schema/raw/master/csl-citation.json"}</w:instrText>
      </w:r>
      <w:r w:rsidR="0095731B" w:rsidRPr="00BA5758">
        <w:rPr>
          <w:rFonts w:asciiTheme="majorBidi" w:hAnsiTheme="majorBidi" w:cstheme="majorBidi"/>
          <w:sz w:val="24"/>
          <w:szCs w:val="24"/>
        </w:rPr>
        <w:fldChar w:fldCharType="separate"/>
      </w:r>
      <w:r w:rsidR="0095731B" w:rsidRPr="00BA5758">
        <w:rPr>
          <w:rFonts w:asciiTheme="majorBidi" w:hAnsiTheme="majorBidi" w:cstheme="majorBidi"/>
          <w:noProof/>
          <w:sz w:val="24"/>
          <w:szCs w:val="24"/>
        </w:rPr>
        <w:t>(Salimo et al., 2025)</w:t>
      </w:r>
      <w:r w:rsidR="0095731B" w:rsidRPr="00BA5758">
        <w:rPr>
          <w:rFonts w:asciiTheme="majorBidi" w:hAnsiTheme="majorBidi" w:cstheme="majorBidi"/>
          <w:sz w:val="24"/>
          <w:szCs w:val="24"/>
        </w:rPr>
        <w:fldChar w:fldCharType="end"/>
      </w:r>
      <w:r w:rsidR="003B60FA" w:rsidRPr="00BA5758">
        <w:rPr>
          <w:rFonts w:asciiTheme="majorBidi" w:hAnsiTheme="majorBidi" w:cstheme="majorBidi"/>
          <w:sz w:val="24"/>
          <w:szCs w:val="24"/>
          <w:lang w:val="en-US"/>
        </w:rPr>
        <w:t>.</w:t>
      </w:r>
    </w:p>
    <w:p w14:paraId="317321D5" w14:textId="77777777" w:rsidR="0095731B" w:rsidRPr="00BA5758" w:rsidRDefault="0095731B" w:rsidP="0095731B">
      <w:pPr>
        <w:spacing w:after="0" w:line="360" w:lineRule="auto"/>
        <w:ind w:left="0" w:hanging="2"/>
        <w:jc w:val="both"/>
        <w:rPr>
          <w:rFonts w:asciiTheme="majorBidi" w:hAnsiTheme="majorBidi" w:cstheme="majorBidi"/>
          <w:b/>
          <w:bCs/>
          <w:sz w:val="24"/>
          <w:szCs w:val="24"/>
        </w:rPr>
      </w:pPr>
    </w:p>
    <w:p w14:paraId="6FB83BE8" w14:textId="022B57E8" w:rsidR="00BA5758" w:rsidRPr="00BA5758" w:rsidRDefault="00BA5758" w:rsidP="00B44173">
      <w:pPr>
        <w:pStyle w:val="ListParagraph"/>
        <w:widowControl w:val="0"/>
        <w:numPr>
          <w:ilvl w:val="2"/>
          <w:numId w:val="2"/>
        </w:numPr>
        <w:suppressAutoHyphens w:val="0"/>
        <w:ind w:leftChars="0" w:left="284" w:firstLineChars="0" w:hanging="284"/>
        <w:textDirection w:val="lrTb"/>
        <w:textAlignment w:val="auto"/>
        <w:outlineLvl w:val="9"/>
        <w:rPr>
          <w:rFonts w:asciiTheme="majorBidi" w:hAnsiTheme="majorBidi" w:cstheme="majorBidi"/>
          <w:b/>
          <w:bCs/>
          <w:szCs w:val="24"/>
        </w:rPr>
      </w:pPr>
      <w:r w:rsidRPr="00BA5758">
        <w:rPr>
          <w:rFonts w:asciiTheme="majorBidi" w:hAnsiTheme="majorBidi" w:cstheme="majorBidi"/>
          <w:b/>
          <w:bCs/>
          <w:szCs w:val="24"/>
        </w:rPr>
        <w:t>Limitations of the Study</w:t>
      </w:r>
    </w:p>
    <w:p w14:paraId="7A8B7257" w14:textId="776F17DD" w:rsidR="0095731B" w:rsidRPr="00BA5758" w:rsidRDefault="00BA5758" w:rsidP="003B60FA">
      <w:pPr>
        <w:pStyle w:val="ListParagraph"/>
        <w:suppressAutoHyphens w:val="0"/>
        <w:ind w:leftChars="0" w:left="0" w:firstLineChars="0" w:firstLine="567"/>
        <w:textDirection w:val="lrTb"/>
        <w:textAlignment w:val="auto"/>
        <w:outlineLvl w:val="9"/>
        <w:rPr>
          <w:rFonts w:asciiTheme="majorBidi" w:eastAsia="Times New Roman" w:hAnsiTheme="majorBidi" w:cstheme="majorBidi"/>
          <w:szCs w:val="24"/>
          <w:lang w:val="en-ID" w:eastAsia="en-ID"/>
        </w:rPr>
      </w:pPr>
      <w:r w:rsidRPr="00BA5758">
        <w:rPr>
          <w:rFonts w:asciiTheme="majorBidi" w:hAnsiTheme="majorBidi" w:cstheme="majorBidi"/>
          <w:szCs w:val="24"/>
        </w:rPr>
        <w:t>This study examined behavioral and psychosocial variables—including knowledge, attitudes, perceptions, social support, stigma, and healthcare services—using a self-report questionnaire. This approach is subject to several limitations, particularly information bias, such as recall bias and social desirability bias, whereby respondents may provide answers perceived as socially acceptable, especially when addressing sensitive issues such as HIV/AIDS, stigma, and treatment adherence. In addition, this study did not fully explore policy-level and health system factors in depth, including financing mechanisms, cross-regional referral policies, healthcare workforce workload, consistent availability of antiretroviral therapy (ART), and the local-level implementation of national HIV/AIDS policies. These limitations may have influenced the comprehensiveness of the findings related to systemic determinants of loss to follow-up</w:t>
      </w:r>
      <w:r w:rsidR="0095731B" w:rsidRPr="00BA5758">
        <w:rPr>
          <w:rFonts w:asciiTheme="majorBidi" w:hAnsiTheme="majorBidi" w:cstheme="majorBidi"/>
          <w:szCs w:val="24"/>
        </w:rPr>
        <w:t>.</w:t>
      </w:r>
    </w:p>
    <w:p w14:paraId="2F86D4B4" w14:textId="77777777" w:rsidR="00690517" w:rsidRPr="00BA5758" w:rsidRDefault="00690517">
      <w:pPr>
        <w:spacing w:after="0" w:line="360" w:lineRule="auto"/>
        <w:ind w:left="0" w:hanging="2"/>
        <w:jc w:val="both"/>
        <w:rPr>
          <w:rFonts w:asciiTheme="majorBidi" w:eastAsia="Times New Roman" w:hAnsiTheme="majorBidi" w:cstheme="majorBidi"/>
          <w:sz w:val="24"/>
          <w:szCs w:val="24"/>
        </w:rPr>
      </w:pPr>
    </w:p>
    <w:p w14:paraId="629AD7FA" w14:textId="4A43A961" w:rsidR="00690517" w:rsidRPr="00BA5758" w:rsidRDefault="00B44173" w:rsidP="003B60FA">
      <w:pPr>
        <w:spacing w:after="0" w:line="360" w:lineRule="auto"/>
        <w:ind w:left="0" w:hanging="2"/>
        <w:jc w:val="both"/>
        <w:rPr>
          <w:rFonts w:asciiTheme="majorBidi" w:eastAsia="Times New Roman" w:hAnsiTheme="majorBidi" w:cstheme="majorBidi"/>
          <w:sz w:val="24"/>
          <w:szCs w:val="24"/>
        </w:rPr>
      </w:pPr>
      <w:r w:rsidRPr="00BA5758">
        <w:rPr>
          <w:rFonts w:asciiTheme="majorBidi" w:eastAsia="Times New Roman" w:hAnsiTheme="majorBidi" w:cstheme="majorBidi"/>
          <w:b/>
          <w:sz w:val="24"/>
          <w:szCs w:val="24"/>
        </w:rPr>
        <w:t>CONCLUSIONS</w:t>
      </w:r>
    </w:p>
    <w:p w14:paraId="3419819C" w14:textId="6919B2D2" w:rsidR="003B60FA" w:rsidRPr="00BA5758" w:rsidRDefault="00BA5758" w:rsidP="003B60FA">
      <w:pPr>
        <w:pStyle w:val="ListParagraph"/>
        <w:suppressAutoHyphens w:val="0"/>
        <w:ind w:leftChars="0" w:left="0" w:firstLineChars="0" w:firstLine="567"/>
        <w:textAlignment w:val="auto"/>
        <w:outlineLvl w:val="9"/>
        <w:rPr>
          <w:rFonts w:asciiTheme="majorBidi" w:eastAsia="Times New Roman" w:hAnsiTheme="majorBidi" w:cstheme="majorBidi"/>
          <w:position w:val="0"/>
          <w:szCs w:val="24"/>
          <w:lang w:val="en-ID" w:eastAsia="en-ID"/>
        </w:rPr>
      </w:pPr>
      <w:r w:rsidRPr="00BA5758">
        <w:rPr>
          <w:rFonts w:asciiTheme="majorBidi" w:hAnsiTheme="majorBidi" w:cstheme="majorBidi"/>
          <w:szCs w:val="24"/>
        </w:rPr>
        <w:t xml:space="preserve">The majority of people living with HIV/AIDS in </w:t>
      </w:r>
      <w:proofErr w:type="spellStart"/>
      <w:r w:rsidRPr="00BA5758">
        <w:rPr>
          <w:rFonts w:asciiTheme="majorBidi" w:hAnsiTheme="majorBidi" w:cstheme="majorBidi"/>
          <w:szCs w:val="24"/>
        </w:rPr>
        <w:t>Demak</w:t>
      </w:r>
      <w:proofErr w:type="spellEnd"/>
      <w:r w:rsidRPr="00BA5758">
        <w:rPr>
          <w:rFonts w:asciiTheme="majorBidi" w:hAnsiTheme="majorBidi" w:cstheme="majorBidi"/>
          <w:szCs w:val="24"/>
        </w:rPr>
        <w:t xml:space="preserve"> Regency were of productive age, predominantly female, with secondary or higher educational attainment and relatively stable clinical conditions, as indicated by CD4 counts ≥200 cells/mm³, early disease stage, use of second-line ART regimens, and minimal comorbidities. The findings demonstrate that loss to follow-up (</w:t>
      </w:r>
      <w:proofErr w:type="spellStart"/>
      <w:r w:rsidRPr="00BA5758">
        <w:rPr>
          <w:rFonts w:asciiTheme="majorBidi" w:hAnsiTheme="majorBidi" w:cstheme="majorBidi"/>
          <w:szCs w:val="24"/>
        </w:rPr>
        <w:t>LtFU</w:t>
      </w:r>
      <w:proofErr w:type="spellEnd"/>
      <w:r w:rsidRPr="00BA5758">
        <w:rPr>
          <w:rFonts w:asciiTheme="majorBidi" w:hAnsiTheme="majorBidi" w:cstheme="majorBidi"/>
          <w:szCs w:val="24"/>
        </w:rPr>
        <w:t xml:space="preserve">) is associated with multiple interrelated factors, including individual-level factors such as knowledge, attitudes, and perceptions; social factors comprising family support, peer support, and stigma; as well as service-related and structural factors, including healthcare </w:t>
      </w:r>
      <w:r w:rsidRPr="00BA5758">
        <w:rPr>
          <w:rFonts w:asciiTheme="majorBidi" w:hAnsiTheme="majorBidi" w:cstheme="majorBidi"/>
          <w:szCs w:val="24"/>
        </w:rPr>
        <w:lastRenderedPageBreak/>
        <w:t>provider support, service quality, access to healthcare facilities, and HIV/AIDS service policies. The interaction of these factors collectively influences continuity of care and patient adherence to antiretroviral therapy</w:t>
      </w:r>
      <w:r w:rsidR="003B60FA" w:rsidRPr="003B60FA">
        <w:rPr>
          <w:rFonts w:asciiTheme="majorBidi" w:eastAsia="Times New Roman" w:hAnsiTheme="majorBidi" w:cstheme="majorBidi"/>
          <w:position w:val="0"/>
          <w:szCs w:val="24"/>
          <w:lang w:val="en-ID" w:eastAsia="en-ID"/>
        </w:rPr>
        <w:t>.</w:t>
      </w:r>
    </w:p>
    <w:p w14:paraId="713CB97F" w14:textId="7A51D01E" w:rsidR="003B60FA" w:rsidRPr="003B60FA" w:rsidRDefault="00BA5758" w:rsidP="003B60FA">
      <w:pPr>
        <w:pStyle w:val="ListParagraph"/>
        <w:suppressAutoHyphens w:val="0"/>
        <w:ind w:leftChars="0" w:left="0" w:firstLineChars="0" w:firstLine="567"/>
        <w:textAlignment w:val="auto"/>
        <w:outlineLvl w:val="9"/>
        <w:rPr>
          <w:rFonts w:asciiTheme="majorBidi" w:eastAsia="Times New Roman" w:hAnsiTheme="majorBidi" w:cstheme="majorBidi"/>
          <w:position w:val="0"/>
          <w:szCs w:val="24"/>
          <w:lang w:val="en-ID" w:eastAsia="en-ID"/>
        </w:rPr>
      </w:pPr>
      <w:r w:rsidRPr="00BA5758">
        <w:rPr>
          <w:rFonts w:asciiTheme="majorBidi" w:hAnsiTheme="majorBidi" w:cstheme="majorBidi"/>
          <w:szCs w:val="24"/>
        </w:rPr>
        <w:t>Based on these findings, strengthening the role of local Health Authorities in monitoring and tracing patients who are lost to follow-up through integrated data systems and more flexible referral policies is essential. Healthcare facilities and providers are encouraged to enhance the delivery of empathetic, educational, and continuous care, while reinforcing patient accompaniment and support mechanisms. Family and community support remains a critical element in reducing stigma and sustaining treatment continuity. Furthermore, future research should adopt longitudinal or mixed-methods designs and expand investigations into policy and health system dimensions to achieve a more comprehensive understanding of the determinants of loss to follow-up among people living with HIV/AIDS</w:t>
      </w:r>
      <w:r w:rsidR="003B60FA" w:rsidRPr="003B60FA">
        <w:rPr>
          <w:rFonts w:asciiTheme="majorBidi" w:eastAsia="Times New Roman" w:hAnsiTheme="majorBidi" w:cstheme="majorBidi"/>
          <w:position w:val="0"/>
          <w:szCs w:val="24"/>
          <w:lang w:val="en-ID" w:eastAsia="en-ID"/>
        </w:rPr>
        <w:t>.</w:t>
      </w:r>
    </w:p>
    <w:p w14:paraId="75DD27B0" w14:textId="77777777" w:rsidR="00690517" w:rsidRDefault="00690517">
      <w:pPr>
        <w:spacing w:after="0" w:line="360" w:lineRule="auto"/>
        <w:ind w:left="0" w:hanging="2"/>
        <w:jc w:val="both"/>
        <w:rPr>
          <w:rFonts w:ascii="Times New Roman" w:eastAsia="Times New Roman" w:hAnsi="Times New Roman" w:cs="Times New Roman"/>
          <w:color w:val="000000"/>
          <w:sz w:val="24"/>
          <w:szCs w:val="24"/>
        </w:rPr>
      </w:pPr>
    </w:p>
    <w:p w14:paraId="40487E8D" w14:textId="77777777" w:rsidR="00690517" w:rsidRDefault="00B44173">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REFERENCE</w:t>
      </w:r>
    </w:p>
    <w:p w14:paraId="0B75F202" w14:textId="2C6380C7" w:rsidR="00BA5758" w:rsidRPr="00BA5758" w:rsidRDefault="005F44C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5F44C8">
        <w:rPr>
          <w:rFonts w:asciiTheme="majorBidi" w:eastAsia="Times New Roman" w:hAnsiTheme="majorBidi" w:cstheme="majorBidi"/>
          <w:sz w:val="24"/>
          <w:szCs w:val="24"/>
        </w:rPr>
        <w:fldChar w:fldCharType="begin" w:fldLock="1"/>
      </w:r>
      <w:r w:rsidRPr="005F44C8">
        <w:rPr>
          <w:rFonts w:asciiTheme="majorBidi" w:eastAsia="Times New Roman" w:hAnsiTheme="majorBidi" w:cstheme="majorBidi"/>
          <w:sz w:val="24"/>
          <w:szCs w:val="24"/>
        </w:rPr>
        <w:instrText xml:space="preserve">ADDIN Mendeley Bibliography CSL_BIBLIOGRAPHY </w:instrText>
      </w:r>
      <w:r w:rsidRPr="005F44C8">
        <w:rPr>
          <w:rFonts w:asciiTheme="majorBidi" w:eastAsia="Times New Roman" w:hAnsiTheme="majorBidi" w:cstheme="majorBidi"/>
          <w:sz w:val="24"/>
          <w:szCs w:val="24"/>
        </w:rPr>
        <w:fldChar w:fldCharType="separate"/>
      </w:r>
      <w:r w:rsidR="00BA5758" w:rsidRPr="00BA5758">
        <w:rPr>
          <w:rFonts w:ascii="Times New Roman" w:hAnsi="Times New Roman" w:cs="Times New Roman"/>
          <w:noProof/>
          <w:sz w:val="24"/>
          <w:szCs w:val="24"/>
        </w:rPr>
        <w:t xml:space="preserve">Abugah, M., &amp; Yabelang, A. M. (2025). Predictors of loss to follow-up among people living with HIV on antiretroviral therapy in a rural health facility using paper-based records. </w:t>
      </w:r>
      <w:r w:rsidR="00BA5758" w:rsidRPr="00BA5758">
        <w:rPr>
          <w:rFonts w:ascii="Times New Roman" w:hAnsi="Times New Roman" w:cs="Times New Roman"/>
          <w:i/>
          <w:iCs/>
          <w:noProof/>
          <w:sz w:val="24"/>
          <w:szCs w:val="24"/>
        </w:rPr>
        <w:t>Frontiers in Public Health</w:t>
      </w:r>
      <w:r w:rsidR="00BA5758" w:rsidRPr="00BA5758">
        <w:rPr>
          <w:rFonts w:ascii="Times New Roman" w:hAnsi="Times New Roman" w:cs="Times New Roman"/>
          <w:noProof/>
          <w:sz w:val="24"/>
          <w:szCs w:val="24"/>
        </w:rPr>
        <w:t xml:space="preserve">, </w:t>
      </w:r>
      <w:r w:rsidR="00BA5758" w:rsidRPr="00BA5758">
        <w:rPr>
          <w:rFonts w:ascii="Times New Roman" w:hAnsi="Times New Roman" w:cs="Times New Roman"/>
          <w:i/>
          <w:iCs/>
          <w:noProof/>
          <w:sz w:val="24"/>
          <w:szCs w:val="24"/>
        </w:rPr>
        <w:t>13</w:t>
      </w:r>
      <w:r w:rsidR="00BA5758" w:rsidRPr="00BA5758">
        <w:rPr>
          <w:rFonts w:ascii="Times New Roman" w:hAnsi="Times New Roman" w:cs="Times New Roman"/>
          <w:noProof/>
          <w:sz w:val="24"/>
          <w:szCs w:val="24"/>
        </w:rPr>
        <w:t>(August), 1–13. https://doi.org/10.3389/fpubh.2025.1623805</w:t>
      </w:r>
    </w:p>
    <w:p w14:paraId="46D1DF0A"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Adiansyah, M. T., Andrei Ramani, &amp; Baroya, N. (2023). Determinants Of Stigma On People Living With HIV and AIDS In Indonesia (Evidence From 2017 Idhs Data). </w:t>
      </w:r>
      <w:r w:rsidRPr="00BA5758">
        <w:rPr>
          <w:rFonts w:ascii="Times New Roman" w:hAnsi="Times New Roman" w:cs="Times New Roman"/>
          <w:i/>
          <w:iCs/>
          <w:noProof/>
          <w:sz w:val="24"/>
          <w:szCs w:val="24"/>
        </w:rPr>
        <w:t>The Indonesian Journal of Public Health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18</w:t>
      </w:r>
      <w:r w:rsidRPr="00BA5758">
        <w:rPr>
          <w:rFonts w:ascii="Times New Roman" w:hAnsi="Times New Roman" w:cs="Times New Roman"/>
          <w:noProof/>
          <w:sz w:val="24"/>
          <w:szCs w:val="24"/>
        </w:rPr>
        <w:t>(2), 291–301. https://doi.org/10.20473/ijph.vl18i2.2023.291-301</w:t>
      </w:r>
    </w:p>
    <w:p w14:paraId="7C6651D4"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Adni, L., Maulana, J., &amp; Fitriyani, N. L. (2023). Literature Review : Faktor Risiko Lost To Follow Up Pengobatan ARV Pada Penderita HIV / AIDS. </w:t>
      </w:r>
      <w:r w:rsidRPr="00BA5758">
        <w:rPr>
          <w:rFonts w:ascii="Times New Roman" w:hAnsi="Times New Roman" w:cs="Times New Roman"/>
          <w:i/>
          <w:iCs/>
          <w:noProof/>
          <w:sz w:val="24"/>
          <w:szCs w:val="24"/>
        </w:rPr>
        <w:t>MULTIPLE: Journal of Global and Multidisciplinary</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w:t>
      </w:r>
      <w:r w:rsidRPr="00BA5758">
        <w:rPr>
          <w:rFonts w:ascii="Times New Roman" w:hAnsi="Times New Roman" w:cs="Times New Roman"/>
          <w:noProof/>
          <w:sz w:val="24"/>
          <w:szCs w:val="24"/>
        </w:rPr>
        <w:t>(6), 789–797.</w:t>
      </w:r>
    </w:p>
    <w:p w14:paraId="7C5E31F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Ahmed, C. V, Doyle, R., Gallagher, D., Imoohi, O., Ofoegbu, U., Wright, R., Yore, M. A., Brooks, M. J., Flores, D. D., Lowenthal, E. D., Rice, B. M., &amp; Buttenheim, A. M. (2023). A Systematic Review of Peer Support Interventions for Adolescents Living with HIV in Sub-Saharan Africa. </w:t>
      </w:r>
      <w:r w:rsidRPr="00BA5758">
        <w:rPr>
          <w:rFonts w:ascii="Times New Roman" w:hAnsi="Times New Roman" w:cs="Times New Roman"/>
          <w:i/>
          <w:iCs/>
          <w:noProof/>
          <w:sz w:val="24"/>
          <w:szCs w:val="24"/>
        </w:rPr>
        <w:t>AIDS Patient Care and STDs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37</w:t>
      </w:r>
      <w:r w:rsidRPr="00BA5758">
        <w:rPr>
          <w:rFonts w:ascii="Times New Roman" w:hAnsi="Times New Roman" w:cs="Times New Roman"/>
          <w:noProof/>
          <w:sz w:val="24"/>
          <w:szCs w:val="24"/>
        </w:rPr>
        <w:t>(11), 535–559. https://doi.org/10.1089/apc.2023.0094</w:t>
      </w:r>
    </w:p>
    <w:p w14:paraId="44B0C067"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Aini, N. N., Indriyani, D., &amp; Adriani, S. W. (2021). Peer Support Improves Psychological Adaptation of HIV / AIDS Patients. </w:t>
      </w:r>
      <w:r w:rsidRPr="00BA5758">
        <w:rPr>
          <w:rFonts w:ascii="Times New Roman" w:hAnsi="Times New Roman" w:cs="Times New Roman"/>
          <w:i/>
          <w:iCs/>
          <w:noProof/>
          <w:sz w:val="24"/>
          <w:szCs w:val="24"/>
        </w:rPr>
        <w:t>Journals of Ners Community</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12</w:t>
      </w:r>
      <w:r w:rsidRPr="00BA5758">
        <w:rPr>
          <w:rFonts w:ascii="Times New Roman" w:hAnsi="Times New Roman" w:cs="Times New Roman"/>
          <w:noProof/>
          <w:sz w:val="24"/>
          <w:szCs w:val="24"/>
        </w:rPr>
        <w:t>(2), 182–195.</w:t>
      </w:r>
    </w:p>
    <w:p w14:paraId="4BD2153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Alandia, &amp; Yona, S. (2025). Mobile Health For Adherence To Antiretroviral Therapy In HIV-AIDS: A Systematic Review. </w:t>
      </w:r>
      <w:r w:rsidRPr="00BA5758">
        <w:rPr>
          <w:rFonts w:ascii="Times New Roman" w:hAnsi="Times New Roman" w:cs="Times New Roman"/>
          <w:i/>
          <w:iCs/>
          <w:noProof/>
          <w:sz w:val="24"/>
          <w:szCs w:val="24"/>
        </w:rPr>
        <w:t>Indonesian Journal of Global Health Research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w:t>
      </w:r>
      <w:r w:rsidRPr="00BA5758">
        <w:rPr>
          <w:rFonts w:ascii="Times New Roman" w:hAnsi="Times New Roman" w:cs="Times New Roman"/>
          <w:noProof/>
          <w:sz w:val="24"/>
          <w:szCs w:val="24"/>
        </w:rPr>
        <w:t>(6), 4035–4046.</w:t>
      </w:r>
    </w:p>
    <w:p w14:paraId="5585E5F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Alinaghi, S. A., Karimi, A., Barzegary, A., Pashaei, Z., Zargari, G., Kianzad, S., MohsseniPour, M., Mirzapour, P., Fakhfouri, A., Mehraeen, E., &amp; Dadras, O. (2022). Prevalence and reasons of loss to follow-up in HIV clinics: a systematic review of current evidence. </w:t>
      </w:r>
      <w:r w:rsidRPr="00BA5758">
        <w:rPr>
          <w:rFonts w:ascii="Times New Roman" w:hAnsi="Times New Roman" w:cs="Times New Roman"/>
          <w:i/>
          <w:iCs/>
          <w:noProof/>
          <w:sz w:val="24"/>
          <w:szCs w:val="24"/>
        </w:rPr>
        <w:t>HIV and AIDS Review</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21</w:t>
      </w:r>
      <w:r w:rsidRPr="00BA5758">
        <w:rPr>
          <w:rFonts w:ascii="Times New Roman" w:hAnsi="Times New Roman" w:cs="Times New Roman"/>
          <w:noProof/>
          <w:sz w:val="24"/>
          <w:szCs w:val="24"/>
        </w:rPr>
        <w:t>(3), 179–190. https://doi.org/10.5114/hivar.2022.117210</w:t>
      </w:r>
    </w:p>
    <w:p w14:paraId="0CD3BA34"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lastRenderedPageBreak/>
        <w:t xml:space="preserve">Alizade, M., Farshbaf‑Khalil, A., Malakouti, J., &amp; Mirghafourvand, M. (2021). Predictors of preventive behaviors of AIDS/HIV based on Health Belief Model constructs in women with high‑risk sexual behaviors: A cross‑sectional survey. </w:t>
      </w:r>
      <w:r w:rsidRPr="00BA5758">
        <w:rPr>
          <w:rFonts w:ascii="Times New Roman" w:hAnsi="Times New Roman" w:cs="Times New Roman"/>
          <w:i/>
          <w:iCs/>
          <w:noProof/>
          <w:sz w:val="24"/>
          <w:szCs w:val="24"/>
        </w:rPr>
        <w:t>Journal of Education and Health Promotion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10</w:t>
      </w:r>
      <w:r w:rsidRPr="00BA5758">
        <w:rPr>
          <w:rFonts w:ascii="Times New Roman" w:hAnsi="Times New Roman" w:cs="Times New Roman"/>
          <w:noProof/>
          <w:sz w:val="24"/>
          <w:szCs w:val="24"/>
        </w:rPr>
        <w:t>(January), 1–6. https://doi.org/10.4103/jehp.jehp</w:t>
      </w:r>
    </w:p>
    <w:p w14:paraId="319B1A5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Alwi, M. A., Hamzah, H., Syarifuddin, S., Karlina, L., &amp; Artha, P. (2025). Knowledge of HIV / AIDS Among Adolescents in Indonesia : A Systematic Review. </w:t>
      </w:r>
      <w:r w:rsidRPr="00BA5758">
        <w:rPr>
          <w:rFonts w:ascii="Times New Roman" w:hAnsi="Times New Roman" w:cs="Times New Roman"/>
          <w:i/>
          <w:iCs/>
          <w:noProof/>
          <w:sz w:val="24"/>
          <w:szCs w:val="24"/>
        </w:rPr>
        <w:t>Healthy Tadulako Journal (Jurnal Kesehatan Tadulako)</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11</w:t>
      </w:r>
      <w:r w:rsidRPr="00BA5758">
        <w:rPr>
          <w:rFonts w:ascii="Times New Roman" w:hAnsi="Times New Roman" w:cs="Times New Roman"/>
          <w:noProof/>
          <w:sz w:val="24"/>
          <w:szCs w:val="24"/>
        </w:rPr>
        <w:t>(1), 132–140.</w:t>
      </w:r>
    </w:p>
    <w:p w14:paraId="264E069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Andriani, N. K., Aulia, U., &amp; Irwan. (2024). Faktor yang Mempengaruhi Lost to Follow-Up Pasien HIV-AIDS dengan Terapi ARV pada Kelompok LSL. </w:t>
      </w:r>
      <w:r w:rsidRPr="00BA5758">
        <w:rPr>
          <w:rFonts w:ascii="Times New Roman" w:hAnsi="Times New Roman" w:cs="Times New Roman"/>
          <w:i/>
          <w:iCs/>
          <w:noProof/>
          <w:sz w:val="24"/>
          <w:szCs w:val="24"/>
        </w:rPr>
        <w:t>Preventif: Jurnal Kesehatan Masyarakat</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15</w:t>
      </w:r>
      <w:r w:rsidRPr="00BA5758">
        <w:rPr>
          <w:rFonts w:ascii="Times New Roman" w:hAnsi="Times New Roman" w:cs="Times New Roman"/>
          <w:noProof/>
          <w:sz w:val="24"/>
          <w:szCs w:val="24"/>
        </w:rPr>
        <w:t>(1), 94–114.</w:t>
      </w:r>
    </w:p>
    <w:p w14:paraId="1A60D024"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Anggraeni, R. S., &amp; Faiqatul, H. (2020). Analisis Faktor Penyebab Lost To Follow Up Pengobatan Antiretroviral di Puskesmas Kencong. </w:t>
      </w:r>
      <w:r w:rsidRPr="00BA5758">
        <w:rPr>
          <w:rFonts w:ascii="Times New Roman" w:hAnsi="Times New Roman" w:cs="Times New Roman"/>
          <w:i/>
          <w:iCs/>
          <w:noProof/>
          <w:sz w:val="24"/>
          <w:szCs w:val="24"/>
        </w:rPr>
        <w:t>J-REMI : Jurnal Rekam Medik Dan Informasi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w:t>
      </w:r>
      <w:r w:rsidRPr="00BA5758">
        <w:rPr>
          <w:rFonts w:ascii="Times New Roman" w:hAnsi="Times New Roman" w:cs="Times New Roman"/>
          <w:noProof/>
          <w:sz w:val="24"/>
          <w:szCs w:val="24"/>
        </w:rPr>
        <w:t>(3), 198–207. https://publikasi.polije.ac.id/index.php/j-remi/article/view/2035</w:t>
      </w:r>
    </w:p>
    <w:p w14:paraId="0F1DA868"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Aresta, A. S., &amp; Jumaiyah, W. (2020). Pengetahuan dan Dukungan Keluarga Dengan Kepatuhan dalam Menjalankan Pengobatan Antiretroviral (ARV) pada Pasien HIV/AIDS. </w:t>
      </w:r>
      <w:r w:rsidRPr="00BA5758">
        <w:rPr>
          <w:rFonts w:ascii="Times New Roman" w:hAnsi="Times New Roman" w:cs="Times New Roman"/>
          <w:i/>
          <w:iCs/>
          <w:noProof/>
          <w:sz w:val="24"/>
          <w:szCs w:val="24"/>
        </w:rPr>
        <w:t>Indonesian Journal of Nursing Science and Practice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w:t>
      </w:r>
      <w:r w:rsidRPr="00BA5758">
        <w:rPr>
          <w:rFonts w:ascii="Times New Roman" w:hAnsi="Times New Roman" w:cs="Times New Roman"/>
          <w:noProof/>
          <w:sz w:val="24"/>
          <w:szCs w:val="24"/>
        </w:rPr>
        <w:t>(2).</w:t>
      </w:r>
    </w:p>
    <w:p w14:paraId="7FD26183"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Arif, M. R., Septimar, Z. M., &amp; Pratiwi, A. (2025). Hubungan Stigma Dengan Tingkat Stres Pasien Odhiv Di Yayasan Cita Andaru Bersama Kota Tangerang. </w:t>
      </w:r>
      <w:r w:rsidRPr="00BA5758">
        <w:rPr>
          <w:rFonts w:ascii="Times New Roman" w:hAnsi="Times New Roman" w:cs="Times New Roman"/>
          <w:i/>
          <w:iCs/>
          <w:noProof/>
          <w:sz w:val="24"/>
          <w:szCs w:val="24"/>
        </w:rPr>
        <w:t>Jurnal Penelitian Nusantara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w:t>
      </w:r>
      <w:r w:rsidRPr="00BA5758">
        <w:rPr>
          <w:rFonts w:ascii="Times New Roman" w:hAnsi="Times New Roman" w:cs="Times New Roman"/>
          <w:noProof/>
          <w:sz w:val="24"/>
          <w:szCs w:val="24"/>
        </w:rPr>
        <w:t>(9), 128–139.</w:t>
      </w:r>
    </w:p>
    <w:p w14:paraId="44F3E696"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Arisudhana, G. A. B., &amp; Artati, L. P. N. (2022). Korelasi Stigma dengan Lost To-Follow Up pada Orang Dengan HIV dan AIDS. </w:t>
      </w:r>
      <w:r w:rsidRPr="00BA5758">
        <w:rPr>
          <w:rFonts w:ascii="Times New Roman" w:hAnsi="Times New Roman" w:cs="Times New Roman"/>
          <w:i/>
          <w:iCs/>
          <w:noProof/>
          <w:sz w:val="24"/>
          <w:szCs w:val="24"/>
        </w:rPr>
        <w:t>Journal Nursing Research Publication Media (NURSEPEDIA)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w:t>
      </w:r>
      <w:r w:rsidRPr="00BA5758">
        <w:rPr>
          <w:rFonts w:ascii="Times New Roman" w:hAnsi="Times New Roman" w:cs="Times New Roman"/>
          <w:noProof/>
          <w:sz w:val="24"/>
          <w:szCs w:val="24"/>
        </w:rPr>
        <w:t>(3), 152–160. https://doi.org/10.55887/nrpm.v1i3.24</w:t>
      </w:r>
    </w:p>
    <w:p w14:paraId="5BE1D60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Ariyani, A., Widiyono, &amp; Suwarni, A. (2021). </w:t>
      </w:r>
      <w:r w:rsidRPr="00BA5758">
        <w:rPr>
          <w:rFonts w:ascii="Times New Roman" w:hAnsi="Times New Roman" w:cs="Times New Roman"/>
          <w:i/>
          <w:iCs/>
          <w:noProof/>
          <w:sz w:val="24"/>
          <w:szCs w:val="24"/>
        </w:rPr>
        <w:t>Buku Ajar HIV/AIDS</w:t>
      </w:r>
      <w:r w:rsidRPr="00BA5758">
        <w:rPr>
          <w:rFonts w:ascii="Times New Roman" w:hAnsi="Times New Roman" w:cs="Times New Roman"/>
          <w:noProof/>
          <w:sz w:val="24"/>
          <w:szCs w:val="24"/>
        </w:rPr>
        <w:t>. Lima Aksara. http://repository.usahidsolo.ac.id/2049/1/Buku Ajar HIV-AIDS.pdf</w:t>
      </w:r>
    </w:p>
    <w:p w14:paraId="01DD3DC4"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Asyari, D. P., Wahyuni, A., &amp; Harmen, E. L. (2024). Stigma Sosial dan Dampaknya pada Akses Layanan Kesehatan bagi Penderita HIV/AIDS Di Indonesia. </w:t>
      </w:r>
      <w:r w:rsidRPr="00BA5758">
        <w:rPr>
          <w:rFonts w:ascii="Times New Roman" w:hAnsi="Times New Roman" w:cs="Times New Roman"/>
          <w:i/>
          <w:iCs/>
          <w:noProof/>
          <w:sz w:val="24"/>
          <w:szCs w:val="24"/>
        </w:rPr>
        <w:t>Applicare Journal</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w:t>
      </w:r>
      <w:r w:rsidRPr="00BA5758">
        <w:rPr>
          <w:rFonts w:ascii="Times New Roman" w:hAnsi="Times New Roman" w:cs="Times New Roman"/>
          <w:noProof/>
          <w:sz w:val="24"/>
          <w:szCs w:val="24"/>
        </w:rPr>
        <w:t>(4).</w:t>
      </w:r>
    </w:p>
    <w:p w14:paraId="1F972C8C"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Baleeta, K., Muhwezi, A., Tumwesigye, N., Kintu, B. N., Riese, S., Byonanebye, D., Mbonye, M., Mwehire, D., Iriso, R., Ayebazibwe, B., Bailey, L., Lopez, D., Mcgough, L., Etukoit, M., &amp; Nantamu, D. (2023). Factors that influence the satisfaction of people living with HIV with differentiated antiretroviral therapy delivery models in East Central Uganda : a cross ‑ sectional study. </w:t>
      </w:r>
      <w:r w:rsidRPr="00BA5758">
        <w:rPr>
          <w:rFonts w:ascii="Times New Roman" w:hAnsi="Times New Roman" w:cs="Times New Roman"/>
          <w:i/>
          <w:iCs/>
          <w:noProof/>
          <w:sz w:val="24"/>
          <w:szCs w:val="24"/>
        </w:rPr>
        <w:t>BMC Health Services Research</w:t>
      </w:r>
      <w:r w:rsidRPr="00BA5758">
        <w:rPr>
          <w:rFonts w:ascii="Times New Roman" w:hAnsi="Times New Roman" w:cs="Times New Roman"/>
          <w:noProof/>
          <w:sz w:val="24"/>
          <w:szCs w:val="24"/>
        </w:rPr>
        <w:t>, 1–11. https://doi.org/10.1186/s12913-023-09114-2</w:t>
      </w:r>
    </w:p>
    <w:p w14:paraId="0594AE03"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Bankere, A. W., Daba, S. G., Ami, B., Gedefa, L. K., &amp; Lencha, B. (2024). Loss to follow- ­ up and its predictors among children living with HIV on antiretroviral therapy , southern Oromia , Ethiopia : a 5- ­ year retrospective cohort study. </w:t>
      </w:r>
      <w:r w:rsidRPr="00BA5758">
        <w:rPr>
          <w:rFonts w:ascii="Times New Roman" w:hAnsi="Times New Roman" w:cs="Times New Roman"/>
          <w:i/>
          <w:iCs/>
          <w:noProof/>
          <w:sz w:val="24"/>
          <w:szCs w:val="24"/>
        </w:rPr>
        <w:t>BMJ Open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14</w:t>
      </w:r>
      <w:r w:rsidRPr="00BA5758">
        <w:rPr>
          <w:rFonts w:ascii="Times New Roman" w:hAnsi="Times New Roman" w:cs="Times New Roman"/>
          <w:noProof/>
          <w:sz w:val="24"/>
          <w:szCs w:val="24"/>
        </w:rPr>
        <w:t>(e078370.), 1–9. https://doi.org/10.1136/bmjopen-2023-078370</w:t>
      </w:r>
    </w:p>
    <w:p w14:paraId="33E4679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Beres, L. K., Mody, A., Sikombe, K., Nicholas, L. H., Schwartz, S., Eshun-Wilson, I., Somwe, P., Simbeza, S., Pry, J. M., Kaumba, P., McGready, J., Holmes, C. B., Bolton-Moore, C., Sikazwe, I., Denison, J. A., &amp; Geng, E. H. (2021). The effect of tracer contact on return to care among adult, “lost to follow-up” patients living with HIV in Zambia: an instrumental variable analysis. </w:t>
      </w:r>
      <w:r w:rsidRPr="00BA5758">
        <w:rPr>
          <w:rFonts w:ascii="Times New Roman" w:hAnsi="Times New Roman" w:cs="Times New Roman"/>
          <w:i/>
          <w:iCs/>
          <w:noProof/>
          <w:sz w:val="24"/>
          <w:szCs w:val="24"/>
        </w:rPr>
        <w:t>Journal of the International AIDS Society</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24</w:t>
      </w:r>
      <w:r w:rsidRPr="00BA5758">
        <w:rPr>
          <w:rFonts w:ascii="Times New Roman" w:hAnsi="Times New Roman" w:cs="Times New Roman"/>
          <w:noProof/>
          <w:sz w:val="24"/>
          <w:szCs w:val="24"/>
        </w:rPr>
        <w:t>(12). https://doi.org/10.1002/jia2.25853</w:t>
      </w:r>
    </w:p>
    <w:p w14:paraId="5C668556"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lastRenderedPageBreak/>
        <w:t xml:space="preserve">Beres, L. K., Underwood, A., Tourneau, N. Le, Kemp, C. G., Kore, G., Yaeger, L., Li, J., Aaron, A., Keene, C., Mallela, D. P., Khalifa, B. A. A., Mody, A., Schwartz, S. R., Baral, S., Mwamba, C., Sikombe, K., Eshun-wilson, I., Geng, E. H., &amp; Lavoie, M. C. (2024). </w:t>
      </w:r>
      <w:r w:rsidRPr="00BA5758">
        <w:rPr>
          <w:rFonts w:ascii="Times New Roman" w:hAnsi="Times New Roman" w:cs="Times New Roman"/>
          <w:i/>
          <w:iCs/>
          <w:noProof/>
          <w:sz w:val="24"/>
          <w:szCs w:val="24"/>
        </w:rPr>
        <w:t>Person-centred interventions to improve patient − provider relationships for HIV services in low- and middle-income countries : a systematic review</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September 2023</w:t>
      </w:r>
      <w:r w:rsidRPr="00BA5758">
        <w:rPr>
          <w:rFonts w:ascii="Times New Roman" w:hAnsi="Times New Roman" w:cs="Times New Roman"/>
          <w:noProof/>
          <w:sz w:val="24"/>
          <w:szCs w:val="24"/>
        </w:rPr>
        <w:t>, 1–29. https://doi.org/10.1002/jia2.26258</w:t>
      </w:r>
    </w:p>
    <w:p w14:paraId="641615A6"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Berg, R. C., Page, S., &amp; Øgård-Repål, A. (2021). The effectiveness of peer-support for people living with HIV: A systematic review  and meta-analysis. </w:t>
      </w:r>
      <w:r w:rsidRPr="00BA5758">
        <w:rPr>
          <w:rFonts w:ascii="Times New Roman" w:hAnsi="Times New Roman" w:cs="Times New Roman"/>
          <w:i/>
          <w:iCs/>
          <w:noProof/>
          <w:sz w:val="24"/>
          <w:szCs w:val="24"/>
        </w:rPr>
        <w:t>PloS One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16</w:t>
      </w:r>
      <w:r w:rsidRPr="00BA5758">
        <w:rPr>
          <w:rFonts w:ascii="Times New Roman" w:hAnsi="Times New Roman" w:cs="Times New Roman"/>
          <w:noProof/>
          <w:sz w:val="24"/>
          <w:szCs w:val="24"/>
        </w:rPr>
        <w:t>(6), e0252623. https://doi.org/10.1371/journal.pone.0252623</w:t>
      </w:r>
    </w:p>
    <w:p w14:paraId="3E49603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Choirunnisa, A., Monica, R. D., &amp; Soelistijaningroem, M. (2025). Tinjauan Pengelolaan Rekam Medis Pasien HIV/AIDS Berdasarkan Aspek Keamanan dan Kerahasiaan Guna Melindungi Hak Pasien di RSUD Welas Asih Provinsi Jawa Barat. </w:t>
      </w:r>
      <w:r w:rsidRPr="00BA5758">
        <w:rPr>
          <w:rFonts w:ascii="Times New Roman" w:hAnsi="Times New Roman" w:cs="Times New Roman"/>
          <w:i/>
          <w:iCs/>
          <w:noProof/>
          <w:sz w:val="24"/>
          <w:szCs w:val="24"/>
        </w:rPr>
        <w:t>Jurnal Kesehatan Tambusai</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w:t>
      </w:r>
      <w:r w:rsidRPr="00BA5758">
        <w:rPr>
          <w:rFonts w:ascii="Times New Roman" w:hAnsi="Times New Roman" w:cs="Times New Roman"/>
          <w:noProof/>
          <w:sz w:val="24"/>
          <w:szCs w:val="24"/>
        </w:rPr>
        <w:t>(3), 10692–10702.</w:t>
      </w:r>
    </w:p>
    <w:p w14:paraId="1FFDE35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Cristina, F., Santos, D., Apiruknapanond, P., Wang, T., Dawson, C., Valencia, C. P., Christine, M., Davey, H., Solís, S., Emilia, B., Sabone, M., Makhado, L., Phillips, J. C., Corless, I. B., Shaibu, S., Ti, W., Diane, C., Maria, S., Cuca, Y. P., &amp; Schnall, R. (2025). Global Measures of HIV Care Accessibility Across Urban , Suburban , and Rural Areas. </w:t>
      </w:r>
      <w:r w:rsidRPr="00BA5758">
        <w:rPr>
          <w:rFonts w:ascii="Times New Roman" w:hAnsi="Times New Roman" w:cs="Times New Roman"/>
          <w:i/>
          <w:iCs/>
          <w:noProof/>
          <w:sz w:val="24"/>
          <w:szCs w:val="24"/>
        </w:rPr>
        <w:t>Journal of Urban Health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0123456789</w:t>
      </w:r>
      <w:r w:rsidRPr="00BA5758">
        <w:rPr>
          <w:rFonts w:ascii="Times New Roman" w:hAnsi="Times New Roman" w:cs="Times New Roman"/>
          <w:noProof/>
          <w:sz w:val="24"/>
          <w:szCs w:val="24"/>
        </w:rPr>
        <w:t>. https://doi.org/10.1007/s11524-025-01021-7</w:t>
      </w:r>
    </w:p>
    <w:p w14:paraId="6A068E7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Dayyab, F. M., Mukhtar, F., Iliyasu, G., &amp; Habib, A. G. (2021). Determinants of loss to follow-up among people living with HIV on antiretroviral therapy in Nigeria. </w:t>
      </w:r>
      <w:r w:rsidRPr="00BA5758">
        <w:rPr>
          <w:rFonts w:ascii="Times New Roman" w:hAnsi="Times New Roman" w:cs="Times New Roman"/>
          <w:i/>
          <w:iCs/>
          <w:noProof/>
          <w:sz w:val="24"/>
          <w:szCs w:val="24"/>
        </w:rPr>
        <w:t>African Journal of AIDS Research : AJAR</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20</w:t>
      </w:r>
      <w:r w:rsidRPr="00BA5758">
        <w:rPr>
          <w:rFonts w:ascii="Times New Roman" w:hAnsi="Times New Roman" w:cs="Times New Roman"/>
          <w:noProof/>
          <w:sz w:val="24"/>
          <w:szCs w:val="24"/>
        </w:rPr>
        <w:t>(1), 93–99. https://doi.org/10.2989/16085906.2021.1874444</w:t>
      </w:r>
    </w:p>
    <w:p w14:paraId="1895391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Deeks, S. G., Archin, N., Cannon, P., Collins, S., Jones, R. B., de Jong, M. A. W. P., Lambotte, O., Lamplough, R., Ndung’u, T., Sugarman, J., Tiemessen, C. T., Vandekerckhove, L., &amp; Lewin, S. R. (2021). Research priorities for an HIV cure: International AIDS Society Global Scientific  Strategy 2021. </w:t>
      </w:r>
      <w:r w:rsidRPr="00BA5758">
        <w:rPr>
          <w:rFonts w:ascii="Times New Roman" w:hAnsi="Times New Roman" w:cs="Times New Roman"/>
          <w:i/>
          <w:iCs/>
          <w:noProof/>
          <w:sz w:val="24"/>
          <w:szCs w:val="24"/>
        </w:rPr>
        <w:t>Nature Medicine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27</w:t>
      </w:r>
      <w:r w:rsidRPr="00BA5758">
        <w:rPr>
          <w:rFonts w:ascii="Times New Roman" w:hAnsi="Times New Roman" w:cs="Times New Roman"/>
          <w:noProof/>
          <w:sz w:val="24"/>
          <w:szCs w:val="24"/>
        </w:rPr>
        <w:t>(12), 2085–2098. https://doi.org/10.1038/s41591-021-01590-5</w:t>
      </w:r>
    </w:p>
    <w:p w14:paraId="2FBCCFF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Dessie, Z. G., &amp; Zewotir, T. (2024). HIV-related stigma and associated factors : a systematic review and meta-analysis. </w:t>
      </w:r>
      <w:r w:rsidRPr="00BA5758">
        <w:rPr>
          <w:rFonts w:ascii="Times New Roman" w:hAnsi="Times New Roman" w:cs="Times New Roman"/>
          <w:i/>
          <w:iCs/>
          <w:noProof/>
          <w:sz w:val="24"/>
          <w:szCs w:val="24"/>
        </w:rPr>
        <w:t>Frontiers in Public Health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12</w:t>
      </w:r>
      <w:r w:rsidRPr="00BA5758">
        <w:rPr>
          <w:rFonts w:ascii="Times New Roman" w:hAnsi="Times New Roman" w:cs="Times New Roman"/>
          <w:noProof/>
          <w:sz w:val="24"/>
          <w:szCs w:val="24"/>
        </w:rPr>
        <w:t>(1356430), 1–12. https://doi.org/10.3389/fpubh.2024.1356430</w:t>
      </w:r>
    </w:p>
    <w:p w14:paraId="798447E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Dhir, A. M. (2025). Interventions for stigma reduction in HIV treatment and prevention designed to enhance antiretroviral uptake and adherence : A systematic review. </w:t>
      </w:r>
      <w:r w:rsidRPr="00BA5758">
        <w:rPr>
          <w:rFonts w:ascii="Times New Roman" w:hAnsi="Times New Roman" w:cs="Times New Roman"/>
          <w:i/>
          <w:iCs/>
          <w:noProof/>
          <w:sz w:val="24"/>
          <w:szCs w:val="24"/>
        </w:rPr>
        <w:t>Plos Global Public Health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5</w:t>
      </w:r>
      <w:r w:rsidRPr="00BA5758">
        <w:rPr>
          <w:rFonts w:ascii="Times New Roman" w:hAnsi="Times New Roman" w:cs="Times New Roman"/>
          <w:noProof/>
          <w:sz w:val="24"/>
          <w:szCs w:val="24"/>
        </w:rPr>
        <w:t>(5), 1–21. https://doi.org/10.1371/journal.pgph.0004604</w:t>
      </w:r>
    </w:p>
    <w:p w14:paraId="62C7095C"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Edwards, J., Soyer, S., Jack, N., Boyce, G., Edwards, R. J., Ayoung, V., &amp; Todd, S. (2025). A Cross-Sectional Client Satisfaction Study Among Persons Living with HIV Attending a Large HIV Treatment Centre in Trinidad. </w:t>
      </w:r>
      <w:r w:rsidRPr="00BA5758">
        <w:rPr>
          <w:rFonts w:ascii="Times New Roman" w:hAnsi="Times New Roman" w:cs="Times New Roman"/>
          <w:i/>
          <w:iCs/>
          <w:noProof/>
          <w:sz w:val="24"/>
          <w:szCs w:val="24"/>
        </w:rPr>
        <w:t>Healthcare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13</w:t>
      </w:r>
      <w:r w:rsidRPr="00BA5758">
        <w:rPr>
          <w:rFonts w:ascii="Times New Roman" w:hAnsi="Times New Roman" w:cs="Times New Roman"/>
          <w:noProof/>
          <w:sz w:val="24"/>
          <w:szCs w:val="24"/>
        </w:rPr>
        <w:t>(1400), 1–14. https://doi.org/https://doi.org/10.3390/healthcare13121400</w:t>
      </w:r>
    </w:p>
    <w:p w14:paraId="08BF014A"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Endebu, T., Taye, G., &amp; Deressa, W. (2024). Rate and predictors of loss to follow-up in HIV care in a low-resource setting: analyzing critical risk periods. </w:t>
      </w:r>
      <w:r w:rsidRPr="00BA5758">
        <w:rPr>
          <w:rFonts w:ascii="Times New Roman" w:hAnsi="Times New Roman" w:cs="Times New Roman"/>
          <w:i/>
          <w:iCs/>
          <w:noProof/>
          <w:sz w:val="24"/>
          <w:szCs w:val="24"/>
        </w:rPr>
        <w:t>BMC Infectious Diseases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24</w:t>
      </w:r>
      <w:r w:rsidRPr="00BA5758">
        <w:rPr>
          <w:rFonts w:ascii="Times New Roman" w:hAnsi="Times New Roman" w:cs="Times New Roman"/>
          <w:noProof/>
          <w:sz w:val="24"/>
          <w:szCs w:val="24"/>
        </w:rPr>
        <w:t>(1). https://doi.org/10.1186/s12879-024-10089-6</w:t>
      </w:r>
    </w:p>
    <w:p w14:paraId="22A138D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Fadilah, O. N., Sholih, M. G., &amp; Sudarjat, H. (2024). </w:t>
      </w:r>
      <w:r w:rsidRPr="00BA5758">
        <w:rPr>
          <w:rFonts w:ascii="Times New Roman" w:hAnsi="Times New Roman" w:cs="Times New Roman"/>
          <w:i/>
          <w:iCs/>
          <w:noProof/>
          <w:sz w:val="24"/>
          <w:szCs w:val="24"/>
        </w:rPr>
        <w:t>Review Artikel : Analisis Faktor Psikososial yang Mempengaruhi Kepatuhan Terapi Antriretroviral pada Penderita HIV / AIDS Review Article : Analysis of Psyhosocial Factors Influencing Adherence to Antriretroviral Therapy in People with HIV / AIDS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2023</w:t>
      </w:r>
      <w:r w:rsidRPr="00BA5758">
        <w:rPr>
          <w:rFonts w:ascii="Times New Roman" w:hAnsi="Times New Roman" w:cs="Times New Roman"/>
          <w:noProof/>
          <w:sz w:val="24"/>
          <w:szCs w:val="24"/>
        </w:rPr>
        <w:t>.</w:t>
      </w:r>
    </w:p>
    <w:p w14:paraId="1E0D87F7"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Fibriansari, R., &amp; Cahyadi, A. H. (2021). Lost To Follow Up Terapi Antiretroviral pada Orang </w:t>
      </w:r>
      <w:r w:rsidRPr="00BA5758">
        <w:rPr>
          <w:rFonts w:ascii="Times New Roman" w:hAnsi="Times New Roman" w:cs="Times New Roman"/>
          <w:noProof/>
          <w:sz w:val="24"/>
          <w:szCs w:val="24"/>
        </w:rPr>
        <w:lastRenderedPageBreak/>
        <w:t xml:space="preserve">Dengan HIV/AIDS di Lumajang. </w:t>
      </w:r>
      <w:r w:rsidRPr="00BA5758">
        <w:rPr>
          <w:rFonts w:ascii="Times New Roman" w:hAnsi="Times New Roman" w:cs="Times New Roman"/>
          <w:i/>
          <w:iCs/>
          <w:noProof/>
          <w:sz w:val="24"/>
          <w:szCs w:val="24"/>
        </w:rPr>
        <w:t>JURNAL PIKes Penelitian Ilmu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w:t>
      </w:r>
      <w:r w:rsidRPr="00BA5758">
        <w:rPr>
          <w:rFonts w:ascii="Times New Roman" w:hAnsi="Times New Roman" w:cs="Times New Roman"/>
          <w:noProof/>
          <w:sz w:val="24"/>
          <w:szCs w:val="24"/>
        </w:rPr>
        <w:t>(1), 1–8.</w:t>
      </w:r>
    </w:p>
    <w:p w14:paraId="0825C0A3"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Fibriansari, R. D., &amp; Cahyadi, A. H. (2021). Lost To Follow Up Terapi Antiretroviral pada Orang Dengan HIV / AIDS di Lumajang Lost To Follow Up Antiretroviral Therapy in People With HIV / AIDS at Lumajang. </w:t>
      </w:r>
      <w:r w:rsidRPr="00BA5758">
        <w:rPr>
          <w:rFonts w:ascii="Times New Roman" w:hAnsi="Times New Roman" w:cs="Times New Roman"/>
          <w:i/>
          <w:iCs/>
          <w:noProof/>
          <w:sz w:val="24"/>
          <w:szCs w:val="24"/>
        </w:rPr>
        <w:t>JURNAL PIKes Penelitian Ilmu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w:t>
      </w:r>
      <w:r w:rsidRPr="00BA5758">
        <w:rPr>
          <w:rFonts w:ascii="Times New Roman" w:hAnsi="Times New Roman" w:cs="Times New Roman"/>
          <w:noProof/>
          <w:sz w:val="24"/>
          <w:szCs w:val="24"/>
        </w:rPr>
        <w:t>(1), 1–8.</w:t>
      </w:r>
    </w:p>
    <w:p w14:paraId="2B5BDFA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Gebre, T. E., Taye, G., &amp; Deressa, W. (2025). Time-dependent predictors of loss to follow-up in HIV care in low-resource settings: A competing risks approach. </w:t>
      </w:r>
      <w:r w:rsidRPr="00BA5758">
        <w:rPr>
          <w:rFonts w:ascii="Times New Roman" w:hAnsi="Times New Roman" w:cs="Times New Roman"/>
          <w:i/>
          <w:iCs/>
          <w:noProof/>
          <w:sz w:val="24"/>
          <w:szCs w:val="24"/>
        </w:rPr>
        <w:t>PLOS ONE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20</w:t>
      </w:r>
      <w:r w:rsidRPr="00BA5758">
        <w:rPr>
          <w:rFonts w:ascii="Times New Roman" w:hAnsi="Times New Roman" w:cs="Times New Roman"/>
          <w:noProof/>
          <w:sz w:val="24"/>
          <w:szCs w:val="24"/>
        </w:rPr>
        <w:t>(7), e0329132. https://doi.org/10.1371/journal.pone.0329132</w:t>
      </w:r>
    </w:p>
    <w:p w14:paraId="7E9F79C8"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Gebremichael, M. A., Gurara, M. K., Weldehawaryat, H. N., Mengesha, M. M., &amp; Berbada, D. A. (2021). Predictors of Loss to Follow-Up among HIV-Infected Adults after Initiation of the First-Line Antiretroviral Therapy at Arba Minch General Hospital , Southern Ethiopia : A 5-Year Retrospective Cohort Study. </w:t>
      </w:r>
      <w:r w:rsidRPr="00BA5758">
        <w:rPr>
          <w:rFonts w:ascii="Times New Roman" w:hAnsi="Times New Roman" w:cs="Times New Roman"/>
          <w:i/>
          <w:iCs/>
          <w:noProof/>
          <w:sz w:val="24"/>
          <w:szCs w:val="24"/>
        </w:rPr>
        <w:t>BioMed Research International</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8659372</w:t>
      </w:r>
      <w:r w:rsidRPr="00BA5758">
        <w:rPr>
          <w:rFonts w:ascii="Times New Roman" w:hAnsi="Times New Roman" w:cs="Times New Roman"/>
          <w:noProof/>
          <w:sz w:val="24"/>
          <w:szCs w:val="24"/>
        </w:rPr>
        <w:t>, 1–12. https://doi.org/10.1155/2021/8659372</w:t>
      </w:r>
    </w:p>
    <w:p w14:paraId="470FDA61"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Goldstein, D., Kiplagat, J., Taderera, C., Whitehouse, E. R., Chimbetete, C., Kimaiyo, S., Urasa, S., Paddick, S.-M., &amp; Godfrey, C. (2024). Person-centred care for older adults living with HIV in sub-Saharan Africa. </w:t>
      </w:r>
      <w:r w:rsidRPr="00BA5758">
        <w:rPr>
          <w:rFonts w:ascii="Times New Roman" w:hAnsi="Times New Roman" w:cs="Times New Roman"/>
          <w:i/>
          <w:iCs/>
          <w:noProof/>
          <w:sz w:val="24"/>
          <w:szCs w:val="24"/>
        </w:rPr>
        <w:t>The Lancet HIV</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11</w:t>
      </w:r>
      <w:r w:rsidRPr="00BA5758">
        <w:rPr>
          <w:rFonts w:ascii="Times New Roman" w:hAnsi="Times New Roman" w:cs="Times New Roman"/>
          <w:noProof/>
          <w:sz w:val="24"/>
          <w:szCs w:val="24"/>
        </w:rPr>
        <w:t>(8), e552–e560. https://doi.org/https://doi.org/10.1016/S2352-3018(24)00123-1</w:t>
      </w:r>
    </w:p>
    <w:p w14:paraId="4639844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Haerati, Asrina, A., Suriah, &amp; Gobel, F. A. (2020). Loss to Follow Up pada Orang dengan HIV dan AIDS yang Menerima Terapi Antiretroviral di Kabupaten Bulukumba. </w:t>
      </w:r>
      <w:r w:rsidRPr="00BA5758">
        <w:rPr>
          <w:rFonts w:ascii="Times New Roman" w:hAnsi="Times New Roman" w:cs="Times New Roman"/>
          <w:i/>
          <w:iCs/>
          <w:noProof/>
          <w:sz w:val="24"/>
          <w:szCs w:val="24"/>
        </w:rPr>
        <w:t>Prosiding Seminar Nasional</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w:t>
      </w:r>
      <w:r w:rsidRPr="00BA5758">
        <w:rPr>
          <w:rFonts w:ascii="Times New Roman" w:hAnsi="Times New Roman" w:cs="Times New Roman"/>
          <w:noProof/>
          <w:sz w:val="24"/>
          <w:szCs w:val="24"/>
        </w:rPr>
        <w:t>(April), 122. https://www.google.co.id/books/edition/Prosiding_Seminar_Nasional_2018_Jilid_3/9TYDEAAAQBAJ?hl=id&amp;gbpv=0</w:t>
      </w:r>
    </w:p>
    <w:p w14:paraId="27950EE9"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Harison, N., Waluyo, A., &amp; Jumaiyah, W. (2020). Asupan gizi, status dan status sindrom metabolik pegawai Pemahaman pengobatan antiretroviral dan kendala kepatuhan terhadap terapi antiretroviral pasien HIV / AIDS Asupan gizi , status biokimia , sindrom metabolik. </w:t>
      </w:r>
      <w:r w:rsidRPr="00BA5758">
        <w:rPr>
          <w:rFonts w:ascii="Times New Roman" w:hAnsi="Times New Roman" w:cs="Times New Roman"/>
          <w:i/>
          <w:iCs/>
          <w:noProof/>
          <w:sz w:val="24"/>
          <w:szCs w:val="24"/>
        </w:rPr>
        <w:t>Journal Health of Studies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4</w:t>
      </w:r>
      <w:r w:rsidRPr="00BA5758">
        <w:rPr>
          <w:rFonts w:ascii="Times New Roman" w:hAnsi="Times New Roman" w:cs="Times New Roman"/>
          <w:noProof/>
          <w:sz w:val="24"/>
          <w:szCs w:val="24"/>
        </w:rPr>
        <w:t>(1), 87–95.</w:t>
      </w:r>
    </w:p>
    <w:p w14:paraId="1C69B61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Hoang, N. T., Foo, T. J., Tran, B. X., Do, N. T., Vu, G. T., Nguyen, C. T., Pham, H. Q., Latkin, C. A., Ho, C. S. H., &amp; Ho, R. C. M. (2022). Structural barriers for retention of HIV/AIDS patients after initiating antiretroviral therapy in outpatient clinics of Vietnam. </w:t>
      </w:r>
      <w:r w:rsidRPr="00BA5758">
        <w:rPr>
          <w:rFonts w:ascii="Times New Roman" w:hAnsi="Times New Roman" w:cs="Times New Roman"/>
          <w:i/>
          <w:iCs/>
          <w:noProof/>
          <w:sz w:val="24"/>
          <w:szCs w:val="24"/>
        </w:rPr>
        <w:t>AIDS Care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34</w:t>
      </w:r>
      <w:r w:rsidRPr="00BA5758">
        <w:rPr>
          <w:rFonts w:ascii="Times New Roman" w:hAnsi="Times New Roman" w:cs="Times New Roman"/>
          <w:noProof/>
          <w:sz w:val="24"/>
          <w:szCs w:val="24"/>
        </w:rPr>
        <w:t>(8), 992–999. https://doi.org/10.1080/09540121.2021.1929816</w:t>
      </w:r>
    </w:p>
    <w:p w14:paraId="1E7A9793"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Imtihani, N., &amp; Menap. (2025). A Literature Review on Factors Influencing Non-Adherence to Antiretroviral (ARV) Among People Living with HIV. </w:t>
      </w:r>
      <w:r w:rsidRPr="00BA5758">
        <w:rPr>
          <w:rFonts w:ascii="Times New Roman" w:hAnsi="Times New Roman" w:cs="Times New Roman"/>
          <w:i/>
          <w:iCs/>
          <w:noProof/>
          <w:sz w:val="24"/>
          <w:szCs w:val="24"/>
        </w:rPr>
        <w:t>Care: Jurnal Ilmiah Ilmu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13</w:t>
      </w:r>
      <w:r w:rsidRPr="00BA5758">
        <w:rPr>
          <w:rFonts w:ascii="Times New Roman" w:hAnsi="Times New Roman" w:cs="Times New Roman"/>
          <w:noProof/>
          <w:sz w:val="24"/>
          <w:szCs w:val="24"/>
        </w:rPr>
        <w:t>(3), 479–489.</w:t>
      </w:r>
    </w:p>
    <w:p w14:paraId="60159D5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Irawan, B. (2023). Pendampingan Ibu Terdeteksi HIV dan Dukungan Keluarga Selama Proses Persalinan. </w:t>
      </w:r>
      <w:r w:rsidRPr="00BA5758">
        <w:rPr>
          <w:rFonts w:ascii="Times New Roman" w:hAnsi="Times New Roman" w:cs="Times New Roman"/>
          <w:i/>
          <w:iCs/>
          <w:noProof/>
          <w:sz w:val="24"/>
          <w:szCs w:val="24"/>
        </w:rPr>
        <w:t>JUKEJ: Jurnal Kesehatan Jompa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w:t>
      </w:r>
      <w:r w:rsidRPr="00BA5758">
        <w:rPr>
          <w:rFonts w:ascii="Times New Roman" w:hAnsi="Times New Roman" w:cs="Times New Roman"/>
          <w:noProof/>
          <w:sz w:val="24"/>
          <w:szCs w:val="24"/>
        </w:rPr>
        <w:t>(1), 62–71.</w:t>
      </w:r>
    </w:p>
    <w:p w14:paraId="38431D7A"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Iryawan, A. R., Stoicescu, C., Sjahrial, F., Nio, K., &amp; Dominich, A. (2022). The impact of peer support on testing, linkage to and engagement in HIV care for  people who inject drugs in Indonesia: qualitative perspectives from a community-led study. </w:t>
      </w:r>
      <w:r w:rsidRPr="00BA5758">
        <w:rPr>
          <w:rFonts w:ascii="Times New Roman" w:hAnsi="Times New Roman" w:cs="Times New Roman"/>
          <w:i/>
          <w:iCs/>
          <w:noProof/>
          <w:sz w:val="24"/>
          <w:szCs w:val="24"/>
        </w:rPr>
        <w:t>Harm Reduction Journal</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19</w:t>
      </w:r>
      <w:r w:rsidRPr="00BA5758">
        <w:rPr>
          <w:rFonts w:ascii="Times New Roman" w:hAnsi="Times New Roman" w:cs="Times New Roman"/>
          <w:noProof/>
          <w:sz w:val="24"/>
          <w:szCs w:val="24"/>
        </w:rPr>
        <w:t>(1), 16. https://doi.org/10.1186/s12954-022-00595-8</w:t>
      </w:r>
    </w:p>
    <w:p w14:paraId="01CEB49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Kalinjuma, A. V, Glass, T. R., Weisser, M., Myeya, S. J., Kasuga, B., Kisung, Y., Sikalengo, G., Katende, A., Battegay, M., &amp; Vanobberghen, F. (2020). Prospective assessment of loss to follow-up : incidence and associated factors in a cohort of HIV-positive adults in rural Tanzania. </w:t>
      </w:r>
      <w:r w:rsidRPr="00BA5758">
        <w:rPr>
          <w:rFonts w:ascii="Times New Roman" w:hAnsi="Times New Roman" w:cs="Times New Roman"/>
          <w:i/>
          <w:iCs/>
          <w:noProof/>
          <w:sz w:val="24"/>
          <w:szCs w:val="24"/>
        </w:rPr>
        <w:t>Journal of the International AIDS Society</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23</w:t>
      </w:r>
      <w:r w:rsidRPr="00BA5758">
        <w:rPr>
          <w:rFonts w:ascii="Times New Roman" w:hAnsi="Times New Roman" w:cs="Times New Roman"/>
          <w:noProof/>
          <w:sz w:val="24"/>
          <w:szCs w:val="24"/>
        </w:rPr>
        <w:t>(e25460), 1–10. https://doi.org/10.1002/jia2.25460</w:t>
      </w:r>
    </w:p>
    <w:p w14:paraId="71F3454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lastRenderedPageBreak/>
        <w:t xml:space="preserve">Kebede, H. K., Mwanri, L., Ward, P., &amp; Gesesew, H. A. (2021). Predictors of lost to follow up from antiretroviral therapy among adults in sub ‑ Saharan Africa : a systematic review and meta ‑ analysis. </w:t>
      </w:r>
      <w:r w:rsidRPr="00BA5758">
        <w:rPr>
          <w:rFonts w:ascii="Times New Roman" w:hAnsi="Times New Roman" w:cs="Times New Roman"/>
          <w:i/>
          <w:iCs/>
          <w:noProof/>
          <w:sz w:val="24"/>
          <w:szCs w:val="24"/>
        </w:rPr>
        <w:t>Infectious Diseases of Poverty</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10</w:t>
      </w:r>
      <w:r w:rsidRPr="00BA5758">
        <w:rPr>
          <w:rFonts w:ascii="Times New Roman" w:hAnsi="Times New Roman" w:cs="Times New Roman"/>
          <w:noProof/>
          <w:sz w:val="24"/>
          <w:szCs w:val="24"/>
        </w:rPr>
        <w:t>(33), 1–18. https://doi.org/10.1186/s40249-021-00822-7</w:t>
      </w:r>
    </w:p>
    <w:p w14:paraId="1CB5534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Kemenkes RI. (2025). </w:t>
      </w:r>
      <w:r w:rsidRPr="00BA5758">
        <w:rPr>
          <w:rFonts w:ascii="Times New Roman" w:hAnsi="Times New Roman" w:cs="Times New Roman"/>
          <w:i/>
          <w:iCs/>
          <w:noProof/>
          <w:sz w:val="24"/>
          <w:szCs w:val="24"/>
        </w:rPr>
        <w:t>Laporan Eksekutif Perkembangan HIV AIDS dan Penyakit Infeksi Menular Seksual (PIMS)</w:t>
      </w:r>
      <w:r w:rsidRPr="00BA5758">
        <w:rPr>
          <w:rFonts w:ascii="Times New Roman" w:hAnsi="Times New Roman" w:cs="Times New Roman"/>
          <w:noProof/>
          <w:sz w:val="24"/>
          <w:szCs w:val="24"/>
        </w:rPr>
        <w:t>. Kemenkes RI.</w:t>
      </w:r>
    </w:p>
    <w:p w14:paraId="73492BF3"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Kiplagat, A. B., Kako, P. M., Mkandawire-Valhmu, L., Chelagat, D., Gwon, S. H., Luo, J., &amp; Dixon, M. V. (2021). The HIV transmission risk factors and opportunities for use of mHealth in HIV prevention among emerging adult population in the Sub-Saharan Africa context: a review of the literature. </w:t>
      </w:r>
      <w:r w:rsidRPr="00BA5758">
        <w:rPr>
          <w:rFonts w:ascii="Times New Roman" w:hAnsi="Times New Roman" w:cs="Times New Roman"/>
          <w:i/>
          <w:iCs/>
          <w:noProof/>
          <w:sz w:val="24"/>
          <w:szCs w:val="24"/>
        </w:rPr>
        <w:t>International Journal of Health Promotion and Education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62</w:t>
      </w:r>
      <w:r w:rsidRPr="00BA5758">
        <w:rPr>
          <w:rFonts w:ascii="Times New Roman" w:hAnsi="Times New Roman" w:cs="Times New Roman"/>
          <w:noProof/>
          <w:sz w:val="24"/>
          <w:szCs w:val="24"/>
        </w:rPr>
        <w:t>, 492–506. https://api.semanticscholar.org/CorpusID:243840367</w:t>
      </w:r>
    </w:p>
    <w:p w14:paraId="592802F6"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Kiwanuka, J., Waila, J. M., Kahungu, M. M., Kitonsa, J., &amp; Kiwanuka, N. (2020). Determinants of loss to follow-up among HIV positive patients receiving antiretroviral therapy in a test and treat setting: A retrospective cohort study in Masaka, Uganda. </w:t>
      </w:r>
      <w:r w:rsidRPr="00BA5758">
        <w:rPr>
          <w:rFonts w:ascii="Times New Roman" w:hAnsi="Times New Roman" w:cs="Times New Roman"/>
          <w:i/>
          <w:iCs/>
          <w:noProof/>
          <w:sz w:val="24"/>
          <w:szCs w:val="24"/>
        </w:rPr>
        <w:t>PLoS ONE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15</w:t>
      </w:r>
      <w:r w:rsidRPr="00BA5758">
        <w:rPr>
          <w:rFonts w:ascii="Times New Roman" w:hAnsi="Times New Roman" w:cs="Times New Roman"/>
          <w:noProof/>
          <w:sz w:val="24"/>
          <w:szCs w:val="24"/>
        </w:rPr>
        <w:t>(4), 1–17. https://doi.org/10.1371/journal.pone.0217606</w:t>
      </w:r>
    </w:p>
    <w:p w14:paraId="6F06709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Klau, N., Id, F., Id, L. M., Hawke, K., &amp; Ward, P. R. (2022). Traditional Human Immunodeficiency Virus treatment and family and social influence as barriers to accessing HIV care services in Belu , Indonesia. </w:t>
      </w:r>
      <w:r w:rsidRPr="00BA5758">
        <w:rPr>
          <w:rFonts w:ascii="Times New Roman" w:hAnsi="Times New Roman" w:cs="Times New Roman"/>
          <w:i/>
          <w:iCs/>
          <w:noProof/>
          <w:sz w:val="24"/>
          <w:szCs w:val="24"/>
        </w:rPr>
        <w:t>Plos Oke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17</w:t>
      </w:r>
      <w:r w:rsidRPr="00BA5758">
        <w:rPr>
          <w:rFonts w:ascii="Times New Roman" w:hAnsi="Times New Roman" w:cs="Times New Roman"/>
          <w:noProof/>
          <w:sz w:val="24"/>
          <w:szCs w:val="24"/>
        </w:rPr>
        <w:t>(7), 1–16. https://doi.org/10.1371/journal.pone.0264462</w:t>
      </w:r>
    </w:p>
    <w:p w14:paraId="651AD0F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Knight, L., &amp; Schatz, E. (2022). Social Support for Improved ART Adherence and Retention in Care among Older People Living with HIV in Urban South Africa : A Complex Balance between Disclosure and Stigma. </w:t>
      </w:r>
      <w:r w:rsidRPr="00BA5758">
        <w:rPr>
          <w:rFonts w:ascii="Times New Roman" w:hAnsi="Times New Roman" w:cs="Times New Roman"/>
          <w:i/>
          <w:iCs/>
          <w:noProof/>
          <w:sz w:val="24"/>
          <w:szCs w:val="24"/>
        </w:rPr>
        <w:t>International Journal of Environmental Research and Public Health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19</w:t>
      </w:r>
      <w:r w:rsidRPr="00BA5758">
        <w:rPr>
          <w:rFonts w:ascii="Times New Roman" w:hAnsi="Times New Roman" w:cs="Times New Roman"/>
          <w:noProof/>
          <w:sz w:val="24"/>
          <w:szCs w:val="24"/>
        </w:rPr>
        <w:t>(11472), 1–16. https://doi.org/https://doi.org/10.3390/ijerph191811473</w:t>
      </w:r>
    </w:p>
    <w:p w14:paraId="50CF4183"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Kristia, G., Djannah, S. N., &amp; Wardani, Y. (2025). Peran Dukungan Sosial dalam Kepatuhan Terapi Antiretroviral pada Orang dengan HIV: Systematic Review. </w:t>
      </w:r>
      <w:r w:rsidRPr="00BA5758">
        <w:rPr>
          <w:rFonts w:ascii="Times New Roman" w:hAnsi="Times New Roman" w:cs="Times New Roman"/>
          <w:i/>
          <w:iCs/>
          <w:noProof/>
          <w:sz w:val="24"/>
          <w:szCs w:val="24"/>
        </w:rPr>
        <w:t>Jurnal Promotif Preventif</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8</w:t>
      </w:r>
      <w:r w:rsidRPr="00BA5758">
        <w:rPr>
          <w:rFonts w:ascii="Times New Roman" w:hAnsi="Times New Roman" w:cs="Times New Roman"/>
          <w:noProof/>
          <w:sz w:val="24"/>
          <w:szCs w:val="24"/>
        </w:rPr>
        <w:t>(5), 1145–1155.</w:t>
      </w:r>
    </w:p>
    <w:p w14:paraId="3A1117C1"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Kristoni, N., &amp; Astuti, I. (2021). </w:t>
      </w:r>
      <w:r w:rsidRPr="00BA5758">
        <w:rPr>
          <w:rFonts w:ascii="Times New Roman" w:hAnsi="Times New Roman" w:cs="Times New Roman"/>
          <w:i/>
          <w:iCs/>
          <w:noProof/>
          <w:sz w:val="24"/>
          <w:szCs w:val="24"/>
        </w:rPr>
        <w:t>Mengenal HIV &amp; AIDS</w:t>
      </w:r>
      <w:r w:rsidRPr="00BA5758">
        <w:rPr>
          <w:rFonts w:ascii="Times New Roman" w:hAnsi="Times New Roman" w:cs="Times New Roman"/>
          <w:noProof/>
          <w:sz w:val="24"/>
          <w:szCs w:val="24"/>
        </w:rPr>
        <w:t>. https://r.search.yahoo.com</w:t>
      </w:r>
    </w:p>
    <w:p w14:paraId="3CC926CC"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Kurniawan, R., Pratiwi, R. D., &amp; Suyono, S. (2022). Faktor-faktor determinan penyebab loss to follow up pada orang dengan HIV dan AIDS (ODHA) yang menerima terapi Antiretroviral (ARV). </w:t>
      </w:r>
      <w:r w:rsidRPr="00BA5758">
        <w:rPr>
          <w:rFonts w:ascii="Times New Roman" w:hAnsi="Times New Roman" w:cs="Times New Roman"/>
          <w:i/>
          <w:iCs/>
          <w:noProof/>
          <w:sz w:val="24"/>
          <w:szCs w:val="24"/>
        </w:rPr>
        <w:t>Holistik Jurnal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16</w:t>
      </w:r>
      <w:r w:rsidRPr="00BA5758">
        <w:rPr>
          <w:rFonts w:ascii="Times New Roman" w:hAnsi="Times New Roman" w:cs="Times New Roman"/>
          <w:noProof/>
          <w:sz w:val="24"/>
          <w:szCs w:val="24"/>
        </w:rPr>
        <w:t>(6), 485–494. https://doi.org/10.33024/hjk.v16i6.7820</w:t>
      </w:r>
    </w:p>
    <w:p w14:paraId="0BE2383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Luksita, A. C., Mahendradhata, Y., &amp; Subronto, Y. W. (2022). Studi Kasus Terapi Arv Pada Pasien Lost To Follow-Up Di Jakarta Pusat Tahun 2021. </w:t>
      </w:r>
      <w:r w:rsidRPr="00BA5758">
        <w:rPr>
          <w:rFonts w:ascii="Times New Roman" w:hAnsi="Times New Roman" w:cs="Times New Roman"/>
          <w:i/>
          <w:iCs/>
          <w:noProof/>
          <w:sz w:val="24"/>
          <w:szCs w:val="24"/>
        </w:rPr>
        <w:t>Jurnal Manajemen Pelayanan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25</w:t>
      </w:r>
      <w:r w:rsidRPr="00BA5758">
        <w:rPr>
          <w:rFonts w:ascii="Times New Roman" w:hAnsi="Times New Roman" w:cs="Times New Roman"/>
          <w:noProof/>
          <w:sz w:val="24"/>
          <w:szCs w:val="24"/>
        </w:rPr>
        <w:t>(02), 70–75.</w:t>
      </w:r>
    </w:p>
    <w:p w14:paraId="0093D3EE"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Meng, X., Yin, H., Ma, W., Gu, J., Lu, Z., Fitzpatrick, T., &amp; Zou, H. (2023). Peer-Led Community-Based Support Services and HIV Treatment Outcomes Among People Living With HIV in Wuxi, China: Propensity Score–Matched Analysis of Surveillance Data From 2006 to 2021. </w:t>
      </w:r>
      <w:r w:rsidRPr="00BA5758">
        <w:rPr>
          <w:rFonts w:ascii="Times New Roman" w:hAnsi="Times New Roman" w:cs="Times New Roman"/>
          <w:i/>
          <w:iCs/>
          <w:noProof/>
          <w:sz w:val="24"/>
          <w:szCs w:val="24"/>
        </w:rPr>
        <w:t>JMIR Public Health Surveill</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9</w:t>
      </w:r>
      <w:r w:rsidRPr="00BA5758">
        <w:rPr>
          <w:rFonts w:ascii="Times New Roman" w:hAnsi="Times New Roman" w:cs="Times New Roman"/>
          <w:noProof/>
          <w:sz w:val="24"/>
          <w:szCs w:val="24"/>
        </w:rPr>
        <w:t>, e43635. https://doi.org/10.2196/43635</w:t>
      </w:r>
    </w:p>
    <w:p w14:paraId="4235F02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Mlangeni, N., Lembani, M., Adetokunboh, O., &amp; Nyasulu, P. S. (2025). Structural barriers and facilitators to accessing HIV services for marginalized working populations : insights from farm workers in South Africa. </w:t>
      </w:r>
      <w:r w:rsidRPr="00BA5758">
        <w:rPr>
          <w:rFonts w:ascii="Times New Roman" w:hAnsi="Times New Roman" w:cs="Times New Roman"/>
          <w:i/>
          <w:iCs/>
          <w:noProof/>
          <w:sz w:val="24"/>
          <w:szCs w:val="24"/>
        </w:rPr>
        <w:t>Health Policy and Planning</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40</w:t>
      </w:r>
      <w:r w:rsidRPr="00BA5758">
        <w:rPr>
          <w:rFonts w:ascii="Times New Roman" w:hAnsi="Times New Roman" w:cs="Times New Roman"/>
          <w:noProof/>
          <w:sz w:val="24"/>
          <w:szCs w:val="24"/>
        </w:rPr>
        <w:t>(00), 75–84. https://doi.org/https://doi.org/10.1093/heapol/czae098</w:t>
      </w:r>
    </w:p>
    <w:p w14:paraId="2A4C00A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lastRenderedPageBreak/>
        <w:t xml:space="preserve">Muchtar, R. S. U., Natalia, S., &amp; Usnah, A. (2023). Faktor – Faktor Yang Berhubungan Dengan Kepatuhan Minum Obat Arv Pada Pasien Hiv/Aids Di Puskesmas Lubuk Baja. </w:t>
      </w:r>
      <w:r w:rsidRPr="00BA5758">
        <w:rPr>
          <w:rFonts w:ascii="Times New Roman" w:hAnsi="Times New Roman" w:cs="Times New Roman"/>
          <w:i/>
          <w:iCs/>
          <w:noProof/>
          <w:sz w:val="24"/>
          <w:szCs w:val="24"/>
        </w:rPr>
        <w:t>Warta Dharmawangsa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17</w:t>
      </w:r>
      <w:r w:rsidRPr="00BA5758">
        <w:rPr>
          <w:rFonts w:ascii="Times New Roman" w:hAnsi="Times New Roman" w:cs="Times New Roman"/>
          <w:noProof/>
          <w:sz w:val="24"/>
          <w:szCs w:val="24"/>
        </w:rPr>
        <w:t>(1), 53–64. https://doi.org/10.46576/wdw.v17i1.2922</w:t>
      </w:r>
    </w:p>
    <w:p w14:paraId="40C31510"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Mufidah, D. (2025). Hubungan Stigma Sosial dengan Perilaku Lost to Follow-Up Pasien HIV / AIDS dengan Terapi ARV. </w:t>
      </w:r>
      <w:r w:rsidRPr="00BA5758">
        <w:rPr>
          <w:rFonts w:ascii="Times New Roman" w:hAnsi="Times New Roman" w:cs="Times New Roman"/>
          <w:i/>
          <w:iCs/>
          <w:noProof/>
          <w:sz w:val="24"/>
          <w:szCs w:val="24"/>
        </w:rPr>
        <w:t>Media Husada Journal of Nursing Science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w:t>
      </w:r>
      <w:r w:rsidRPr="00BA5758">
        <w:rPr>
          <w:rFonts w:ascii="Times New Roman" w:hAnsi="Times New Roman" w:cs="Times New Roman"/>
          <w:noProof/>
          <w:sz w:val="24"/>
          <w:szCs w:val="24"/>
        </w:rPr>
        <w:t>(3), 200–205. https://doi.org/10.33475/mhjns.v6i3.907</w:t>
      </w:r>
    </w:p>
    <w:p w14:paraId="170BD856"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Mugenyi, L., Nanfuka, M., Byawaka, J., Agaba, C., Mijumbi, A., Kagimu, D., Mugisha, K., Shabbar, J., &amp; Etukoit, M. (2022). Effect of universal test and treat on retention and mortality among people living with HIV- infection in Uganda : An interrupted time series analysis. </w:t>
      </w:r>
      <w:r w:rsidRPr="00BA5758">
        <w:rPr>
          <w:rFonts w:ascii="Times New Roman" w:hAnsi="Times New Roman" w:cs="Times New Roman"/>
          <w:i/>
          <w:iCs/>
          <w:noProof/>
          <w:sz w:val="24"/>
          <w:szCs w:val="24"/>
        </w:rPr>
        <w:t>Plos One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12757</w:t>
      </w:r>
      <w:r w:rsidRPr="00BA5758">
        <w:rPr>
          <w:rFonts w:ascii="Times New Roman" w:hAnsi="Times New Roman" w:cs="Times New Roman"/>
          <w:noProof/>
          <w:sz w:val="24"/>
          <w:szCs w:val="24"/>
        </w:rPr>
        <w:t>, 1–13. https://doi.org/10.1371/journal.pone.0268226</w:t>
      </w:r>
    </w:p>
    <w:p w14:paraId="3C7726B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Mukarromah, S., &amp; Azinar, M. (2021). Penghambat Kepatuhan Terapi Antiretroviral pada Orang dengan HIV/AIDS (Studi Kasus pada Odha Loss To Follow Up Therapy). </w:t>
      </w:r>
      <w:r w:rsidRPr="00BA5758">
        <w:rPr>
          <w:rFonts w:ascii="Times New Roman" w:hAnsi="Times New Roman" w:cs="Times New Roman"/>
          <w:i/>
          <w:iCs/>
          <w:noProof/>
          <w:sz w:val="24"/>
          <w:szCs w:val="24"/>
        </w:rPr>
        <w:t>Indonesian Journal of Public Health and Nutrition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w:t>
      </w:r>
      <w:r w:rsidRPr="00BA5758">
        <w:rPr>
          <w:rFonts w:ascii="Times New Roman" w:hAnsi="Times New Roman" w:cs="Times New Roman"/>
          <w:noProof/>
          <w:sz w:val="24"/>
          <w:szCs w:val="24"/>
        </w:rPr>
        <w:t>(3), 396–406. https://doi.org/https://doi.org/10.15294/ijphn.v1i3.47892</w:t>
      </w:r>
    </w:p>
    <w:p w14:paraId="4214512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Muthoni, K. (2025). Effect of Peer Support Groups on ART Adherence Among Young Adults With HIV : A Narrative Review. </w:t>
      </w:r>
      <w:r w:rsidRPr="00BA5758">
        <w:rPr>
          <w:rFonts w:ascii="Times New Roman" w:hAnsi="Times New Roman" w:cs="Times New Roman"/>
          <w:i/>
          <w:iCs/>
          <w:noProof/>
          <w:sz w:val="24"/>
          <w:szCs w:val="24"/>
        </w:rPr>
        <w:t>Research Output Journal of Public Health and Medicine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5</w:t>
      </w:r>
      <w:r w:rsidRPr="00BA5758">
        <w:rPr>
          <w:rFonts w:ascii="Times New Roman" w:hAnsi="Times New Roman" w:cs="Times New Roman"/>
          <w:noProof/>
          <w:sz w:val="24"/>
          <w:szCs w:val="24"/>
        </w:rPr>
        <w:t>(3), 50–53.</w:t>
      </w:r>
    </w:p>
    <w:p w14:paraId="2079505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Mwangala, P. N., Mabrouk, A., Wagner, R., Newton, C. R. J. C., &amp; Abubakar, A. A. (2021). Mental health and well-being of older adults living with HIV in sub-Saharan  Africa: a systematic review. </w:t>
      </w:r>
      <w:r w:rsidRPr="00BA5758">
        <w:rPr>
          <w:rFonts w:ascii="Times New Roman" w:hAnsi="Times New Roman" w:cs="Times New Roman"/>
          <w:i/>
          <w:iCs/>
          <w:noProof/>
          <w:sz w:val="24"/>
          <w:szCs w:val="24"/>
        </w:rPr>
        <w:t>BMJ Open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11</w:t>
      </w:r>
      <w:r w:rsidRPr="00BA5758">
        <w:rPr>
          <w:rFonts w:ascii="Times New Roman" w:hAnsi="Times New Roman" w:cs="Times New Roman"/>
          <w:noProof/>
          <w:sz w:val="24"/>
          <w:szCs w:val="24"/>
        </w:rPr>
        <w:t>(9), e052810. https://doi.org/10.1136/bmjopen-2021-052810</w:t>
      </w:r>
    </w:p>
    <w:p w14:paraId="690C8614"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Nawfal, E. S., Gray, A., Sheehan, D. M., Ibañez, G. E., &amp; Trepka, M. J. (2024). A Systematic Review of the Impact of HIV-Related Stigma and Serostatus Disclosure  on Retention in Care and Antiretroviral Therapy Adherence Among Women with HIV in the United States/Canada. </w:t>
      </w:r>
      <w:r w:rsidRPr="00BA5758">
        <w:rPr>
          <w:rFonts w:ascii="Times New Roman" w:hAnsi="Times New Roman" w:cs="Times New Roman"/>
          <w:i/>
          <w:iCs/>
          <w:noProof/>
          <w:sz w:val="24"/>
          <w:szCs w:val="24"/>
        </w:rPr>
        <w:t>AIDS Patient Care and STDs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38</w:t>
      </w:r>
      <w:r w:rsidRPr="00BA5758">
        <w:rPr>
          <w:rFonts w:ascii="Times New Roman" w:hAnsi="Times New Roman" w:cs="Times New Roman"/>
          <w:noProof/>
          <w:sz w:val="24"/>
          <w:szCs w:val="24"/>
        </w:rPr>
        <w:t>(1), 23–49. https://doi.org/10.1089/apc.2023.0178</w:t>
      </w:r>
    </w:p>
    <w:p w14:paraId="208090F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Nhlongolwane, N., &amp; Shonisani, T. (2023). Predictors and Barriers Associated with Non-Adherence to ART by People Living with HIV and AIDS in a Selected Local Municipality of Limpopo Province, South Africa. </w:t>
      </w:r>
      <w:r w:rsidRPr="00BA5758">
        <w:rPr>
          <w:rFonts w:ascii="Times New Roman" w:hAnsi="Times New Roman" w:cs="Times New Roman"/>
          <w:i/>
          <w:iCs/>
          <w:noProof/>
          <w:sz w:val="24"/>
          <w:szCs w:val="24"/>
        </w:rPr>
        <w:t>The Open AIDS Journal</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17</w:t>
      </w:r>
      <w:r w:rsidRPr="00BA5758">
        <w:rPr>
          <w:rFonts w:ascii="Times New Roman" w:hAnsi="Times New Roman" w:cs="Times New Roman"/>
          <w:noProof/>
          <w:sz w:val="24"/>
          <w:szCs w:val="24"/>
        </w:rPr>
        <w:t>, 1–8. https://doi.org/10.2174/18746136-v17-230726-2023-2</w:t>
      </w:r>
    </w:p>
    <w:p w14:paraId="7F475768"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Nurhayatun, E., Ulfia, M., Angelina, T., &amp; Java, C. (2025). Adherence to Antiretroviral Theraphy and Associated Factors Among People Living with HIV in Surakarta. </w:t>
      </w:r>
      <w:r w:rsidRPr="00BA5758">
        <w:rPr>
          <w:rFonts w:ascii="Times New Roman" w:hAnsi="Times New Roman" w:cs="Times New Roman"/>
          <w:i/>
          <w:iCs/>
          <w:noProof/>
          <w:sz w:val="24"/>
          <w:szCs w:val="24"/>
        </w:rPr>
        <w:t>Jurnal Info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23</w:t>
      </w:r>
      <w:r w:rsidRPr="00BA5758">
        <w:rPr>
          <w:rFonts w:ascii="Times New Roman" w:hAnsi="Times New Roman" w:cs="Times New Roman"/>
          <w:noProof/>
          <w:sz w:val="24"/>
          <w:szCs w:val="24"/>
        </w:rPr>
        <w:t>(3), 464–472. https://doi.org/10.31965/infokes.Vol23.Iss3.1660</w:t>
      </w:r>
    </w:p>
    <w:p w14:paraId="6EF129A3"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Nyblade, L., Stockton, M. A., Saalim, K., Rabiu Abu-Ba’are, G., Clay, S., Chonta, M., Dada, D., Mankattah, E., Vormawor, R., Appiah, P., Boakye, F., Akrong, R., Manu, A., Gyamerah, E., Turner, D., Sharma, K., Torpey, K., &amp; Nelson, L. E. (2022). Using a mixed-methods approach to adapt an HIV stigma reduction to address  intersectional stigma faced by men who have sex with men in Ghana. </w:t>
      </w:r>
      <w:r w:rsidRPr="00BA5758">
        <w:rPr>
          <w:rFonts w:ascii="Times New Roman" w:hAnsi="Times New Roman" w:cs="Times New Roman"/>
          <w:i/>
          <w:iCs/>
          <w:noProof/>
          <w:sz w:val="24"/>
          <w:szCs w:val="24"/>
        </w:rPr>
        <w:t>Journal of the International AIDS Society</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25 Suppl 1</w:t>
      </w:r>
      <w:r w:rsidRPr="00BA5758">
        <w:rPr>
          <w:rFonts w:ascii="Times New Roman" w:hAnsi="Times New Roman" w:cs="Times New Roman"/>
          <w:noProof/>
          <w:sz w:val="24"/>
          <w:szCs w:val="24"/>
        </w:rPr>
        <w:t>(Suppl 1), e25908. https://doi.org/10.1002/jia2.25908</w:t>
      </w:r>
    </w:p>
    <w:p w14:paraId="34D751F8"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Øgård-Repål, A., Berg, R. C., &amp; Fossum, M. (2023). Peer Support for People Living With HIV: A Scoping Review. </w:t>
      </w:r>
      <w:r w:rsidRPr="00BA5758">
        <w:rPr>
          <w:rFonts w:ascii="Times New Roman" w:hAnsi="Times New Roman" w:cs="Times New Roman"/>
          <w:i/>
          <w:iCs/>
          <w:noProof/>
          <w:sz w:val="24"/>
          <w:szCs w:val="24"/>
        </w:rPr>
        <w:t>Health Promotion Practice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24</w:t>
      </w:r>
      <w:r w:rsidRPr="00BA5758">
        <w:rPr>
          <w:rFonts w:ascii="Times New Roman" w:hAnsi="Times New Roman" w:cs="Times New Roman"/>
          <w:noProof/>
          <w:sz w:val="24"/>
          <w:szCs w:val="24"/>
        </w:rPr>
        <w:t>(1), 172–190. https://doi.org/10.1177/15248399211049824</w:t>
      </w:r>
    </w:p>
    <w:p w14:paraId="4370656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Olyvia, N., &amp; Purnamawati, D. (2025). Pengaruh kepatuhan terapi arv dengan rata-rata kadar viral load pada odhiv. </w:t>
      </w:r>
      <w:r w:rsidRPr="00BA5758">
        <w:rPr>
          <w:rFonts w:ascii="Times New Roman" w:hAnsi="Times New Roman" w:cs="Times New Roman"/>
          <w:i/>
          <w:iCs/>
          <w:noProof/>
          <w:sz w:val="24"/>
          <w:szCs w:val="24"/>
        </w:rPr>
        <w:t>Jurnal Kesehatan Tam</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w:t>
      </w:r>
      <w:r w:rsidRPr="00BA5758">
        <w:rPr>
          <w:rFonts w:ascii="Times New Roman" w:hAnsi="Times New Roman" w:cs="Times New Roman"/>
          <w:noProof/>
          <w:sz w:val="24"/>
          <w:szCs w:val="24"/>
        </w:rPr>
        <w:t>(2), 5367–5375.</w:t>
      </w:r>
    </w:p>
    <w:p w14:paraId="49EEA669"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lastRenderedPageBreak/>
        <w:t xml:space="preserve">Perger, T., Davtyan, M., Foster, C., Evangeli, M., Berman, C., Kacanek, D., Puga, A. M., Sekidde, S., &amp; Bhopal, S. (2025). Impact of HIV ‑ Related Stigma on Antiretroviral Therapy Adherence , Engagement and Retention in HIV Care , and Transition to Adult HIV Care in Pediatric and Young Adult Populations Living With HIV : A Literature Review. </w:t>
      </w:r>
      <w:r w:rsidRPr="00BA5758">
        <w:rPr>
          <w:rFonts w:ascii="Times New Roman" w:hAnsi="Times New Roman" w:cs="Times New Roman"/>
          <w:i/>
          <w:iCs/>
          <w:noProof/>
          <w:sz w:val="24"/>
          <w:szCs w:val="24"/>
        </w:rPr>
        <w:t>AIDS and Behavior</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29</w:t>
      </w:r>
      <w:r w:rsidRPr="00BA5758">
        <w:rPr>
          <w:rFonts w:ascii="Times New Roman" w:hAnsi="Times New Roman" w:cs="Times New Roman"/>
          <w:noProof/>
          <w:sz w:val="24"/>
          <w:szCs w:val="24"/>
        </w:rPr>
        <w:t>(2), 497–516. https://doi.org/10.1007/s10461-024-04534-5</w:t>
      </w:r>
    </w:p>
    <w:p w14:paraId="6372F85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Permana, D. A. ., Ningrum, D., &amp; Faizal, A. (2021). Profil Terapi Antiretroviral (ARV) Beserta Nilai Parameter Viral Load (VL) Pada Pasien HIV/AIDS di Puskesmas. </w:t>
      </w:r>
      <w:r w:rsidRPr="00BA5758">
        <w:rPr>
          <w:rFonts w:ascii="Times New Roman" w:hAnsi="Times New Roman" w:cs="Times New Roman"/>
          <w:i/>
          <w:iCs/>
          <w:noProof/>
          <w:sz w:val="24"/>
          <w:szCs w:val="24"/>
        </w:rPr>
        <w:t>Jurnal Ilmiah Kefarmasian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3</w:t>
      </w:r>
      <w:r w:rsidRPr="00BA5758">
        <w:rPr>
          <w:rFonts w:ascii="Times New Roman" w:hAnsi="Times New Roman" w:cs="Times New Roman"/>
          <w:noProof/>
          <w:sz w:val="24"/>
          <w:szCs w:val="24"/>
        </w:rPr>
        <w:t>(2), 36–44.</w:t>
      </w:r>
    </w:p>
    <w:p w14:paraId="4CAEE90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Picón-Jaimes, Y. A., Lozada-Martinez, I. D., Tosas, M. R., Tiraboschi, J., Fiorillo-Moreno, O., &amp; Bermúdez, V. (2025). What Has Been Studied About Attitudes and Social Stigma Towards HIV/AIDS? A  Global Bibliometric Study with Correlations on Global Health HIV-Related Indicators. </w:t>
      </w:r>
      <w:r w:rsidRPr="00BA5758">
        <w:rPr>
          <w:rFonts w:ascii="Times New Roman" w:hAnsi="Times New Roman" w:cs="Times New Roman"/>
          <w:i/>
          <w:iCs/>
          <w:noProof/>
          <w:sz w:val="24"/>
          <w:szCs w:val="24"/>
        </w:rPr>
        <w:t>Healthcare (Basel, Switzerland)</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13</w:t>
      </w:r>
      <w:r w:rsidRPr="00BA5758">
        <w:rPr>
          <w:rFonts w:ascii="Times New Roman" w:hAnsi="Times New Roman" w:cs="Times New Roman"/>
          <w:noProof/>
          <w:sz w:val="24"/>
          <w:szCs w:val="24"/>
        </w:rPr>
        <w:t>(8). https://doi.org/10.3390/healthcare13080891</w:t>
      </w:r>
    </w:p>
    <w:p w14:paraId="6D2F1BFE"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Pramatasari, L. A., Martini, &amp; Sutiningsih, D. (2025). A Systematic Review Of Peer Support For Mental Health In People Living With HIV. </w:t>
      </w:r>
      <w:r w:rsidRPr="00BA5758">
        <w:rPr>
          <w:rFonts w:ascii="Times New Roman" w:hAnsi="Times New Roman" w:cs="Times New Roman"/>
          <w:i/>
          <w:iCs/>
          <w:noProof/>
          <w:sz w:val="24"/>
          <w:szCs w:val="24"/>
        </w:rPr>
        <w:t>Jurnal Sains Teknologi Dan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w:t>
      </w:r>
      <w:r w:rsidRPr="00BA5758">
        <w:rPr>
          <w:rFonts w:ascii="Times New Roman" w:hAnsi="Times New Roman" w:cs="Times New Roman"/>
          <w:noProof/>
          <w:sz w:val="24"/>
          <w:szCs w:val="24"/>
        </w:rPr>
        <w:t>(2), 307–318.</w:t>
      </w:r>
    </w:p>
    <w:p w14:paraId="4351C6A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Pugh, L. E., Roberts, J. S., Viswasam, N., Hahn, E., Ryan, S., Turpin, G., Lyons, C. E., Baral, S., &amp; Hansoti, B. (2022). Systematic review of interventions aimed at improving HIV adherence to care in  low- and middle-income countries in Sub-Saharan Africa. </w:t>
      </w:r>
      <w:r w:rsidRPr="00BA5758">
        <w:rPr>
          <w:rFonts w:ascii="Times New Roman" w:hAnsi="Times New Roman" w:cs="Times New Roman"/>
          <w:i/>
          <w:iCs/>
          <w:noProof/>
          <w:sz w:val="24"/>
          <w:szCs w:val="24"/>
        </w:rPr>
        <w:t>Journal of Infection and Public Health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15</w:t>
      </w:r>
      <w:r w:rsidRPr="00BA5758">
        <w:rPr>
          <w:rFonts w:ascii="Times New Roman" w:hAnsi="Times New Roman" w:cs="Times New Roman"/>
          <w:noProof/>
          <w:sz w:val="24"/>
          <w:szCs w:val="24"/>
        </w:rPr>
        <w:t>(10), 1053–1060. https://doi.org/10.1016/j.jiph.2022.08.012</w:t>
      </w:r>
    </w:p>
    <w:p w14:paraId="333FA7C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Purnamawati, D. (2021). </w:t>
      </w:r>
      <w:r w:rsidRPr="00BA5758">
        <w:rPr>
          <w:rFonts w:ascii="Times New Roman" w:hAnsi="Times New Roman" w:cs="Times New Roman"/>
          <w:i/>
          <w:iCs/>
          <w:noProof/>
          <w:sz w:val="24"/>
          <w:szCs w:val="24"/>
        </w:rPr>
        <w:t>Pendidikan kesehatan HIV dan AIDS bagi Tenaga Kesehatan</w:t>
      </w:r>
      <w:r w:rsidRPr="00BA5758">
        <w:rPr>
          <w:rFonts w:ascii="Times New Roman" w:hAnsi="Times New Roman" w:cs="Times New Roman"/>
          <w:noProof/>
          <w:sz w:val="24"/>
          <w:szCs w:val="24"/>
        </w:rPr>
        <w:t>. STIKes Kharisma Karawang.</w:t>
      </w:r>
    </w:p>
    <w:p w14:paraId="2C152BD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Purnomo, C., Kusyairi, A., &amp; Mariani. (2025). Hubungan Peran Pendamping Teman Sebaya Dengan Penurunan Lost Follow Up Penderita HIV / AIDS di Klinik VCT RSUD Dr . Haryoto Lumajang. </w:t>
      </w:r>
      <w:r w:rsidRPr="00BA5758">
        <w:rPr>
          <w:rFonts w:ascii="Times New Roman" w:hAnsi="Times New Roman" w:cs="Times New Roman"/>
          <w:i/>
          <w:iCs/>
          <w:noProof/>
          <w:sz w:val="24"/>
          <w:szCs w:val="24"/>
        </w:rPr>
        <w:t>Jurnal Ilmu Kesehatan Mandira Cendikia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4</w:t>
      </w:r>
      <w:r w:rsidRPr="00BA5758">
        <w:rPr>
          <w:rFonts w:ascii="Times New Roman" w:hAnsi="Times New Roman" w:cs="Times New Roman"/>
          <w:noProof/>
          <w:sz w:val="24"/>
          <w:szCs w:val="24"/>
        </w:rPr>
        <w:t>(3), 33–41.</w:t>
      </w:r>
    </w:p>
    <w:p w14:paraId="434035DE"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Puspita, A., Katimenta, K. Y., Rosela, K., &amp; Trigusman, H. (2023). Hubungan Tingkat Pengetahuan Masyarakat Tentang HIV-AIDS Dengan Stigma pada ODHA di RT/RW 03/008 Wilayah Kerja Puskesmas Menteng Palangka Raya. </w:t>
      </w:r>
      <w:r w:rsidRPr="00BA5758">
        <w:rPr>
          <w:rFonts w:ascii="Times New Roman" w:hAnsi="Times New Roman" w:cs="Times New Roman"/>
          <w:i/>
          <w:iCs/>
          <w:noProof/>
          <w:sz w:val="24"/>
          <w:szCs w:val="24"/>
        </w:rPr>
        <w:t>Jurnal Rumpun Ilmu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3</w:t>
      </w:r>
      <w:r w:rsidRPr="00BA5758">
        <w:rPr>
          <w:rFonts w:ascii="Times New Roman" w:hAnsi="Times New Roman" w:cs="Times New Roman"/>
          <w:noProof/>
          <w:sz w:val="24"/>
          <w:szCs w:val="24"/>
        </w:rPr>
        <w:t>(1), 1–10.</w:t>
      </w:r>
    </w:p>
    <w:p w14:paraId="115F602A"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Putri, N. F., Tanesib, A. J., &amp; Herdayanti, M. (2025). Determinan Kejadian Loss to Follow Up (LtFU) Pengobatan Antiretroviral (ARV) pada Pasien HIV/AIDS di RS “X” Kota Depok. </w:t>
      </w:r>
      <w:r w:rsidRPr="00BA5758">
        <w:rPr>
          <w:rFonts w:ascii="Times New Roman" w:hAnsi="Times New Roman" w:cs="Times New Roman"/>
          <w:i/>
          <w:iCs/>
          <w:noProof/>
          <w:sz w:val="24"/>
          <w:szCs w:val="24"/>
        </w:rPr>
        <w:t>Jurnal Epidemiologi Kesehatan Komunitas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10</w:t>
      </w:r>
      <w:r w:rsidRPr="00BA5758">
        <w:rPr>
          <w:rFonts w:ascii="Times New Roman" w:hAnsi="Times New Roman" w:cs="Times New Roman"/>
          <w:noProof/>
          <w:sz w:val="24"/>
          <w:szCs w:val="24"/>
        </w:rPr>
        <w:t>(3), 34–41.</w:t>
      </w:r>
    </w:p>
    <w:p w14:paraId="12F8EEEC"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Qomariyah, Z., &amp; Purwito, D. (2025). Pemahaman Mendalam Tentang “Lost To Follow Up” Terapi Antiretroviral: Perspektif Fenomenologi Pasien HIV/AIDS. </w:t>
      </w:r>
      <w:r w:rsidRPr="00BA5758">
        <w:rPr>
          <w:rFonts w:ascii="Times New Roman" w:hAnsi="Times New Roman" w:cs="Times New Roman"/>
          <w:i/>
          <w:iCs/>
          <w:noProof/>
          <w:sz w:val="24"/>
          <w:szCs w:val="24"/>
        </w:rPr>
        <w:t>Jurnal Menara Medika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8</w:t>
      </w:r>
      <w:r w:rsidRPr="00BA5758">
        <w:rPr>
          <w:rFonts w:ascii="Times New Roman" w:hAnsi="Times New Roman" w:cs="Times New Roman"/>
          <w:noProof/>
          <w:sz w:val="24"/>
          <w:szCs w:val="24"/>
        </w:rPr>
        <w:t>(1), 225–235.</w:t>
      </w:r>
    </w:p>
    <w:p w14:paraId="72F28808"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Rahma, G., Yulia, &amp; Handiny, F. (2023). Determinan Kejadian HIV AIDS pada Populasi Kunci di Indonesia : Systematic Review Systematic Review. </w:t>
      </w:r>
      <w:r w:rsidRPr="00BA5758">
        <w:rPr>
          <w:rFonts w:ascii="Times New Roman" w:hAnsi="Times New Roman" w:cs="Times New Roman"/>
          <w:i/>
          <w:iCs/>
          <w:noProof/>
          <w:sz w:val="24"/>
          <w:szCs w:val="24"/>
        </w:rPr>
        <w:t>JIK (Jurnal Ilmu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8</w:t>
      </w:r>
      <w:r w:rsidRPr="00BA5758">
        <w:rPr>
          <w:rFonts w:ascii="Times New Roman" w:hAnsi="Times New Roman" w:cs="Times New Roman"/>
          <w:noProof/>
          <w:sz w:val="24"/>
          <w:szCs w:val="24"/>
        </w:rPr>
        <w:t>(1), 158–165.</w:t>
      </w:r>
    </w:p>
    <w:p w14:paraId="5D5992D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Salbila, I., &amp; Usiono, U. (2023). Strategi Pencegahan HIV &amp; AIDS: Langkah-Langkah Efektif Untuk Masyarakat. </w:t>
      </w:r>
      <w:r w:rsidRPr="00BA5758">
        <w:rPr>
          <w:rFonts w:ascii="Times New Roman" w:hAnsi="Times New Roman" w:cs="Times New Roman"/>
          <w:i/>
          <w:iCs/>
          <w:noProof/>
          <w:sz w:val="24"/>
          <w:szCs w:val="24"/>
        </w:rPr>
        <w:t>Jurnal Kesehatan Tambusai</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4</w:t>
      </w:r>
      <w:r w:rsidRPr="00BA5758">
        <w:rPr>
          <w:rFonts w:ascii="Times New Roman" w:hAnsi="Times New Roman" w:cs="Times New Roman"/>
          <w:noProof/>
          <w:sz w:val="24"/>
          <w:szCs w:val="24"/>
        </w:rPr>
        <w:t>(4), 5630–5639. https://doi.org/10.31004/jkt.v4i4.19941</w:t>
      </w:r>
    </w:p>
    <w:p w14:paraId="5064212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Salimo, Z. M., Avelino-Silva, V. I., Silva, E. F. da, Chaves, Y. O., Kadri, M. R. de A. El, </w:t>
      </w:r>
      <w:r w:rsidRPr="00BA5758">
        <w:rPr>
          <w:rFonts w:ascii="Times New Roman" w:hAnsi="Times New Roman" w:cs="Times New Roman"/>
          <w:noProof/>
          <w:sz w:val="24"/>
          <w:szCs w:val="24"/>
        </w:rPr>
        <w:lastRenderedPageBreak/>
        <w:t xml:space="preserve">Nogueira, P. A., &amp; Benzaken, A. S. (2025). Factors related to loss to follow-up among people living with HIV: a systematic  review. </w:t>
      </w:r>
      <w:r w:rsidRPr="00BA5758">
        <w:rPr>
          <w:rFonts w:ascii="Times New Roman" w:hAnsi="Times New Roman" w:cs="Times New Roman"/>
          <w:i/>
          <w:iCs/>
          <w:noProof/>
          <w:sz w:val="24"/>
          <w:szCs w:val="24"/>
        </w:rPr>
        <w:t>Revista Do Instituto de Medicina Tropical de Sao Paulo</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67</w:t>
      </w:r>
      <w:r w:rsidRPr="00BA5758">
        <w:rPr>
          <w:rFonts w:ascii="Times New Roman" w:hAnsi="Times New Roman" w:cs="Times New Roman"/>
          <w:noProof/>
          <w:sz w:val="24"/>
          <w:szCs w:val="24"/>
        </w:rPr>
        <w:t>, e53. https://doi.org/10.1590/S1678-9946202567053</w:t>
      </w:r>
    </w:p>
    <w:p w14:paraId="2C5861C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Sambayi, G. L., Bwire, G. M., Kilapilo, M. S., Myemba, D. T., Mosha, I. H., Kilonzi, M., Magati, R. B., Amour, M., Mwakalukwa, R., Mangara, A. N., Bakari, M., Sudfeld, C. R., Matee, M. I. N., Sangeda, R. Z., Adams, L. V, &amp; Killewo, J. (2024). Barriers and Enablers to Retention in HIV Care and Adherence to Antiretroviral  Therapy: Evidence from Dar es Salaam, Tanzania. </w:t>
      </w:r>
      <w:r w:rsidRPr="00BA5758">
        <w:rPr>
          <w:rFonts w:ascii="Times New Roman" w:hAnsi="Times New Roman" w:cs="Times New Roman"/>
          <w:i/>
          <w:iCs/>
          <w:noProof/>
          <w:sz w:val="24"/>
          <w:szCs w:val="24"/>
        </w:rPr>
        <w:t>HIV/AIDS (Auckland, N.Z.)</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16</w:t>
      </w:r>
      <w:r w:rsidRPr="00BA5758">
        <w:rPr>
          <w:rFonts w:ascii="Times New Roman" w:hAnsi="Times New Roman" w:cs="Times New Roman"/>
          <w:noProof/>
          <w:sz w:val="24"/>
          <w:szCs w:val="24"/>
        </w:rPr>
        <w:t>, 301–311. https://doi.org/10.2147/HIV.S458545</w:t>
      </w:r>
    </w:p>
    <w:p w14:paraId="55AB16B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Sasono, T. N., Yunitasari, E., &amp; Kurniawati, N. D. (2022). Pemberdayaan Pasien HIV dalam Kepatuhan Minum Obat ARV di Yayasan Cakap Peduli AIDS Turen. </w:t>
      </w:r>
      <w:r w:rsidRPr="00BA5758">
        <w:rPr>
          <w:rFonts w:ascii="Times New Roman" w:hAnsi="Times New Roman" w:cs="Times New Roman"/>
          <w:i/>
          <w:iCs/>
          <w:noProof/>
          <w:sz w:val="24"/>
          <w:szCs w:val="24"/>
        </w:rPr>
        <w:t>Jurnal Kesehatan Islam</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11</w:t>
      </w:r>
      <w:r w:rsidRPr="00BA5758">
        <w:rPr>
          <w:rFonts w:ascii="Times New Roman" w:hAnsi="Times New Roman" w:cs="Times New Roman"/>
          <w:noProof/>
          <w:sz w:val="24"/>
          <w:szCs w:val="24"/>
        </w:rPr>
        <w:t>(2), 98–101.</w:t>
      </w:r>
    </w:p>
    <w:p w14:paraId="1F93FA2C"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Seimahuira, T. N., Lepertery, J. W., &amp; Azzahra, F. (2025). Factors Influencing Loss to Follow-Up in HIV Patients: a Retrospective Study. </w:t>
      </w:r>
      <w:r w:rsidRPr="00BA5758">
        <w:rPr>
          <w:rFonts w:ascii="Times New Roman" w:hAnsi="Times New Roman" w:cs="Times New Roman"/>
          <w:i/>
          <w:iCs/>
          <w:noProof/>
          <w:sz w:val="24"/>
          <w:szCs w:val="24"/>
        </w:rPr>
        <w:t>Berkala Ilmu Kesehatan Kulit Dan Kelamin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37</w:t>
      </w:r>
      <w:r w:rsidRPr="00BA5758">
        <w:rPr>
          <w:rFonts w:ascii="Times New Roman" w:hAnsi="Times New Roman" w:cs="Times New Roman"/>
          <w:noProof/>
          <w:sz w:val="24"/>
          <w:szCs w:val="24"/>
        </w:rPr>
        <w:t>(3), 179–184.</w:t>
      </w:r>
    </w:p>
    <w:p w14:paraId="0AF13597"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Seunanden, T. C., Ngwenya, N., &amp; Seeley, J. (2025). Experiences and perceptions on antiretroviral therapy adherence and non ‑ adherence : a scoping review of young people living with HIV in sub ‑ Saharan Africa. </w:t>
      </w:r>
      <w:r w:rsidRPr="00BA5758">
        <w:rPr>
          <w:rFonts w:ascii="Times New Roman" w:hAnsi="Times New Roman" w:cs="Times New Roman"/>
          <w:i/>
          <w:iCs/>
          <w:noProof/>
          <w:sz w:val="24"/>
          <w:szCs w:val="24"/>
        </w:rPr>
        <w:t>BMC Public Health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25</w:t>
      </w:r>
      <w:r w:rsidRPr="00BA5758">
        <w:rPr>
          <w:rFonts w:ascii="Times New Roman" w:hAnsi="Times New Roman" w:cs="Times New Roman"/>
          <w:noProof/>
          <w:sz w:val="24"/>
          <w:szCs w:val="24"/>
        </w:rPr>
        <w:t>(1450). https://doi.org/10.1186/s12889-025-22579-6</w:t>
      </w:r>
    </w:p>
    <w:p w14:paraId="62A19FE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Shayo, E. H., Kivuyo, S., Seeley, J., Bukenya, D., Karoli, P., Mfinanga, S. G., Jaffar, S., &amp; Van Hout, M.-C. (2022). The acceptability of integrated healthcare services for HIV and non-communicable  diseases: experiences from patients and healthcare workers in Tanzania. </w:t>
      </w:r>
      <w:r w:rsidRPr="00BA5758">
        <w:rPr>
          <w:rFonts w:ascii="Times New Roman" w:hAnsi="Times New Roman" w:cs="Times New Roman"/>
          <w:i/>
          <w:iCs/>
          <w:noProof/>
          <w:sz w:val="24"/>
          <w:szCs w:val="24"/>
        </w:rPr>
        <w:t>BMC Health Services Research</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22</w:t>
      </w:r>
      <w:r w:rsidRPr="00BA5758">
        <w:rPr>
          <w:rFonts w:ascii="Times New Roman" w:hAnsi="Times New Roman" w:cs="Times New Roman"/>
          <w:noProof/>
          <w:sz w:val="24"/>
          <w:szCs w:val="24"/>
        </w:rPr>
        <w:t>(1), 655. https://doi.org/10.1186/s12913-022-08065-4</w:t>
      </w:r>
    </w:p>
    <w:p w14:paraId="6D7FFD50"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Shivambu, S., Ngcobo, S., &amp; Sciences, H. (2023). Perceptions and experiences of HIV care retention during the first 12 months at Kanyamazane CHC. </w:t>
      </w:r>
      <w:r w:rsidRPr="00BA5758">
        <w:rPr>
          <w:rFonts w:ascii="Times New Roman" w:hAnsi="Times New Roman" w:cs="Times New Roman"/>
          <w:i/>
          <w:iCs/>
          <w:noProof/>
          <w:sz w:val="24"/>
          <w:szCs w:val="24"/>
        </w:rPr>
        <w:t>Southern African Journal of Infectious Diseases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40</w:t>
      </w:r>
      <w:r w:rsidRPr="00BA5758">
        <w:rPr>
          <w:rFonts w:ascii="Times New Roman" w:hAnsi="Times New Roman" w:cs="Times New Roman"/>
          <w:noProof/>
          <w:sz w:val="24"/>
          <w:szCs w:val="24"/>
        </w:rPr>
        <w:t>(1), 1–12. https://doi.org/https://doi.org/10.4102/sajid.v40i1.752</w:t>
      </w:r>
    </w:p>
    <w:p w14:paraId="6225E03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Shrestha, A., Poudel, L., Adhikari, B., Bhandari, S., Shrestha, R., Kunwar, R. S., Pandey, L. R., KC, M. B., Wilson, E. C., &amp; Deuba, K. (2025). Determinants of loss to follow-up among people living with HIV receiving antiretroviral therapy in a universal test and treat setting: A retrospective cohort study in Nepal. </w:t>
      </w:r>
      <w:r w:rsidRPr="00BA5758">
        <w:rPr>
          <w:rFonts w:ascii="Times New Roman" w:hAnsi="Times New Roman" w:cs="Times New Roman"/>
          <w:i/>
          <w:iCs/>
          <w:noProof/>
          <w:sz w:val="24"/>
          <w:szCs w:val="24"/>
        </w:rPr>
        <w:t>Public Health in Practice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10</w:t>
      </w:r>
      <w:r w:rsidRPr="00BA5758">
        <w:rPr>
          <w:rFonts w:ascii="Times New Roman" w:hAnsi="Times New Roman" w:cs="Times New Roman"/>
          <w:noProof/>
          <w:sz w:val="24"/>
          <w:szCs w:val="24"/>
        </w:rPr>
        <w:t>, 100634. https://doi.org/https://doi.org/10.1016/j.puhip.2025.100634</w:t>
      </w:r>
    </w:p>
    <w:p w14:paraId="6216BB00"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Sianipar, T., &amp; Sianturi, S. R. (2023). Tingkat pengetahuan siswa dengan stigma pada odha. </w:t>
      </w:r>
      <w:r w:rsidRPr="00BA5758">
        <w:rPr>
          <w:rFonts w:ascii="Times New Roman" w:hAnsi="Times New Roman" w:cs="Times New Roman"/>
          <w:i/>
          <w:iCs/>
          <w:noProof/>
          <w:sz w:val="24"/>
          <w:szCs w:val="24"/>
        </w:rPr>
        <w:t>Jurnal Keperawatan Widya Gantari Indonesia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7</w:t>
      </w:r>
      <w:r w:rsidRPr="00BA5758">
        <w:rPr>
          <w:rFonts w:ascii="Times New Roman" w:hAnsi="Times New Roman" w:cs="Times New Roman"/>
          <w:noProof/>
          <w:sz w:val="24"/>
          <w:szCs w:val="24"/>
        </w:rPr>
        <w:t>(1), 18–25.</w:t>
      </w:r>
    </w:p>
    <w:p w14:paraId="1D10CADD"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Skripsiwati, L. E., Kiswati, Bachri, S., &amp; Sugijati. (2025). Hubungan Dukungan Keluarga dengan Kepatuhan Minum ARV (Antiretroviral) Pada Ibu Balita Odhiv di Wilayah Kerja Puskesmas Kencong Jember. </w:t>
      </w:r>
      <w:r w:rsidRPr="00BA5758">
        <w:rPr>
          <w:rFonts w:ascii="Times New Roman" w:hAnsi="Times New Roman" w:cs="Times New Roman"/>
          <w:i/>
          <w:iCs/>
          <w:noProof/>
          <w:sz w:val="24"/>
          <w:szCs w:val="24"/>
        </w:rPr>
        <w:t>HEALTHY : Jurnal Inovasi Riset Ilmu Kesehatan</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4</w:t>
      </w:r>
      <w:r w:rsidRPr="00BA5758">
        <w:rPr>
          <w:rFonts w:ascii="Times New Roman" w:hAnsi="Times New Roman" w:cs="Times New Roman"/>
          <w:noProof/>
          <w:sz w:val="24"/>
          <w:szCs w:val="24"/>
        </w:rPr>
        <w:t>(3), 309–321.</w:t>
      </w:r>
    </w:p>
    <w:p w14:paraId="28434E4A"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Supriyatni, N., Salim, L. A., Hargono, A., &amp; Febriyanti, F. (2023). Antiretroviral medication adherence for people with HIV/AIDS. </w:t>
      </w:r>
      <w:r w:rsidRPr="00BA5758">
        <w:rPr>
          <w:rFonts w:ascii="Times New Roman" w:hAnsi="Times New Roman" w:cs="Times New Roman"/>
          <w:i/>
          <w:iCs/>
          <w:noProof/>
          <w:sz w:val="24"/>
          <w:szCs w:val="24"/>
        </w:rPr>
        <w:t>Journal of Public Health in Africa</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14</w:t>
      </w:r>
      <w:r w:rsidRPr="00BA5758">
        <w:rPr>
          <w:rFonts w:ascii="Times New Roman" w:hAnsi="Times New Roman" w:cs="Times New Roman"/>
          <w:noProof/>
          <w:sz w:val="24"/>
          <w:szCs w:val="24"/>
        </w:rPr>
        <w:t>(7), 2434. https://doi.org/10.4081/jphia.2023.2434</w:t>
      </w:r>
    </w:p>
    <w:p w14:paraId="391F23BB"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Sutini, S., Cahyati, W. H., &amp; Rahayu, R. (2020). Socio-demographic Factors Associated with Loss to Follow up Anti Retro Viral Therapy among People Living with HIV and AIDS in Semarang City. </w:t>
      </w:r>
      <w:r w:rsidRPr="00BA5758">
        <w:rPr>
          <w:rFonts w:ascii="Times New Roman" w:hAnsi="Times New Roman" w:cs="Times New Roman"/>
          <w:i/>
          <w:iCs/>
          <w:noProof/>
          <w:sz w:val="24"/>
          <w:szCs w:val="24"/>
        </w:rPr>
        <w:t>Public Health Perspectives Journal Sutini Sutini</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5</w:t>
      </w:r>
      <w:r w:rsidRPr="00BA5758">
        <w:rPr>
          <w:rFonts w:ascii="Times New Roman" w:hAnsi="Times New Roman" w:cs="Times New Roman"/>
          <w:noProof/>
          <w:sz w:val="24"/>
          <w:szCs w:val="24"/>
        </w:rPr>
        <w:t>(3), 2020–2186. http://journal.unnes.ac.id/sju/index.php/phpj</w:t>
      </w:r>
    </w:p>
    <w:p w14:paraId="7AAA954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lastRenderedPageBreak/>
        <w:t xml:space="preserve">Tchakoute, C. T., Rhee, S. Y., Hare, C. B., Shafer, R. W., &amp; Sainani, K. (2022). Adherence to contemporary antiretroviral treatment regimens and impact on immunological and virologic outcomes in a US healthcare system. </w:t>
      </w:r>
      <w:r w:rsidRPr="00BA5758">
        <w:rPr>
          <w:rFonts w:ascii="Times New Roman" w:hAnsi="Times New Roman" w:cs="Times New Roman"/>
          <w:i/>
          <w:iCs/>
          <w:noProof/>
          <w:sz w:val="24"/>
          <w:szCs w:val="24"/>
        </w:rPr>
        <w:t>PLoS ONE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17</w:t>
      </w:r>
      <w:r w:rsidRPr="00BA5758">
        <w:rPr>
          <w:rFonts w:ascii="Times New Roman" w:hAnsi="Times New Roman" w:cs="Times New Roman"/>
          <w:noProof/>
          <w:sz w:val="24"/>
          <w:szCs w:val="24"/>
        </w:rPr>
        <w:t>(2), 1–12. https://doi.org/10.1371/journal.pone.0263742</w:t>
      </w:r>
    </w:p>
    <w:p w14:paraId="7D2D7E2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Tekle, A., Tsegaye, A., &amp; Ketema, T. (2024). Adherence to Anti-Retroviral Therapy (ART) and Its Determinants Among People Living with HIV/ AIDS at Bonga, Kaffa, South-West Ethiopia. </w:t>
      </w:r>
      <w:r w:rsidRPr="00BA5758">
        <w:rPr>
          <w:rFonts w:ascii="Times New Roman" w:hAnsi="Times New Roman" w:cs="Times New Roman"/>
          <w:i/>
          <w:iCs/>
          <w:noProof/>
          <w:sz w:val="24"/>
          <w:szCs w:val="24"/>
        </w:rPr>
        <w:t>Patient Preference and Adherence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18</w:t>
      </w:r>
      <w:r w:rsidRPr="00BA5758">
        <w:rPr>
          <w:rFonts w:ascii="Times New Roman" w:hAnsi="Times New Roman" w:cs="Times New Roman"/>
          <w:noProof/>
          <w:sz w:val="24"/>
          <w:szCs w:val="24"/>
        </w:rPr>
        <w:t>(March), 543–554. https://doi.org/10.2147/PPA.S445164</w:t>
      </w:r>
    </w:p>
    <w:p w14:paraId="554ED6AC"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Tiffany, E., &amp; Yuniartika, W. (2023). Efektifitas Terapi Antiretroviral Terhadap Pasien HIV (Literature Review). </w:t>
      </w:r>
      <w:r w:rsidRPr="00BA5758">
        <w:rPr>
          <w:rFonts w:ascii="Times New Roman" w:hAnsi="Times New Roman" w:cs="Times New Roman"/>
          <w:i/>
          <w:iCs/>
          <w:noProof/>
          <w:sz w:val="24"/>
          <w:szCs w:val="24"/>
        </w:rPr>
        <w:t>Jurnal Multidisiplin West Science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w:t>
      </w:r>
      <w:r w:rsidRPr="00BA5758">
        <w:rPr>
          <w:rFonts w:ascii="Times New Roman" w:hAnsi="Times New Roman" w:cs="Times New Roman"/>
          <w:noProof/>
          <w:sz w:val="24"/>
          <w:szCs w:val="24"/>
        </w:rPr>
        <w:t>(05), 364–373. https://doi.org/10.58812/jmws.v2i5.346</w:t>
      </w:r>
    </w:p>
    <w:p w14:paraId="4C8E593A"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Timilsina, A., Shrestha, A., Neupane, P., Nepal, S., Kandel, B., Devkota, S., &amp; Thapa, S. (2024). HIV Care Seeking Pathways and Barriers to the Continuum of Care Faced by Persons Living With HIV in Rural Nepal : A Qualitative Study. </w:t>
      </w:r>
      <w:r w:rsidRPr="00BA5758">
        <w:rPr>
          <w:rFonts w:ascii="Times New Roman" w:hAnsi="Times New Roman" w:cs="Times New Roman"/>
          <w:i/>
          <w:iCs/>
          <w:noProof/>
          <w:sz w:val="24"/>
          <w:szCs w:val="24"/>
        </w:rPr>
        <w:t>Health Expectations ORIGINAL</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28</w:t>
      </w:r>
      <w:r w:rsidRPr="00BA5758">
        <w:rPr>
          <w:rFonts w:ascii="Times New Roman" w:hAnsi="Times New Roman" w:cs="Times New Roman"/>
          <w:noProof/>
          <w:sz w:val="24"/>
          <w:szCs w:val="24"/>
        </w:rPr>
        <w:t>(e70141), 1–11. https://doi.org/10.1111/hex.70141</w:t>
      </w:r>
    </w:p>
    <w:p w14:paraId="0C01F09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Triana, V. (2024). </w:t>
      </w:r>
      <w:r w:rsidRPr="00BA5758">
        <w:rPr>
          <w:rFonts w:ascii="Times New Roman" w:hAnsi="Times New Roman" w:cs="Times New Roman"/>
          <w:i/>
          <w:iCs/>
          <w:noProof/>
          <w:sz w:val="24"/>
          <w:szCs w:val="24"/>
        </w:rPr>
        <w:t>Global AIDS Strategi; Program Unggul Pengendalian HIV/AIDS dalam System Kesehatan Global</w:t>
      </w:r>
      <w:r w:rsidRPr="00BA5758">
        <w:rPr>
          <w:rFonts w:ascii="Times New Roman" w:hAnsi="Times New Roman" w:cs="Times New Roman"/>
          <w:noProof/>
          <w:sz w:val="24"/>
          <w:szCs w:val="24"/>
        </w:rPr>
        <w:t>. CV. Eureka Media Aksara.</w:t>
      </w:r>
    </w:p>
    <w:p w14:paraId="4178C27A"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UNAIDS. (2024). </w:t>
      </w:r>
      <w:r w:rsidRPr="00BA5758">
        <w:rPr>
          <w:rFonts w:ascii="Times New Roman" w:hAnsi="Times New Roman" w:cs="Times New Roman"/>
          <w:i/>
          <w:iCs/>
          <w:noProof/>
          <w:sz w:val="24"/>
          <w:szCs w:val="24"/>
        </w:rPr>
        <w:t>HIV and Stigma and Discrimination</w:t>
      </w:r>
      <w:r w:rsidRPr="00BA5758">
        <w:rPr>
          <w:rFonts w:ascii="Times New Roman" w:hAnsi="Times New Roman" w:cs="Times New Roman"/>
          <w:noProof/>
          <w:sz w:val="24"/>
          <w:szCs w:val="24"/>
        </w:rPr>
        <w:t>. Human Rights Fact Sheet Series. https://www.unaids.org/</w:t>
      </w:r>
    </w:p>
    <w:p w14:paraId="50C99D6F"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UNAIDS. (2025). </w:t>
      </w:r>
      <w:r w:rsidRPr="00BA5758">
        <w:rPr>
          <w:rFonts w:ascii="Times New Roman" w:hAnsi="Times New Roman" w:cs="Times New Roman"/>
          <w:i/>
          <w:iCs/>
          <w:noProof/>
          <w:sz w:val="24"/>
          <w:szCs w:val="24"/>
        </w:rPr>
        <w:t>2024 Global AIDS Report — The Urgency of Now: AIDS at a Crossroads</w:t>
      </w:r>
      <w:r w:rsidRPr="00BA5758">
        <w:rPr>
          <w:rFonts w:ascii="Times New Roman" w:hAnsi="Times New Roman" w:cs="Times New Roman"/>
          <w:noProof/>
          <w:sz w:val="24"/>
          <w:szCs w:val="24"/>
        </w:rPr>
        <w:t>. UNAIDS. https://www.unaids.org/en/resources/documents</w:t>
      </w:r>
    </w:p>
    <w:p w14:paraId="61A9805E"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Widyawati, S. W., Rekawati, E., Setiawan, A., &amp; Permatasari, I. (2025). The effect of peer support intervention on improving self - efficacy in adolescents with HIV : A systematic review. </w:t>
      </w:r>
      <w:r w:rsidRPr="00BA5758">
        <w:rPr>
          <w:rFonts w:ascii="Times New Roman" w:hAnsi="Times New Roman" w:cs="Times New Roman"/>
          <w:i/>
          <w:iCs/>
          <w:noProof/>
          <w:sz w:val="24"/>
          <w:szCs w:val="24"/>
        </w:rPr>
        <w:t>Malahayati International Journal of Nursing and Health Science</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8</w:t>
      </w:r>
      <w:r w:rsidRPr="00BA5758">
        <w:rPr>
          <w:rFonts w:ascii="Times New Roman" w:hAnsi="Times New Roman" w:cs="Times New Roman"/>
          <w:noProof/>
          <w:sz w:val="24"/>
          <w:szCs w:val="24"/>
        </w:rPr>
        <w:t>(6), 760–769.</w:t>
      </w:r>
    </w:p>
    <w:p w14:paraId="3EAE7635"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Widyowati, A., &amp; Takariningsih. (2024). Stigma Yang Dirasakan Orang Dengan HIV/AIDS di Kelompok Dukungan Sebaya Kabupaten Jombang. </w:t>
      </w:r>
      <w:r w:rsidRPr="00BA5758">
        <w:rPr>
          <w:rFonts w:ascii="Times New Roman" w:hAnsi="Times New Roman" w:cs="Times New Roman"/>
          <w:i/>
          <w:iCs/>
          <w:noProof/>
          <w:sz w:val="24"/>
          <w:szCs w:val="24"/>
        </w:rPr>
        <w:t>Jurnal Ilmiah Pamenang - JIP</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w:t>
      </w:r>
      <w:r w:rsidRPr="00BA5758">
        <w:rPr>
          <w:rFonts w:ascii="Times New Roman" w:hAnsi="Times New Roman" w:cs="Times New Roman"/>
          <w:noProof/>
          <w:sz w:val="24"/>
          <w:szCs w:val="24"/>
        </w:rPr>
        <w:t>(2), 168–175.</w:t>
      </w:r>
    </w:p>
    <w:p w14:paraId="45F9A3D9"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World Health Organization (WHO). (2025). </w:t>
      </w:r>
      <w:r w:rsidRPr="00BA5758">
        <w:rPr>
          <w:rFonts w:ascii="Times New Roman" w:hAnsi="Times New Roman" w:cs="Times New Roman"/>
          <w:i/>
          <w:iCs/>
          <w:noProof/>
          <w:sz w:val="24"/>
          <w:szCs w:val="24"/>
        </w:rPr>
        <w:t>HIV statistics, globally and by WHO region</w:t>
      </w:r>
      <w:r w:rsidRPr="00BA5758">
        <w:rPr>
          <w:rFonts w:ascii="Times New Roman" w:hAnsi="Times New Roman" w:cs="Times New Roman"/>
          <w:noProof/>
          <w:sz w:val="24"/>
          <w:szCs w:val="24"/>
        </w:rPr>
        <w:t>. Who. https://cdn.who.int/media/docs/default-source/hq-hiv-hepatitis-and-stis-library/hiv-epi-fact-sheet-march-2025.pdf?sfvrsn=61d39578_12</w:t>
      </w:r>
    </w:p>
    <w:p w14:paraId="150F9872"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Wulandari, E. A., &amp; Rukmi, D. K. (2021). Hubungan Tingkat Pengetahuan dengan Kepatuhan Terapi ARV pada ODHA di Yogyakarta The Correlation between The Level of Knowledge and The Adherence on ARV Therapy of ODHA in Yogyakarta Program Studi Ilmu Keperawatan , Fakultas Kesehatan , Universitas Jender. </w:t>
      </w:r>
      <w:r w:rsidRPr="00BA5758">
        <w:rPr>
          <w:rFonts w:ascii="Times New Roman" w:hAnsi="Times New Roman" w:cs="Times New Roman"/>
          <w:i/>
          <w:iCs/>
          <w:noProof/>
          <w:sz w:val="24"/>
          <w:szCs w:val="24"/>
        </w:rPr>
        <w:t>Jurnal Keperawatan Klinis Dan Komunitas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5</w:t>
      </w:r>
      <w:r w:rsidRPr="00BA5758">
        <w:rPr>
          <w:rFonts w:ascii="Times New Roman" w:hAnsi="Times New Roman" w:cs="Times New Roman"/>
          <w:noProof/>
          <w:sz w:val="24"/>
          <w:szCs w:val="24"/>
        </w:rPr>
        <w:t>(3), 157–166. https://doi.org/https://doi.org/10.22146/jkkk.49663</w:t>
      </w:r>
    </w:p>
    <w:p w14:paraId="12581460"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Yayup, K. S., Daramatasia, W., &amp; Qodir, A. (2024). Hubungan Dukungan Keluarga Dengan Konsep Diri Pada Orang Dengan Hiv/Aids (ODHIV) di Jombang Care Center (JCC+) Kabupaten Jombang. </w:t>
      </w:r>
      <w:r w:rsidRPr="00BA5758">
        <w:rPr>
          <w:rFonts w:ascii="Times New Roman" w:hAnsi="Times New Roman" w:cs="Times New Roman"/>
          <w:i/>
          <w:iCs/>
          <w:noProof/>
          <w:sz w:val="24"/>
          <w:szCs w:val="24"/>
        </w:rPr>
        <w:t>Jurnal Kesehatan Tambusai</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5</w:t>
      </w:r>
      <w:r w:rsidRPr="00BA5758">
        <w:rPr>
          <w:rFonts w:ascii="Times New Roman" w:hAnsi="Times New Roman" w:cs="Times New Roman"/>
          <w:noProof/>
          <w:sz w:val="24"/>
          <w:szCs w:val="24"/>
        </w:rPr>
        <w:t>(3), 10036–10043.</w:t>
      </w:r>
    </w:p>
    <w:p w14:paraId="58125AE0"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BA5758">
        <w:rPr>
          <w:rFonts w:ascii="Times New Roman" w:hAnsi="Times New Roman" w:cs="Times New Roman"/>
          <w:noProof/>
          <w:sz w:val="24"/>
          <w:szCs w:val="24"/>
        </w:rPr>
        <w:t xml:space="preserve">Yudiawan, R. H., Rukmana, N. M., &amp; Novariana, N. (2025). Factors associated with lost to follow-up behavior among HIV / AIDS patients undergoing ARV therapy. </w:t>
      </w:r>
      <w:r w:rsidRPr="00BA5758">
        <w:rPr>
          <w:rFonts w:ascii="Times New Roman" w:hAnsi="Times New Roman" w:cs="Times New Roman"/>
          <w:i/>
          <w:iCs/>
          <w:noProof/>
          <w:sz w:val="24"/>
          <w:szCs w:val="24"/>
        </w:rPr>
        <w:t>International Journal of Health Science and Technology</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6</w:t>
      </w:r>
      <w:r w:rsidRPr="00BA5758">
        <w:rPr>
          <w:rFonts w:ascii="Times New Roman" w:hAnsi="Times New Roman" w:cs="Times New Roman"/>
          <w:noProof/>
          <w:sz w:val="24"/>
          <w:szCs w:val="24"/>
        </w:rPr>
        <w:t>(3), 258–265.</w:t>
      </w:r>
    </w:p>
    <w:p w14:paraId="53351F76" w14:textId="77777777" w:rsidR="00BA5758" w:rsidRPr="00BA5758" w:rsidRDefault="00BA5758" w:rsidP="00BA5758">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rPr>
      </w:pPr>
      <w:r w:rsidRPr="00BA5758">
        <w:rPr>
          <w:rFonts w:ascii="Times New Roman" w:hAnsi="Times New Roman" w:cs="Times New Roman"/>
          <w:noProof/>
          <w:sz w:val="24"/>
          <w:szCs w:val="24"/>
        </w:rPr>
        <w:t xml:space="preserve">Zulkarnain, Huda, N., &amp; Wahyuni, S. (2025). Faktor-Faktor Yang Mempengaruhi Kepatuhan Minum Obat Antiretroviral (ARV) Pada Pasien HIV-AIDS: Literature Review. </w:t>
      </w:r>
      <w:r w:rsidRPr="00BA5758">
        <w:rPr>
          <w:rFonts w:ascii="Times New Roman" w:hAnsi="Times New Roman" w:cs="Times New Roman"/>
          <w:i/>
          <w:iCs/>
          <w:noProof/>
          <w:sz w:val="24"/>
          <w:szCs w:val="24"/>
        </w:rPr>
        <w:t xml:space="preserve">Jurnal </w:t>
      </w:r>
      <w:r w:rsidRPr="00BA5758">
        <w:rPr>
          <w:rFonts w:ascii="Times New Roman" w:hAnsi="Times New Roman" w:cs="Times New Roman"/>
          <w:i/>
          <w:iCs/>
          <w:noProof/>
          <w:sz w:val="24"/>
          <w:szCs w:val="24"/>
        </w:rPr>
        <w:lastRenderedPageBreak/>
        <w:t>Ners</w:t>
      </w:r>
      <w:r w:rsidRPr="00BA5758">
        <w:rPr>
          <w:rFonts w:ascii="Times New Roman" w:hAnsi="Times New Roman" w:cs="Times New Roman"/>
          <w:noProof/>
          <w:sz w:val="24"/>
          <w:szCs w:val="24"/>
        </w:rPr>
        <w:t xml:space="preserve">, </w:t>
      </w:r>
      <w:r w:rsidRPr="00BA5758">
        <w:rPr>
          <w:rFonts w:ascii="Times New Roman" w:hAnsi="Times New Roman" w:cs="Times New Roman"/>
          <w:i/>
          <w:iCs/>
          <w:noProof/>
          <w:sz w:val="24"/>
          <w:szCs w:val="24"/>
        </w:rPr>
        <w:t>9</w:t>
      </w:r>
      <w:r w:rsidRPr="00BA5758">
        <w:rPr>
          <w:rFonts w:ascii="Times New Roman" w:hAnsi="Times New Roman" w:cs="Times New Roman"/>
          <w:noProof/>
          <w:sz w:val="24"/>
          <w:szCs w:val="24"/>
        </w:rPr>
        <w:t>(3), 4136–4144.</w:t>
      </w:r>
    </w:p>
    <w:p w14:paraId="13248845" w14:textId="7154837A" w:rsidR="00690517" w:rsidRDefault="005F44C8" w:rsidP="00BA5758">
      <w:pPr>
        <w:widowControl w:val="0"/>
        <w:spacing w:after="120" w:line="240" w:lineRule="auto"/>
        <w:ind w:left="567" w:hangingChars="237" w:hanging="569"/>
        <w:jc w:val="both"/>
        <w:rPr>
          <w:rFonts w:ascii="Times New Roman" w:eastAsia="Times New Roman" w:hAnsi="Times New Roman" w:cs="Times New Roman"/>
          <w:sz w:val="24"/>
          <w:szCs w:val="24"/>
        </w:rPr>
      </w:pPr>
      <w:r w:rsidRPr="005F44C8">
        <w:rPr>
          <w:rFonts w:asciiTheme="majorBidi" w:eastAsia="Times New Roman" w:hAnsiTheme="majorBidi" w:cstheme="majorBidi"/>
          <w:sz w:val="24"/>
          <w:szCs w:val="24"/>
        </w:rPr>
        <w:fldChar w:fldCharType="end"/>
      </w:r>
    </w:p>
    <w:sectPr w:rsidR="00690517">
      <w:headerReference w:type="even" r:id="rId16"/>
      <w:headerReference w:type="default" r:id="rId17"/>
      <w:footerReference w:type="even" r:id="rId18"/>
      <w:headerReference w:type="first" r:id="rId19"/>
      <w:footerReference w:type="first" r:id="rId20"/>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B6AD3" w14:textId="77777777" w:rsidR="00B44173" w:rsidRDefault="00B44173">
      <w:pPr>
        <w:spacing w:after="0" w:line="240" w:lineRule="auto"/>
        <w:ind w:left="0" w:hanging="2"/>
      </w:pPr>
      <w:r>
        <w:separator/>
      </w:r>
    </w:p>
  </w:endnote>
  <w:endnote w:type="continuationSeparator" w:id="0">
    <w:p w14:paraId="763F74F7" w14:textId="77777777" w:rsidR="00B44173" w:rsidRDefault="00B44173">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Std 55 Roman">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A4202" w14:textId="77777777" w:rsidR="00690517" w:rsidRDefault="00B44173">
    <w:pPr>
      <w:pBdr>
        <w:top w:val="nil"/>
        <w:left w:val="nil"/>
        <w:bottom w:val="nil"/>
        <w:right w:val="nil"/>
        <w:between w:val="nil"/>
      </w:pBdr>
      <w:spacing w:after="0" w:line="240" w:lineRule="auto"/>
      <w:ind w:left="0" w:hanging="2"/>
      <w:rPr>
        <w:color w:val="000000"/>
      </w:rPr>
    </w:pPr>
    <w:r>
      <w:rPr>
        <w:color w:val="000000"/>
      </w:rPr>
      <w:t xml:space="preserve">Vol </w:t>
    </w:r>
    <w:r>
      <w:rPr>
        <w:color w:val="00000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977B3" w14:textId="77777777" w:rsidR="00690517" w:rsidRDefault="00690517">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B88E" w14:textId="77777777" w:rsidR="00690517" w:rsidRDefault="00690517">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005F2" w14:textId="77777777" w:rsidR="00B44173" w:rsidRDefault="00B44173">
      <w:pPr>
        <w:spacing w:after="0" w:line="240" w:lineRule="auto"/>
        <w:ind w:left="0" w:hanging="2"/>
      </w:pPr>
      <w:r>
        <w:separator/>
      </w:r>
    </w:p>
  </w:footnote>
  <w:footnote w:type="continuationSeparator" w:id="0">
    <w:p w14:paraId="69FF32A3" w14:textId="77777777" w:rsidR="00B44173" w:rsidRDefault="00B44173">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E8C5C" w14:textId="77777777" w:rsidR="00690517" w:rsidRDefault="00B44173">
    <w:pPr>
      <w:pBdr>
        <w:top w:val="nil"/>
        <w:left w:val="nil"/>
        <w:bottom w:val="nil"/>
        <w:right w:val="nil"/>
        <w:between w:val="nil"/>
      </w:pBdr>
      <w:spacing w:after="0" w:line="240" w:lineRule="auto"/>
      <w:ind w:left="0" w:hanging="2"/>
      <w:rPr>
        <w:color w:val="000000"/>
      </w:rPr>
    </w:pPr>
    <w:r>
      <w:rPr>
        <w:color w:val="000000"/>
      </w:rPr>
      <w:pict w14:anchorId="37F1EC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051B" w14:textId="77777777" w:rsidR="00690517" w:rsidRDefault="00B44173">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57093B57" wp14:editId="18365598">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065F5885" w14:textId="77777777" w:rsidR="00690517" w:rsidRDefault="00B44173">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12D3A4BC" w14:textId="77777777" w:rsidR="00690517" w:rsidRDefault="00690517">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57093B57"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" filled="f" stroked="f">
              <v:textbox inset="2.53958mm,1.2694mm,2.53958mm,1.2694mm">
                <w:txbxContent>
                  <w:p w14:paraId="065F5885" w14:textId="77777777" w:rsidR="00690517" w:rsidRDefault="00B44173">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12D3A4BC" w14:textId="77777777" w:rsidR="00690517" w:rsidRDefault="00690517">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52BE" w14:textId="77777777" w:rsidR="00690517" w:rsidRDefault="00B44173">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777E6BA7" wp14:editId="47F4D1CA">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7020904B" w14:textId="77777777" w:rsidR="00690517" w:rsidRDefault="00B44173">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2C4C922C" w14:textId="77777777" w:rsidR="00690517" w:rsidRDefault="00690517">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777E6BA7"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" filled="f" stroked="f">
              <v:textbox inset="2.53958mm,1.2694mm,2.53958mm,1.2694mm">
                <w:txbxContent>
                  <w:p w14:paraId="7020904B" w14:textId="77777777" w:rsidR="00690517" w:rsidRDefault="00B44173">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2C4C922C" w14:textId="77777777" w:rsidR="00690517" w:rsidRDefault="00690517">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1621106C" wp14:editId="0D7FB124">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3" name="Group 3"/>
                      <wpg:cNvGrpSpPr/>
                      <wpg:grpSpPr>
                        <a:xfrm>
                          <a:off x="3307650" y="3460913"/>
                          <a:ext cx="4076700" cy="638175"/>
                          <a:chOff x="0" y="0"/>
                          <a:chExt cx="4076700" cy="638175"/>
                        </a:xfrm>
                      </wpg:grpSpPr>
                      <wps:wsp>
                        <wps:cNvPr id="5" name="Rectangle 5"/>
                        <wps:cNvSpPr/>
                        <wps:spPr>
                          <a:xfrm>
                            <a:off x="0" y="0"/>
                            <a:ext cx="4076700" cy="638175"/>
                          </a:xfrm>
                          <a:prstGeom prst="rect">
                            <a:avLst/>
                          </a:prstGeom>
                          <a:noFill/>
                          <a:ln>
                            <a:noFill/>
                          </a:ln>
                        </wps:spPr>
                        <wps:txbx>
                          <w:txbxContent>
                            <w:p w14:paraId="0D845206" w14:textId="77777777" w:rsidR="00690517" w:rsidRDefault="00690517">
                              <w:pPr>
                                <w:spacing w:after="0" w:line="240" w:lineRule="auto"/>
                                <w:ind w:left="0" w:hanging="2"/>
                              </w:pPr>
                            </w:p>
                          </w:txbxContent>
                        </wps:txbx>
                        <wps:bodyPr spcFirstLastPara="1" wrap="square" lIns="91425" tIns="91425" rIns="91425" bIns="91425" anchor="ctr" anchorCtr="0">
                          <a:noAutofit/>
                        </wps:bodyPr>
                      </wps:wsp>
                      <wps:wsp>
                        <wps:cNvPr id="6" name="Rectangle 6"/>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FCAAF3C" w14:textId="77777777" w:rsidR="00690517" w:rsidRDefault="00690517">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7"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8" name="Straight Arrow Connector 8"/>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1621106C"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">
              <v:group id="Group 3"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5"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0D845206" w14:textId="77777777" w:rsidR="00690517" w:rsidRDefault="00690517">
                        <w:pPr>
                          <w:spacing w:after="0" w:line="240" w:lineRule="auto"/>
                          <w:ind w:left="0" w:hanging="2"/>
                        </w:pPr>
                      </w:p>
                    </w:txbxContent>
                  </v:textbox>
                </v:rect>
                <v:rect id="Rectangle 6"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" strokecolor="white">
                  <v:stroke startarrowwidth="narrow" startarrowlength="short" endarrowwidth="narrow" endarrowlength="short"/>
                  <v:textbox inset="2.53958mm,2.53958mm,2.53958mm,2.53958mm">
                    <w:txbxContent>
                      <w:p w14:paraId="6FCAAF3C" w14:textId="77777777" w:rsidR="00690517" w:rsidRDefault="00690517">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8"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2E94" w14:textId="77777777" w:rsidR="00690517" w:rsidRDefault="00B44173">
    <w:pPr>
      <w:pBdr>
        <w:top w:val="nil"/>
        <w:left w:val="nil"/>
        <w:bottom w:val="nil"/>
        <w:right w:val="nil"/>
        <w:between w:val="nil"/>
      </w:pBdr>
      <w:spacing w:after="0" w:line="240" w:lineRule="auto"/>
      <w:ind w:left="0" w:hanging="2"/>
      <w:rPr>
        <w:color w:val="000000"/>
      </w:rPr>
    </w:pPr>
    <w:r>
      <w:rPr>
        <w:color w:val="000000"/>
      </w:rPr>
      <w:pict w14:anchorId="76BB6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71675" w14:textId="08546DA3" w:rsidR="00690517" w:rsidRDefault="00B44173">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975F2">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006578C6" w14:textId="77777777" w:rsidR="00690517" w:rsidRDefault="00690517">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4FD6F78E" w14:textId="77777777" w:rsidR="00690517" w:rsidRDefault="00B44173">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0E0B8C12" wp14:editId="6C0954E5">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2DE11819" w14:textId="77777777" w:rsidR="00690517" w:rsidRDefault="00B44173">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2F66332D" w14:textId="77777777" w:rsidR="00690517" w:rsidRDefault="00690517">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0E0B8C12"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" filled="f" stroked="f">
              <v:textbox inset="2.53958mm,1.2694mm,2.53958mm,1.2694mm">
                <w:txbxContent>
                  <w:p w14:paraId="2DE11819" w14:textId="77777777" w:rsidR="00690517" w:rsidRDefault="00B44173">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2F66332D" w14:textId="77777777" w:rsidR="00690517" w:rsidRDefault="00690517">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w:t>
    </w:r>
    <w:r>
      <w:rPr>
        <w:rFonts w:ascii="Cambria" w:eastAsia="Cambria" w:hAnsi="Cambria" w:cs="Cambria"/>
        <w:sz w:val="14"/>
        <w:szCs w:val="14"/>
      </w:rPr>
      <w:t xml:space="preserve">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pict w14:anchorId="3D0AC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2051"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03C59" w14:textId="77777777" w:rsidR="00690517" w:rsidRDefault="00B44173">
    <w:pPr>
      <w:pBdr>
        <w:top w:val="nil"/>
        <w:left w:val="nil"/>
        <w:bottom w:val="nil"/>
        <w:right w:val="nil"/>
        <w:between w:val="nil"/>
      </w:pBdr>
      <w:spacing w:after="0" w:line="240" w:lineRule="auto"/>
      <w:ind w:left="0" w:hanging="2"/>
      <w:rPr>
        <w:color w:val="000000"/>
      </w:rPr>
    </w:pPr>
    <w:r>
      <w:rPr>
        <w:color w:val="000000"/>
      </w:rPr>
      <w:pict w14:anchorId="612292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133FD"/>
    <w:multiLevelType w:val="hybridMultilevel"/>
    <w:tmpl w:val="5A8034D0"/>
    <w:name w:val="WW8Num10332222"/>
    <w:lvl w:ilvl="0" w:tplc="F35C98E8">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528F7BCB"/>
    <w:multiLevelType w:val="multilevel"/>
    <w:tmpl w:val="4A40C9D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7D7485"/>
    <w:multiLevelType w:val="hybridMultilevel"/>
    <w:tmpl w:val="A0CC62F8"/>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517"/>
    <w:rsid w:val="00024EE5"/>
    <w:rsid w:val="000643BA"/>
    <w:rsid w:val="000A41C1"/>
    <w:rsid w:val="001864AD"/>
    <w:rsid w:val="00211D0B"/>
    <w:rsid w:val="00300A3A"/>
    <w:rsid w:val="00303C64"/>
    <w:rsid w:val="003113AD"/>
    <w:rsid w:val="003322AA"/>
    <w:rsid w:val="003B60FA"/>
    <w:rsid w:val="004178DB"/>
    <w:rsid w:val="00497874"/>
    <w:rsid w:val="00557615"/>
    <w:rsid w:val="005938D8"/>
    <w:rsid w:val="005975F2"/>
    <w:rsid w:val="005F44C8"/>
    <w:rsid w:val="005F63E0"/>
    <w:rsid w:val="00690517"/>
    <w:rsid w:val="006E3E62"/>
    <w:rsid w:val="0075334C"/>
    <w:rsid w:val="007E50A0"/>
    <w:rsid w:val="00895DC5"/>
    <w:rsid w:val="009033F7"/>
    <w:rsid w:val="0094620F"/>
    <w:rsid w:val="0095731B"/>
    <w:rsid w:val="00A86F96"/>
    <w:rsid w:val="00B44173"/>
    <w:rsid w:val="00BA5758"/>
    <w:rsid w:val="00CA28FB"/>
    <w:rsid w:val="00D57E7E"/>
    <w:rsid w:val="00E35308"/>
    <w:rsid w:val="00EF5E65"/>
    <w:rsid w:val="00F6457A"/>
    <w:rsid w:val="00F772FA"/>
    <w:rsid w:val="00FD4B7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97D55E0"/>
  <w15:docId w15:val="{B5552ED6-A7DD-45F5-8F11-DDAFE030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link w:val="Heading1Char"/>
    <w:uiPriority w:val="99"/>
    <w:qFormat/>
    <w:pPr>
      <w:keepNext/>
      <w:keepLines/>
      <w:spacing w:before="480" w:after="12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link w:val="Heading4Char"/>
    <w:uiPriority w:val="9"/>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8">
    <w:name w:val="heading 8"/>
    <w:basedOn w:val="Normal"/>
    <w:next w:val="Normal"/>
    <w:link w:val="Heading8Char"/>
    <w:uiPriority w:val="9"/>
    <w:unhideWhenUsed/>
    <w:qFormat/>
    <w:rsid w:val="00F772FA"/>
    <w:pPr>
      <w:keepNext/>
      <w:keepLines/>
      <w:suppressAutoHyphens w:val="0"/>
      <w:spacing w:before="200" w:after="0"/>
      <w:ind w:leftChars="0" w:left="0" w:firstLineChars="0" w:firstLine="0"/>
      <w:textDirection w:val="lrTb"/>
      <w:textAlignment w:val="auto"/>
      <w:outlineLvl w:val="7"/>
    </w:pPr>
    <w:rPr>
      <w:rFonts w:asciiTheme="majorHAnsi" w:eastAsiaTheme="majorEastAsia" w:hAnsiTheme="majorHAnsi" w:cstheme="majorBidi"/>
      <w:color w:val="404040" w:themeColor="text1" w:themeTint="BF"/>
      <w:positio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uiPriority w:val="99"/>
    <w:qFormat/>
    <w:pPr>
      <w:spacing w:after="0" w:line="240" w:lineRule="auto"/>
    </w:pPr>
  </w:style>
  <w:style w:type="character" w:customStyle="1" w:styleId="HeaderChar">
    <w:name w:val="Header Char"/>
    <w:basedOn w:val="DefaultParagraphFont"/>
    <w:uiPriority w:val="99"/>
    <w:rPr>
      <w:w w:val="100"/>
      <w:position w:val="-1"/>
      <w:effect w:val="none"/>
      <w:vertAlign w:val="baseline"/>
      <w:cs w:val="0"/>
      <w:em w:val="none"/>
    </w:rPr>
  </w:style>
  <w:style w:type="paragraph" w:styleId="Footer">
    <w:name w:val="footer"/>
    <w:basedOn w:val="Normal"/>
    <w:uiPriority w:val="99"/>
    <w:qFormat/>
    <w:pPr>
      <w:spacing w:after="0" w:line="240" w:lineRule="auto"/>
    </w:pPr>
  </w:style>
  <w:style w:type="character" w:customStyle="1" w:styleId="FooterChar">
    <w:name w:val="Footer Char"/>
    <w:basedOn w:val="DefaultParagraphFont"/>
    <w:uiPriority w:val="99"/>
    <w:rPr>
      <w:w w:val="100"/>
      <w:position w:val="-1"/>
      <w:effect w:val="none"/>
      <w:vertAlign w:val="baseline"/>
      <w:cs w:val="0"/>
      <w:em w:val="none"/>
    </w:rPr>
  </w:style>
  <w:style w:type="paragraph" w:styleId="BalloonText">
    <w:name w:val="Balloon Text"/>
    <w:basedOn w:val="Normal"/>
    <w:uiPriority w:val="99"/>
    <w:qFormat/>
    <w:pPr>
      <w:spacing w:after="0" w:line="240" w:lineRule="auto"/>
    </w:pPr>
    <w:rPr>
      <w:rFonts w:ascii="Tahoma" w:hAnsi="Tahoma"/>
      <w:sz w:val="16"/>
      <w:szCs w:val="16"/>
      <w:lang/>
    </w:rPr>
  </w:style>
  <w:style w:type="character" w:customStyle="1" w:styleId="BalloonTextChar">
    <w:name w:val="Balloon Text Char"/>
    <w:uiPriority w:val="99"/>
    <w:rPr>
      <w:rFonts w:ascii="Tahoma" w:hAnsi="Tahoma" w:cs="Tahoma"/>
      <w:w w:val="100"/>
      <w:position w:val="-1"/>
      <w:sz w:val="16"/>
      <w:szCs w:val="16"/>
      <w:effect w:val="none"/>
      <w:vertAlign w:val="baseline"/>
      <w:cs w:val="0"/>
      <w:em w:val="none"/>
    </w:rPr>
  </w:style>
  <w:style w:type="paragraph" w:styleId="ListParagraph">
    <w:name w:val="List Paragraph"/>
    <w:aliases w:val="UGEX'Z,2 bro,Body of text,List Paragraph1,First Level Outline,spasi 2 taiiii,kepala,sub de titre 4,ANNEX,TABEL,Colorful List - Accent 11,Body Text Char1,Char Char2,List Paragraph2,Char Char21,Tabel,SUB BAB2,ListKebijakan,POINT,Dalam Tabel"/>
    <w:basedOn w:val="Normal"/>
    <w:uiPriority w:val="34"/>
    <w:qFormat/>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table" w:styleId="TableGrid">
    <w:name w:val="Table Grid"/>
    <w:basedOn w:val="TableNormal"/>
    <w:uiPriority w:val="59"/>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eastAsia="en-US"/>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uiPriority w:val="99"/>
    <w:qFormat/>
    <w:rPr>
      <w:w w:val="100"/>
      <w:position w:val="-1"/>
      <w:sz w:val="16"/>
      <w:szCs w:val="16"/>
      <w:effect w:val="none"/>
      <w:vertAlign w:val="baseline"/>
      <w:cs w:val="0"/>
      <w:em w:val="none"/>
    </w:rPr>
  </w:style>
  <w:style w:type="paragraph" w:styleId="CommentText">
    <w:name w:val="annotation text"/>
    <w:basedOn w:val="Normal"/>
    <w:uiPriority w:val="99"/>
    <w:qFormat/>
    <w:pPr>
      <w:spacing w:line="240" w:lineRule="auto"/>
    </w:pPr>
    <w:rPr>
      <w:sz w:val="20"/>
      <w:szCs w:val="20"/>
      <w:lang/>
    </w:rPr>
  </w:style>
  <w:style w:type="character" w:customStyle="1" w:styleId="CommentTextChar">
    <w:name w:val="Comment Text Char"/>
    <w:uiPriority w:val="99"/>
    <w:rPr>
      <w:w w:val="100"/>
      <w:position w:val="-1"/>
      <w:sz w:val="20"/>
      <w:szCs w:val="20"/>
      <w:effect w:val="none"/>
      <w:vertAlign w:val="baseline"/>
      <w:cs w:val="0"/>
      <w:em w:val="none"/>
    </w:rPr>
  </w:style>
  <w:style w:type="paragraph" w:styleId="CommentSubject">
    <w:name w:val="annotation subject"/>
    <w:basedOn w:val="CommentText"/>
    <w:next w:val="CommentText"/>
    <w:uiPriority w:val="99"/>
    <w:qFormat/>
    <w:rPr>
      <w:b/>
      <w:bCs/>
    </w:rPr>
  </w:style>
  <w:style w:type="character" w:customStyle="1" w:styleId="CommentSubjectChar">
    <w:name w:val="Comment Subject Char"/>
    <w:uiPriority w:val="99"/>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aliases w:val="UGEX'Z Char,2 bro Char,Body of text Char,List Paragraph1 Char,First Level Outline Char,spasi 2 taiiii Char,kepala Char,sub de titre 4 Char,ANNEX Char,TABEL Char,Colorful List - Accent 11 Char,Body Text Char1 Char,Char Char2 Char"/>
    <w:uiPriority w:val="34"/>
    <w:qFormat/>
    <w:rPr>
      <w:rFonts w:ascii="Times New Roman" w:hAnsi="Times New Roman"/>
      <w:w w:val="100"/>
      <w:position w:val="-1"/>
      <w:sz w:val="24"/>
      <w:szCs w:val="22"/>
      <w:effect w:val="none"/>
      <w:vertAlign w:val="baseline"/>
      <w:cs w:val="0"/>
      <w:em w:val="none"/>
      <w:lang w:val="en-US" w:eastAsia="en-US"/>
    </w:rPr>
  </w:style>
  <w:style w:type="character" w:styleId="Hyperlink">
    <w:name w:val="Hyperlink"/>
    <w:uiPriority w:val="99"/>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eastAsia="en-US"/>
    </w:rPr>
    <w:tblPr>
      <w:tblCellMar>
        <w:top w:w="0" w:type="dxa"/>
        <w:left w:w="0" w:type="dxa"/>
        <w:bottom w:w="0" w:type="dxa"/>
        <w:right w:w="0" w:type="dxa"/>
      </w:tblCellMar>
    </w:tblPr>
  </w:style>
  <w:style w:type="character" w:styleId="UnresolvedMention">
    <w:name w:val="Unresolved Mention"/>
    <w:uiPriority w:val="99"/>
    <w:qFormat/>
    <w:rPr>
      <w:color w:val="605E5C"/>
      <w:w w:val="100"/>
      <w:position w:val="-1"/>
      <w:effect w:val="none"/>
      <w:shd w:val="clear" w:color="auto" w:fill="E1DFDD"/>
      <w:vertAlign w:val="baseline"/>
      <w:cs w:val="0"/>
      <w:em w:val="none"/>
    </w:rPr>
  </w:style>
  <w:style w:type="paragraph" w:styleId="BodyText">
    <w:name w:val="Body Text"/>
    <w:basedOn w:val="Normal"/>
    <w:uiPriority w:val="99"/>
    <w:qFormat/>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uiPriority w:val="99"/>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uiPriority w:val="1"/>
    <w:qFormat/>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uiPriority w:val="99"/>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aliases w:val="SUB BAB"/>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Emphasis">
    <w:name w:val="Emphasis"/>
    <w:basedOn w:val="DefaultParagraphFont"/>
    <w:uiPriority w:val="20"/>
    <w:qFormat/>
    <w:rsid w:val="00557615"/>
    <w:rPr>
      <w:i/>
      <w:iCs/>
    </w:rPr>
  </w:style>
  <w:style w:type="paragraph" w:styleId="NormalWeb">
    <w:name w:val="Normal (Web)"/>
    <w:basedOn w:val="Normal"/>
    <w:uiPriority w:val="99"/>
    <w:unhideWhenUsed/>
    <w:rsid w:val="00557615"/>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styleId="Strong">
    <w:name w:val="Strong"/>
    <w:basedOn w:val="DefaultParagraphFont"/>
    <w:uiPriority w:val="22"/>
    <w:qFormat/>
    <w:rsid w:val="00024EE5"/>
    <w:rPr>
      <w:b/>
      <w:bCs/>
    </w:rPr>
  </w:style>
  <w:style w:type="character" w:customStyle="1" w:styleId="Heading8Char">
    <w:name w:val="Heading 8 Char"/>
    <w:basedOn w:val="DefaultParagraphFont"/>
    <w:link w:val="Heading8"/>
    <w:uiPriority w:val="9"/>
    <w:rsid w:val="00F772FA"/>
    <w:rPr>
      <w:rFonts w:asciiTheme="majorHAnsi" w:eastAsiaTheme="majorEastAsia" w:hAnsiTheme="majorHAnsi" w:cstheme="majorBidi"/>
      <w:color w:val="404040" w:themeColor="text1" w:themeTint="BF"/>
      <w:sz w:val="20"/>
      <w:szCs w:val="20"/>
      <w:lang w:val="en-US" w:eastAsia="en-US"/>
    </w:rPr>
  </w:style>
  <w:style w:type="character" w:customStyle="1" w:styleId="Heading1Char">
    <w:name w:val="Heading 1 Char"/>
    <w:basedOn w:val="DefaultParagraphFont"/>
    <w:link w:val="Heading1"/>
    <w:uiPriority w:val="99"/>
    <w:rsid w:val="00F772FA"/>
    <w:rPr>
      <w:b/>
      <w:position w:val="-1"/>
      <w:sz w:val="48"/>
      <w:szCs w:val="48"/>
      <w:lang w:eastAsia="en-US"/>
    </w:rPr>
  </w:style>
  <w:style w:type="character" w:customStyle="1" w:styleId="Heading2Char">
    <w:name w:val="Heading 2 Char"/>
    <w:basedOn w:val="DefaultParagraphFont"/>
    <w:link w:val="Heading2"/>
    <w:uiPriority w:val="9"/>
    <w:rsid w:val="00F772FA"/>
    <w:rPr>
      <w:b/>
      <w:position w:val="-1"/>
      <w:sz w:val="36"/>
      <w:szCs w:val="36"/>
      <w:lang w:eastAsia="en-US"/>
    </w:rPr>
  </w:style>
  <w:style w:type="character" w:customStyle="1" w:styleId="Heading4Char">
    <w:name w:val="Heading 4 Char"/>
    <w:basedOn w:val="DefaultParagraphFont"/>
    <w:link w:val="Heading4"/>
    <w:uiPriority w:val="9"/>
    <w:rsid w:val="00F772FA"/>
    <w:rPr>
      <w:b/>
      <w:position w:val="-1"/>
      <w:sz w:val="24"/>
      <w:szCs w:val="24"/>
      <w:lang w:eastAsia="en-US"/>
    </w:rPr>
  </w:style>
  <w:style w:type="character" w:customStyle="1" w:styleId="Heading5Char">
    <w:name w:val="Heading 5 Char"/>
    <w:basedOn w:val="DefaultParagraphFont"/>
    <w:link w:val="Heading5"/>
    <w:uiPriority w:val="9"/>
    <w:semiHidden/>
    <w:rsid w:val="00F772FA"/>
    <w:rPr>
      <w:b/>
      <w:position w:val="-1"/>
      <w:lang w:eastAsia="en-US"/>
    </w:rPr>
  </w:style>
  <w:style w:type="character" w:customStyle="1" w:styleId="Heading6Char">
    <w:name w:val="Heading 6 Char"/>
    <w:basedOn w:val="DefaultParagraphFont"/>
    <w:link w:val="Heading6"/>
    <w:uiPriority w:val="9"/>
    <w:semiHidden/>
    <w:rsid w:val="00F772FA"/>
    <w:rPr>
      <w:b/>
      <w:position w:val="-1"/>
      <w:sz w:val="20"/>
      <w:szCs w:val="20"/>
      <w:lang w:eastAsia="en-US"/>
    </w:rPr>
  </w:style>
  <w:style w:type="numbering" w:customStyle="1" w:styleId="NoList1">
    <w:name w:val="No List1"/>
    <w:next w:val="NoList"/>
    <w:uiPriority w:val="99"/>
    <w:semiHidden/>
    <w:unhideWhenUsed/>
    <w:rsid w:val="00F772FA"/>
  </w:style>
  <w:style w:type="paragraph" w:styleId="TOCHeading">
    <w:name w:val="TOC Heading"/>
    <w:basedOn w:val="Heading1"/>
    <w:next w:val="Normal"/>
    <w:uiPriority w:val="39"/>
    <w:unhideWhenUsed/>
    <w:qFormat/>
    <w:rsid w:val="00F772FA"/>
    <w:pPr>
      <w:suppressAutoHyphens w:val="0"/>
      <w:spacing w:before="240" w:after="0" w:line="259" w:lineRule="auto"/>
      <w:ind w:leftChars="0" w:left="0" w:firstLineChars="0" w:firstLine="0"/>
      <w:textDirection w:val="lrTb"/>
      <w:textAlignment w:val="auto"/>
      <w:outlineLvl w:val="9"/>
    </w:pPr>
    <w:rPr>
      <w:rFonts w:ascii="Calibri Light" w:eastAsia="Times New Roman" w:hAnsi="Calibri Light" w:cs="Times New Roman"/>
      <w:b w:val="0"/>
      <w:color w:val="2E74B5"/>
      <w:position w:val="0"/>
      <w:sz w:val="32"/>
      <w:szCs w:val="32"/>
      <w14:ligatures w14:val="standardContextual"/>
    </w:rPr>
  </w:style>
  <w:style w:type="paragraph" w:styleId="TOC1">
    <w:name w:val="toc 1"/>
    <w:basedOn w:val="Normal"/>
    <w:next w:val="Normal"/>
    <w:link w:val="TOC1Char"/>
    <w:autoRedefine/>
    <w:uiPriority w:val="39"/>
    <w:unhideWhenUsed/>
    <w:rsid w:val="00F772FA"/>
    <w:pPr>
      <w:tabs>
        <w:tab w:val="right" w:leader="dot" w:pos="7938"/>
      </w:tabs>
      <w:suppressAutoHyphens w:val="0"/>
      <w:spacing w:after="0" w:line="360" w:lineRule="auto"/>
      <w:ind w:leftChars="0" w:left="0" w:firstLineChars="0" w:firstLine="0"/>
      <w:textDirection w:val="lrTb"/>
      <w:textAlignment w:val="auto"/>
      <w:outlineLvl w:val="9"/>
    </w:pPr>
    <w:rPr>
      <w:rFonts w:ascii="Arial" w:hAnsi="Arial" w:cs="Arial"/>
      <w:b/>
      <w:noProof/>
      <w:position w:val="0"/>
      <w14:ligatures w14:val="standardContextual"/>
    </w:rPr>
  </w:style>
  <w:style w:type="paragraph" w:styleId="TOC2">
    <w:name w:val="toc 2"/>
    <w:basedOn w:val="Normal"/>
    <w:next w:val="Normal"/>
    <w:autoRedefine/>
    <w:uiPriority w:val="39"/>
    <w:unhideWhenUsed/>
    <w:rsid w:val="00F772FA"/>
    <w:pPr>
      <w:tabs>
        <w:tab w:val="right" w:leader="dot" w:pos="7938"/>
      </w:tabs>
      <w:suppressAutoHyphens w:val="0"/>
      <w:spacing w:after="0" w:line="480" w:lineRule="auto"/>
      <w:ind w:leftChars="0" w:left="1134" w:firstLineChars="0" w:hanging="567"/>
      <w:textDirection w:val="lrTb"/>
      <w:textAlignment w:val="auto"/>
      <w:outlineLvl w:val="9"/>
    </w:pPr>
    <w:rPr>
      <w:rFonts w:cs="Times New Roman"/>
      <w:position w:val="0"/>
      <w14:ligatures w14:val="standardContextual"/>
    </w:rPr>
  </w:style>
  <w:style w:type="character" w:styleId="FollowedHyperlink">
    <w:name w:val="FollowedHyperlink"/>
    <w:uiPriority w:val="99"/>
    <w:semiHidden/>
    <w:unhideWhenUsed/>
    <w:rsid w:val="00F772FA"/>
    <w:rPr>
      <w:color w:val="954F72"/>
      <w:u w:val="single"/>
    </w:rPr>
  </w:style>
  <w:style w:type="paragraph" w:styleId="TOC3">
    <w:name w:val="toc 3"/>
    <w:basedOn w:val="Normal"/>
    <w:next w:val="Normal"/>
    <w:autoRedefine/>
    <w:uiPriority w:val="39"/>
    <w:unhideWhenUsed/>
    <w:rsid w:val="00F772FA"/>
    <w:pPr>
      <w:tabs>
        <w:tab w:val="right" w:leader="dot" w:pos="7938"/>
      </w:tabs>
      <w:suppressAutoHyphens w:val="0"/>
      <w:spacing w:after="0" w:line="480" w:lineRule="auto"/>
      <w:ind w:leftChars="0" w:left="1701" w:firstLineChars="0" w:hanging="568"/>
      <w:textDirection w:val="lrTb"/>
      <w:textAlignment w:val="auto"/>
      <w:outlineLvl w:val="9"/>
    </w:pPr>
    <w:rPr>
      <w:rFonts w:cs="Times New Roman"/>
      <w:position w:val="0"/>
      <w14:ligatures w14:val="standardContextual"/>
    </w:rPr>
  </w:style>
  <w:style w:type="character" w:customStyle="1" w:styleId="SubtitleChar">
    <w:name w:val="Subtitle Char"/>
    <w:aliases w:val="SUB BAB Char"/>
    <w:link w:val="Subtitle"/>
    <w:uiPriority w:val="11"/>
    <w:locked/>
    <w:rsid w:val="00F772FA"/>
    <w:rPr>
      <w:rFonts w:ascii="Georgia" w:eastAsia="Georgia" w:hAnsi="Georgia" w:cs="Georgia"/>
      <w:i/>
      <w:color w:val="666666"/>
      <w:position w:val="-1"/>
      <w:sz w:val="48"/>
      <w:szCs w:val="48"/>
      <w:lang w:eastAsia="en-US"/>
    </w:rPr>
  </w:style>
  <w:style w:type="character" w:customStyle="1" w:styleId="SubtitleChar1">
    <w:name w:val="Subtitle Char1"/>
    <w:basedOn w:val="DefaultParagraphFont"/>
    <w:uiPriority w:val="11"/>
    <w:rsid w:val="00F772FA"/>
    <w:rPr>
      <w:rFonts w:eastAsiaTheme="minorEastAsia"/>
      <w:color w:val="5A5A5A" w:themeColor="text1" w:themeTint="A5"/>
      <w:spacing w:val="15"/>
    </w:rPr>
  </w:style>
  <w:style w:type="paragraph" w:styleId="EndnoteText">
    <w:name w:val="endnote text"/>
    <w:basedOn w:val="Normal"/>
    <w:link w:val="EndnoteTextChar"/>
    <w:uiPriority w:val="99"/>
    <w:unhideWhenUsed/>
    <w:rsid w:val="00F772FA"/>
    <w:pPr>
      <w:suppressAutoHyphens w:val="0"/>
      <w:spacing w:after="0" w:line="240" w:lineRule="auto"/>
      <w:ind w:leftChars="0" w:left="0" w:firstLineChars="0" w:firstLine="0"/>
      <w:textDirection w:val="lrTb"/>
      <w:textAlignment w:val="auto"/>
      <w:outlineLvl w:val="9"/>
    </w:pPr>
    <w:rPr>
      <w:rFonts w:cs="Times New Roman"/>
      <w:position w:val="0"/>
      <w:sz w:val="20"/>
      <w:szCs w:val="20"/>
      <w14:ligatures w14:val="standardContextual"/>
    </w:rPr>
  </w:style>
  <w:style w:type="character" w:customStyle="1" w:styleId="EndnoteTextChar">
    <w:name w:val="Endnote Text Char"/>
    <w:basedOn w:val="DefaultParagraphFont"/>
    <w:link w:val="EndnoteText"/>
    <w:uiPriority w:val="99"/>
    <w:rsid w:val="00F772FA"/>
    <w:rPr>
      <w:rFonts w:cs="Times New Roman"/>
      <w:sz w:val="20"/>
      <w:szCs w:val="20"/>
      <w:lang w:eastAsia="en-US"/>
      <w14:ligatures w14:val="standardContextual"/>
    </w:rPr>
  </w:style>
  <w:style w:type="character" w:styleId="EndnoteReference">
    <w:name w:val="endnote reference"/>
    <w:uiPriority w:val="99"/>
    <w:unhideWhenUsed/>
    <w:rsid w:val="00F772FA"/>
    <w:rPr>
      <w:vertAlign w:val="superscript"/>
    </w:rPr>
  </w:style>
  <w:style w:type="paragraph" w:styleId="TOC4">
    <w:name w:val="toc 4"/>
    <w:basedOn w:val="Normal"/>
    <w:next w:val="Normal"/>
    <w:autoRedefine/>
    <w:uiPriority w:val="39"/>
    <w:unhideWhenUsed/>
    <w:rsid w:val="00F772FA"/>
    <w:pPr>
      <w:tabs>
        <w:tab w:val="left" w:pos="2268"/>
        <w:tab w:val="right" w:leader="dot" w:pos="7928"/>
      </w:tabs>
      <w:suppressAutoHyphens w:val="0"/>
      <w:spacing w:after="100" w:line="360" w:lineRule="auto"/>
      <w:ind w:leftChars="0" w:left="1701" w:firstLineChars="0" w:firstLine="0"/>
      <w:textDirection w:val="lrTb"/>
      <w:textAlignment w:val="auto"/>
      <w:outlineLvl w:val="9"/>
    </w:pPr>
    <w:rPr>
      <w:rFonts w:cs="Times New Roman"/>
      <w:position w:val="0"/>
      <w14:ligatures w14:val="standardContextual"/>
    </w:rPr>
  </w:style>
  <w:style w:type="character" w:styleId="PlaceholderText">
    <w:name w:val="Placeholder Text"/>
    <w:uiPriority w:val="99"/>
    <w:semiHidden/>
    <w:rsid w:val="00F772FA"/>
    <w:rPr>
      <w:color w:val="808080"/>
    </w:rPr>
  </w:style>
  <w:style w:type="paragraph" w:styleId="TOC5">
    <w:name w:val="toc 5"/>
    <w:basedOn w:val="Normal"/>
    <w:next w:val="Normal"/>
    <w:autoRedefine/>
    <w:uiPriority w:val="39"/>
    <w:unhideWhenUsed/>
    <w:rsid w:val="00F772FA"/>
    <w:pPr>
      <w:suppressAutoHyphens w:val="0"/>
      <w:spacing w:after="100" w:line="259" w:lineRule="auto"/>
      <w:ind w:leftChars="0" w:left="880" w:firstLineChars="0" w:firstLine="0"/>
      <w:textDirection w:val="lrTb"/>
      <w:textAlignment w:val="auto"/>
      <w:outlineLvl w:val="9"/>
    </w:pPr>
    <w:rPr>
      <w:rFonts w:eastAsia="Times New Roman" w:cs="Times New Roman"/>
      <w:position w:val="0"/>
      <w14:ligatures w14:val="standardContextual"/>
    </w:rPr>
  </w:style>
  <w:style w:type="paragraph" w:styleId="TOC6">
    <w:name w:val="toc 6"/>
    <w:basedOn w:val="Normal"/>
    <w:next w:val="Normal"/>
    <w:autoRedefine/>
    <w:uiPriority w:val="39"/>
    <w:unhideWhenUsed/>
    <w:rsid w:val="00F772FA"/>
    <w:pPr>
      <w:tabs>
        <w:tab w:val="left" w:pos="2268"/>
        <w:tab w:val="right" w:leader="dot" w:pos="7928"/>
      </w:tabs>
      <w:suppressAutoHyphens w:val="0"/>
      <w:spacing w:after="100" w:line="360" w:lineRule="auto"/>
      <w:ind w:leftChars="0" w:left="1701" w:firstLineChars="0" w:firstLine="0"/>
      <w:textDirection w:val="lrTb"/>
      <w:textAlignment w:val="auto"/>
      <w:outlineLvl w:val="9"/>
    </w:pPr>
    <w:rPr>
      <w:rFonts w:eastAsia="Times New Roman" w:cs="Times New Roman"/>
      <w:position w:val="0"/>
      <w14:ligatures w14:val="standardContextual"/>
    </w:rPr>
  </w:style>
  <w:style w:type="paragraph" w:styleId="TOC7">
    <w:name w:val="toc 7"/>
    <w:basedOn w:val="Normal"/>
    <w:next w:val="Normal"/>
    <w:autoRedefine/>
    <w:uiPriority w:val="39"/>
    <w:unhideWhenUsed/>
    <w:rsid w:val="00F772FA"/>
    <w:pPr>
      <w:suppressAutoHyphens w:val="0"/>
      <w:spacing w:after="100" w:line="259" w:lineRule="auto"/>
      <w:ind w:leftChars="0" w:left="1320" w:firstLineChars="0" w:firstLine="0"/>
      <w:textDirection w:val="lrTb"/>
      <w:textAlignment w:val="auto"/>
      <w:outlineLvl w:val="9"/>
    </w:pPr>
    <w:rPr>
      <w:rFonts w:eastAsia="Times New Roman" w:cs="Times New Roman"/>
      <w:position w:val="0"/>
      <w14:ligatures w14:val="standardContextual"/>
    </w:rPr>
  </w:style>
  <w:style w:type="paragraph" w:styleId="TOC8">
    <w:name w:val="toc 8"/>
    <w:basedOn w:val="Normal"/>
    <w:next w:val="Normal"/>
    <w:autoRedefine/>
    <w:uiPriority w:val="39"/>
    <w:unhideWhenUsed/>
    <w:rsid w:val="00F772FA"/>
    <w:pPr>
      <w:suppressAutoHyphens w:val="0"/>
      <w:spacing w:after="100" w:line="259" w:lineRule="auto"/>
      <w:ind w:leftChars="0" w:left="1540" w:firstLineChars="0" w:firstLine="0"/>
      <w:textDirection w:val="lrTb"/>
      <w:textAlignment w:val="auto"/>
      <w:outlineLvl w:val="9"/>
    </w:pPr>
    <w:rPr>
      <w:rFonts w:eastAsia="Times New Roman" w:cs="Times New Roman"/>
      <w:position w:val="0"/>
      <w14:ligatures w14:val="standardContextual"/>
    </w:rPr>
  </w:style>
  <w:style w:type="paragraph" w:styleId="TOC9">
    <w:name w:val="toc 9"/>
    <w:basedOn w:val="Normal"/>
    <w:next w:val="Normal"/>
    <w:autoRedefine/>
    <w:uiPriority w:val="39"/>
    <w:unhideWhenUsed/>
    <w:rsid w:val="00F772FA"/>
    <w:pPr>
      <w:suppressAutoHyphens w:val="0"/>
      <w:spacing w:after="100" w:line="259" w:lineRule="auto"/>
      <w:ind w:leftChars="0" w:left="1760" w:firstLineChars="0" w:firstLine="0"/>
      <w:textDirection w:val="lrTb"/>
      <w:textAlignment w:val="auto"/>
      <w:outlineLvl w:val="9"/>
    </w:pPr>
    <w:rPr>
      <w:rFonts w:eastAsia="Times New Roman" w:cs="Times New Roman"/>
      <w:position w:val="0"/>
      <w14:ligatures w14:val="standardContextual"/>
    </w:rPr>
  </w:style>
  <w:style w:type="paragraph" w:customStyle="1" w:styleId="componentsli-yoxxny-2">
    <w:name w:val="components__li-yoxxny-2"/>
    <w:basedOn w:val="Normal"/>
    <w:rsid w:val="00F772F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14:ligatures w14:val="standardContextual"/>
    </w:rPr>
  </w:style>
  <w:style w:type="character" w:customStyle="1" w:styleId="textwebstyledtext-sc-1fa9e8r-0">
    <w:name w:val="textweb__styledtext-sc-1fa9e8r-0"/>
    <w:rsid w:val="00F772FA"/>
  </w:style>
  <w:style w:type="paragraph" w:styleId="Caption">
    <w:name w:val="caption"/>
    <w:basedOn w:val="Normal"/>
    <w:next w:val="Normal"/>
    <w:uiPriority w:val="35"/>
    <w:unhideWhenUsed/>
    <w:qFormat/>
    <w:rsid w:val="00F772FA"/>
    <w:pPr>
      <w:suppressAutoHyphens w:val="0"/>
      <w:spacing w:after="160" w:line="259" w:lineRule="auto"/>
      <w:ind w:leftChars="0" w:left="0" w:firstLineChars="0" w:firstLine="0"/>
      <w:jc w:val="center"/>
      <w:textDirection w:val="lrTb"/>
      <w:textAlignment w:val="auto"/>
      <w:outlineLvl w:val="9"/>
    </w:pPr>
    <w:rPr>
      <w:rFonts w:ascii="Arial" w:hAnsi="Arial" w:cs="Times New Roman"/>
      <w:bCs/>
      <w:position w:val="0"/>
      <w:szCs w:val="20"/>
      <w14:ligatures w14:val="standardContextual"/>
    </w:rPr>
  </w:style>
  <w:style w:type="paragraph" w:styleId="TableofFigures">
    <w:name w:val="table of figures"/>
    <w:basedOn w:val="Normal"/>
    <w:next w:val="Normal"/>
    <w:uiPriority w:val="99"/>
    <w:unhideWhenUsed/>
    <w:rsid w:val="00F772FA"/>
    <w:pPr>
      <w:suppressAutoHyphens w:val="0"/>
      <w:spacing w:after="160" w:line="259" w:lineRule="auto"/>
      <w:ind w:leftChars="0" w:left="0" w:firstLineChars="0" w:firstLine="0"/>
      <w:textDirection w:val="lrTb"/>
      <w:textAlignment w:val="auto"/>
      <w:outlineLvl w:val="9"/>
    </w:pPr>
    <w:rPr>
      <w:rFonts w:cs="Times New Roman"/>
      <w:position w:val="0"/>
      <w14:ligatures w14:val="standardContextual"/>
    </w:rPr>
  </w:style>
  <w:style w:type="paragraph" w:customStyle="1" w:styleId="Dafarisi">
    <w:name w:val="Dafar isi"/>
    <w:basedOn w:val="TOC1"/>
    <w:link w:val="DafarisiChar"/>
    <w:qFormat/>
    <w:rsid w:val="00F772FA"/>
    <w:pPr>
      <w:tabs>
        <w:tab w:val="right" w:leader="dot" w:pos="9017"/>
      </w:tabs>
    </w:pPr>
  </w:style>
  <w:style w:type="paragraph" w:styleId="FootnoteText">
    <w:name w:val="footnote text"/>
    <w:basedOn w:val="Normal"/>
    <w:link w:val="FootnoteTextChar"/>
    <w:uiPriority w:val="99"/>
    <w:semiHidden/>
    <w:unhideWhenUsed/>
    <w:rsid w:val="00F772FA"/>
    <w:pPr>
      <w:suppressAutoHyphens w:val="0"/>
      <w:spacing w:after="160" w:line="259" w:lineRule="auto"/>
      <w:ind w:leftChars="0" w:left="0" w:firstLineChars="0" w:firstLine="0"/>
      <w:textDirection w:val="lrTb"/>
      <w:textAlignment w:val="auto"/>
      <w:outlineLvl w:val="9"/>
    </w:pPr>
    <w:rPr>
      <w:rFonts w:cs="Times New Roman"/>
      <w:position w:val="0"/>
      <w:sz w:val="20"/>
      <w:szCs w:val="20"/>
      <w14:ligatures w14:val="standardContextual"/>
    </w:rPr>
  </w:style>
  <w:style w:type="character" w:customStyle="1" w:styleId="FootnoteTextChar">
    <w:name w:val="Footnote Text Char"/>
    <w:basedOn w:val="DefaultParagraphFont"/>
    <w:link w:val="FootnoteText"/>
    <w:uiPriority w:val="99"/>
    <w:semiHidden/>
    <w:rsid w:val="00F772FA"/>
    <w:rPr>
      <w:rFonts w:cs="Times New Roman"/>
      <w:sz w:val="20"/>
      <w:szCs w:val="20"/>
      <w:lang w:eastAsia="en-US"/>
      <w14:ligatures w14:val="standardContextual"/>
    </w:rPr>
  </w:style>
  <w:style w:type="character" w:customStyle="1" w:styleId="TOC1Char">
    <w:name w:val="TOC 1 Char"/>
    <w:link w:val="TOC1"/>
    <w:uiPriority w:val="39"/>
    <w:rsid w:val="00F772FA"/>
    <w:rPr>
      <w:rFonts w:ascii="Arial" w:hAnsi="Arial" w:cs="Arial"/>
      <w:b/>
      <w:noProof/>
      <w:lang w:eastAsia="en-US"/>
      <w14:ligatures w14:val="standardContextual"/>
    </w:rPr>
  </w:style>
  <w:style w:type="character" w:customStyle="1" w:styleId="DafarisiChar">
    <w:name w:val="Dafar isi Char"/>
    <w:link w:val="Dafarisi"/>
    <w:rsid w:val="00F772FA"/>
    <w:rPr>
      <w:rFonts w:ascii="Arial" w:hAnsi="Arial" w:cs="Arial"/>
      <w:b/>
      <w:noProof/>
      <w:lang w:eastAsia="en-US"/>
      <w14:ligatures w14:val="standardContextual"/>
    </w:rPr>
  </w:style>
  <w:style w:type="character" w:styleId="FootnoteReference">
    <w:name w:val="footnote reference"/>
    <w:uiPriority w:val="99"/>
    <w:semiHidden/>
    <w:unhideWhenUsed/>
    <w:rsid w:val="00F772FA"/>
    <w:rPr>
      <w:vertAlign w:val="superscript"/>
    </w:rPr>
  </w:style>
  <w:style w:type="table" w:customStyle="1" w:styleId="TableGridLight1">
    <w:name w:val="Table Grid Light1"/>
    <w:basedOn w:val="TableNormal"/>
    <w:uiPriority w:val="40"/>
    <w:rsid w:val="00F772FA"/>
    <w:pPr>
      <w:spacing w:after="0" w:line="240" w:lineRule="auto"/>
    </w:pPr>
    <w:rPr>
      <w:rFonts w:cs="Times New Roman"/>
      <w:sz w:val="20"/>
      <w:szCs w:val="20"/>
      <w:lang w:eastAsia="id-ID"/>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r-only">
    <w:name w:val="sr-only"/>
    <w:basedOn w:val="DefaultParagraphFont"/>
    <w:rsid w:val="00F772FA"/>
  </w:style>
  <w:style w:type="paragraph" w:customStyle="1" w:styleId="NoSpacing1">
    <w:name w:val="No Spacing1"/>
    <w:rsid w:val="00F772FA"/>
    <w:pPr>
      <w:spacing w:after="0" w:line="240" w:lineRule="auto"/>
    </w:pPr>
    <w:rPr>
      <w:rFonts w:eastAsia="Times New Roman"/>
      <w:lang w:val="en-US" w:eastAsia="en-US"/>
    </w:rPr>
  </w:style>
  <w:style w:type="character" w:customStyle="1" w:styleId="arial12">
    <w:name w:val="arial12"/>
    <w:basedOn w:val="DefaultParagraphFont"/>
    <w:rsid w:val="00F772FA"/>
    <w:rPr>
      <w:rFonts w:cs="Times New Roman"/>
    </w:rPr>
  </w:style>
  <w:style w:type="paragraph" w:styleId="BodyTextIndent">
    <w:name w:val="Body Text Indent"/>
    <w:basedOn w:val="Normal"/>
    <w:link w:val="BodyTextIndentChar"/>
    <w:unhideWhenUsed/>
    <w:rsid w:val="00F772FA"/>
    <w:pPr>
      <w:suppressAutoHyphens w:val="0"/>
      <w:spacing w:after="120" w:line="259" w:lineRule="auto"/>
      <w:ind w:leftChars="0" w:left="283" w:firstLineChars="0" w:firstLine="0"/>
      <w:textDirection w:val="lrTb"/>
      <w:textAlignment w:val="auto"/>
      <w:outlineLvl w:val="9"/>
    </w:pPr>
    <w:rPr>
      <w:rFonts w:asciiTheme="minorHAnsi" w:eastAsiaTheme="minorHAnsi" w:hAnsiTheme="minorHAnsi" w:cstheme="minorBidi"/>
      <w:kern w:val="2"/>
      <w:position w:val="0"/>
      <w:lang w:val="en-ID"/>
      <w14:ligatures w14:val="standardContextual"/>
    </w:rPr>
  </w:style>
  <w:style w:type="character" w:customStyle="1" w:styleId="BodyTextIndentChar">
    <w:name w:val="Body Text Indent Char"/>
    <w:basedOn w:val="DefaultParagraphFont"/>
    <w:link w:val="BodyTextIndent"/>
    <w:rsid w:val="00F772FA"/>
    <w:rPr>
      <w:rFonts w:asciiTheme="minorHAnsi" w:eastAsiaTheme="minorHAnsi" w:hAnsiTheme="minorHAnsi" w:cstheme="minorBidi"/>
      <w:kern w:val="2"/>
      <w:lang w:val="en-ID" w:eastAsia="en-US"/>
      <w14:ligatures w14:val="standardContextual"/>
    </w:rPr>
  </w:style>
  <w:style w:type="paragraph" w:styleId="BodyTextIndent3">
    <w:name w:val="Body Text Indent 3"/>
    <w:basedOn w:val="Normal"/>
    <w:link w:val="BodyTextIndent3Char"/>
    <w:uiPriority w:val="99"/>
    <w:semiHidden/>
    <w:unhideWhenUsed/>
    <w:rsid w:val="00F772FA"/>
    <w:pPr>
      <w:suppressAutoHyphens w:val="0"/>
      <w:spacing w:after="120" w:line="259" w:lineRule="auto"/>
      <w:ind w:leftChars="0" w:left="283" w:firstLineChars="0" w:firstLine="0"/>
      <w:textDirection w:val="lrTb"/>
      <w:textAlignment w:val="auto"/>
      <w:outlineLvl w:val="9"/>
    </w:pPr>
    <w:rPr>
      <w:rFonts w:asciiTheme="minorHAnsi" w:eastAsiaTheme="minorHAnsi" w:hAnsiTheme="minorHAnsi" w:cstheme="minorBidi"/>
      <w:kern w:val="2"/>
      <w:position w:val="0"/>
      <w:sz w:val="16"/>
      <w:szCs w:val="16"/>
      <w:lang w:val="en-ID"/>
      <w14:ligatures w14:val="standardContextual"/>
    </w:rPr>
  </w:style>
  <w:style w:type="character" w:customStyle="1" w:styleId="BodyTextIndent3Char">
    <w:name w:val="Body Text Indent 3 Char"/>
    <w:basedOn w:val="DefaultParagraphFont"/>
    <w:link w:val="BodyTextIndent3"/>
    <w:uiPriority w:val="99"/>
    <w:semiHidden/>
    <w:rsid w:val="00F772FA"/>
    <w:rPr>
      <w:rFonts w:asciiTheme="minorHAnsi" w:eastAsiaTheme="minorHAnsi" w:hAnsiTheme="minorHAnsi" w:cstheme="minorBidi"/>
      <w:kern w:val="2"/>
      <w:sz w:val="16"/>
      <w:szCs w:val="16"/>
      <w:lang w:val="en-ID" w:eastAsia="en-US"/>
      <w14:ligatures w14:val="standardContextual"/>
    </w:rPr>
  </w:style>
  <w:style w:type="table" w:styleId="PlainTable2">
    <w:name w:val="Plain Table 2"/>
    <w:basedOn w:val="TableNormal"/>
    <w:uiPriority w:val="42"/>
    <w:rsid w:val="00F772FA"/>
    <w:pPr>
      <w:spacing w:after="0" w:line="240" w:lineRule="auto"/>
    </w:pPr>
    <w:rPr>
      <w:rFonts w:asciiTheme="minorHAnsi" w:eastAsiaTheme="minorHAnsi" w:hAnsiTheme="minorHAnsi" w:cstheme="minorBidi"/>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F772FA"/>
    <w:pPr>
      <w:suppressAutoHyphens w:val="0"/>
      <w:ind w:leftChars="0" w:left="0" w:firstLineChars="0" w:firstLine="0"/>
      <w:textDirection w:val="lrTb"/>
      <w:textAlignment w:val="auto"/>
      <w:outlineLvl w:val="9"/>
    </w:pPr>
    <w:rPr>
      <w:rFonts w:asciiTheme="minorHAnsi" w:eastAsiaTheme="minorHAnsi" w:hAnsiTheme="minorHAnsi" w:cstheme="minorBidi"/>
      <w:position w:val="0"/>
      <w:lang w:val="en-US"/>
    </w:rPr>
  </w:style>
  <w:style w:type="character" w:customStyle="1" w:styleId="hgkelc">
    <w:name w:val="hgkelc"/>
    <w:basedOn w:val="DefaultParagraphFont"/>
    <w:rsid w:val="00F772FA"/>
  </w:style>
  <w:style w:type="character" w:customStyle="1" w:styleId="a1">
    <w:name w:val="a"/>
    <w:rsid w:val="00F772FA"/>
  </w:style>
  <w:style w:type="table" w:customStyle="1" w:styleId="LightShading1">
    <w:name w:val="Light Shading1"/>
    <w:basedOn w:val="TableNormal"/>
    <w:uiPriority w:val="60"/>
    <w:rsid w:val="00F772FA"/>
    <w:pPr>
      <w:spacing w:after="0" w:line="240" w:lineRule="auto"/>
    </w:pPr>
    <w:rPr>
      <w:rFonts w:asciiTheme="minorHAnsi" w:eastAsia="SimSun"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F772FA"/>
    <w:pPr>
      <w:spacing w:after="0" w:line="240" w:lineRule="auto"/>
    </w:pPr>
    <w:rPr>
      <w:rFonts w:cs="Times New Roman"/>
      <w:lang w:val="en-US" w:eastAsia="en-US"/>
    </w:rPr>
  </w:style>
  <w:style w:type="character" w:customStyle="1" w:styleId="EndnoteTextChar1">
    <w:name w:val="Endnote Text Char1"/>
    <w:basedOn w:val="DefaultParagraphFont"/>
    <w:uiPriority w:val="99"/>
    <w:semiHidden/>
    <w:rsid w:val="00F772FA"/>
    <w:rPr>
      <w:sz w:val="20"/>
      <w:szCs w:val="20"/>
    </w:rPr>
  </w:style>
  <w:style w:type="table" w:styleId="LightShading">
    <w:name w:val="Light Shading"/>
    <w:basedOn w:val="TableNormal"/>
    <w:uiPriority w:val="60"/>
    <w:rsid w:val="00F772FA"/>
    <w:pPr>
      <w:spacing w:after="0" w:line="240" w:lineRule="auto"/>
    </w:pPr>
    <w:rPr>
      <w:rFonts w:asciiTheme="minorHAnsi" w:eastAsiaTheme="minorHAnsi"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4">
    <w:name w:val="Pa4"/>
    <w:basedOn w:val="Default"/>
    <w:next w:val="Default"/>
    <w:uiPriority w:val="99"/>
    <w:rsid w:val="00F772FA"/>
    <w:pPr>
      <w:suppressAutoHyphens w:val="0"/>
      <w:spacing w:after="0" w:line="241" w:lineRule="atLeast"/>
      <w:ind w:leftChars="0" w:left="0" w:firstLineChars="0" w:firstLine="0"/>
      <w:textDirection w:val="lrTb"/>
      <w:textAlignment w:val="auto"/>
      <w:outlineLvl w:val="9"/>
    </w:pPr>
    <w:rPr>
      <w:rFonts w:ascii="Avenir LT Std 55 Roman" w:eastAsiaTheme="minorHAnsi" w:hAnsi="Avenir LT Std 55 Roman" w:cstheme="minorBidi"/>
      <w:color w:val="auto"/>
      <w:position w:val="0"/>
      <w:lang w:val="en-US"/>
    </w:rPr>
  </w:style>
  <w:style w:type="character" w:customStyle="1" w:styleId="A10">
    <w:name w:val="A10"/>
    <w:uiPriority w:val="99"/>
    <w:rsid w:val="00F772FA"/>
    <w:rPr>
      <w:rFonts w:ascii="Symbol" w:hAnsi="Symbol" w:cs="Symbol"/>
      <w:color w:val="000000"/>
      <w:sz w:val="20"/>
      <w:szCs w:val="20"/>
    </w:rPr>
  </w:style>
  <w:style w:type="paragraph" w:styleId="BodyTextIndent2">
    <w:name w:val="Body Text Indent 2"/>
    <w:basedOn w:val="Normal"/>
    <w:link w:val="BodyTextIndent2Char"/>
    <w:uiPriority w:val="99"/>
    <w:semiHidden/>
    <w:unhideWhenUsed/>
    <w:rsid w:val="00F772FA"/>
    <w:pPr>
      <w:suppressAutoHyphens w:val="0"/>
      <w:spacing w:after="120" w:line="480" w:lineRule="auto"/>
      <w:ind w:leftChars="0" w:left="283" w:firstLineChars="0" w:firstLine="0"/>
      <w:textDirection w:val="lrTb"/>
      <w:textAlignment w:val="auto"/>
      <w:outlineLvl w:val="9"/>
    </w:pPr>
    <w:rPr>
      <w:rFonts w:asciiTheme="minorHAnsi" w:eastAsiaTheme="minorHAnsi" w:hAnsiTheme="minorHAnsi" w:cstheme="minorBidi"/>
      <w:position w:val="0"/>
      <w:lang w:val="en-US"/>
    </w:rPr>
  </w:style>
  <w:style w:type="character" w:customStyle="1" w:styleId="BodyTextIndent2Char">
    <w:name w:val="Body Text Indent 2 Char"/>
    <w:basedOn w:val="DefaultParagraphFont"/>
    <w:link w:val="BodyTextIndent2"/>
    <w:uiPriority w:val="99"/>
    <w:semiHidden/>
    <w:rsid w:val="00F772FA"/>
    <w:rPr>
      <w:rFonts w:asciiTheme="minorHAnsi" w:eastAsiaTheme="minorHAnsi" w:hAnsiTheme="minorHAnsi" w:cstheme="minorBidi"/>
      <w:lang w:val="en-US" w:eastAsia="en-US"/>
    </w:rPr>
  </w:style>
  <w:style w:type="paragraph" w:customStyle="1" w:styleId="wp-caption-text">
    <w:name w:val="wp-caption-text"/>
    <w:basedOn w:val="Normal"/>
    <w:rsid w:val="00F772F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US"/>
    </w:rPr>
  </w:style>
  <w:style w:type="character" w:styleId="HTMLCite">
    <w:name w:val="HTML Cite"/>
    <w:basedOn w:val="DefaultParagraphFont"/>
    <w:uiPriority w:val="99"/>
    <w:semiHidden/>
    <w:unhideWhenUsed/>
    <w:rsid w:val="00F772FA"/>
    <w:rPr>
      <w:i/>
      <w:iCs/>
    </w:rPr>
  </w:style>
  <w:style w:type="character" w:customStyle="1" w:styleId="says">
    <w:name w:val="says"/>
    <w:basedOn w:val="DefaultParagraphFont"/>
    <w:rsid w:val="00F772FA"/>
  </w:style>
  <w:style w:type="paragraph" w:styleId="z-TopofForm">
    <w:name w:val="HTML Top of Form"/>
    <w:basedOn w:val="Normal"/>
    <w:next w:val="Normal"/>
    <w:link w:val="z-TopofFormChar"/>
    <w:hidden/>
    <w:uiPriority w:val="99"/>
    <w:semiHidden/>
    <w:unhideWhenUsed/>
    <w:rsid w:val="00F772FA"/>
    <w:pPr>
      <w:pBdr>
        <w:bottom w:val="single" w:sz="6" w:space="1" w:color="auto"/>
      </w:pBdr>
      <w:suppressAutoHyphens w:val="0"/>
      <w:spacing w:after="0" w:line="240" w:lineRule="auto"/>
      <w:ind w:leftChars="0" w:left="0" w:firstLineChars="0" w:firstLine="0"/>
      <w:jc w:val="center"/>
      <w:textDirection w:val="lrTb"/>
      <w:textAlignment w:val="auto"/>
      <w:outlineLvl w:val="9"/>
    </w:pPr>
    <w:rPr>
      <w:rFonts w:ascii="Arial" w:eastAsia="Times New Roman" w:hAnsi="Arial" w:cs="Arial"/>
      <w:vanish/>
      <w:position w:val="0"/>
      <w:sz w:val="16"/>
      <w:szCs w:val="16"/>
      <w:lang w:val="en-US"/>
    </w:rPr>
  </w:style>
  <w:style w:type="character" w:customStyle="1" w:styleId="z-TopofFormChar">
    <w:name w:val="z-Top of Form Char"/>
    <w:basedOn w:val="DefaultParagraphFont"/>
    <w:link w:val="z-TopofForm"/>
    <w:uiPriority w:val="99"/>
    <w:semiHidden/>
    <w:rsid w:val="00F772FA"/>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F772FA"/>
    <w:pPr>
      <w:pBdr>
        <w:top w:val="single" w:sz="6" w:space="1" w:color="auto"/>
      </w:pBdr>
      <w:suppressAutoHyphens w:val="0"/>
      <w:spacing w:after="0" w:line="240" w:lineRule="auto"/>
      <w:ind w:leftChars="0" w:left="0" w:firstLineChars="0" w:firstLine="0"/>
      <w:jc w:val="center"/>
      <w:textDirection w:val="lrTb"/>
      <w:textAlignment w:val="auto"/>
      <w:outlineLvl w:val="9"/>
    </w:pPr>
    <w:rPr>
      <w:rFonts w:ascii="Arial" w:eastAsia="Times New Roman" w:hAnsi="Arial" w:cs="Arial"/>
      <w:vanish/>
      <w:position w:val="0"/>
      <w:sz w:val="16"/>
      <w:szCs w:val="16"/>
      <w:lang w:val="en-US"/>
    </w:rPr>
  </w:style>
  <w:style w:type="character" w:customStyle="1" w:styleId="z-BottomofFormChar">
    <w:name w:val="z-Bottom of Form Char"/>
    <w:basedOn w:val="DefaultParagraphFont"/>
    <w:link w:val="z-BottomofForm"/>
    <w:uiPriority w:val="99"/>
    <w:semiHidden/>
    <w:rsid w:val="00F772FA"/>
    <w:rPr>
      <w:rFonts w:ascii="Arial" w:eastAsia="Times New Roman" w:hAnsi="Arial" w:cs="Arial"/>
      <w:vanish/>
      <w:sz w:val="16"/>
      <w:szCs w:val="16"/>
      <w:lang w:val="en-US" w:eastAsia="en-US"/>
    </w:rPr>
  </w:style>
  <w:style w:type="character" w:customStyle="1" w:styleId="markedcontent">
    <w:name w:val="markedcontent"/>
    <w:basedOn w:val="DefaultParagraphFont"/>
    <w:rsid w:val="00F772FA"/>
  </w:style>
  <w:style w:type="character" w:customStyle="1" w:styleId="a2">
    <w:name w:val="_"/>
    <w:basedOn w:val="DefaultParagraphFont"/>
    <w:rsid w:val="00F772FA"/>
  </w:style>
  <w:style w:type="character" w:customStyle="1" w:styleId="personname">
    <w:name w:val="person_name"/>
    <w:basedOn w:val="DefaultParagraphFont"/>
    <w:rsid w:val="00F772FA"/>
  </w:style>
  <w:style w:type="paragraph" w:customStyle="1" w:styleId="ListParagraph0">
    <w:name w:val="List Paragraph."/>
    <w:basedOn w:val="Normal"/>
    <w:uiPriority w:val="99"/>
    <w:rsid w:val="00F772FA"/>
    <w:pPr>
      <w:suppressAutoHyphens w:val="0"/>
      <w:spacing w:after="0"/>
      <w:ind w:leftChars="0" w:left="720" w:firstLineChars="0" w:firstLine="0"/>
      <w:textDirection w:val="lrTb"/>
      <w:textAlignment w:val="auto"/>
      <w:outlineLvl w:val="9"/>
    </w:pPr>
    <w:rPr>
      <w:rFonts w:ascii="Arial" w:eastAsia="SimSun" w:hAnsi="Times New Roman" w:cs="Arial"/>
      <w:position w:val="0"/>
      <w:lang w:val="en-US"/>
    </w:rPr>
  </w:style>
  <w:style w:type="paragraph" w:styleId="BodyText2">
    <w:name w:val="Body Text 2"/>
    <w:basedOn w:val="Normal"/>
    <w:link w:val="BodyText2Char"/>
    <w:uiPriority w:val="99"/>
    <w:semiHidden/>
    <w:unhideWhenUsed/>
    <w:rsid w:val="00F772FA"/>
    <w:pPr>
      <w:suppressAutoHyphens w:val="0"/>
      <w:spacing w:after="120" w:line="480" w:lineRule="auto"/>
      <w:ind w:leftChars="0" w:left="0" w:firstLineChars="0" w:firstLine="0"/>
      <w:textDirection w:val="lrTb"/>
      <w:textAlignment w:val="auto"/>
      <w:outlineLvl w:val="9"/>
    </w:pPr>
    <w:rPr>
      <w:rFonts w:asciiTheme="minorHAnsi" w:eastAsiaTheme="minorHAnsi" w:hAnsiTheme="minorHAnsi" w:cstheme="minorBidi"/>
      <w:position w:val="0"/>
      <w:lang w:val="en-US"/>
    </w:rPr>
  </w:style>
  <w:style w:type="character" w:customStyle="1" w:styleId="BodyText2Char">
    <w:name w:val="Body Text 2 Char"/>
    <w:basedOn w:val="DefaultParagraphFont"/>
    <w:link w:val="BodyText2"/>
    <w:uiPriority w:val="99"/>
    <w:semiHidden/>
    <w:rsid w:val="00F772FA"/>
    <w:rPr>
      <w:rFonts w:asciiTheme="minorHAnsi" w:eastAsiaTheme="minorHAnsi" w:hAnsiTheme="minorHAnsi" w:cstheme="minorBidi"/>
      <w:lang w:val="en-US" w:eastAsia="en-US"/>
    </w:rPr>
  </w:style>
  <w:style w:type="paragraph" w:customStyle="1" w:styleId="Normal0">
    <w:name w:val="Normal."/>
    <w:rsid w:val="00F772FA"/>
    <w:pPr>
      <w:spacing w:after="0"/>
    </w:pPr>
    <w:rPr>
      <w:rFonts w:ascii="Arial" w:eastAsia="SimSun" w:hAnsi="Times New Roman" w:cs="Arial"/>
      <w:lang w:val="en-US" w:eastAsia="en-US"/>
    </w:rPr>
  </w:style>
  <w:style w:type="paragraph" w:styleId="HTMLPreformatted">
    <w:name w:val="HTML Preformatted"/>
    <w:basedOn w:val="Normal"/>
    <w:link w:val="HTMLPreformattedChar"/>
    <w:uiPriority w:val="99"/>
    <w:semiHidden/>
    <w:unhideWhenUsed/>
    <w:rsid w:val="00F77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firstLine="0"/>
      <w:textDirection w:val="lrTb"/>
      <w:textAlignment w:val="auto"/>
      <w:outlineLvl w:val="9"/>
    </w:pPr>
    <w:rPr>
      <w:rFonts w:ascii="Courier New" w:eastAsia="Times New Roman" w:hAnsi="Courier New" w:cs="Courier New"/>
      <w:position w:val="0"/>
      <w:sz w:val="20"/>
      <w:szCs w:val="20"/>
      <w:lang w:val="en-US"/>
    </w:rPr>
  </w:style>
  <w:style w:type="character" w:customStyle="1" w:styleId="HTMLPreformattedChar">
    <w:name w:val="HTML Preformatted Char"/>
    <w:basedOn w:val="DefaultParagraphFont"/>
    <w:link w:val="HTMLPreformatted"/>
    <w:uiPriority w:val="99"/>
    <w:semiHidden/>
    <w:rsid w:val="00F772FA"/>
    <w:rPr>
      <w:rFonts w:ascii="Courier New" w:eastAsia="Times New Roman" w:hAnsi="Courier New" w:cs="Courier New"/>
      <w:sz w:val="20"/>
      <w:szCs w:val="20"/>
      <w:lang w:val="en-US" w:eastAsia="en-US"/>
    </w:rPr>
  </w:style>
  <w:style w:type="character" w:customStyle="1" w:styleId="y2iqfc">
    <w:name w:val="y2iqfc"/>
    <w:basedOn w:val="DefaultParagraphFont"/>
    <w:rsid w:val="00F772FA"/>
  </w:style>
  <w:style w:type="table" w:styleId="LightShading-Accent1">
    <w:name w:val="Light Shading Accent 1"/>
    <w:basedOn w:val="TableNormal"/>
    <w:uiPriority w:val="60"/>
    <w:rsid w:val="00F772FA"/>
    <w:pPr>
      <w:spacing w:after="0" w:line="240" w:lineRule="auto"/>
    </w:pPr>
    <w:rPr>
      <w:rFonts w:asciiTheme="minorHAnsi" w:eastAsiaTheme="minorHAnsi" w:hAnsiTheme="minorHAnsi" w:cstheme="minorBidi"/>
      <w:color w:val="365F91" w:themeColor="accent1" w:themeShade="BF"/>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xl65">
    <w:name w:val="xl65"/>
    <w:basedOn w:val="Normal"/>
    <w:rsid w:val="00F772FA"/>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6">
    <w:name w:val="xl66"/>
    <w:basedOn w:val="Normal"/>
    <w:rsid w:val="00F772FA"/>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7">
    <w:name w:val="xl67"/>
    <w:basedOn w:val="Normal"/>
    <w:rsid w:val="00F772F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8">
    <w:name w:val="xl68"/>
    <w:basedOn w:val="Normal"/>
    <w:rsid w:val="00F772F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9">
    <w:name w:val="xl69"/>
    <w:basedOn w:val="Normal"/>
    <w:rsid w:val="00F772F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0">
    <w:name w:val="xl70"/>
    <w:basedOn w:val="Normal"/>
    <w:rsid w:val="00F772F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1">
    <w:name w:val="xl71"/>
    <w:basedOn w:val="Normal"/>
    <w:rsid w:val="00F772FA"/>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2">
    <w:name w:val="xl72"/>
    <w:basedOn w:val="Normal"/>
    <w:rsid w:val="00F772FA"/>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3">
    <w:name w:val="xl73"/>
    <w:basedOn w:val="Normal"/>
    <w:rsid w:val="00F772FA"/>
    <w:pPr>
      <w:suppressAutoHyphens w:val="0"/>
      <w:spacing w:before="100" w:beforeAutospacing="1" w:after="100" w:afterAutospacing="1" w:line="240" w:lineRule="auto"/>
      <w:ind w:leftChars="0" w:left="0" w:firstLineChars="0" w:firstLine="0"/>
      <w:textDirection w:val="lrTb"/>
      <w:textAlignment w:val="auto"/>
      <w:outlineLvl w:val="9"/>
    </w:pPr>
    <w:rPr>
      <w:rFonts w:ascii="Arial" w:eastAsia="Times New Roman" w:hAnsi="Arial" w:cs="Arial"/>
      <w:position w:val="0"/>
      <w:sz w:val="18"/>
      <w:szCs w:val="18"/>
      <w:lang w:val="en-US"/>
    </w:rPr>
  </w:style>
  <w:style w:type="paragraph" w:customStyle="1" w:styleId="xl74">
    <w:name w:val="xl74"/>
    <w:basedOn w:val="Normal"/>
    <w:rsid w:val="00F772FA"/>
    <w:pP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5">
    <w:name w:val="xl75"/>
    <w:basedOn w:val="Normal"/>
    <w:rsid w:val="00F772F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character" w:customStyle="1" w:styleId="katex-mathml">
    <w:name w:val="katex-mathml"/>
    <w:basedOn w:val="DefaultParagraphFont"/>
    <w:rsid w:val="00F772FA"/>
  </w:style>
  <w:style w:type="character" w:customStyle="1" w:styleId="mord">
    <w:name w:val="mord"/>
    <w:basedOn w:val="DefaultParagraphFont"/>
    <w:rsid w:val="00F772FA"/>
  </w:style>
  <w:style w:type="character" w:customStyle="1" w:styleId="mop">
    <w:name w:val="mop"/>
    <w:basedOn w:val="DefaultParagraphFont"/>
    <w:rsid w:val="00F772FA"/>
  </w:style>
  <w:style w:type="character" w:customStyle="1" w:styleId="mspace">
    <w:name w:val="mspace"/>
    <w:basedOn w:val="DefaultParagraphFont"/>
    <w:rsid w:val="00F772FA"/>
  </w:style>
  <w:style w:type="character" w:customStyle="1" w:styleId="mopen">
    <w:name w:val="mopen"/>
    <w:basedOn w:val="DefaultParagraphFont"/>
    <w:rsid w:val="00F772FA"/>
  </w:style>
  <w:style w:type="character" w:customStyle="1" w:styleId="delimsizing">
    <w:name w:val="delimsizing"/>
    <w:basedOn w:val="DefaultParagraphFont"/>
    <w:rsid w:val="00F772FA"/>
  </w:style>
  <w:style w:type="character" w:customStyle="1" w:styleId="mbin">
    <w:name w:val="mbin"/>
    <w:basedOn w:val="DefaultParagraphFont"/>
    <w:rsid w:val="00F772FA"/>
  </w:style>
  <w:style w:type="character" w:customStyle="1" w:styleId="vlist-s">
    <w:name w:val="vlist-s"/>
    <w:basedOn w:val="DefaultParagraphFont"/>
    <w:rsid w:val="00F772FA"/>
  </w:style>
  <w:style w:type="character" w:customStyle="1" w:styleId="mclose">
    <w:name w:val="mclose"/>
    <w:basedOn w:val="DefaultParagraphFont"/>
    <w:rsid w:val="00F772FA"/>
  </w:style>
  <w:style w:type="character" w:customStyle="1" w:styleId="mrel">
    <w:name w:val="mrel"/>
    <w:basedOn w:val="DefaultParagraphFont"/>
    <w:rsid w:val="00F772FA"/>
  </w:style>
  <w:style w:type="character" w:customStyle="1" w:styleId="mpunct">
    <w:name w:val="mpunct"/>
    <w:basedOn w:val="DefaultParagraphFont"/>
    <w:rsid w:val="00F772FA"/>
  </w:style>
  <w:style w:type="character" w:customStyle="1" w:styleId="ms-1">
    <w:name w:val="ms-1"/>
    <w:basedOn w:val="DefaultParagraphFont"/>
    <w:rsid w:val="00F772FA"/>
  </w:style>
  <w:style w:type="character" w:customStyle="1" w:styleId="max-w-15ch">
    <w:name w:val="max-w-[15ch]"/>
    <w:basedOn w:val="DefaultParagraphFont"/>
    <w:rsid w:val="00F772FA"/>
  </w:style>
  <w:style w:type="character" w:customStyle="1" w:styleId="-me-1">
    <w:name w:val="-me-1"/>
    <w:basedOn w:val="DefaultParagraphFont"/>
    <w:rsid w:val="00F772FA"/>
  </w:style>
  <w:style w:type="paragraph" w:customStyle="1" w:styleId="msonormal0">
    <w:name w:val="msonormal"/>
    <w:basedOn w:val="Normal"/>
    <w:rsid w:val="00F772F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customStyle="1" w:styleId="font5">
    <w:name w:val="font5"/>
    <w:basedOn w:val="Normal"/>
    <w:rsid w:val="00F772FA"/>
    <w:pPr>
      <w:suppressAutoHyphens w:val="0"/>
      <w:spacing w:before="100" w:beforeAutospacing="1" w:after="100" w:afterAutospacing="1" w:line="240" w:lineRule="auto"/>
      <w:ind w:leftChars="0" w:left="0" w:firstLineChars="0" w:firstLine="0"/>
      <w:textDirection w:val="lrTb"/>
      <w:textAlignment w:val="auto"/>
      <w:outlineLvl w:val="9"/>
    </w:pPr>
    <w:rPr>
      <w:rFonts w:ascii="Arial" w:eastAsia="Times New Roman" w:hAnsi="Arial" w:cs="Arial"/>
      <w:color w:val="000000"/>
      <w:position w:val="0"/>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96352">
      <w:bodyDiv w:val="1"/>
      <w:marLeft w:val="0"/>
      <w:marRight w:val="0"/>
      <w:marTop w:val="0"/>
      <w:marBottom w:val="0"/>
      <w:divBdr>
        <w:top w:val="none" w:sz="0" w:space="0" w:color="auto"/>
        <w:left w:val="none" w:sz="0" w:space="0" w:color="auto"/>
        <w:bottom w:val="none" w:sz="0" w:space="0" w:color="auto"/>
        <w:right w:val="none" w:sz="0" w:space="0" w:color="auto"/>
      </w:divBdr>
    </w:div>
    <w:div w:id="492568832">
      <w:bodyDiv w:val="1"/>
      <w:marLeft w:val="0"/>
      <w:marRight w:val="0"/>
      <w:marTop w:val="0"/>
      <w:marBottom w:val="0"/>
      <w:divBdr>
        <w:top w:val="none" w:sz="0" w:space="0" w:color="auto"/>
        <w:left w:val="none" w:sz="0" w:space="0" w:color="auto"/>
        <w:bottom w:val="none" w:sz="0" w:space="0" w:color="auto"/>
        <w:right w:val="none" w:sz="0" w:space="0" w:color="auto"/>
      </w:divBdr>
    </w:div>
    <w:div w:id="509955404">
      <w:bodyDiv w:val="1"/>
      <w:marLeft w:val="0"/>
      <w:marRight w:val="0"/>
      <w:marTop w:val="0"/>
      <w:marBottom w:val="0"/>
      <w:divBdr>
        <w:top w:val="none" w:sz="0" w:space="0" w:color="auto"/>
        <w:left w:val="none" w:sz="0" w:space="0" w:color="auto"/>
        <w:bottom w:val="none" w:sz="0" w:space="0" w:color="auto"/>
        <w:right w:val="none" w:sz="0" w:space="0" w:color="auto"/>
      </w:divBdr>
    </w:div>
    <w:div w:id="653410212">
      <w:bodyDiv w:val="1"/>
      <w:marLeft w:val="0"/>
      <w:marRight w:val="0"/>
      <w:marTop w:val="0"/>
      <w:marBottom w:val="0"/>
      <w:divBdr>
        <w:top w:val="none" w:sz="0" w:space="0" w:color="auto"/>
        <w:left w:val="none" w:sz="0" w:space="0" w:color="auto"/>
        <w:bottom w:val="none" w:sz="0" w:space="0" w:color="auto"/>
        <w:right w:val="none" w:sz="0" w:space="0" w:color="auto"/>
      </w:divBdr>
    </w:div>
    <w:div w:id="856696915">
      <w:bodyDiv w:val="1"/>
      <w:marLeft w:val="0"/>
      <w:marRight w:val="0"/>
      <w:marTop w:val="0"/>
      <w:marBottom w:val="0"/>
      <w:divBdr>
        <w:top w:val="none" w:sz="0" w:space="0" w:color="auto"/>
        <w:left w:val="none" w:sz="0" w:space="0" w:color="auto"/>
        <w:bottom w:val="none" w:sz="0" w:space="0" w:color="auto"/>
        <w:right w:val="none" w:sz="0" w:space="0" w:color="auto"/>
      </w:divBdr>
    </w:div>
    <w:div w:id="923685078">
      <w:bodyDiv w:val="1"/>
      <w:marLeft w:val="0"/>
      <w:marRight w:val="0"/>
      <w:marTop w:val="0"/>
      <w:marBottom w:val="0"/>
      <w:divBdr>
        <w:top w:val="none" w:sz="0" w:space="0" w:color="auto"/>
        <w:left w:val="none" w:sz="0" w:space="0" w:color="auto"/>
        <w:bottom w:val="none" w:sz="0" w:space="0" w:color="auto"/>
        <w:right w:val="none" w:sz="0" w:space="0" w:color="auto"/>
      </w:divBdr>
    </w:div>
    <w:div w:id="954486293">
      <w:bodyDiv w:val="1"/>
      <w:marLeft w:val="0"/>
      <w:marRight w:val="0"/>
      <w:marTop w:val="0"/>
      <w:marBottom w:val="0"/>
      <w:divBdr>
        <w:top w:val="none" w:sz="0" w:space="0" w:color="auto"/>
        <w:left w:val="none" w:sz="0" w:space="0" w:color="auto"/>
        <w:bottom w:val="none" w:sz="0" w:space="0" w:color="auto"/>
        <w:right w:val="none" w:sz="0" w:space="0" w:color="auto"/>
      </w:divBdr>
    </w:div>
    <w:div w:id="1018849835">
      <w:bodyDiv w:val="1"/>
      <w:marLeft w:val="0"/>
      <w:marRight w:val="0"/>
      <w:marTop w:val="0"/>
      <w:marBottom w:val="0"/>
      <w:divBdr>
        <w:top w:val="none" w:sz="0" w:space="0" w:color="auto"/>
        <w:left w:val="none" w:sz="0" w:space="0" w:color="auto"/>
        <w:bottom w:val="none" w:sz="0" w:space="0" w:color="auto"/>
        <w:right w:val="none" w:sz="0" w:space="0" w:color="auto"/>
      </w:divBdr>
    </w:div>
    <w:div w:id="1077435179">
      <w:bodyDiv w:val="1"/>
      <w:marLeft w:val="0"/>
      <w:marRight w:val="0"/>
      <w:marTop w:val="0"/>
      <w:marBottom w:val="0"/>
      <w:divBdr>
        <w:top w:val="none" w:sz="0" w:space="0" w:color="auto"/>
        <w:left w:val="none" w:sz="0" w:space="0" w:color="auto"/>
        <w:bottom w:val="none" w:sz="0" w:space="0" w:color="auto"/>
        <w:right w:val="none" w:sz="0" w:space="0" w:color="auto"/>
      </w:divBdr>
      <w:divsChild>
        <w:div w:id="1749303389">
          <w:marLeft w:val="0"/>
          <w:marRight w:val="0"/>
          <w:marTop w:val="0"/>
          <w:marBottom w:val="0"/>
          <w:divBdr>
            <w:top w:val="none" w:sz="0" w:space="0" w:color="auto"/>
            <w:left w:val="none" w:sz="0" w:space="0" w:color="auto"/>
            <w:bottom w:val="none" w:sz="0" w:space="0" w:color="auto"/>
            <w:right w:val="none" w:sz="0" w:space="0" w:color="auto"/>
          </w:divBdr>
          <w:divsChild>
            <w:div w:id="970867519">
              <w:marLeft w:val="0"/>
              <w:marRight w:val="0"/>
              <w:marTop w:val="0"/>
              <w:marBottom w:val="0"/>
              <w:divBdr>
                <w:top w:val="none" w:sz="0" w:space="0" w:color="auto"/>
                <w:left w:val="none" w:sz="0" w:space="0" w:color="auto"/>
                <w:bottom w:val="none" w:sz="0" w:space="0" w:color="auto"/>
                <w:right w:val="none" w:sz="0" w:space="0" w:color="auto"/>
              </w:divBdr>
              <w:divsChild>
                <w:div w:id="2096855400">
                  <w:marLeft w:val="0"/>
                  <w:marRight w:val="0"/>
                  <w:marTop w:val="0"/>
                  <w:marBottom w:val="0"/>
                  <w:divBdr>
                    <w:top w:val="none" w:sz="0" w:space="0" w:color="auto"/>
                    <w:left w:val="none" w:sz="0" w:space="0" w:color="auto"/>
                    <w:bottom w:val="none" w:sz="0" w:space="0" w:color="auto"/>
                    <w:right w:val="none" w:sz="0" w:space="0" w:color="auto"/>
                  </w:divBdr>
                  <w:divsChild>
                    <w:div w:id="622614481">
                      <w:marLeft w:val="0"/>
                      <w:marRight w:val="0"/>
                      <w:marTop w:val="0"/>
                      <w:marBottom w:val="0"/>
                      <w:divBdr>
                        <w:top w:val="none" w:sz="0" w:space="0" w:color="auto"/>
                        <w:left w:val="none" w:sz="0" w:space="0" w:color="auto"/>
                        <w:bottom w:val="none" w:sz="0" w:space="0" w:color="auto"/>
                        <w:right w:val="none" w:sz="0" w:space="0" w:color="auto"/>
                      </w:divBdr>
                      <w:divsChild>
                        <w:div w:id="198322917">
                          <w:marLeft w:val="0"/>
                          <w:marRight w:val="0"/>
                          <w:marTop w:val="0"/>
                          <w:marBottom w:val="0"/>
                          <w:divBdr>
                            <w:top w:val="none" w:sz="0" w:space="0" w:color="auto"/>
                            <w:left w:val="none" w:sz="0" w:space="0" w:color="auto"/>
                            <w:bottom w:val="none" w:sz="0" w:space="0" w:color="auto"/>
                            <w:right w:val="none" w:sz="0" w:space="0" w:color="auto"/>
                          </w:divBdr>
                          <w:divsChild>
                            <w:div w:id="1794208106">
                              <w:marLeft w:val="0"/>
                              <w:marRight w:val="0"/>
                              <w:marTop w:val="0"/>
                              <w:marBottom w:val="0"/>
                              <w:divBdr>
                                <w:top w:val="none" w:sz="0" w:space="0" w:color="auto"/>
                                <w:left w:val="none" w:sz="0" w:space="0" w:color="auto"/>
                                <w:bottom w:val="none" w:sz="0" w:space="0" w:color="auto"/>
                                <w:right w:val="none" w:sz="0" w:space="0" w:color="auto"/>
                              </w:divBdr>
                              <w:divsChild>
                                <w:div w:id="13757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171147">
      <w:bodyDiv w:val="1"/>
      <w:marLeft w:val="0"/>
      <w:marRight w:val="0"/>
      <w:marTop w:val="0"/>
      <w:marBottom w:val="0"/>
      <w:divBdr>
        <w:top w:val="none" w:sz="0" w:space="0" w:color="auto"/>
        <w:left w:val="none" w:sz="0" w:space="0" w:color="auto"/>
        <w:bottom w:val="none" w:sz="0" w:space="0" w:color="auto"/>
        <w:right w:val="none" w:sz="0" w:space="0" w:color="auto"/>
      </w:divBdr>
    </w:div>
    <w:div w:id="1426340428">
      <w:bodyDiv w:val="1"/>
      <w:marLeft w:val="0"/>
      <w:marRight w:val="0"/>
      <w:marTop w:val="0"/>
      <w:marBottom w:val="0"/>
      <w:divBdr>
        <w:top w:val="none" w:sz="0" w:space="0" w:color="auto"/>
        <w:left w:val="none" w:sz="0" w:space="0" w:color="auto"/>
        <w:bottom w:val="none" w:sz="0" w:space="0" w:color="auto"/>
        <w:right w:val="none" w:sz="0" w:space="0" w:color="auto"/>
      </w:divBdr>
    </w:div>
    <w:div w:id="1491752345">
      <w:bodyDiv w:val="1"/>
      <w:marLeft w:val="0"/>
      <w:marRight w:val="0"/>
      <w:marTop w:val="0"/>
      <w:marBottom w:val="0"/>
      <w:divBdr>
        <w:top w:val="none" w:sz="0" w:space="0" w:color="auto"/>
        <w:left w:val="none" w:sz="0" w:space="0" w:color="auto"/>
        <w:bottom w:val="none" w:sz="0" w:space="0" w:color="auto"/>
        <w:right w:val="none" w:sz="0" w:space="0" w:color="auto"/>
      </w:divBdr>
    </w:div>
    <w:div w:id="1546789416">
      <w:bodyDiv w:val="1"/>
      <w:marLeft w:val="0"/>
      <w:marRight w:val="0"/>
      <w:marTop w:val="0"/>
      <w:marBottom w:val="0"/>
      <w:divBdr>
        <w:top w:val="none" w:sz="0" w:space="0" w:color="auto"/>
        <w:left w:val="none" w:sz="0" w:space="0" w:color="auto"/>
        <w:bottom w:val="none" w:sz="0" w:space="0" w:color="auto"/>
        <w:right w:val="none" w:sz="0" w:space="0" w:color="auto"/>
      </w:divBdr>
    </w:div>
    <w:div w:id="1562598030">
      <w:bodyDiv w:val="1"/>
      <w:marLeft w:val="0"/>
      <w:marRight w:val="0"/>
      <w:marTop w:val="0"/>
      <w:marBottom w:val="0"/>
      <w:divBdr>
        <w:top w:val="none" w:sz="0" w:space="0" w:color="auto"/>
        <w:left w:val="none" w:sz="0" w:space="0" w:color="auto"/>
        <w:bottom w:val="none" w:sz="0" w:space="0" w:color="auto"/>
        <w:right w:val="none" w:sz="0" w:space="0" w:color="auto"/>
      </w:divBdr>
    </w:div>
    <w:div w:id="1715545385">
      <w:bodyDiv w:val="1"/>
      <w:marLeft w:val="0"/>
      <w:marRight w:val="0"/>
      <w:marTop w:val="0"/>
      <w:marBottom w:val="0"/>
      <w:divBdr>
        <w:top w:val="none" w:sz="0" w:space="0" w:color="auto"/>
        <w:left w:val="none" w:sz="0" w:space="0" w:color="auto"/>
        <w:bottom w:val="none" w:sz="0" w:space="0" w:color="auto"/>
        <w:right w:val="none" w:sz="0" w:space="0" w:color="auto"/>
      </w:divBdr>
    </w:div>
    <w:div w:id="1774326348">
      <w:bodyDiv w:val="1"/>
      <w:marLeft w:val="0"/>
      <w:marRight w:val="0"/>
      <w:marTop w:val="0"/>
      <w:marBottom w:val="0"/>
      <w:divBdr>
        <w:top w:val="none" w:sz="0" w:space="0" w:color="auto"/>
        <w:left w:val="none" w:sz="0" w:space="0" w:color="auto"/>
        <w:bottom w:val="none" w:sz="0" w:space="0" w:color="auto"/>
        <w:right w:val="none" w:sz="0" w:space="0" w:color="auto"/>
      </w:divBdr>
    </w:div>
    <w:div w:id="1825537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uryoputro@gmail.com"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ayunsriatmi@gmail.com" TargetMode="Externa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yperlink" Target="mailto:dr.dianwidya17@gmail.com" TargetMode="Externa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ADC26C-7D7C-44B7-9C78-E857D2AE5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29</Pages>
  <Words>51668</Words>
  <Characters>294508</Characters>
  <Application>Microsoft Office Word</Application>
  <DocSecurity>0</DocSecurity>
  <Lines>2454</Lines>
  <Paragraphs>690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3</cp:revision>
  <dcterms:created xsi:type="dcterms:W3CDTF">2025-12-17T05:13:00Z</dcterms:created>
  <dcterms:modified xsi:type="dcterms:W3CDTF">2025-12-17T08:07:00Z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http://www.zotero.org/styles/vancouver-superscript</vt:lpwstr>
  </property>
  <property fmtid="{D5CDD505-2E9C-101B-9397-08002B2CF9AE}" pid="19" name="Mendeley Recent Style Name 8_1">
    <vt:lpwstr>Vancouver (superscript)</vt:lpwstr>
  </property>
  <property fmtid="{D5CDD505-2E9C-101B-9397-08002B2CF9AE}" pid="20" name="Mendeley Recent Style Id 9_1">
    <vt:lpwstr>http://csl.mendeley.com/styles/456746711/vancouver-superscript-2</vt:lpwstr>
  </property>
  <property fmtid="{D5CDD505-2E9C-101B-9397-08002B2CF9AE}" pid="21" name="Mendeley Recent Style Name 9_1">
    <vt:lpwstr>Vancouver (superscript) - Valensa Yosephi</vt:lpwstr>
  </property>
  <property fmtid="{D5CDD505-2E9C-101B-9397-08002B2CF9AE}" pid="22" name="Mendeley Document_1">
    <vt:lpwstr>True</vt:lpwstr>
  </property>
  <property fmtid="{D5CDD505-2E9C-101B-9397-08002B2CF9AE}" pid="23" name="Mendeley Unique User Id_1">
    <vt:lpwstr>780b97c9-ffa4-3707-80b7-b8f12b7aa11d</vt:lpwstr>
  </property>
  <property fmtid="{D5CDD505-2E9C-101B-9397-08002B2CF9AE}" pid="24" name="Mendeley Citation Style_1">
    <vt:lpwstr>http://www.zotero.org/styles/apa</vt:lpwstr>
  </property>
</Properties>
</file>