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78845">
      <w:pPr>
        <w:widowControl w:val="0"/>
        <w:pBdr>
          <w:top w:val="none" w:color="auto" w:sz="0" w:space="0"/>
          <w:left w:val="none" w:color="auto" w:sz="0" w:space="0"/>
          <w:bottom w:val="none" w:color="auto" w:sz="0" w:space="0"/>
          <w:right w:val="none" w:color="auto" w:sz="0" w:space="0"/>
          <w:between w:val="none" w:color="auto" w:sz="0" w:space="0"/>
        </w:pBdr>
        <w:spacing w:after="0" w:line="276" w:lineRule="auto"/>
        <w:ind w:left="0" w:hanging="2"/>
        <w:jc w:val="left"/>
      </w:pPr>
      <w:r>
        <w:pict>
          <v:shape id="_x0000_s1027" o:spid="_x0000_s1027" o:spt="75" type="#_x0000_t75" style="position:absolute;left:0pt;margin-left:0pt;margin-top:0pt;height:50pt;width:50pt;visibility:hidden;z-index:251660288;mso-width-relative:page;mso-height-relative:page;" filled="f" o:preferrelative="t" stroked="f" coordsize="21600,21600">
            <v:path/>
            <v:fill on="f" focussize="0,0"/>
            <v:stroke on="f" joinstyle="miter"/>
            <v:imagedata o:title=""/>
            <o:lock v:ext="edit" selection="t" aspectratio="t"/>
          </v:shape>
        </w:pict>
      </w:r>
    </w:p>
    <w:p w14:paraId="0DA3874D">
      <w:pPr>
        <w:tabs>
          <w:tab w:val="right" w:pos="8505"/>
        </w:tabs>
        <w:spacing w:after="0"/>
        <w:ind w:left="0" w:hanging="2"/>
        <w:jc w:val="both"/>
        <w:rPr>
          <w:rFonts w:ascii="Century Gothic" w:hAnsi="Century Gothic" w:eastAsia="Century Gothic" w:cs="Century Gothic"/>
          <w:sz w:val="20"/>
          <w:szCs w:val="20"/>
        </w:rPr>
      </w:pPr>
      <w:bookmarkStart w:id="0" w:name="_heading=h.gjdgxs" w:colFirst="0" w:colLast="0"/>
      <w:bookmarkEnd w:id="0"/>
      <w:r>
        <w:rPr>
          <w:rFonts w:ascii="Century Gothic" w:hAnsi="Century Gothic" w:eastAsia="Century Gothic" w:cs="Century Gothic"/>
          <w:i/>
          <w:iCs/>
          <w:sz w:val="20"/>
          <w:szCs w:val="20"/>
        </w:rPr>
        <w:t xml:space="preserve">FISITEK: Jurnal Ilmu Fisika dan Teknologi, Vol. 1, No. 2 , 2017, 16-22 </w:t>
      </w:r>
      <w:r>
        <w:rPr>
          <w:rFonts w:ascii="Century Gothic" w:hAnsi="Century Gothic" w:eastAsia="Century Gothic" w:cs="Century Gothic"/>
          <w:i/>
          <w:iCs/>
          <w:sz w:val="20"/>
          <w:szCs w:val="20"/>
        </w:rPr>
        <w:tab/>
      </w:r>
      <w:r>
        <w:rPr>
          <w:rFonts w:ascii="Century Gothic" w:hAnsi="Century Gothic" w:eastAsia="Century Gothic" w:cs="Century Gothic"/>
          <w:i/>
          <w:iCs/>
          <w:sz w:val="20"/>
          <w:szCs w:val="20"/>
        </w:rPr>
        <w:t>ISSN: 2580-989X</w:t>
      </w:r>
    </w:p>
    <w:p w14:paraId="558A4C58">
      <w:pPr>
        <w:spacing w:after="0" w:line="276" w:lineRule="auto"/>
        <w:ind w:left="0" w:right="-1" w:hanging="2"/>
        <w:jc w:val="both"/>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0" cy="28575"/>
                <wp:effectExtent l="0" t="0" r="0" b="0"/>
                <wp:wrapNone/>
                <wp:docPr id="1057" name="Straight Arrow Connector 1057"/>
                <wp:cNvGraphicFramePr/>
                <a:graphic xmlns:a="http://schemas.openxmlformats.org/drawingml/2006/main">
                  <a:graphicData uri="http://schemas.microsoft.com/office/word/2010/wordprocessingShape">
                    <wps:wsp>
                      <wps:cNvCnPr/>
                      <wps:spPr>
                        <a:xfrm>
                          <a:off x="2478023" y="3780000"/>
                          <a:ext cx="573595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0pt;margin-top:0.4pt;height:2.25pt;width:0pt;z-index:251659264;mso-width-relative:page;mso-height-relative:page;" filled="f" stroked="t" coordsize="21600,21600" o:gfxdata="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eEjmvRAAAAAAEAAA8AAAAAAAAAAQAgAAAAIgAAAGRycy9kb3ducmV2LnhtbFBL&#10;AQIUABQAAAAIAIdO4kDuKo64/QEAABcEAAAOAAAAAAAAAAEAIAAAACABAABkcnMvZTJvRG9jLnht&#10;bFBLBQYAAAAABgAGAFkBAACPBQAAAAA=&#10;">
                <v:fill on="f" focussize="0,0"/>
                <v:stroke weight="2.25pt" color="#000000" joinstyle="round"/>
                <v:imagedata o:title=""/>
                <o:lock v:ext="edit" aspectratio="f"/>
              </v:shape>
            </w:pict>
          </mc:Fallback>
        </mc:AlternateContent>
      </w:r>
    </w:p>
    <w:p w14:paraId="359FAEBA">
      <w:pPr>
        <w:pBdr>
          <w:top w:val="none" w:color="auto" w:sz="0" w:space="0"/>
          <w:left w:val="none" w:color="auto" w:sz="0" w:space="0"/>
          <w:bottom w:val="none" w:color="auto" w:sz="0" w:space="0"/>
          <w:right w:val="none" w:color="auto" w:sz="0" w:space="0"/>
          <w:between w:val="none" w:color="auto" w:sz="0" w:space="0"/>
        </w:pBdr>
        <w:spacing w:after="0" w:line="228" w:lineRule="auto"/>
        <w:ind w:left="1" w:hanging="3"/>
        <w:rPr>
          <w:rFonts w:ascii="Times New Roman" w:hAnsi="Times New Roman" w:eastAsia="Times New Roman" w:cs="Times New Roman"/>
          <w:b/>
          <w:bCs/>
          <w:color w:val="000000"/>
          <w:sz w:val="28"/>
          <w:szCs w:val="28"/>
        </w:rPr>
      </w:pPr>
    </w:p>
    <w:p w14:paraId="49FED87B">
      <w:pPr>
        <w:pBdr>
          <w:top w:val="none" w:color="auto" w:sz="0" w:space="0"/>
          <w:left w:val="none" w:color="auto" w:sz="0" w:space="0"/>
          <w:bottom w:val="none" w:color="auto" w:sz="0" w:space="0"/>
          <w:right w:val="none" w:color="auto" w:sz="0" w:space="0"/>
          <w:between w:val="none" w:color="auto" w:sz="0" w:space="0"/>
        </w:pBdr>
        <w:spacing w:after="0" w:line="228" w:lineRule="auto"/>
        <w:ind w:left="1" w:hanging="3"/>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 xml:space="preserve">ANALISIS BIBLIOMETRIK DAN SLR: TREN PENERAPAN JST DALAM PENILAIAN PEMBELAJARAN FISIKA BERBASIS </w:t>
      </w:r>
      <w:r>
        <w:rPr>
          <w:rFonts w:ascii="Times New Roman" w:hAnsi="Times New Roman" w:eastAsia="Times New Roman" w:cs="Times New Roman"/>
          <w:b/>
          <w:bCs/>
          <w:i/>
          <w:iCs/>
          <w:color w:val="000000"/>
          <w:sz w:val="28"/>
          <w:szCs w:val="28"/>
        </w:rPr>
        <w:t>VIRTUAL LABORATORY</w:t>
      </w:r>
    </w:p>
    <w:p w14:paraId="50C3C864">
      <w:pPr>
        <w:spacing w:after="0" w:line="276" w:lineRule="auto"/>
        <w:ind w:left="1" w:right="-1" w:hanging="3"/>
        <w:rPr>
          <w:rFonts w:ascii="Times New Roman" w:hAnsi="Times New Roman" w:eastAsia="Times New Roman" w:cs="Times New Roman"/>
          <w:sz w:val="28"/>
          <w:szCs w:val="28"/>
        </w:rPr>
      </w:pPr>
    </w:p>
    <w:p w14:paraId="01EB78C7">
      <w:pPr>
        <w:spacing w:after="0" w:line="276" w:lineRule="auto"/>
        <w:ind w:left="1" w:hanging="3"/>
        <w:rPr>
          <w:rFonts w:ascii="Times New Roman" w:hAnsi="Times New Roman" w:eastAsia="Times New Roman" w:cs="Times New Roman"/>
          <w:sz w:val="28"/>
          <w:szCs w:val="28"/>
        </w:rPr>
      </w:pPr>
    </w:p>
    <w:p w14:paraId="4185129B">
      <w:pPr>
        <w:spacing w:after="0" w:line="276" w:lineRule="auto"/>
        <w:ind w:left="0" w:hanging="2"/>
        <w:rPr>
          <w:rFonts w:ascii="Times New Roman" w:hAnsi="Times New Roman" w:eastAsia="Times New Roman" w:cs="Times New Roman"/>
          <w:u w:val="single"/>
        </w:rPr>
      </w:pPr>
      <w:r>
        <w:rPr>
          <w:rFonts w:ascii="Times New Roman" w:hAnsi="Times New Roman" w:eastAsia="Times New Roman" w:cs="Times New Roman"/>
          <w:b/>
          <w:bCs/>
          <w:u w:val="single"/>
        </w:rPr>
        <w:t>Delia Achadina Putri</w:t>
      </w:r>
      <w:r>
        <w:rPr>
          <w:rFonts w:ascii="Times New Roman" w:hAnsi="Times New Roman" w:eastAsia="Times New Roman" w:cs="Times New Roman"/>
          <w:b/>
          <w:bCs/>
          <w:u w:val="single"/>
          <w:vertAlign w:val="superscript"/>
        </w:rPr>
        <w:t>1*</w:t>
      </w:r>
      <w:r>
        <w:rPr>
          <w:rFonts w:ascii="Times New Roman" w:hAnsi="Times New Roman" w:eastAsia="Times New Roman" w:cs="Times New Roman"/>
          <w:b/>
          <w:bCs/>
          <w:u w:val="single"/>
        </w:rPr>
        <w:t>, Sri Endang Wahyuni</w:t>
      </w:r>
      <w:r>
        <w:rPr>
          <w:rFonts w:hint="default" w:ascii="Times New Roman" w:hAnsi="Times New Roman" w:eastAsia="Times New Roman" w:cs="Times New Roman"/>
          <w:b/>
          <w:bCs/>
          <w:u w:val="single"/>
          <w:lang w:val="en-US"/>
        </w:rPr>
        <w:t>*</w:t>
      </w:r>
      <w:r>
        <w:rPr>
          <w:rFonts w:ascii="Times New Roman" w:hAnsi="Times New Roman" w:eastAsia="Times New Roman" w:cs="Times New Roman"/>
          <w:b/>
          <w:bCs/>
          <w:u w:val="single"/>
          <w:vertAlign w:val="superscript"/>
        </w:rPr>
        <w:t>2</w:t>
      </w:r>
      <w:r>
        <w:rPr>
          <w:rFonts w:ascii="Times New Roman" w:hAnsi="Times New Roman" w:eastAsia="Times New Roman" w:cs="Times New Roman"/>
          <w:b/>
          <w:bCs/>
          <w:u w:val="single"/>
        </w:rPr>
        <w:t>, dan Popi Purwanti</w:t>
      </w:r>
      <w:r>
        <w:rPr>
          <w:rFonts w:ascii="Times New Roman" w:hAnsi="Times New Roman" w:eastAsia="Times New Roman" w:cs="Times New Roman"/>
          <w:b/>
          <w:bCs/>
          <w:u w:val="single"/>
          <w:vertAlign w:val="superscript"/>
        </w:rPr>
        <w:t>3</w:t>
      </w:r>
      <w:r>
        <w:rPr>
          <w:rFonts w:ascii="Times New Roman" w:hAnsi="Times New Roman" w:eastAsia="Times New Roman" w:cs="Times New Roman"/>
          <w:b/>
          <w:bCs/>
          <w:u w:val="single"/>
        </w:rPr>
        <w:t xml:space="preserve"> </w:t>
      </w:r>
    </w:p>
    <w:p w14:paraId="29279383">
      <w:pPr>
        <w:pBdr>
          <w:top w:val="none" w:color="auto" w:sz="0" w:space="0"/>
          <w:left w:val="none" w:color="auto" w:sz="0" w:space="0"/>
          <w:bottom w:val="none" w:color="auto" w:sz="0" w:space="0"/>
          <w:right w:val="none" w:color="auto" w:sz="0" w:space="0"/>
          <w:between w:val="none" w:color="auto" w:sz="0" w:space="0"/>
        </w:pBdr>
        <w:spacing w:after="0" w:line="276" w:lineRule="auto"/>
        <w:ind w:left="0" w:hanging="2"/>
        <w:rPr>
          <w:rFonts w:ascii="Times New Roman" w:hAnsi="Times New Roman" w:eastAsia="Times New Roman" w:cs="Times New Roman"/>
          <w:color w:val="000000"/>
        </w:rPr>
      </w:pPr>
      <w:r>
        <w:rPr>
          <w:rFonts w:ascii="Times New Roman" w:hAnsi="Times New Roman" w:eastAsia="Times New Roman" w:cs="Times New Roman"/>
          <w:i/>
          <w:iCs/>
          <w:color w:val="000000"/>
          <w:vertAlign w:val="superscript"/>
        </w:rPr>
        <w:t>1,2,3</w:t>
      </w:r>
      <w:r>
        <w:rPr>
          <w:rFonts w:ascii="Times New Roman" w:hAnsi="Times New Roman" w:eastAsia="Times New Roman" w:cs="Times New Roman"/>
          <w:i/>
          <w:iCs/>
          <w:color w:val="000000"/>
        </w:rPr>
        <w:t>Universitas Indraprasta PGRI, Indonesia</w:t>
      </w:r>
    </w:p>
    <w:p w14:paraId="22EF8223">
      <w:pPr>
        <w:spacing w:after="0" w:line="276" w:lineRule="auto"/>
        <w:ind w:left="0" w:hanging="2"/>
        <w:rPr>
          <w:rFonts w:ascii="Times New Roman" w:hAnsi="Times New Roman" w:eastAsia="Times New Roman" w:cs="Times New Roman"/>
        </w:rPr>
      </w:pPr>
      <w:r>
        <w:rPr>
          <w:rFonts w:ascii="Times New Roman" w:hAnsi="Times New Roman" w:eastAsia="Times New Roman" w:cs="Times New Roman"/>
          <w:i/>
          <w:iCs/>
        </w:rPr>
        <w:t>*Email:</w:t>
      </w:r>
      <w:r>
        <w:rPr>
          <w:rFonts w:ascii="Times New Roman" w:hAnsi="Times New Roman" w:cs="Times New Roman"/>
          <w:i/>
          <w:iCs/>
          <w:lang w:val="pt-BR"/>
        </w:rPr>
        <w:t xml:space="preserve"> </w:t>
      </w:r>
      <w:r>
        <w:rPr>
          <w:rFonts w:hint="default" w:ascii="Times New Roman" w:hAnsi="Times New Roman" w:cs="Times New Roman"/>
          <w:i/>
          <w:iCs/>
          <w:lang w:val="en-US"/>
        </w:rPr>
        <w:fldChar w:fldCharType="begin"/>
      </w:r>
      <w:r>
        <w:rPr>
          <w:rFonts w:hint="default" w:ascii="Times New Roman" w:hAnsi="Times New Roman" w:cs="Times New Roman"/>
          <w:i/>
          <w:iCs/>
          <w:lang w:val="en-US"/>
        </w:rPr>
        <w:instrText xml:space="preserve"> HYPERLINK "mailto:sherie.endang.wahyuni@gmail.com" </w:instrText>
      </w:r>
      <w:r>
        <w:rPr>
          <w:rFonts w:hint="default" w:ascii="Times New Roman" w:hAnsi="Times New Roman" w:cs="Times New Roman"/>
          <w:i/>
          <w:iCs/>
          <w:lang w:val="en-US"/>
        </w:rPr>
        <w:fldChar w:fldCharType="separate"/>
      </w:r>
      <w:r>
        <w:rPr>
          <w:rStyle w:val="12"/>
          <w:rFonts w:hint="default" w:ascii="Times New Roman" w:hAnsi="Times New Roman" w:cs="Times New Roman"/>
          <w:i/>
          <w:iCs/>
          <w:lang w:val="en-US"/>
        </w:rPr>
        <w:t>sherie.endang.wahyuni@gmail.com</w:t>
      </w:r>
      <w:r>
        <w:rPr>
          <w:rFonts w:hint="default" w:ascii="Times New Roman" w:hAnsi="Times New Roman" w:cs="Times New Roman"/>
          <w:i/>
          <w:iCs/>
          <w:lang w:val="en-US"/>
        </w:rPr>
        <w:fldChar w:fldCharType="end"/>
      </w:r>
      <w:r>
        <w:rPr>
          <w:rFonts w:ascii="Times New Roman" w:hAnsi="Times New Roman" w:cs="Times New Roman"/>
          <w:i/>
          <w:iCs/>
          <w:lang w:val="pt-BR"/>
        </w:rPr>
        <w:t xml:space="preserve"> </w:t>
      </w:r>
      <w:r>
        <w:rPr>
          <w:rFonts w:ascii="Times New Roman" w:hAnsi="Times New Roman" w:eastAsia="Times New Roman" w:cs="Times New Roman"/>
          <w:i/>
          <w:iCs/>
        </w:rPr>
        <w:t>.</w:t>
      </w:r>
    </w:p>
    <w:p w14:paraId="59602D63">
      <w:pPr>
        <w:spacing w:after="0" w:line="276" w:lineRule="auto"/>
        <w:ind w:left="0" w:hanging="2"/>
        <w:jc w:val="both"/>
        <w:rPr>
          <w:rFonts w:ascii="Times New Roman" w:hAnsi="Times New Roman" w:eastAsia="Times New Roman" w:cs="Times New Roman"/>
        </w:rPr>
      </w:pPr>
    </w:p>
    <w:p w14:paraId="59BA2367">
      <w:pPr>
        <w:pBdr>
          <w:top w:val="none" w:color="auto" w:sz="0" w:space="0"/>
          <w:left w:val="none" w:color="auto" w:sz="0" w:space="0"/>
          <w:bottom w:val="none" w:color="auto" w:sz="0" w:space="0"/>
          <w:right w:val="none" w:color="auto" w:sz="0" w:space="0"/>
          <w:between w:val="none" w:color="auto" w:sz="0" w:space="0"/>
        </w:pBdr>
        <w:spacing w:after="0" w:line="276" w:lineRule="auto"/>
        <w:ind w:left="0" w:right="284" w:hanging="2"/>
        <w:rPr>
          <w:rFonts w:ascii="Times New Roman" w:hAnsi="Times New Roman" w:eastAsia="Times New Roman" w:cs="Times New Roman"/>
          <w:color w:val="000000"/>
        </w:rPr>
      </w:pPr>
      <w:r>
        <w:rPr>
          <w:rFonts w:ascii="Times New Roman" w:hAnsi="Times New Roman" w:eastAsia="Times New Roman" w:cs="Times New Roman"/>
          <w:b/>
          <w:bCs/>
          <w:color w:val="000000"/>
        </w:rPr>
        <w:t>Abstrak</w:t>
      </w:r>
    </w:p>
    <w:p w14:paraId="54ED0A99">
      <w:pPr>
        <w:spacing w:line="228" w:lineRule="auto"/>
        <w:ind w:left="-2" w:firstLine="0" w:firstLineChars="0"/>
        <w:jc w:val="both"/>
        <w:rPr>
          <w:rFonts w:ascii="Times New Roman" w:hAnsi="Times New Roman" w:eastAsia="Times New Roman" w:cs="Times New Roman"/>
          <w:lang w:val="en-GB"/>
        </w:rPr>
      </w:pPr>
      <w:r>
        <w:rPr>
          <w:rFonts w:ascii="Times New Roman" w:hAnsi="Times New Roman" w:eastAsia="Times New Roman" w:cs="Times New Roman"/>
          <w:lang w:val="en-GB"/>
        </w:rPr>
        <w:t>Sistem penilaian pembelajaran fisika masih didominasi oleh pendekatan konvensional yang cenderung subjektif dan belum mampu mengakomodasi analisis</w:t>
      </w:r>
      <w:bookmarkStart w:id="3" w:name="_GoBack"/>
      <w:bookmarkEnd w:id="3"/>
      <w:r>
        <w:rPr>
          <w:rFonts w:ascii="Times New Roman" w:hAnsi="Times New Roman" w:eastAsia="Times New Roman" w:cs="Times New Roman"/>
          <w:lang w:val="en-GB"/>
        </w:rPr>
        <w:t xml:space="preserve"> data pembelajaran yang kompleks. Perkembangan teknologi, khususnya </w:t>
      </w:r>
      <w:r>
        <w:rPr>
          <w:rFonts w:ascii="Times New Roman" w:hAnsi="Times New Roman" w:eastAsia="Times New Roman" w:cs="Times New Roman"/>
          <w:i/>
          <w:iCs/>
          <w:lang w:val="en-GB"/>
        </w:rPr>
        <w:t>virtual laboratory</w:t>
      </w:r>
      <w:r>
        <w:rPr>
          <w:rFonts w:ascii="Times New Roman" w:hAnsi="Times New Roman" w:eastAsia="Times New Roman" w:cs="Times New Roman"/>
          <w:lang w:val="en-GB"/>
        </w:rPr>
        <w:t xml:space="preserve">, menghasilkan data interaksi belajar yang berpotensi dimanfaatkan untuk meningkatkan kualitas penilaian, namun pemanfaatannya masih terbatas. Penelitian ini bertujuan untuk mengidentifikasi tren penelitian, menganalisis perkembangan penerapan jaringan syaraf tiruan (JST), serta memetakan peluang pengembangan sistem penilaian pembelajaran berbasis </w:t>
      </w:r>
      <w:r>
        <w:rPr>
          <w:rFonts w:ascii="Times New Roman" w:hAnsi="Times New Roman" w:eastAsia="Times New Roman" w:cs="Times New Roman"/>
          <w:i/>
          <w:iCs/>
          <w:lang w:val="en-GB"/>
        </w:rPr>
        <w:t>virtual laboratory</w:t>
      </w:r>
      <w:r>
        <w:rPr>
          <w:rFonts w:ascii="Times New Roman" w:hAnsi="Times New Roman" w:eastAsia="Times New Roman" w:cs="Times New Roman"/>
          <w:lang w:val="en-GB"/>
        </w:rPr>
        <w:t xml:space="preserve"> </w:t>
      </w:r>
      <w:r>
        <w:rPr>
          <w:rFonts w:ascii="Times New Roman" w:hAnsi="Times New Roman" w:eastAsia="Times New Roman" w:cs="Times New Roman"/>
          <w:b/>
          <w:bCs/>
          <w:lang w:val="en-GB"/>
        </w:rPr>
        <w:t>pada periode 2016–2026</w:t>
      </w:r>
      <w:r>
        <w:rPr>
          <w:rFonts w:ascii="Times New Roman" w:hAnsi="Times New Roman" w:eastAsia="Times New Roman" w:cs="Times New Roman"/>
          <w:lang w:val="en-GB"/>
        </w:rPr>
        <w:t xml:space="preserve">. Metode yang digunakan adalah </w:t>
      </w:r>
      <w:r>
        <w:rPr>
          <w:rFonts w:ascii="Times New Roman" w:hAnsi="Times New Roman" w:eastAsia="Times New Roman" w:cs="Times New Roman"/>
          <w:i/>
          <w:iCs/>
          <w:lang w:val="en-GB"/>
        </w:rPr>
        <w:t>Systematic Literature Review</w:t>
      </w:r>
      <w:r>
        <w:rPr>
          <w:rFonts w:ascii="Times New Roman" w:hAnsi="Times New Roman" w:eastAsia="Times New Roman" w:cs="Times New Roman"/>
          <w:lang w:val="en-GB"/>
        </w:rPr>
        <w:t xml:space="preserve"> (SLR) yang dikombinasikan dengan analisis bibliometrik. Data diperoleh dari database Scopus dengan </w:t>
      </w:r>
      <w:r>
        <w:rPr>
          <w:rFonts w:ascii="Times New Roman" w:hAnsi="Times New Roman" w:eastAsia="Times New Roman" w:cs="Times New Roman"/>
          <w:b/>
          <w:bCs/>
          <w:lang w:val="en-GB"/>
        </w:rPr>
        <w:t>343 artikel yang teridentifikasi pada periode 2016–2026</w:t>
      </w:r>
      <w:r>
        <w:rPr>
          <w:rFonts w:ascii="Times New Roman" w:hAnsi="Times New Roman" w:eastAsia="Times New Roman" w:cs="Times New Roman"/>
          <w:lang w:val="en-GB"/>
        </w:rPr>
        <w:t xml:space="preserve">, kemudian disaring menjadi 143 artikel berdasarkan kriteria tertentu, dan diperoleh 20 artikel akhir untuk dianalisis lebih lanjut. Hasil analisis menunjukkan bahwa pendekatan </w:t>
      </w:r>
      <w:r>
        <w:rPr>
          <w:rFonts w:ascii="Times New Roman" w:hAnsi="Times New Roman" w:eastAsia="Times New Roman" w:cs="Times New Roman"/>
          <w:i/>
          <w:iCs/>
          <w:lang w:val="en-GB"/>
        </w:rPr>
        <w:t>machine learning</w:t>
      </w:r>
      <w:r>
        <w:rPr>
          <w:rFonts w:ascii="Times New Roman" w:hAnsi="Times New Roman" w:eastAsia="Times New Roman" w:cs="Times New Roman"/>
          <w:lang w:val="en-GB"/>
        </w:rPr>
        <w:t xml:space="preserve">, khususnya JST, banyak digunakan dalam prediksi dan evaluasi hasil belajar siswa dengan tingkat akurasi yang tinggi. Namun, sebagian besar penelitian masih berfokus pada hasil akhir pembelajaran dan belum mengintegrasikan data proses belajar secara menyeluruh. Selain itu, integrasi antara JST dan </w:t>
      </w:r>
      <w:r>
        <w:rPr>
          <w:rFonts w:ascii="Times New Roman" w:hAnsi="Times New Roman" w:eastAsia="Times New Roman" w:cs="Times New Roman"/>
          <w:i/>
          <w:iCs/>
          <w:lang w:val="en-GB"/>
        </w:rPr>
        <w:t>virtual laboratory</w:t>
      </w:r>
      <w:r>
        <w:rPr>
          <w:rFonts w:ascii="Times New Roman" w:hAnsi="Times New Roman" w:eastAsia="Times New Roman" w:cs="Times New Roman"/>
          <w:lang w:val="en-GB"/>
        </w:rPr>
        <w:t xml:space="preserve"> dalam sistem penilaian pembelajaran masih sangat terbatas. Penelitian ini menegaskan bahwa pengembangan sistem penilaian berbasis JST yang terintegrasi dengan </w:t>
      </w:r>
      <w:r>
        <w:rPr>
          <w:rFonts w:ascii="Times New Roman" w:hAnsi="Times New Roman" w:eastAsia="Times New Roman" w:cs="Times New Roman"/>
          <w:i/>
          <w:iCs/>
          <w:lang w:val="en-GB"/>
        </w:rPr>
        <w:t>virtual laboratory</w:t>
      </w:r>
      <w:r>
        <w:rPr>
          <w:rFonts w:ascii="Times New Roman" w:hAnsi="Times New Roman" w:eastAsia="Times New Roman" w:cs="Times New Roman"/>
          <w:lang w:val="en-GB"/>
        </w:rPr>
        <w:t xml:space="preserve"> berpotensi menghasilkan evaluasi pembelajaran yang lebih komprehensif, adaptif, dan berbasis data dalam pembelajaran fisika.</w:t>
      </w:r>
      <w:r>
        <w:rPr>
          <w:rFonts w:ascii="Times New Roman" w:hAnsi="Times New Roman" w:eastAsia="Times New Roman" w:cs="Times New Roman"/>
        </w:rPr>
        <w:t xml:space="preserve">  </w:t>
      </w:r>
    </w:p>
    <w:p w14:paraId="24BC63CE">
      <w:pPr>
        <w:spacing w:before="120" w:after="0" w:line="276" w:lineRule="auto"/>
        <w:ind w:left="0" w:hanging="2"/>
        <w:jc w:val="both"/>
        <w:rPr>
          <w:rFonts w:ascii="Times New Roman" w:hAnsi="Times New Roman" w:eastAsia="Times New Roman" w:cs="Times New Roman"/>
        </w:rPr>
      </w:pPr>
      <w:r>
        <w:rPr>
          <w:rFonts w:ascii="Times New Roman" w:hAnsi="Times New Roman" w:eastAsia="Times New Roman" w:cs="Times New Roman"/>
          <w:b/>
          <w:bCs/>
        </w:rPr>
        <w:t>Kata-kata kunci:</w:t>
      </w:r>
      <w:r>
        <w:rPr>
          <w:rFonts w:ascii="Times New Roman" w:hAnsi="Times New Roman" w:eastAsia="Times New Roman" w:cs="Times New Roman"/>
        </w:rPr>
        <w:t xml:space="preserve"> Jaringan Syaraf Tiruan, Virtual Laboratory, Analisis Bibliometrik, Systematic Literature Review.</w:t>
      </w:r>
    </w:p>
    <w:p w14:paraId="6A4D8F9A">
      <w:pPr>
        <w:pBdr>
          <w:top w:val="none" w:color="auto" w:sz="0" w:space="0"/>
          <w:left w:val="none" w:color="auto" w:sz="0" w:space="0"/>
          <w:bottom w:val="none" w:color="auto" w:sz="0" w:space="0"/>
          <w:right w:val="none" w:color="auto" w:sz="0" w:space="0"/>
          <w:between w:val="none" w:color="auto" w:sz="0" w:space="0"/>
        </w:pBdr>
        <w:tabs>
          <w:tab w:val="left" w:pos="2835"/>
        </w:tabs>
        <w:spacing w:after="0" w:line="276" w:lineRule="auto"/>
        <w:ind w:left="0" w:hanging="2"/>
        <w:jc w:val="both"/>
        <w:rPr>
          <w:rFonts w:ascii="Times New Roman" w:hAnsi="Times New Roman" w:eastAsia="Times New Roman" w:cs="Times New Roman"/>
          <w:color w:val="000000"/>
        </w:rPr>
      </w:pPr>
      <w:r>
        <w:rPr>
          <w:rFonts w:ascii="Times New Roman" w:hAnsi="Times New Roman" w:eastAsia="Times New Roman" w:cs="Times New Roman"/>
          <w:color w:val="000000"/>
        </w:rPr>
        <w:tab/>
      </w:r>
    </w:p>
    <w:p w14:paraId="3C8B08DF">
      <w:pPr>
        <w:pBdr>
          <w:top w:val="none" w:color="auto" w:sz="0" w:space="0"/>
          <w:left w:val="none" w:color="auto" w:sz="0" w:space="0"/>
          <w:bottom w:val="none" w:color="auto" w:sz="0" w:space="0"/>
          <w:right w:val="none" w:color="auto" w:sz="0" w:space="0"/>
          <w:between w:val="none" w:color="auto" w:sz="0" w:space="0"/>
        </w:pBdr>
        <w:tabs>
          <w:tab w:val="right" w:pos="284"/>
        </w:tabs>
        <w:spacing w:after="0" w:line="276" w:lineRule="auto"/>
        <w:ind w:left="0" w:hanging="2"/>
        <w:rPr>
          <w:rFonts w:ascii="Times New Roman" w:hAnsi="Times New Roman" w:eastAsia="Times New Roman" w:cs="Times New Roman"/>
          <w:b/>
          <w:bCs/>
          <w:color w:val="000000"/>
        </w:rPr>
      </w:pPr>
    </w:p>
    <w:p w14:paraId="3CE02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284" w:hanging="2"/>
        <w:rPr>
          <w:rFonts w:ascii="Times New Roman" w:hAnsi="Times New Roman" w:eastAsia="Times New Roman" w:cs="Times New Roman"/>
        </w:rPr>
      </w:pPr>
      <w:r>
        <w:rPr>
          <w:rFonts w:ascii="Times New Roman" w:hAnsi="Times New Roman" w:eastAsia="Times New Roman" w:cs="Times New Roman"/>
          <w:b/>
          <w:bCs/>
          <w:i/>
          <w:iCs/>
        </w:rPr>
        <w:t>Abstract</w:t>
      </w:r>
    </w:p>
    <w:p w14:paraId="1182FC50">
      <w:pPr>
        <w:pBdr>
          <w:top w:val="none" w:color="auto" w:sz="0" w:space="0"/>
          <w:left w:val="none" w:color="auto" w:sz="0" w:space="0"/>
          <w:bottom w:val="none" w:color="auto" w:sz="0" w:space="0"/>
          <w:right w:val="none" w:color="auto" w:sz="0" w:space="0"/>
          <w:between w:val="none" w:color="auto" w:sz="0" w:space="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hAnsi="Times New Roman" w:eastAsia="Times New Roman" w:cs="Times New Roman"/>
          <w:b/>
          <w:bCs/>
          <w:i/>
          <w:iCs/>
          <w:color w:val="222222"/>
          <w:lang w:val="en-GB"/>
        </w:rPr>
      </w:pPr>
      <w:r>
        <w:rPr>
          <w:rFonts w:ascii="Times New Roman" w:hAnsi="Times New Roman" w:eastAsia="Times New Roman" w:cs="Times New Roman"/>
          <w:i/>
          <w:iCs/>
          <w:color w:val="222222"/>
          <w:lang w:val="en-GB"/>
        </w:rPr>
        <w:t>Physics learning assessment systems are still predominantly based on conventional approaches that tend to be subjective and are unable to accommodate the analysis of complex learning data. Technological developments, particularly virtual laboratories, generate learning interaction data that have the potential to improve the quality of assessment; however, their utilization remains limited. This study aims to identify research trends, analyze the development of artificial neural network (ANN) applications, and map opportunities for developing virtual laboratory-based learning assessment systems during the 2016–2026 period. The method employed is a Systematic Literature Review (SLR) combined with bibliometric analysis. Data were obtained from the Scopus database, yielding 343 articles identified during the 2016–2026 period. These articles were subsequently screened based on specific criteria, resulting in 143 articles, from which 20 final articles were selected for further analysis. The results indicate that machine learning approaches, particularly ANNs, are widely used for predicting and evaluating students' learning outcomes with high levels of accuracy. However, most studies still focus on final learning outcomes and have not comprehensively integrated learning process data. Furthermore, the integration of ANNs and virtual laboratories into learning assessment systems remains very limited. This study highlights that the development of ANN-based assessment systems integrated with virtual laboratories has the potential to provide more comprehensive, adaptive, and data-driven assessment in physics education.</w:t>
      </w:r>
    </w:p>
    <w:p w14:paraId="1AA74402">
      <w:pPr>
        <w:pBdr>
          <w:top w:val="none" w:color="auto" w:sz="0" w:space="0"/>
          <w:left w:val="none" w:color="auto" w:sz="0" w:space="0"/>
          <w:bottom w:val="none" w:color="auto" w:sz="0" w:space="0"/>
          <w:right w:val="none" w:color="auto" w:sz="0" w:space="0"/>
          <w:between w:val="none" w:color="auto" w:sz="0" w:space="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hAnsi="Times New Roman" w:eastAsia="Times New Roman" w:cs="Times New Roman"/>
          <w:i/>
          <w:iCs/>
          <w:color w:val="222222"/>
        </w:rPr>
      </w:pPr>
      <w:r>
        <w:rPr>
          <w:rFonts w:ascii="Times New Roman" w:hAnsi="Times New Roman" w:eastAsia="Times New Roman" w:cs="Times New Roman"/>
          <w:b/>
          <w:bCs/>
          <w:i/>
          <w:iCs/>
          <w:color w:val="000000"/>
          <w:sz w:val="20"/>
          <w:szCs w:val="20"/>
        </w:rPr>
        <w:t>Keywords :</w:t>
      </w:r>
      <w:r>
        <w:rPr>
          <w:rFonts w:ascii="Times New Roman" w:hAnsi="Times New Roman" w:eastAsia="Times New Roman" w:cs="Times New Roman"/>
          <w:i/>
          <w:iCs/>
          <w:color w:val="000000"/>
          <w:sz w:val="20"/>
          <w:szCs w:val="20"/>
        </w:rPr>
        <w:t xml:space="preserve"> </w:t>
      </w:r>
      <w:r>
        <w:rPr>
          <w:rFonts w:ascii="Times New Roman" w:hAnsi="Times New Roman" w:eastAsia="Times New Roman" w:cs="Times New Roman"/>
          <w:i/>
          <w:iCs/>
          <w:color w:val="222222"/>
        </w:rPr>
        <w:t>Artificial Neural Networks, Virtual Laboratory, Bibliometric Analysis, Systematic Literature Review.</w:t>
      </w:r>
    </w:p>
    <w:p w14:paraId="1DE8C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ind w:left="0" w:hanging="2"/>
        <w:jc w:val="both"/>
        <w:rPr>
          <w:rFonts w:ascii="Times New Roman" w:hAnsi="Times New Roman" w:eastAsia="Times New Roman" w:cs="Times New Roman"/>
        </w:rPr>
      </w:pPr>
    </w:p>
    <w:p w14:paraId="06585DE8">
      <w:pPr>
        <w:spacing w:after="0" w:line="276" w:lineRule="auto"/>
        <w:ind w:left="0" w:right="282" w:hanging="2"/>
        <w:jc w:val="both"/>
        <w:rPr>
          <w:rFonts w:ascii="Times New Roman" w:hAnsi="Times New Roman" w:eastAsia="Times New Roman" w:cs="Times New Roman"/>
        </w:rPr>
      </w:pPr>
    </w:p>
    <w:p w14:paraId="07174867">
      <w:pPr>
        <w:spacing w:after="0" w:line="276" w:lineRule="auto"/>
        <w:ind w:left="0" w:right="282" w:hanging="2"/>
        <w:jc w:val="both"/>
        <w:rPr>
          <w:rFonts w:ascii="Times New Roman" w:hAnsi="Times New Roman" w:eastAsia="Times New Roman" w:cs="Times New Roman"/>
        </w:rPr>
      </w:pPr>
    </w:p>
    <w:p w14:paraId="234156F6">
      <w:pPr>
        <w:numPr>
          <w:ilvl w:val="0"/>
          <w:numId w:val="2"/>
        </w:numPr>
        <w:spacing w:after="0" w:line="276" w:lineRule="auto"/>
        <w:ind w:left="0" w:right="282" w:hanging="2"/>
        <w:jc w:val="both"/>
        <w:rPr>
          <w:rFonts w:ascii="Times New Roman" w:hAnsi="Times New Roman" w:eastAsia="Times New Roman" w:cs="Times New Roman"/>
        </w:rPr>
      </w:pPr>
      <w:r>
        <w:rPr>
          <w:rFonts w:ascii="Times New Roman" w:hAnsi="Times New Roman" w:eastAsia="Times New Roman" w:cs="Times New Roman"/>
          <w:b/>
          <w:bCs/>
        </w:rPr>
        <w:t>PENDAHULUAN</w:t>
      </w:r>
    </w:p>
    <w:p w14:paraId="7007B72C">
      <w:pPr>
        <w:pStyle w:val="54"/>
        <w:ind w:left="3" w:hanging="5"/>
        <w:rPr>
          <w:rFonts w:ascii="Times New Roman" w:hAnsi="Times New Roman"/>
          <w:sz w:val="22"/>
          <w:szCs w:val="22"/>
          <w:lang w:val="pt-BR"/>
        </w:rPr>
      </w:pPr>
      <w:r>
        <w:rPr>
          <w:rFonts w:ascii="Times New Roman" w:hAnsi="Times New Roman"/>
          <w:sz w:val="22"/>
          <w:szCs w:val="22"/>
          <w:lang w:val="pt-BR"/>
        </w:rPr>
        <w:t xml:space="preserve">Sistem penilaian pembelajaran fisika masih didominasi pendekatan konvensional yang bergantung pada interpretasi manual. Proses tersebut menghasilkan subjektivitas tinggi dan keterbatasan dalam mengolah data pembelajaran. Kondisi ini sejalan dengan temuan bahwa sistem penilaian berbasis manual memiliki keterbatasan dalam pengolahan data yang kompleks dan memerlukan pendekatan berbasis komputasi </w:t>
      </w:r>
      <w:r>
        <w:rPr>
          <w:rFonts w:ascii="Times New Roman" w:hAnsi="Times New Roman"/>
          <w:sz w:val="22"/>
          <w:szCs w:val="22"/>
          <w:lang w:val="pt-BR"/>
        </w:rPr>
        <w:fldChar w:fldCharType="begin" w:fldLock="1"/>
      </w:r>
      <w:r>
        <w:rPr>
          <w:rFonts w:ascii="Times New Roman" w:hAnsi="Times New Roman"/>
          <w:sz w:val="22"/>
          <w:szCs w:val="22"/>
          <w:lang w:val="pt-BR"/>
        </w:rPr>
        <w:instrText xml:space="preserve">ADDIN CSL_CITATION {"citationItems":[{"id":"ITEM-1","itemData":{"author":[{"dropping-particle":"","family":"Zola","given":"Fatmi","non-dropping-particle":"","parse-names":false,"suffix":""},{"dropping-particle":"","family":"Nurcahyo","given":"Gunadi Widi","non-dropping-particle":"","parse-names":false,"suffix":""},{"dropping-particle":"","family":"Santony","given":"Julius","non-dropping-particle":"","parse-names":false,"suffix":""}],"container-title":"Jurnal Teknologi Dan Open Source","id":"ITEM-1","issue":"1","issued":{"date-parts":[["2018"]]},"page":"58-72","title":"Jaringan Syaraf Tiruan Menggunakan Algoritma Backpropagation Untuk Memprediksi Prestasi Siswa","type":"article-journal","volume":"1"},"uris":["http://www.mendeley.com/documents/?uuid=522d3e5a-435e-47e6-9925-196c7d13b609"]}],"mendeley":{"formattedCitation":"(Zola et al., 2018)","plainTextFormattedCitation":"(Zola et al., 2018)","previouslyFormattedCitation":"(Zola et al., 2018)"},"properties":{"noteIndex":0},"schema":"https://github.com/citation-style-language/schema/raw/master/csl-citation.json"}</w:instrText>
      </w:r>
      <w:r>
        <w:rPr>
          <w:rFonts w:ascii="Times New Roman" w:hAnsi="Times New Roman"/>
          <w:sz w:val="22"/>
          <w:szCs w:val="22"/>
          <w:lang w:val="pt-BR"/>
        </w:rPr>
        <w:fldChar w:fldCharType="separate"/>
      </w:r>
      <w:r>
        <w:rPr>
          <w:rFonts w:ascii="Times New Roman" w:hAnsi="Times New Roman"/>
          <w:sz w:val="22"/>
          <w:szCs w:val="22"/>
          <w:lang w:val="pt-BR"/>
        </w:rPr>
        <w:t>(Zola et al., 2018)</w:t>
      </w:r>
      <w:r>
        <w:rPr>
          <w:rFonts w:ascii="Times New Roman" w:hAnsi="Times New Roman"/>
          <w:sz w:val="22"/>
          <w:szCs w:val="22"/>
          <w:lang w:val="pt-BR"/>
        </w:rPr>
        <w:fldChar w:fldCharType="end"/>
      </w:r>
      <w:r>
        <w:rPr>
          <w:rFonts w:ascii="Times New Roman" w:hAnsi="Times New Roman"/>
          <w:sz w:val="22"/>
          <w:szCs w:val="22"/>
          <w:lang w:val="pt-BR"/>
        </w:rPr>
        <w:t>. Percepatan transformasi digital pasca pandemi mendorong sekolah mengoptimalkan pemanfaatan teknologi dalam pembelajaran. Perubahan ini tidak hanya memengaruhi media dan strategi mengajar, tetapi juga menuntut sistem penilaian yang objektif, efisien, dan mampu memantau proses belajar.</w:t>
      </w:r>
    </w:p>
    <w:p w14:paraId="730B015A">
      <w:pPr>
        <w:pStyle w:val="54"/>
        <w:ind w:left="3" w:hanging="5"/>
        <w:rPr>
          <w:rFonts w:ascii="Times New Roman" w:hAnsi="Times New Roman"/>
          <w:sz w:val="22"/>
          <w:szCs w:val="22"/>
        </w:rPr>
      </w:pPr>
      <w:r>
        <w:rPr>
          <w:rFonts w:ascii="Times New Roman" w:hAnsi="Times New Roman"/>
          <w:sz w:val="22"/>
          <w:szCs w:val="22"/>
        </w:rPr>
        <w:t xml:space="preserve">Pemanfaatan </w:t>
      </w:r>
      <w:r>
        <w:rPr>
          <w:rFonts w:ascii="Times New Roman" w:hAnsi="Times New Roman"/>
          <w:i/>
          <w:sz w:val="22"/>
          <w:szCs w:val="22"/>
        </w:rPr>
        <w:t>virtual laboratory</w:t>
      </w:r>
      <w:r>
        <w:rPr>
          <w:rFonts w:ascii="Times New Roman" w:hAnsi="Times New Roman"/>
          <w:sz w:val="22"/>
          <w:szCs w:val="22"/>
        </w:rPr>
        <w:t xml:space="preserve"> telah digunakan sebagai alternatif dalam pembelajaran fisika. Media ini memungkinkan simulasi praktikum tanpa keterbatasan ruang dan alat. Penelitian menunjukkan bahwa </w:t>
      </w:r>
      <w:r>
        <w:rPr>
          <w:rFonts w:ascii="Times New Roman" w:hAnsi="Times New Roman"/>
          <w:i/>
          <w:sz w:val="22"/>
          <w:szCs w:val="22"/>
        </w:rPr>
        <w:t>virtual laboratory</w:t>
      </w:r>
      <w:r>
        <w:rPr>
          <w:rFonts w:ascii="Times New Roman" w:hAnsi="Times New Roman"/>
          <w:sz w:val="22"/>
          <w:szCs w:val="22"/>
        </w:rPr>
        <w:t xml:space="preserve"> digunakan sebagai solusi keterbatasan fasilitas laboratorium dan meningkatkan efektivitas pembelajaran </w:t>
      </w:r>
      <w:r>
        <w:rPr>
          <w:rFonts w:ascii="Times New Roman" w:hAnsi="Times New Roman"/>
          <w:sz w:val="22"/>
          <w:szCs w:val="22"/>
        </w:rPr>
        <w:fldChar w:fldCharType="begin" w:fldLock="1"/>
      </w:r>
      <w:r>
        <w:rPr>
          <w:rFonts w:ascii="Times New Roman" w:hAnsi="Times New Roman"/>
          <w:sz w:val="22"/>
          <w:szCs w:val="22"/>
        </w:rPr>
        <w:instrText xml:space="preserve">ADDIN CSL_CITATION {"citationItems":[{"id":"ITEM-1","itemData":{"DOI":"10.31571/jipp.v4i2.9317","abstract":"The use of technology in science learning has become a strategic solution to overcome limited laboratory facilities and improve learning effectiveness. Four separate studies demonstrate the significant contribution of interactive media such as Live Worksheets and virtual laboratory simulations (PhET) in supporting teaching and learning activities. Results show that virtual laboratories are effective in reducing the risk of errors and workplace accidents and offer an alternative when facilities are limited. However, students' practical experience and hands-on skills are more optimal when using a real-world laboratory, making virtual labs more suitable as introductory (pre-lab) practicals.","author":[{"dropping-particle":"","family":"Nurfadila","given":"Zakia","non-dropping-particle":"","parse-names":false,"suffix":""},{"dropping-particle":"","family":"Arlita","given":"Wina","non-dropping-particle":"","parse-names":false,"suffix":""}],"container-title":"Jurnal Inovasi Pendidikan dan Pengajaran (JIPP)","id":"ITEM-1","issue":"2","issued":{"date-parts":[["2025"]]},"page":"33-36","title":"Penerapan Laboratorium Virtual dalam Pembelajaran Fisika di Era Digital","type":"article-journal","volume":"4"},"uris":["http://www.mendeley.com/documents/?uuid=6a2e1267-2fdf-4527-8870-0082413e8121"]}],"mendeley":{"formattedCitation":"(Nurfadila &amp; Arlita, 2025)","plainTextFormattedCitation":"(Nurfadila &amp; Arlita, 2025)","previouslyFormattedCitation":"(Nurfadila &amp; Arlita, 2025)"},"properties":{"noteIndex":0},"schema":"https://github.com/citation-style-language/schema/raw/master/csl-citation.json"}</w:instrText>
      </w:r>
      <w:r>
        <w:rPr>
          <w:rFonts w:ascii="Times New Roman" w:hAnsi="Times New Roman"/>
          <w:sz w:val="22"/>
          <w:szCs w:val="22"/>
        </w:rPr>
        <w:fldChar w:fldCharType="separate"/>
      </w:r>
      <w:r>
        <w:rPr>
          <w:rFonts w:ascii="Times New Roman" w:hAnsi="Times New Roman"/>
          <w:sz w:val="22"/>
          <w:szCs w:val="22"/>
        </w:rPr>
        <w:t>(Nurfadila &amp; Arlita, 2025)</w:t>
      </w:r>
      <w:r>
        <w:rPr>
          <w:rFonts w:ascii="Times New Roman" w:hAnsi="Times New Roman"/>
          <w:sz w:val="22"/>
          <w:szCs w:val="22"/>
        </w:rPr>
        <w:fldChar w:fldCharType="end"/>
      </w:r>
      <w:r>
        <w:rPr>
          <w:rFonts w:ascii="Times New Roman" w:hAnsi="Times New Roman"/>
          <w:sz w:val="22"/>
          <w:szCs w:val="22"/>
        </w:rPr>
        <w:t xml:space="preserve">. Selain itu, penggunaan simulasi seperti PhET terbukti meningkatkan penguasaan konsep peserta didik dalam pembelajaran fisika </w:t>
      </w:r>
      <w:r>
        <w:rPr>
          <w:rFonts w:ascii="Times New Roman" w:hAnsi="Times New Roman"/>
          <w:sz w:val="22"/>
          <w:szCs w:val="22"/>
        </w:rPr>
        <w:fldChar w:fldCharType="begin" w:fldLock="1"/>
      </w:r>
      <w:r>
        <w:rPr>
          <w:rFonts w:ascii="Times New Roman" w:hAnsi="Times New Roman"/>
          <w:sz w:val="22"/>
          <w:szCs w:val="22"/>
        </w:rPr>
        <w:instrText xml:space="preserve">ADDIN CSL_CITATION {"citationItems":[{"id":"ITEM-1","itemData":{"DOI":"10.30738/cjipf.v9i2.13664","ISSN":"2356-0673","abstract":"Penelitian yang dilakukan adalah penggunaan media pembelajaran fisika dengan Virtual Laboratory berbasis “PhET Interactive Simulations” oleh guru fisika sebagai upaya untuk meningkatkan penguasaan materi fisika Rangkaian Resistor berdasarkan nilai rerata yang diperoleh pada peserta didik kelas XII MAN 1 Sleman. Penelitian ini bertujuan untuk mengetahun peningkatan penguasaan materi Rangkaian Listrik menggunakan PhET Interactive Simulations Penelitian deskriptif ini menggunakan one grup pre test dan post test dengan sampel kelas XII IPA 3 yang diambil secara ramdom. Dari populasi 36 peserta didik diambil sample sebanyak 33 peserta didik. Instrumen yang digunakan adalah instrumen tes dan non tes. Instrumen tes terdiri dari tes awal dan tes akhir dan instrumen non tes berupa LKPD yang diisi setelah pembelajaran berlangsung. Hasil penelitian menunjukkan hahwa pada tes awal 90,9% peserta didik berada pada kualifikasi gagal dan 9,1% berada pada kualifikasi cukup dengan rerata skor pencapaian 66,27. Hasil analisis aspek kognitif penguasaaan konsep Rangkaian Resistor selama proses pembelajaran berlangsung dengan menggunakan PhET Interactive Simulations menunjukkan bahwa rata-rata skor pencapaian peserta didik adalah 37,3 % kategori baik sekali dan 56,5 kategori baik. Hasil ini didapatkan dari penyelesaian soal yang terdapat dalam LKPD.  Kemampuan peserta didik setelah pembelajaran berlangsung menunjukkan adanya perubahan, Rerata skor pencapaian tes akhir mencapai 90,06 yang berada pada kualifikasi baik. Hasil Uji menggunakan Uji N-Gain diperoleh hasil 0,70 yang berada pada kategori tinggi. Dapat disimpulkan bahwa terdapat peningkatan penguasaan materi Rangkaian Resistor setelah menggunakan Virtual Laboratory berbasis PhET Interactive Simulations.","author":[{"dropping-particle":"","family":"Musahir","given":"Musahir","non-dropping-particle":"","parse-names":false,"suffix":""}],"container-title":"Compton: Jurnal Ilmiah Pendidikan Fisika","id":"ITEM-1","issue":"2","issued":{"date-parts":[["2022"]]},"page":"122-130","title":"Penggunaan media pembelajaran fisika dengan virtual laboratory berbasis “PhET Interactive Simulations” untuk meningkatkan kemampuan penguasaan konsep kognitif rangkaian resistor","type":"article-journal","volume":"9"},"uris":["http://www.mendeley.com/documents/?uuid=19e4b5f4-5967-4c1d-b607-1574289fb10a"]}],"mendeley":{"formattedCitation":"(Musahir, 2022)","plainTextFormattedCitation":"(Musahir, 2022)","previouslyFormattedCitation":"(Musahir, 2022)"},"properties":{"noteIndex":0},"schema":"https://github.com/citation-style-language/schema/raw/master/csl-citation.json"}</w:instrText>
      </w:r>
      <w:r>
        <w:rPr>
          <w:rFonts w:ascii="Times New Roman" w:hAnsi="Times New Roman"/>
          <w:sz w:val="22"/>
          <w:szCs w:val="22"/>
        </w:rPr>
        <w:fldChar w:fldCharType="separate"/>
      </w:r>
      <w:r>
        <w:rPr>
          <w:rFonts w:ascii="Times New Roman" w:hAnsi="Times New Roman"/>
          <w:sz w:val="22"/>
          <w:szCs w:val="22"/>
        </w:rPr>
        <w:t>(Musahir, 2022)</w:t>
      </w:r>
      <w:r>
        <w:rPr>
          <w:rFonts w:ascii="Times New Roman" w:hAnsi="Times New Roman"/>
          <w:sz w:val="22"/>
          <w:szCs w:val="22"/>
        </w:rPr>
        <w:fldChar w:fldCharType="end"/>
      </w:r>
      <w:r>
        <w:rPr>
          <w:rFonts w:ascii="Times New Roman" w:hAnsi="Times New Roman"/>
          <w:sz w:val="22"/>
          <w:szCs w:val="22"/>
        </w:rPr>
        <w:t xml:space="preserve">. Namun, sistem penilaian pada lingkungan tersebut masih berfokus pada hasil akhir dan belum mengakomodasi proses interaksi belajar secara menyeluruh. Meskipun demikian, metode evaluasi dalam pembelajaran berbasis </w:t>
      </w:r>
      <w:r>
        <w:rPr>
          <w:rFonts w:ascii="Times New Roman" w:hAnsi="Times New Roman"/>
          <w:i/>
          <w:iCs w:val="0"/>
          <w:sz w:val="22"/>
          <w:szCs w:val="22"/>
        </w:rPr>
        <w:t>virtual laboratory</w:t>
      </w:r>
      <w:r>
        <w:rPr>
          <w:rFonts w:ascii="Times New Roman" w:hAnsi="Times New Roman"/>
          <w:sz w:val="22"/>
          <w:szCs w:val="22"/>
        </w:rPr>
        <w:t xml:space="preserve"> masih didominasi oleh pendekatan konvensional yang belum mampu mengakomodasi analisis proses belajar secara menyeluruh </w:t>
      </w:r>
      <w:r>
        <w:rPr>
          <w:rFonts w:ascii="Times New Roman" w:hAnsi="Times New Roman"/>
          <w:sz w:val="22"/>
          <w:szCs w:val="22"/>
        </w:rPr>
        <w:fldChar w:fldCharType="begin" w:fldLock="1"/>
      </w:r>
      <w:r>
        <w:rPr>
          <w:rFonts w:ascii="Times New Roman" w:hAnsi="Times New Roman"/>
          <w:sz w:val="22"/>
          <w:szCs w:val="22"/>
        </w:rPr>
        <w:instrText xml:space="preserve">ADDIN CSL_CITATION {"citationItems":[{"id":"ITEM-1","itemData":{"DOI":"https://doi.org/10.1080/02635143.2024.2327995","author":[{"dropping-particle":"","family":"Wang","given":"Yang","non-dropping-particle":"","parse-names":false,"suffix":""},{"dropping-particle":"","family":"Zhang","given":"Linyuan","non-dropping-particle":"","parse-names":false,"suffix":""},{"dropping-particle":"","family":"Pang","given":"Mingyong","non-dropping-particle":"","parse-names":false,"suffix":""}],"container-title":"Research in Science &amp; Technological Education","id":"ITEM-1","issue":"2","issued":{"date-parts":[["2024"]]},"page":"633-655","title":"Virtual experiments in physics education: a systematic literature review","type":"article-journal","volume":"43"},"uris":["http://www.mendeley.com/documents/?uuid=9a5537ba-9309-4593-ac9b-fdf6f8d4fd48"]}],"mendeley":{"formattedCitation":"(Wang et al., 2024)","plainTextFormattedCitation":"(Wang et al., 2024)","previouslyFormattedCitation":"(Wang et al., 2024)"},"properties":{"noteIndex":0},"schema":"https://github.com/citation-style-language/schema/raw/master/csl-citation.json"}</w:instrText>
      </w:r>
      <w:r>
        <w:rPr>
          <w:rFonts w:ascii="Times New Roman" w:hAnsi="Times New Roman"/>
          <w:sz w:val="22"/>
          <w:szCs w:val="22"/>
        </w:rPr>
        <w:fldChar w:fldCharType="separate"/>
      </w:r>
      <w:r>
        <w:rPr>
          <w:rFonts w:ascii="Times New Roman" w:hAnsi="Times New Roman"/>
          <w:sz w:val="22"/>
          <w:szCs w:val="22"/>
        </w:rPr>
        <w:t>(Wang et al., 2024)</w:t>
      </w:r>
      <w:r>
        <w:rPr>
          <w:rFonts w:ascii="Times New Roman" w:hAnsi="Times New Roman"/>
          <w:sz w:val="22"/>
          <w:szCs w:val="22"/>
        </w:rPr>
        <w:fldChar w:fldCharType="end"/>
      </w:r>
      <w:r>
        <w:rPr>
          <w:rFonts w:ascii="Times New Roman" w:hAnsi="Times New Roman"/>
          <w:sz w:val="22"/>
          <w:szCs w:val="22"/>
        </w:rPr>
        <w:t>.</w:t>
      </w:r>
    </w:p>
    <w:p w14:paraId="083FC8F8">
      <w:pPr>
        <w:pStyle w:val="54"/>
        <w:ind w:left="3" w:hanging="5"/>
        <w:rPr>
          <w:rFonts w:ascii="Times New Roman" w:hAnsi="Times New Roman"/>
          <w:sz w:val="22"/>
          <w:szCs w:val="22"/>
          <w:lang w:val="zh-CN"/>
        </w:rPr>
      </w:pPr>
      <w:r>
        <w:rPr>
          <w:rFonts w:ascii="Times New Roman" w:hAnsi="Times New Roman"/>
          <w:sz w:val="22"/>
          <w:szCs w:val="22"/>
        </w:rPr>
        <w:t xml:space="preserve">Penggunaan </w:t>
      </w:r>
      <w:r>
        <w:rPr>
          <w:rFonts w:ascii="Times New Roman" w:hAnsi="Times New Roman"/>
          <w:i/>
          <w:sz w:val="22"/>
          <w:szCs w:val="22"/>
        </w:rPr>
        <w:t>virtual laboratory</w:t>
      </w:r>
      <w:r>
        <w:rPr>
          <w:rFonts w:ascii="Times New Roman" w:hAnsi="Times New Roman"/>
          <w:sz w:val="22"/>
          <w:szCs w:val="22"/>
        </w:rPr>
        <w:t xml:space="preserve"> menghasilkan data interaksi yang bersifat kompleks dan dinamis. </w:t>
      </w:r>
      <w:r>
        <w:rPr>
          <w:rFonts w:ascii="Times New Roman" w:hAnsi="Times New Roman"/>
          <w:sz w:val="22"/>
          <w:szCs w:val="22"/>
          <w:lang w:val="pt-BR"/>
        </w:rPr>
        <w:t xml:space="preserve">Data tersebut mencakup aktivitas eksperimen, waktu respons, serta hasil simulasi peserta didik. Sebagian besar pendekatan penilaian belum memanfaatkan data tersebut secara optimal. Padahal, data digital tersebut memiliki potensi untuk dianalisis lebih lanjut dalam menentukan capaian pembelajaran secara lebih akurat. </w:t>
      </w:r>
      <w:r>
        <w:rPr>
          <w:rFonts w:ascii="Times New Roman" w:hAnsi="Times New Roman"/>
          <w:sz w:val="22"/>
          <w:szCs w:val="22"/>
          <w:lang w:val="zh-CN"/>
        </w:rPr>
        <w:t>Hasil kajian literatur menunjukkan bahwa penggunaan virtual laboratory dalam pembelajaran fisika dapat meningkatkan berbagai keterampilan, termasuk</w:t>
      </w:r>
      <w:r>
        <w:rPr>
          <w:rFonts w:ascii="Times New Roman" w:hAnsi="Times New Roman"/>
          <w:i/>
          <w:iCs w:val="0"/>
          <w:sz w:val="22"/>
          <w:szCs w:val="22"/>
          <w:lang w:val="zh-CN"/>
        </w:rPr>
        <w:t xml:space="preserve"> critical thinking</w:t>
      </w:r>
      <w:r>
        <w:rPr>
          <w:rFonts w:ascii="Times New Roman" w:hAnsi="Times New Roman"/>
          <w:sz w:val="22"/>
          <w:szCs w:val="22"/>
          <w:lang w:val="zh-CN"/>
        </w:rPr>
        <w:t xml:space="preserve">, </w:t>
      </w:r>
      <w:r>
        <w:rPr>
          <w:rFonts w:ascii="Times New Roman" w:hAnsi="Times New Roman"/>
          <w:i/>
          <w:iCs w:val="0"/>
          <w:sz w:val="22"/>
          <w:szCs w:val="22"/>
          <w:lang w:val="zh-CN"/>
        </w:rPr>
        <w:t>conceptual understanding</w:t>
      </w:r>
      <w:r>
        <w:rPr>
          <w:rFonts w:ascii="Times New Roman" w:hAnsi="Times New Roman"/>
          <w:sz w:val="22"/>
          <w:szCs w:val="22"/>
          <w:lang w:val="zh-CN"/>
        </w:rPr>
        <w:t xml:space="preserve">, dan </w:t>
      </w:r>
      <w:r>
        <w:rPr>
          <w:rFonts w:ascii="Times New Roman" w:hAnsi="Times New Roman"/>
          <w:i/>
          <w:iCs w:val="0"/>
          <w:sz w:val="22"/>
          <w:szCs w:val="22"/>
          <w:lang w:val="zh-CN"/>
        </w:rPr>
        <w:t xml:space="preserve">science process skills </w:t>
      </w:r>
      <w:r>
        <w:rPr>
          <w:rFonts w:ascii="Times New Roman" w:hAnsi="Times New Roman"/>
          <w:i/>
          <w:iCs w:val="0"/>
          <w:sz w:val="22"/>
          <w:szCs w:val="22"/>
          <w:lang w:val="zh-CN"/>
        </w:rPr>
        <w:fldChar w:fldCharType="begin" w:fldLock="1"/>
      </w:r>
      <w:r>
        <w:rPr>
          <w:rFonts w:ascii="Times New Roman" w:hAnsi="Times New Roman"/>
          <w:i/>
          <w:iCs w:val="0"/>
          <w:sz w:val="22"/>
          <w:szCs w:val="22"/>
          <w:lang w:val="zh-CN"/>
        </w:rPr>
        <w:instrText xml:space="preserve">ADDIN CSL_CITATION {"citationItems":[{"id":"ITEM-1","itemData":{"DOI":"https://doi.org/10.1063/5.0210640","author":[{"dropping-particle":"","family":"Darman","given":"Dina Rahmi","non-dropping-particle":"","parse-names":false,"suffix":""},{"dropping-particle":"","family":"Suhandi","given":"Andi","non-dropping-particle":"","parse-names":false,"suffix":""},{"dropping-particle":"","family":"Kaniawati","given":"Ida","non-dropping-particle":"","parse-names":false,"suffix":""},{"dropping-particle":"","family":"Samsudin","given":"Achmad","non-dropping-particle":"","parse-names":false,"suffix":""},{"dropping-particle":"","family":"Wibowo","given":"Firmanul Catur","non-dropping-particle":"","parse-names":false,"suffix":""}],"container-title":"ELECTRONIC PHYSICS INFORMATICS INTERNATIONAL CONFERENCE (EPIIC)","id":"ITEM-1","issued":{"date-parts":[["2024"]]},"publisher":"AIP Publishing","publisher-place":"Tangerang, Indonesia","title":"Virtual laboratory in physics education: A systematic review","type":"paper-conference"},"uris":["http://www.mendeley.com/documents/?uuid=9360afec-f920-47e8-af0e-fe71dfdfaea2"]}],"mendeley":{"formattedCitation":"(Darman et al., 2024)","plainTextFormattedCitation":"(Darman et al., 2024)","previouslyFormattedCitation":"(Darman et al., 2024)"},"properties":{"noteIndex":0},"schema":"https://github.com/citation-style-language/schema/raw/master/csl-citation.json"}</w:instrText>
      </w:r>
      <w:r>
        <w:rPr>
          <w:rFonts w:ascii="Times New Roman" w:hAnsi="Times New Roman"/>
          <w:i/>
          <w:iCs w:val="0"/>
          <w:sz w:val="22"/>
          <w:szCs w:val="22"/>
          <w:lang w:val="zh-CN"/>
        </w:rPr>
        <w:fldChar w:fldCharType="separate"/>
      </w:r>
      <w:r>
        <w:rPr>
          <w:rFonts w:ascii="Times New Roman" w:hAnsi="Times New Roman"/>
          <w:iCs w:val="0"/>
          <w:sz w:val="22"/>
          <w:szCs w:val="22"/>
          <w:lang w:val="zh-CN"/>
        </w:rPr>
        <w:t>(Darman et al., 2024)</w:t>
      </w:r>
      <w:r>
        <w:rPr>
          <w:rFonts w:ascii="Times New Roman" w:hAnsi="Times New Roman"/>
          <w:i/>
          <w:iCs w:val="0"/>
          <w:sz w:val="22"/>
          <w:szCs w:val="22"/>
          <w:lang w:val="zh-CN"/>
        </w:rPr>
        <w:fldChar w:fldCharType="end"/>
      </w:r>
      <w:r>
        <w:rPr>
          <w:rFonts w:ascii="Times New Roman" w:hAnsi="Times New Roman"/>
          <w:i/>
          <w:iCs w:val="0"/>
          <w:sz w:val="22"/>
          <w:szCs w:val="22"/>
          <w:lang w:val="zh-CN"/>
        </w:rPr>
        <w:t xml:space="preserve">. </w:t>
      </w:r>
    </w:p>
    <w:p w14:paraId="120D7B88">
      <w:pPr>
        <w:pStyle w:val="54"/>
        <w:ind w:left="3" w:hanging="5"/>
        <w:rPr>
          <w:rFonts w:ascii="Times New Roman" w:hAnsi="Times New Roman"/>
          <w:color w:val="EE0000"/>
          <w:sz w:val="22"/>
          <w:szCs w:val="22"/>
          <w:lang w:val="pt-BR"/>
        </w:rPr>
      </w:pPr>
      <w:r>
        <w:rPr>
          <w:rFonts w:ascii="Times New Roman" w:hAnsi="Times New Roman"/>
          <w:sz w:val="22"/>
          <w:szCs w:val="22"/>
        </w:rPr>
        <w:t xml:space="preserve">Pendekatan berbasis kecerdasan buatan mulai digunakan untuk mengatasi keterbatasan tersebut. Salah satu metode yang banyak digunakan adalah Jaringan Syaraf Tiruan (JST). </w:t>
      </w:r>
      <w:r>
        <w:rPr>
          <w:rFonts w:ascii="Times New Roman" w:hAnsi="Times New Roman"/>
          <w:sz w:val="22"/>
          <w:szCs w:val="22"/>
          <w:lang w:val="pt-BR"/>
        </w:rPr>
        <w:t xml:space="preserve">Metode ini memiliki kemampuan dalam mengenali pola dan melakukan prediksi berbasis data. Penelitian menunjukkan bahwa JST dapat digunakan </w:t>
      </w:r>
      <w:r>
        <w:rPr>
          <w:rFonts w:ascii="Times New Roman" w:hAnsi="Times New Roman"/>
          <w:color w:val="auto"/>
          <w:sz w:val="22"/>
          <w:szCs w:val="22"/>
          <w:lang w:val="pt-BR"/>
        </w:rPr>
        <w:t xml:space="preserve">untuk “memprediksi prestasi siswa” berdasarkan data pembelajaran </w:t>
      </w:r>
      <w:r>
        <w:rPr>
          <w:rFonts w:ascii="Times New Roman" w:hAnsi="Times New Roman"/>
          <w:color w:val="auto"/>
          <w:sz w:val="22"/>
          <w:szCs w:val="22"/>
          <w:lang w:val="pt-BR"/>
        </w:rPr>
        <w:fldChar w:fldCharType="begin" w:fldLock="1"/>
      </w:r>
      <w:r>
        <w:rPr>
          <w:rFonts w:ascii="Times New Roman" w:hAnsi="Times New Roman"/>
          <w:color w:val="auto"/>
          <w:sz w:val="22"/>
          <w:szCs w:val="22"/>
          <w:lang w:val="pt-BR"/>
        </w:rPr>
        <w:instrText xml:space="preserve">ADDIN CSL_CITATION {"citationItems":[{"id":"ITEM-1","itemData":{"author":[{"dropping-particle":"","family":"Zola","given":"Fatmi","non-dropping-particle":"","parse-names":false,"suffix":""},{"dropping-particle":"","family":"Nurcahyo","given":"Gunadi Widi","non-dropping-particle":"","parse-names":false,"suffix":""},{"dropping-particle":"","family":"Santony","given":"Julius","non-dropping-particle":"","parse-names":false,"suffix":""}],"container-title":"Jurnal Teknologi Dan Open Source","id":"ITEM-1","issue":"1","issued":{"date-parts":[["2018"]]},"page":"58-72","title":"Jaringan Syaraf Tiruan Menggunakan Algoritma Backpropagation Untuk Memprediksi Prestasi Siswa","type":"article-journal","volume":"1"},"uris":["http://www.mendeley.com/documents/?uuid=522d3e5a-435e-47e6-9925-196c7d13b609"]}],"mendeley":{"formattedCitation":"(Zola et al., 2018)","plainTextFormattedCitation":"(Zola et al., 2018)","previouslyFormattedCitation":"(Zola et al., 2018)"},"properties":{"noteIndex":0},"schema":"https://github.com/citation-style-language/schema/raw/master/csl-citation.json"}</w:instrText>
      </w:r>
      <w:r>
        <w:rPr>
          <w:rFonts w:ascii="Times New Roman" w:hAnsi="Times New Roman"/>
          <w:color w:val="auto"/>
          <w:sz w:val="22"/>
          <w:szCs w:val="22"/>
          <w:lang w:val="pt-BR"/>
        </w:rPr>
        <w:fldChar w:fldCharType="separate"/>
      </w:r>
      <w:r>
        <w:rPr>
          <w:rFonts w:ascii="Times New Roman" w:hAnsi="Times New Roman"/>
          <w:color w:val="auto"/>
          <w:sz w:val="22"/>
          <w:szCs w:val="22"/>
          <w:lang w:val="pt-BR"/>
        </w:rPr>
        <w:t>(Zola et al., 2018)</w:t>
      </w:r>
      <w:r>
        <w:rPr>
          <w:rFonts w:ascii="Times New Roman" w:hAnsi="Times New Roman"/>
          <w:color w:val="auto"/>
          <w:sz w:val="22"/>
          <w:szCs w:val="22"/>
          <w:lang w:val="pt-BR"/>
        </w:rPr>
        <w:fldChar w:fldCharType="end"/>
      </w:r>
      <w:r>
        <w:rPr>
          <w:rFonts w:ascii="Times New Roman" w:hAnsi="Times New Roman"/>
          <w:color w:val="auto"/>
          <w:sz w:val="22"/>
          <w:szCs w:val="22"/>
          <w:lang w:val="pt-BR"/>
        </w:rPr>
        <w:t xml:space="preserve"> . Pendekatan machine learning telah digunakan dalam pembelajaran fisika untuk memprediksi capaian belajar siswa serta melakukan penilaian otomatis terhadap hasil belajar berbasis data pembelajaran </w:t>
      </w:r>
      <w:r>
        <w:rPr>
          <w:rFonts w:ascii="Times New Roman" w:hAnsi="Times New Roman"/>
          <w:color w:val="auto"/>
          <w:sz w:val="22"/>
          <w:szCs w:val="22"/>
          <w:lang w:val="pt-BR"/>
        </w:rPr>
        <w:fldChar w:fldCharType="begin" w:fldLock="1"/>
      </w:r>
      <w:r>
        <w:rPr>
          <w:rFonts w:ascii="Times New Roman" w:hAnsi="Times New Roman"/>
          <w:color w:val="auto"/>
          <w:sz w:val="22"/>
          <w:szCs w:val="22"/>
          <w:lang w:val="pt-BR"/>
        </w:rPr>
        <w:instrText xml:space="preserve">ADDIN CSL_CITATION {"citationItems":[{"id":"ITEM-1","itemData":{"DOI":"10.21580/perj.2023.5.2.14217","ISSN":"2685-6190","abstract":"Data is the primary source to scaffold physics teaching and learning for teachers and students, mainly reported through in-class assessment. Machine learning (ML) is an axis of artificial intelligence (AI) study that immensely attracts the development of physics education research (PER). ML is built to predict students’ learning that can support students’ success in an effective physics achievement. In this paper, two ML algorithms, logistic regression and random forest, were trained and compared to predict students’ achievement in high school physics (N = 197). Data on students’ achievement was harvested from in-class assessments administered by a physics teacher regarding knowledge (cognitive) and psychomotor during the 2020/2021 academic year. Three assessment points of knowledge and psychomotor were employed to predict students’ achievement on a dichotomous scale on the final term examination. Combining in-class assessment of knowledge and psychomotor, we could discover the plausible performance of students’ achievement prediction using the two algorithms. Knowledge assessment was a determinant in predicting high school physics students’ achievement. Findings reported by this paper recommended open room for the implementation of ML for educational practice and its potential contribution to supporting physics teaching and learning.","author":[{"dropping-particle":"","family":"Santoso","given":"Purwoko Haryadi","non-dropping-particle":"","parse-names":false,"suffix":""},{"dropping-particle":"","family":"Santosa","given":"Hayang Sugeng","non-dropping-particle":"","parse-names":false,"suffix":""},{"dropping-particle":"","family":"Istiyono","given":"Edi","non-dropping-particle":"","parse-names":false,"suffix":""},{"dropping-particle":"","family":"Haryanto","given":"Haryanto","non-dropping-particle":"","parse-names":false,"suffix":""},{"dropping-particle":"","family":"Retnawati","given":"Heri","non-dropping-particle":"","parse-names":false,"suffix":""}],"container-title":"Physics Education Research Journal","id":"ITEM-1","issue":"2","issued":{"date-parts":[["2023"]]},"page":"97-106","title":"Predicting Physics Students’ Achievement Using In-Class Assessment Data: A Comparison of Two Machine Learning Models","type":"article-journal","volume":"5"},"uris":["http://www.mendeley.com/documents/?uuid=07e42e63-7150-46bc-a106-a1923fac899b"]}],"mendeley":{"formattedCitation":"(Santoso et al., 2023)","plainTextFormattedCitation":"(Santoso et al., 2023)","previouslyFormattedCitation":"(Santoso et al., 2023)"},"properties":{"noteIndex":0},"schema":"https://github.com/citation-style-language/schema/raw/master/csl-citation.json"}</w:instrText>
      </w:r>
      <w:r>
        <w:rPr>
          <w:rFonts w:ascii="Times New Roman" w:hAnsi="Times New Roman"/>
          <w:color w:val="auto"/>
          <w:sz w:val="22"/>
          <w:szCs w:val="22"/>
          <w:lang w:val="pt-BR"/>
        </w:rPr>
        <w:fldChar w:fldCharType="separate"/>
      </w:r>
      <w:r>
        <w:rPr>
          <w:rFonts w:ascii="Times New Roman" w:hAnsi="Times New Roman"/>
          <w:color w:val="auto"/>
          <w:sz w:val="22"/>
          <w:szCs w:val="22"/>
          <w:lang w:val="pt-BR"/>
        </w:rPr>
        <w:t>(Santoso et al., 2023)</w:t>
      </w:r>
      <w:r>
        <w:rPr>
          <w:rFonts w:ascii="Times New Roman" w:hAnsi="Times New Roman"/>
          <w:color w:val="auto"/>
          <w:sz w:val="22"/>
          <w:szCs w:val="22"/>
          <w:lang w:val="pt-BR"/>
        </w:rPr>
        <w:fldChar w:fldCharType="end"/>
      </w:r>
      <w:r>
        <w:rPr>
          <w:rFonts w:ascii="Times New Roman" w:hAnsi="Times New Roman"/>
          <w:color w:val="auto"/>
          <w:sz w:val="22"/>
          <w:szCs w:val="22"/>
          <w:lang w:val="pt-BR"/>
        </w:rPr>
        <w:t xml:space="preserve">. Selain itu, metode ini juga digunakan untuk mengolah data penilaian yang bersifat kuantitatif dan kualitatif agar mendekati penilaian pengajar. Hal ini didukung oleh penelitian yang menyatakan bahwa sistem berbasis JST dapat memanfaatkan data hasil belajar untuk diklasifikasikan dan diprediksi secara adaptif dalam proses penilaian siswa </w:t>
      </w:r>
      <w:r>
        <w:rPr>
          <w:rFonts w:ascii="Times New Roman" w:hAnsi="Times New Roman"/>
          <w:color w:val="auto"/>
          <w:sz w:val="22"/>
          <w:szCs w:val="22"/>
          <w:lang w:val="pt-BR"/>
        </w:rPr>
        <w:fldChar w:fldCharType="begin" w:fldLock="1"/>
      </w:r>
      <w:r>
        <w:rPr>
          <w:rFonts w:ascii="Times New Roman" w:hAnsi="Times New Roman"/>
          <w:color w:val="auto"/>
          <w:sz w:val="22"/>
          <w:szCs w:val="22"/>
          <w:lang w:val="pt-BR"/>
        </w:rPr>
        <w:instrText xml:space="preserve">ADDIN CSL_CITATION {"citationItems":[{"id":"ITEM-1","itemData":{"DOI":"10.33387/tjp.v9i1.1712","ISSN":"1978-6107","abstract":"Dalam proses penilaian pengetahuan siswa pada Sekolah Dasar Negeri 1 Kota Ternate masih menggunakan software MS excel dan membutuhkan waktu kurang lebih 2 sampai 4 hari, sehingga dianggap kurang efektif. Penelitian ini bertujuan untuk menerapkan Jaringan Syaraf Tiruan Perceptron agar memudahkan pekerjaan penilaian Guru di SD Negeri 1 Kota Ternate. Jaringan syaraf tiruan merupakan salah satu sistem pemrosesan informasi yang didesain dengan meniru cara kerja otak manusia dalam menyelesaikan suatu masalah secara cepat dan tepat. Dalam pengolahan penilaian dengan algoritma perceptron, dibutuhkan data pelatihan (training) dan pengujian (testing) untuk mengklasifikasikan data hasil belajar siswa. Metode pengembangan sistem yang digunakan yaitu prototype. Pengujian sistem dilakukan dengan metode white box. Data yang digunakan adalah data klasifikasi hasil belajar siswa pada ranah pengetahuan yakni Hasil Penilaian Harian (HPH), Hasil Penilaian Tengah Semester (HPTS), dan Hasil penilaian Akhir Semester (HAS). Hasil penelitian menunjukkan bahwa tingkat keakuratan tertinggi terjadi di perlakuan awal dengan akurasi yang diperoleh sebesar 96%, sehingga dapat disimpulkan bahwa sistem Jaringan Syaraf Tiruan dengan algoritma Perceptron dapat diimplementasikan untuk penilaian siswa pada kurikulum 2013. . Kata","author":[{"dropping-particle":"","family":"N. Kapita","given":"Syarifuddin","non-dropping-particle":"","parse-names":false,"suffix":""},{"dropping-particle":"","family":"Mahdi","given":"Samlan","non-dropping-particle":"","parse-names":false,"suffix":""},{"dropping-particle":"","family":"Tempola","given":"Firman","non-dropping-particle":"","parse-names":false,"suffix":""}],"container-title":"Techno: Jurnal Penelitian","id":"ITEM-1","issue":"1","issued":{"date-parts":[["2020"]]},"page":"372","title":"Penilaian Pengetahuan Siswa Dengan Jaringan Syaraf Tiruan Algoritma Perceptron","type":"article-journal","volume":"9"},"uris":["http://www.mendeley.com/documents/?uuid=b6c16d3c-880b-4402-8f0a-054095a4e0ff"]}],"mendeley":{"formattedCitation":"(N. Kapita et al., 2020)","plainTextFormattedCitation":"(N. Kapita et al., 2020)","previouslyFormattedCitation":"(N. Kapita et al., 2020)"},"properties":{"noteIndex":0},"schema":"https://github.com/citation-style-language/schema/raw/master/csl-citation.json"}</w:instrText>
      </w:r>
      <w:r>
        <w:rPr>
          <w:rFonts w:ascii="Times New Roman" w:hAnsi="Times New Roman"/>
          <w:color w:val="auto"/>
          <w:sz w:val="22"/>
          <w:szCs w:val="22"/>
          <w:lang w:val="pt-BR"/>
        </w:rPr>
        <w:fldChar w:fldCharType="separate"/>
      </w:r>
      <w:r>
        <w:rPr>
          <w:rFonts w:ascii="Times New Roman" w:hAnsi="Times New Roman"/>
          <w:color w:val="auto"/>
          <w:sz w:val="22"/>
          <w:szCs w:val="22"/>
          <w:lang w:val="pt-BR"/>
        </w:rPr>
        <w:t>(N. Kapita et al., 2020)</w:t>
      </w:r>
      <w:r>
        <w:rPr>
          <w:rFonts w:ascii="Times New Roman" w:hAnsi="Times New Roman"/>
          <w:color w:val="auto"/>
          <w:sz w:val="22"/>
          <w:szCs w:val="22"/>
          <w:lang w:val="pt-BR"/>
        </w:rPr>
        <w:fldChar w:fldCharType="end"/>
      </w:r>
      <w:r>
        <w:rPr>
          <w:rFonts w:ascii="Times New Roman" w:hAnsi="Times New Roman"/>
          <w:color w:val="auto"/>
          <w:sz w:val="22"/>
          <w:szCs w:val="22"/>
          <w:lang w:val="pt-BR"/>
        </w:rPr>
        <w:t>. Dengan demikian, JST memiliki potensi untuk diterapkan dalam sistem penilaian pembelajaran.</w:t>
      </w:r>
    </w:p>
    <w:p w14:paraId="2A48D50B">
      <w:pPr>
        <w:pStyle w:val="54"/>
        <w:ind w:left="3" w:hanging="5"/>
        <w:rPr>
          <w:rFonts w:ascii="Times New Roman" w:hAnsi="Times New Roman"/>
          <w:sz w:val="22"/>
          <w:szCs w:val="22"/>
        </w:rPr>
      </w:pPr>
      <w:r>
        <w:rPr>
          <w:rFonts w:ascii="Times New Roman" w:hAnsi="Times New Roman"/>
          <w:sz w:val="22"/>
          <w:szCs w:val="22"/>
          <w:lang w:val="pt-BR"/>
        </w:rPr>
        <w:t xml:space="preserve">Sejumlah penelitian telah mengkaji penggunaan JST dalam bidang pendidikan. Penelitian lain menunjukkan bahwa model JST mampu memprediksi capaian belajar siswa berdasarkan pola data pembelajaran dengan tingkat akurasi yang tinggi dalam analisis performa akademik </w:t>
      </w:r>
      <w:r>
        <w:rPr>
          <w:rFonts w:ascii="Times New Roman" w:hAnsi="Times New Roman"/>
          <w:sz w:val="22"/>
          <w:szCs w:val="22"/>
        </w:rPr>
        <w:fldChar w:fldCharType="begin" w:fldLock="1"/>
      </w:r>
      <w:r>
        <w:rPr>
          <w:rFonts w:ascii="Times New Roman" w:hAnsi="Times New Roman"/>
          <w:sz w:val="22"/>
          <w:szCs w:val="22"/>
          <w:lang w:val="pt-BR"/>
        </w:rPr>
        <w:instrText xml:space="preserve">ADDIN CSL_CITATION {"citationItems":[{"id":"ITEM-1","itemData":{"DOI":"10.1007/s42452-019-0884-7","ISBN":"4245201908847","ISSN":"25233971","abstract":"The conventional statistical evaluations are limited in providing good predictions of the university educational quality. This paper presents an approach with both conventional statistical analysis and neural network modelling/prediction of students’ performance. Conventional statistical evaluations are used to identify the factors that likely affect the students’ performance. The neural network is modelled with 11 input variables, two layers of hidden neurons, and one output layer. Levenberg–Marquardt algorithm is employed as the backpropagation training rule. The performance of neural network model is evaluated through the error performance, regression, error histogram, confusion matrix and area under the receiver operating characteristics curve. Overall, the neural network model has achieved a good prediction accuracy of 84.8%, along with limitations.","author":[{"dropping-particle":"","family":"Lau","given":"E. T.","non-dropping-particle":"","parse-names":false,"suffix":""},{"dropping-particle":"","family":"Sun","given":"L.","non-dropping-particle":"","parse-names":false,"suffix":""},{"dropping-particle":"","family":"Yang","given":"Q.","non-dropping-particle":"","parse-names":false,"suffix":""}],"container-title":"SN Applied Sciences","id":"ITEM-1","issue":"9","issued":{"date-parts":[["2019"]]},"page":"1-10","publisher":"Springer International Publishing","title":"Modelling, prediction and classification of student academic performance using artificial neural networks","type":"article-journal","volume":"1"},"uris":["http://www.mendeley.com/documents/?uuid=6f8f9dce-8f52-4592-ad96-c686e66ea8e6"]},{"id":"ITEM-2","itemData":{"DOI":"10.1111/j.1365-2923.2008.03052.x","ISSN":"03080110","PMID":"18412890","author":[{"dropping-particle":"","family":"Yang","given":"Ke","non-dropping-particle":"","parse-names":false,"suffix":""}],"container-title":"Journal of Arts, Society, and Education","id":"ITEM-2","issue":"5","issued":{"date-parts":[["2024"]]},"page":"516-517","title":"Predicting Student Performance Using Artificial Neural Network Analysis","type":"article-journal","volume":"42"},"uris":["http://www.mendeley.com/documents/?uuid=441b1482-a9d2-41cb-8d56-cba56ae9366c"]}],"mendeley":{"formattedCitation":"(Lau et al., 2019; Yang, 2024)","plainTextFormattedCitation":"(Lau et al., 2019; Yang, 2024)","previouslyFormattedCitation":"(Lau et al., 2019; Yang, 2024)"},"properties":{"noteIndex":0},"schema":"https://github.com/citation-style-language/schema/raw/master/csl-citation.json"}</w:instrText>
      </w:r>
      <w:r>
        <w:rPr>
          <w:rFonts w:ascii="Times New Roman" w:hAnsi="Times New Roman"/>
          <w:sz w:val="22"/>
          <w:szCs w:val="22"/>
        </w:rPr>
        <w:fldChar w:fldCharType="separate"/>
      </w:r>
      <w:r>
        <w:rPr>
          <w:rFonts w:ascii="Times New Roman" w:hAnsi="Times New Roman"/>
          <w:sz w:val="22"/>
          <w:szCs w:val="22"/>
          <w:lang w:val="pt-BR"/>
        </w:rPr>
        <w:t>(Lau et al., 2019; Yang, 2024)</w:t>
      </w:r>
      <w:r>
        <w:rPr>
          <w:rFonts w:ascii="Times New Roman" w:hAnsi="Times New Roman"/>
          <w:sz w:val="22"/>
          <w:szCs w:val="22"/>
        </w:rPr>
        <w:fldChar w:fldCharType="end"/>
      </w:r>
      <w:r>
        <w:rPr>
          <w:rFonts w:ascii="Times New Roman" w:hAnsi="Times New Roman"/>
          <w:sz w:val="22"/>
          <w:szCs w:val="22"/>
          <w:lang w:val="pt-BR"/>
        </w:rPr>
        <w:t xml:space="preserve">. Studi lain juga menunjukkan bahwa metode backpropagation digunakan untuk memprediksi nilai akademik dan membantu pengambilan keputusan pendidikan </w:t>
      </w:r>
      <w:r>
        <w:rPr>
          <w:rFonts w:ascii="Times New Roman" w:hAnsi="Times New Roman"/>
          <w:sz w:val="22"/>
          <w:szCs w:val="22"/>
        </w:rPr>
        <w:fldChar w:fldCharType="begin" w:fldLock="1"/>
      </w:r>
      <w:r>
        <w:rPr>
          <w:rFonts w:ascii="Times New Roman" w:hAnsi="Times New Roman"/>
          <w:sz w:val="22"/>
          <w:szCs w:val="22"/>
          <w:lang w:val="pt-BR"/>
        </w:rPr>
        <w:instrText xml:space="preserve">ADDIN CSL_CITATION {"citationItems":[{"id":"ITEM-1","itemData":{"author":[{"dropping-particle":"","family":"Handayani","given":"Kiki Sri","non-dropping-particle":"","parse-names":false,"suffix":""},{"dropping-particle":"","family":"Lumbanbatu","given":"Katen","non-dropping-particle":"","parse-names":false,"suffix":""},{"dropping-particle":"","family":"Simanjuntak","given":"Magdalena","non-dropping-particle":"","parse-names":false,"suffix":""}],"container-title":"Jurnal Ilmiah Abdi Ilmu","id":"ITEM-1","issue":"1","issued":{"date-parts":[["2021"]]},"page":"73-80","title":"Jaringan Syaraf Tiruan dengan Algoritma Backpropagation untuk Memprediksi Nilai Ujian Kompetensi Siswa (Studi Kasus Smks Jabal Rahmah Stabat)","type":"article-journal","volume":"14"},"uris":["http://www.mendeley.com/documents/?uuid=567cfc20-df7a-45c9-ae29-31fde4b3a760"]}],"mendeley":{"formattedCitation":"(Handayani et al., 2021)","plainTextFormattedCitation":"(Handayani et al., 2021)","previouslyFormattedCitation":"(Handayani et al., 2021)"},"properties":{"noteIndex":0},"schema":"https://github.com/citation-style-language/schema/raw/master/csl-citation.json"}</w:instrText>
      </w:r>
      <w:r>
        <w:rPr>
          <w:rFonts w:ascii="Times New Roman" w:hAnsi="Times New Roman"/>
          <w:sz w:val="22"/>
          <w:szCs w:val="22"/>
        </w:rPr>
        <w:fldChar w:fldCharType="separate"/>
      </w:r>
      <w:r>
        <w:rPr>
          <w:rFonts w:ascii="Times New Roman" w:hAnsi="Times New Roman"/>
          <w:sz w:val="22"/>
          <w:szCs w:val="22"/>
          <w:lang w:val="pt-BR"/>
        </w:rPr>
        <w:t>(Handayani et al., 2021)</w:t>
      </w:r>
      <w:r>
        <w:rPr>
          <w:rFonts w:ascii="Times New Roman" w:hAnsi="Times New Roman"/>
          <w:sz w:val="22"/>
          <w:szCs w:val="22"/>
        </w:rPr>
        <w:fldChar w:fldCharType="end"/>
      </w:r>
      <w:r>
        <w:rPr>
          <w:rFonts w:ascii="Times New Roman" w:hAnsi="Times New Roman"/>
          <w:sz w:val="22"/>
          <w:szCs w:val="22"/>
          <w:lang w:val="pt-BR"/>
        </w:rPr>
        <w:t xml:space="preserve">. </w:t>
      </w:r>
      <w:r>
        <w:rPr>
          <w:rFonts w:ascii="Times New Roman" w:hAnsi="Times New Roman"/>
          <w:sz w:val="22"/>
          <w:szCs w:val="22"/>
        </w:rPr>
        <w:t xml:space="preserve">Meskipun demikian, penelitian tersebut masih dilakukan secara parsial dan belum terintegrasi dengan sistem penilaian berbasis </w:t>
      </w:r>
      <w:r>
        <w:rPr>
          <w:rFonts w:ascii="Times New Roman" w:hAnsi="Times New Roman"/>
          <w:i/>
          <w:sz w:val="22"/>
          <w:szCs w:val="22"/>
        </w:rPr>
        <w:t>virtual laboratory</w:t>
      </w:r>
      <w:r>
        <w:rPr>
          <w:rFonts w:ascii="Times New Roman" w:hAnsi="Times New Roman"/>
          <w:sz w:val="22"/>
          <w:szCs w:val="22"/>
        </w:rPr>
        <w:t xml:space="preserve"> dalam pembelajaran fisika. </w:t>
      </w:r>
    </w:p>
    <w:p w14:paraId="4721C928">
      <w:pPr>
        <w:pStyle w:val="54"/>
        <w:ind w:left="3" w:hanging="5"/>
        <w:rPr>
          <w:rFonts w:ascii="Times New Roman" w:hAnsi="Times New Roman"/>
          <w:sz w:val="22"/>
          <w:szCs w:val="22"/>
        </w:rPr>
      </w:pPr>
      <w:r>
        <w:rPr>
          <w:rFonts w:ascii="Times New Roman" w:hAnsi="Times New Roman"/>
          <w:sz w:val="22"/>
          <w:szCs w:val="22"/>
        </w:rPr>
        <w:t>Keterbatasan lain ditemukan pada belum adanya pemetaan penelitian yang terstruktur terkait topik ini. Informasi mengenai tren penelitian, perkembangan publikasi, serta keterkaitan antar konsep masih tersebar pada berbagai sumber. Kondisi ini menyulitkan identifikasi arah penelitian yang potensial serta pengembangan model penilaian yang berbasis data.</w:t>
      </w:r>
    </w:p>
    <w:p w14:paraId="762EEC47">
      <w:pPr>
        <w:pStyle w:val="54"/>
        <w:ind w:left="3" w:hanging="5"/>
        <w:rPr>
          <w:rFonts w:ascii="Times New Roman" w:hAnsi="Times New Roman"/>
          <w:sz w:val="22"/>
          <w:szCs w:val="22"/>
        </w:rPr>
      </w:pPr>
      <w:r>
        <w:rPr>
          <w:rFonts w:ascii="Times New Roman" w:hAnsi="Times New Roman"/>
          <w:sz w:val="22"/>
          <w:szCs w:val="22"/>
        </w:rPr>
        <w:t xml:space="preserve">Pendekatan </w:t>
      </w:r>
      <w:r>
        <w:rPr>
          <w:rFonts w:ascii="Times New Roman" w:hAnsi="Times New Roman"/>
          <w:i/>
          <w:iCs w:val="0"/>
          <w:sz w:val="22"/>
          <w:szCs w:val="22"/>
        </w:rPr>
        <w:t>Systematic Literature Review</w:t>
      </w:r>
      <w:r>
        <w:rPr>
          <w:rFonts w:ascii="Times New Roman" w:hAnsi="Times New Roman"/>
          <w:sz w:val="22"/>
          <w:szCs w:val="22"/>
        </w:rPr>
        <w:t xml:space="preserve"> (SLR) digunakan untuk mengidentifikasi dan mensintesis temuan penelitian secara sistematis melalui seleksi literatur berbasis kriteria tertentu sehingga mengurangi bias. Analisis dilengkapi dengan </w:t>
      </w:r>
      <w:r>
        <w:rPr>
          <w:rFonts w:ascii="Times New Roman" w:hAnsi="Times New Roman"/>
          <w:i/>
          <w:iCs w:val="0"/>
          <w:sz w:val="22"/>
          <w:szCs w:val="22"/>
        </w:rPr>
        <w:t>bibliometric analysis</w:t>
      </w:r>
      <w:r>
        <w:rPr>
          <w:rFonts w:ascii="Times New Roman" w:hAnsi="Times New Roman"/>
          <w:sz w:val="22"/>
          <w:szCs w:val="22"/>
        </w:rPr>
        <w:t xml:space="preserve"> untuk memetakan tren publikasi, pola sitasi, serta keterkaitan antar topik penelitian. Kebaruan penelitian terletak pada integrasi SLR dan analisis bibliometrik dalam mengkaji penerapan JST pada sistem penilaian pembelajaran fisika berbasis </w:t>
      </w:r>
      <w:r>
        <w:rPr>
          <w:rFonts w:ascii="Times New Roman" w:hAnsi="Times New Roman"/>
          <w:i/>
          <w:iCs w:val="0"/>
          <w:sz w:val="22"/>
          <w:szCs w:val="22"/>
        </w:rPr>
        <w:t>virtual laboratory</w:t>
      </w:r>
      <w:r>
        <w:rPr>
          <w:rFonts w:ascii="Times New Roman" w:hAnsi="Times New Roman"/>
          <w:sz w:val="22"/>
          <w:szCs w:val="22"/>
        </w:rPr>
        <w:t>, yang masih jarang diteliti secara terpadu. Penelitian ini bertujuan untuk mengidentifikasi tren publikasi, menganalisis perkembangan penerapan JST dalam sistem penilaian pembelajaran, serta memetakan peluang pengembangan penelitian pada lingkungan virtual laboratory fisika.</w:t>
      </w:r>
    </w:p>
    <w:p w14:paraId="4C918081">
      <w:pPr>
        <w:pBdr>
          <w:top w:val="none" w:color="auto" w:sz="0" w:space="0"/>
          <w:left w:val="none" w:color="auto" w:sz="0" w:space="0"/>
          <w:bottom w:val="none" w:color="auto" w:sz="0" w:space="0"/>
          <w:right w:val="none" w:color="auto" w:sz="0" w:space="0"/>
          <w:between w:val="none" w:color="auto" w:sz="0" w:space="0"/>
        </w:pBdr>
        <w:spacing w:after="0" w:line="235" w:lineRule="auto"/>
        <w:ind w:left="0" w:hanging="2"/>
        <w:jc w:val="both"/>
        <w:rPr>
          <w:rFonts w:ascii="Times New Roman" w:hAnsi="Times New Roman" w:eastAsia="Times New Roman" w:cs="Times New Roman"/>
          <w:color w:val="000000"/>
        </w:rPr>
      </w:pPr>
    </w:p>
    <w:p w14:paraId="04FBB2AD">
      <w:pPr>
        <w:numPr>
          <w:ilvl w:val="0"/>
          <w:numId w:val="3"/>
        </w:numPr>
        <w:spacing w:after="0" w:line="240" w:lineRule="auto"/>
        <w:ind w:left="0" w:hanging="2"/>
        <w:jc w:val="both"/>
        <w:rPr>
          <w:rFonts w:ascii="Times New Roman" w:hAnsi="Times New Roman" w:eastAsia="Times New Roman" w:cs="Times New Roman"/>
        </w:rPr>
      </w:pPr>
      <w:r>
        <w:rPr>
          <w:rFonts w:ascii="Times New Roman" w:hAnsi="Times New Roman" w:eastAsia="Times New Roman" w:cs="Times New Roman"/>
          <w:b/>
          <w:bCs/>
        </w:rPr>
        <w:t xml:space="preserve">METODE PENELITIAN </w:t>
      </w:r>
    </w:p>
    <w:p w14:paraId="3D4BC383">
      <w:pPr>
        <w:pStyle w:val="54"/>
        <w:ind w:left="3" w:hanging="5"/>
        <w:rPr>
          <w:rFonts w:ascii="Times New Roman" w:hAnsi="Times New Roman"/>
          <w:sz w:val="22"/>
          <w:szCs w:val="22"/>
          <w:lang w:val="id-ID"/>
        </w:rPr>
      </w:pPr>
      <w:r>
        <w:rPr>
          <w:rFonts w:ascii="Times New Roman" w:hAnsi="Times New Roman"/>
          <w:sz w:val="22"/>
          <w:szCs w:val="22"/>
          <w:lang w:val="id-ID"/>
        </w:rPr>
        <w:t xml:space="preserve">Penelitian ini menggunakan pendekatan Systematic Literature Review (SLR) yang dikombinasikan dengan analisis bibliometrik untuk mengidentifikasi, mengevaluasi, dan mensintesis penelitian terkait penerapan JST dalam sistem penilaian pembelajaran fisika berbasis virtual laboratory. Pendekatan SLR dipilih karena mampu menghasilkan kajian yang sistematis, transparan, dan terstruktur berdasarkan prosedur yang telah ditetapkan. Pelaksanaan SLR dalam penelitian ini mengacu pada pedoman PRISMA 2020 yang digunakan untuk memastikan proses identifikasi, seleksi, dan sintesis literatur dilakukan secara sistematis. Pedoman ini menyediakan kerangka kerja berupa tahapan identifikasi, penyaringan, kelayakan, dan inklusi dalam proses kajian literatur </w:t>
      </w:r>
      <w:r>
        <w:rPr>
          <w:rFonts w:ascii="Times New Roman" w:hAnsi="Times New Roman"/>
          <w:sz w:val="22"/>
          <w:szCs w:val="22"/>
          <w:lang w:val="id-ID"/>
        </w:rPr>
        <w:fldChar w:fldCharType="begin" w:fldLock="1"/>
      </w:r>
      <w:r>
        <w:rPr>
          <w:rFonts w:ascii="Times New Roman" w:hAnsi="Times New Roman"/>
          <w:sz w:val="22"/>
          <w:szCs w:val="22"/>
          <w:lang w:val="id-ID"/>
        </w:rPr>
        <w:instrText xml:space="preserve">ADDIN CSL_CITATION {"citationItems":[{"id":"ITEM-1","itemData":{"DOI":"10.1136/bmj.n71","ISSN":"17561833","PMID":"33780438","abstract":"The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reviews.","author":[{"dropping-particle":"","family":"Page","given":"Matthew J.","non-dropping-particle":"","parse-names":false,"suffix":""},{"dropping-particle":"","family":"McKenzie","given":"Joanne E.","non-dropping-particle":"","parse-names":false,"suffix":""},{"dropping-particle":"","family":"Bossuyt","given":"Patrick M.","non-dropping-particle":"","parse-names":false,"suffix":""},{"dropping-particle":"","family":"Boutron","given":"Isabelle","non-dropping-particle":"","parse-names":false,"suffix":""},{"dropping-particle":"","family":"Hoffmann","given":"Tammy C.","non-dropping-particle":"","parse-names":false,"suffix":""},{"dropping-particle":"","family":"Mulrow","given":"Cynthia D.","non-dropping-particle":"","parse-names":false,"suffix":""},{"dropping-particle":"","family":"Shamseer","given":"Larissa","non-dropping-particle":"","parse-names":false,"suffix":""},{"dropping-particle":"","family":"Tetzlaff","given":"Jennifer M.","non-dropping-particle":"","parse-names":false,"suffix":""},{"dropping-particle":"","family":"Akl","given":"Elie A.","non-dropping-particle":"","parse-names":false,"suffix":""},{"dropping-particle":"","family":"Brennan","given":"Sue E.","non-dropping-particle":"","parse-names":false,"suffix":""},{"dropping-particle":"","family":"Chou","given":"Roger","non-dropping-particle":"","parse-names":false,"suffix":""},{"dropping-particle":"","family":"Glanville","given":"Julie","non-dropping-particle":"","parse-names":false,"suffix":""},{"dropping-particle":"","family":"Grimshaw","given":"Jeremy M.","non-dropping-particle":"","parse-names":false,"suffix":""},{"dropping-particle":"","family":"Hróbjartsson","given":"Asbjørn","non-dropping-particle":"","parse-names":false,"suffix":""},{"dropping-particle":"","family":"Lalu","given":"Manoj M.","non-dropping-particle":"","parse-names":false,"suffix":""},{"dropping-particle":"","family":"Li","given":"Tianjing","non-dropping-particle":"","parse-names":false,"suffix":""},{"dropping-particle":"","family":"Loder","given":"Elizabeth W.","non-dropping-particle":"","parse-names":false,"suffix":""},{"dropping-particle":"","family":"Mayo-Wilson","given":"Evan","non-dropping-particle":"","parse-names":false,"suffix":""},{"dropping-particle":"","family":"McDonald","given":"Steve","non-dropping-particle":"","parse-names":false,"suffix":""},{"dropping-particle":"","family":"McGuinness","given":"Luke A.","non-dropping-particle":"","parse-names":false,"suffix":""},{"dropping-particle":"","family":"Stewart","given":"Lesley A.","non-dropping-particle":"","parse-names":false,"suffix":""},{"dropping-particle":"","family":"Thomas","given":"James","non-dropping-particle":"","parse-names":false,"suffix":""},{"dropping-particle":"","family":"Tricco","given":"Andrea C.","non-dropping-particle":"","parse-names":false,"suffix":""},{"dropping-particle":"","family":"Welch","given":"Vivian A.","non-dropping-particle":"","parse-names":false,"suffix":""},{"dropping-particle":"","family":"Whiting","given":"Penny","non-dropping-particle":"","parse-names":false,"suffix":""},{"dropping-particle":"","family":"Moher","given":"David","non-dropping-particle":"","parse-names":false,"suffix":""}],"container-title":"thebmj","id":"ITEM-1","issued":{"date-parts":[["2021"]]},"title":"The PRISMA 2020 statement: An updated guideline for reporting systematic reviews","type":"article-journal","volume":"372"},"uris":["http://www.mendeley.com/documents/?uuid=d0e925c1-fcac-47ab-ab7b-43127b4b7223"]}],"mendeley":{"formattedCitation":"(Page et al., 2021)","plainTextFormattedCitation":"(Page et al., 2021)","previouslyFormattedCitation":"(Page et al., 2021)"},"properties":{"noteIndex":0},"schema":"https://github.com/citation-style-language/schema/raw/master/csl-citation.json"}</w:instrText>
      </w:r>
      <w:r>
        <w:rPr>
          <w:rFonts w:ascii="Times New Roman" w:hAnsi="Times New Roman"/>
          <w:sz w:val="22"/>
          <w:szCs w:val="22"/>
          <w:lang w:val="id-ID"/>
        </w:rPr>
        <w:fldChar w:fldCharType="separate"/>
      </w:r>
      <w:r>
        <w:rPr>
          <w:rFonts w:ascii="Times New Roman" w:hAnsi="Times New Roman"/>
          <w:sz w:val="22"/>
          <w:szCs w:val="22"/>
          <w:lang w:val="id-ID"/>
        </w:rPr>
        <w:t>(Page et al., 2021)</w:t>
      </w:r>
      <w:r>
        <w:rPr>
          <w:rFonts w:ascii="Times New Roman" w:hAnsi="Times New Roman"/>
          <w:sz w:val="22"/>
          <w:szCs w:val="22"/>
          <w:lang w:val="id-ID"/>
        </w:rPr>
        <w:fldChar w:fldCharType="end"/>
      </w:r>
      <w:r>
        <w:rPr>
          <w:rFonts w:ascii="Times New Roman" w:hAnsi="Times New Roman"/>
          <w:sz w:val="22"/>
          <w:szCs w:val="22"/>
          <w:lang w:val="id-ID"/>
        </w:rPr>
        <w:t>.</w:t>
      </w:r>
    </w:p>
    <w:p w14:paraId="1E984E4F">
      <w:pPr>
        <w:pStyle w:val="54"/>
        <w:ind w:left="3" w:hanging="5"/>
        <w:rPr>
          <w:rFonts w:ascii="Times New Roman" w:hAnsi="Times New Roman"/>
          <w:sz w:val="22"/>
          <w:szCs w:val="22"/>
          <w:lang w:val="id-ID"/>
        </w:rPr>
      </w:pPr>
      <w:r>
        <w:rPr>
          <w:rFonts w:ascii="Times New Roman" w:hAnsi="Times New Roman"/>
          <w:sz w:val="22"/>
          <w:szCs w:val="22"/>
          <w:lang w:val="id-ID"/>
        </w:rPr>
        <w:t xml:space="preserve">Desain penelitian menggunakan metode SLR dengan tahapan utama meliputi: (1) perumusan pertanyaan penelitian, (2) pencarian literatur, (3) seleksi studi, (4) ekstraksi data, dan (5) sintesis hasil. Metode ini memungkinkan identifikasi penelitian yang relevan secara sistematis dan meminimalkan bias dalam pemilihan literatur </w:t>
      </w:r>
      <w:r>
        <w:rPr>
          <w:rFonts w:ascii="Times New Roman" w:hAnsi="Times New Roman"/>
          <w:sz w:val="22"/>
          <w:szCs w:val="22"/>
          <w:lang w:val="id-ID"/>
        </w:rPr>
        <w:fldChar w:fldCharType="begin" w:fldLock="1"/>
      </w:r>
      <w:r>
        <w:rPr>
          <w:rFonts w:ascii="Times New Roman" w:hAnsi="Times New Roman"/>
          <w:sz w:val="22"/>
          <w:szCs w:val="22"/>
          <w:lang w:val="id-ID"/>
        </w:rPr>
        <w:instrText xml:space="preserve">ADDIN CSL_CITATION {"citationItems":[{"id":"ITEM-1","itemData":{"DOI":"10.1186/s43093-024-00326-4","ISSN":"2314-7202","abstract":"This study aims to develop a systematic review of the influence of Service Quality and Perceived Value on Satisfaction and Intention to Continue the Relationship from an international and empirical perspective. The Preferred Reporting Items for Systematic Reviews and Meta-analyzes (PRISMA) is used as a guideline for systematic literature review to collect data. The selected journal timeframe is from 2008 to 2024, with 22 chosen articles meeting the criteria. Analysis of the selected primary studies reveals that the concepts of Service Quality and Perceived Value can be associated with Satisfaction and Intention to Continue the Relationship. However, an inconsistency was found that there was a significant and insignificant relationship between Perceived Value and Intention to Continue the Relationship, indicating the need for further development to be scientifically verified and to serve as a gap and reference for future researchers to investigate in different research settings. Novelty: Studies related to Intention to Continue the Relationship measured based on Service Quality, Perceived Value, and Satisfaction have been limited. Additionally, this study attempts to develop a more comprehensive concept or model of Intention to Continue the Relationship involving Service Quality, Perceived Value, and Satisfaction.","author":[{"dropping-particle":"","family":"Tedja","given":"Budiarto","non-dropping-particle":"","parse-names":false,"suffix":""},{"dropping-particle":"","family":"Musadieq","given":"Mochammad","non-dropping-particle":"Al","parse-names":false,"suffix":""},{"dropping-particle":"","family":"Kusumawati","given":"Andriani","non-dropping-particle":"","parse-names":false,"suffix":""},{"dropping-particle":"","family":"Yulianto","given":"Edy","non-dropping-particle":"","parse-names":false,"suffix":""}],"container-title":"Future Business Journal","id":"ITEM-1","issue":"1","issued":{"date-parts":[["2024"]]},"page":"1-9","publisher":"Springer Berlin Heidelberg","title":"Systematic literature review using PRISMA: exploring the influence of service quality and perceived value on satisfaction and intention to continue relationship","type":"article-journal","volume":"10"},"uris":["http://www.mendeley.com/documents/?uuid=76f7bcda-f6a4-4206-b0e3-5e5bc0141d8f"]}],"mendeley":{"formattedCitation":"(Tedja et al., 2024)","plainTextFormattedCitation":"(Tedja et al., 2024)","previouslyFormattedCitation":"(Tedja et al., 2024)"},"properties":{"noteIndex":0},"schema":"https://github.com/citation-style-language/schema/raw/master/csl-citation.json"}</w:instrText>
      </w:r>
      <w:r>
        <w:rPr>
          <w:rFonts w:ascii="Times New Roman" w:hAnsi="Times New Roman"/>
          <w:sz w:val="22"/>
          <w:szCs w:val="22"/>
          <w:lang w:val="id-ID"/>
        </w:rPr>
        <w:fldChar w:fldCharType="separate"/>
      </w:r>
      <w:r>
        <w:rPr>
          <w:rFonts w:ascii="Times New Roman" w:hAnsi="Times New Roman"/>
          <w:sz w:val="22"/>
          <w:szCs w:val="22"/>
          <w:lang w:val="id-ID"/>
        </w:rPr>
        <w:t>(Tedja et al., 2024)</w:t>
      </w:r>
      <w:r>
        <w:rPr>
          <w:rFonts w:ascii="Times New Roman" w:hAnsi="Times New Roman"/>
          <w:sz w:val="22"/>
          <w:szCs w:val="22"/>
          <w:lang w:val="id-ID"/>
        </w:rPr>
        <w:fldChar w:fldCharType="end"/>
      </w:r>
      <w:r>
        <w:rPr>
          <w:rFonts w:ascii="Times New Roman" w:hAnsi="Times New Roman"/>
          <w:sz w:val="22"/>
          <w:szCs w:val="22"/>
          <w:lang w:val="id-ID"/>
        </w:rPr>
        <w:t>.</w:t>
      </w:r>
    </w:p>
    <w:p w14:paraId="5400FEBF">
      <w:pPr>
        <w:pStyle w:val="54"/>
        <w:ind w:left="3" w:hanging="5"/>
        <w:rPr>
          <w:rFonts w:ascii="Times New Roman" w:hAnsi="Times New Roman"/>
          <w:sz w:val="22"/>
          <w:szCs w:val="22"/>
          <w:lang w:val="id-ID"/>
        </w:rPr>
      </w:pPr>
      <w:r>
        <w:rPr>
          <w:rFonts w:ascii="Times New Roman" w:hAnsi="Times New Roman"/>
          <w:sz w:val="22"/>
          <w:szCs w:val="22"/>
          <w:lang w:val="id-ID"/>
        </w:rPr>
        <w:t>Pencarian literatur dilakukan menggunakan dua database utama, yaitu Scopus dan Google Scholar. Database Scopus digunakan untuk memperoleh artikel bereputasi terkait kecerdasan buatan dan sistem penilaian, sedangkan Google Scholar digunakan untuk melengkapi konteks pembelajaran fisika dan virtual laboratory. Pencarian dilakukan menggunakan kombinasi kata kunci berbasis boolean operator sebagai berikut:</w:t>
      </w:r>
    </w:p>
    <w:p w14:paraId="4539BB41">
      <w:pPr>
        <w:pStyle w:val="54"/>
        <w:ind w:left="3" w:hanging="5"/>
        <w:rPr>
          <w:rFonts w:ascii="Times New Roman" w:hAnsi="Times New Roman"/>
          <w:sz w:val="22"/>
          <w:szCs w:val="22"/>
          <w:lang w:val="id-ID"/>
        </w:rPr>
      </w:pPr>
    </w:p>
    <w:p w14:paraId="52D18C98">
      <w:pPr>
        <w:pStyle w:val="54"/>
        <w:ind w:left="3" w:hanging="5"/>
        <w:rPr>
          <w:rFonts w:ascii="Times New Roman" w:hAnsi="Times New Roman"/>
          <w:sz w:val="22"/>
          <w:szCs w:val="22"/>
          <w:lang w:val="id-ID"/>
        </w:rPr>
      </w:pPr>
      <w:r>
        <w:rPr>
          <w:rFonts w:ascii="Times New Roman" w:hAnsi="Times New Roman"/>
          <w:sz w:val="22"/>
          <w:szCs w:val="22"/>
          <w:lang w:val="id-ID"/>
        </w:rPr>
        <w:t>("neural network" OR "machine learning") AND ("student assessment" OR "learning evaluation") AND ("prediction" OR "classification")</w:t>
      </w:r>
    </w:p>
    <w:p w14:paraId="4C0B9735">
      <w:pPr>
        <w:pStyle w:val="54"/>
        <w:ind w:left="3" w:hanging="5"/>
        <w:rPr>
          <w:rFonts w:ascii="Times New Roman" w:hAnsi="Times New Roman"/>
          <w:sz w:val="22"/>
          <w:szCs w:val="22"/>
          <w:lang w:val="id-ID"/>
        </w:rPr>
      </w:pPr>
    </w:p>
    <w:p w14:paraId="73B4ACFC">
      <w:pPr>
        <w:pStyle w:val="54"/>
        <w:ind w:left="3" w:hanging="5"/>
        <w:rPr>
          <w:rFonts w:ascii="Times New Roman" w:hAnsi="Times New Roman"/>
          <w:sz w:val="22"/>
          <w:szCs w:val="22"/>
          <w:lang w:val="id-ID"/>
        </w:rPr>
      </w:pPr>
      <w:r>
        <w:rPr>
          <w:rFonts w:ascii="Times New Roman" w:hAnsi="Times New Roman"/>
          <w:sz w:val="22"/>
          <w:szCs w:val="22"/>
          <w:lang w:val="id-ID"/>
        </w:rPr>
        <w:t>("virtual laboratory" OR "virtual lab") AND ("physics education") AND ("assessment" OR "evaluation")</w:t>
      </w:r>
    </w:p>
    <w:p w14:paraId="755D2C7D">
      <w:pPr>
        <w:pStyle w:val="54"/>
        <w:ind w:left="3" w:hanging="5"/>
        <w:rPr>
          <w:rFonts w:ascii="Times New Roman" w:hAnsi="Times New Roman"/>
          <w:sz w:val="22"/>
          <w:szCs w:val="22"/>
          <w:lang w:val="id-ID"/>
        </w:rPr>
      </w:pPr>
    </w:p>
    <w:p w14:paraId="1280BBD0">
      <w:pPr>
        <w:pStyle w:val="54"/>
        <w:ind w:left="3" w:hanging="5"/>
        <w:rPr>
          <w:rFonts w:ascii="Times New Roman" w:hAnsi="Times New Roman"/>
          <w:sz w:val="22"/>
          <w:szCs w:val="22"/>
          <w:lang w:val="id-ID"/>
        </w:rPr>
      </w:pPr>
      <w:r>
        <w:rPr>
          <w:rFonts w:ascii="Times New Roman" w:hAnsi="Times New Roman"/>
          <w:sz w:val="22"/>
          <w:szCs w:val="22"/>
          <w:lang w:val="id-ID"/>
        </w:rPr>
        <w:t>Hasil pencarian pada database Scopus kemudian dilakukan penyaringan berdasarkan tahun publikasi (2016–2026), bidang kajian (computer science, engineering, dan social science), jenis dokumen (article dan conference paper), serta bahasa (English). Analisis data dilakukan melalui proses ekstraksi informasi penting dari setiap artikel, seperti metode yang digunakan, fokus serta hasil penelitian. Selanjutnya, dilakukan sintesis untuk mengidentifikasi tren penelitian, pola penggunaan metode, serta kesenjangan penelitian. Analisis bibliometrik digunakan untuk memetakan perkembangan publikasi, pola sitasi, dan keterkaitan antar topik penelitian.</w:t>
      </w:r>
    </w:p>
    <w:p w14:paraId="24F3F005">
      <w:pPr>
        <w:pBdr>
          <w:top w:val="none" w:color="auto" w:sz="0" w:space="0"/>
          <w:left w:val="none" w:color="auto" w:sz="0" w:space="0"/>
          <w:bottom w:val="none" w:color="auto" w:sz="0" w:space="0"/>
          <w:right w:val="none" w:color="auto" w:sz="0" w:space="0"/>
          <w:between w:val="none" w:color="auto" w:sz="0" w:space="0"/>
        </w:pBdr>
        <w:spacing w:after="0" w:line="240" w:lineRule="auto"/>
        <w:ind w:left="0" w:hanging="2"/>
        <w:jc w:val="both"/>
        <w:rPr>
          <w:rFonts w:ascii="Times New Roman" w:hAnsi="Times New Roman" w:eastAsia="Times New Roman" w:cs="Times New Roman"/>
          <w:color w:val="000000"/>
        </w:rPr>
      </w:pPr>
    </w:p>
    <w:p w14:paraId="404B8868">
      <w:pPr>
        <w:spacing w:after="0" w:line="240" w:lineRule="auto"/>
        <w:ind w:left="0" w:hanging="2"/>
        <w:jc w:val="both"/>
        <w:rPr>
          <w:rFonts w:ascii="Times New Roman" w:hAnsi="Times New Roman" w:eastAsia="Times New Roman" w:cs="Times New Roman"/>
        </w:rPr>
      </w:pPr>
    </w:p>
    <w:p w14:paraId="2CBCDFDD">
      <w:pPr>
        <w:numPr>
          <w:ilvl w:val="0"/>
          <w:numId w:val="3"/>
        </w:numPr>
        <w:spacing w:after="0" w:line="240" w:lineRule="auto"/>
        <w:ind w:left="0" w:hanging="2"/>
        <w:jc w:val="both"/>
        <w:rPr>
          <w:rFonts w:ascii="Times New Roman" w:hAnsi="Times New Roman" w:eastAsia="Times New Roman" w:cs="Times New Roman"/>
        </w:rPr>
      </w:pPr>
      <w:r>
        <w:rPr>
          <w:rFonts w:ascii="Times New Roman" w:hAnsi="Times New Roman" w:eastAsia="Times New Roman" w:cs="Times New Roman"/>
          <w:b/>
          <w:bCs/>
        </w:rPr>
        <w:t>HASIL DAN PEMBAHASAN</w:t>
      </w:r>
    </w:p>
    <w:p w14:paraId="1095999B">
      <w:pPr>
        <w:pStyle w:val="56"/>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Chars="0" w:firstLineChars="0"/>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Hasil </w:t>
      </w:r>
    </w:p>
    <w:p w14:paraId="5C33C107">
      <w:pPr>
        <w:pStyle w:val="54"/>
        <w:ind w:firstLine="0"/>
        <w:rPr>
          <w:rFonts w:ascii="Times New Roman" w:hAnsi="Times New Roman" w:eastAsia="MS Mincho"/>
          <w:sz w:val="22"/>
          <w:szCs w:val="22"/>
        </w:rPr>
      </w:pPr>
      <w:r>
        <w:rPr>
          <w:rFonts w:ascii="Times New Roman" w:hAnsi="Times New Roman" w:eastAsia="MS Mincho"/>
          <w:sz w:val="22"/>
          <w:szCs w:val="22"/>
        </w:rPr>
        <w:t>Proses seleksi literatur dilakukan secara sistematis mengacu pada pedoman PRISMA 2020 yang meliputi tahap identifikasi dan penyaringan. Pada tahap identifikasi, pencarian melalui database Scopus menghasilkan sebanyak 343 artikel. Selanjutnya dilakukan penyaringan awal berdasarkan kriteria yang telah ditentukan, meliputi tahun publikasi (2016–2026), bidang kajian, jenis dokumen, dan bahasa, sehingga jumlah artikel berkurang menjadi 143 artikel. Tahap berikutnya adalah screening melalui analisis judul dan abstrak. Pada tahap ini, sebanyak 73 artikel dieliminasi karena tidak relevan dengan fokus penelitian, sehingga tersisa 70 artikel untuk ditelaah lebih lanjut.</w:t>
      </w:r>
    </w:p>
    <w:p w14:paraId="488121F4">
      <w:pPr>
        <w:pStyle w:val="54"/>
        <w:ind w:left="3" w:hanging="5"/>
        <w:rPr>
          <w:rFonts w:ascii="Times New Roman" w:hAnsi="Times New Roman" w:eastAsia="MS Mincho"/>
          <w:sz w:val="22"/>
          <w:szCs w:val="22"/>
        </w:rPr>
      </w:pPr>
      <w:r>
        <w:rPr>
          <w:rFonts w:ascii="Times New Roman" w:hAnsi="Times New Roman" w:eastAsia="MS Mincho"/>
          <w:sz w:val="22"/>
          <w:szCs w:val="22"/>
        </w:rPr>
        <w:t>Selanjutnya dilakukan seleksi lanjutan berdasarkan kesesuaian topik penelitian, khususnya pada penerapan kecerdasan buatan dalam sistem penilaian pembelajaran. Hasilnya, sebanyak 50 artikel dieliminasi, sehingga diperoleh 20 artikel akhir yang dianalisis dalam penelitian ini. Selain itu, artikel dari Google Scholar digunakan sebagai sumber pelengkap untuk memperkaya konteks pembelajaran fisika berbasis virtual laboratory, namun tidak dimasukkan dalam perhitungan kuantitatif utama. Diagram PRISMA pada penelitian ini disajikan dalam Gambar 1.</w:t>
      </w:r>
    </w:p>
    <w:p w14:paraId="1D006383">
      <w:pPr>
        <w:pStyle w:val="54"/>
        <w:ind w:left="3" w:hanging="5"/>
        <w:rPr>
          <w:rFonts w:ascii="Times New Roman" w:hAnsi="Times New Roman" w:eastAsia="MS Mincho"/>
          <w:sz w:val="22"/>
          <w:szCs w:val="22"/>
        </w:rPr>
      </w:pPr>
    </w:p>
    <w:p w14:paraId="32F65236">
      <w:pPr>
        <w:pStyle w:val="54"/>
        <w:ind w:left="3" w:hanging="5"/>
        <w:jc w:val="center"/>
        <w:rPr>
          <w:rFonts w:ascii="Times New Roman" w:hAnsi="Times New Roman" w:eastAsia="MS Mincho"/>
          <w:sz w:val="22"/>
          <w:szCs w:val="22"/>
        </w:rPr>
      </w:pPr>
      <w:r>
        <w:rPr>
          <w:rFonts w:ascii="Times New Roman" w:hAnsi="Times New Roman" w:eastAsia="MS Mincho"/>
          <w:sz w:val="22"/>
          <w:szCs w:val="22"/>
        </w:rPr>
        <w:drawing>
          <wp:inline distT="0" distB="0" distL="0" distR="0">
            <wp:extent cx="3136900" cy="3539490"/>
            <wp:effectExtent l="0" t="0" r="6350" b="3810"/>
            <wp:docPr id="165485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5975" name="Picture 1"/>
                    <pic:cNvPicPr>
                      <a:picLocks noChangeAspect="1"/>
                    </pic:cNvPicPr>
                  </pic:nvPicPr>
                  <pic:blipFill>
                    <a:blip r:embed="rId7"/>
                    <a:stretch>
                      <a:fillRect/>
                    </a:stretch>
                  </pic:blipFill>
                  <pic:spPr>
                    <a:xfrm>
                      <a:off x="0" y="0"/>
                      <a:ext cx="3142051" cy="3545588"/>
                    </a:xfrm>
                    <a:prstGeom prst="rect">
                      <a:avLst/>
                    </a:prstGeom>
                  </pic:spPr>
                </pic:pic>
              </a:graphicData>
            </a:graphic>
          </wp:inline>
        </w:drawing>
      </w:r>
    </w:p>
    <w:p w14:paraId="2EBCAF3F">
      <w:pPr>
        <w:pStyle w:val="54"/>
        <w:ind w:left="3" w:hanging="5"/>
        <w:jc w:val="center"/>
        <w:rPr>
          <w:rFonts w:ascii="Times New Roman" w:hAnsi="Times New Roman" w:eastAsia="MS Mincho"/>
          <w:b/>
          <w:bCs/>
        </w:rPr>
      </w:pPr>
      <w:r>
        <w:rPr>
          <w:rFonts w:ascii="Times New Roman" w:hAnsi="Times New Roman" w:eastAsia="MS Mincho"/>
          <w:b/>
          <w:bCs/>
        </w:rPr>
        <w:t xml:space="preserve">Gambar 1. </w:t>
      </w:r>
      <w:r>
        <w:rPr>
          <w:rFonts w:ascii="Times New Roman" w:hAnsi="Times New Roman" w:eastAsia="MS Mincho"/>
        </w:rPr>
        <w:t>Diagram PRISMA Penelitian</w:t>
      </w:r>
    </w:p>
    <w:p w14:paraId="179BBE42">
      <w:pPr>
        <w:pStyle w:val="54"/>
        <w:ind w:left="3" w:hanging="5"/>
        <w:jc w:val="center"/>
        <w:rPr>
          <w:rFonts w:ascii="Times New Roman" w:hAnsi="Times New Roman" w:eastAsia="MS Mincho"/>
          <w:sz w:val="22"/>
          <w:szCs w:val="22"/>
        </w:rPr>
      </w:pPr>
    </w:p>
    <w:p w14:paraId="4CDEB08F">
      <w:pPr>
        <w:pStyle w:val="54"/>
        <w:ind w:left="3" w:hanging="5"/>
        <w:rPr>
          <w:rFonts w:ascii="Times New Roman" w:hAnsi="Times New Roman" w:eastAsia="MS Mincho"/>
          <w:sz w:val="22"/>
          <w:szCs w:val="22"/>
        </w:rPr>
      </w:pPr>
      <w:r>
        <w:rPr>
          <w:rFonts w:ascii="Times New Roman" w:hAnsi="Times New Roman" w:eastAsia="MS Mincho"/>
          <w:sz w:val="22"/>
          <w:szCs w:val="22"/>
        </w:rPr>
        <w:t>Setelah proses seleksi literatur dilakukan, langkah selanjutnya adalah melakukan analisis bibliometrik terhadap artikel yang diperoleh untuk mengidentifikasi tren publikasi, distribusi bidang kajian, serta pola penelitian dalam topik yang dikaji. Analisis ini bertujuan untuk memberikan gambaran umum mengenai perkembangan penelitian terkait penerapan kecerdasan buatan dalam sistem penilaian pembelajaran.</w:t>
      </w:r>
    </w:p>
    <w:p w14:paraId="16283BD6">
      <w:pPr>
        <w:pStyle w:val="54"/>
        <w:ind w:left="3" w:hanging="5"/>
        <w:rPr>
          <w:rFonts w:ascii="Times New Roman" w:hAnsi="Times New Roman" w:eastAsia="MS Mincho"/>
          <w:sz w:val="22"/>
          <w:szCs w:val="22"/>
        </w:rPr>
      </w:pPr>
      <w:r>
        <w:rPr>
          <w:rFonts w:ascii="Times New Roman" w:hAnsi="Times New Roman" w:eastAsia="MS Mincho"/>
          <w:sz w:val="22"/>
          <w:szCs w:val="22"/>
        </w:rPr>
        <w:t>Hasil analisis bibliometrik berdasarkan data Scopus disajikan dalam beberapa visualisasi, meliputi distribusi publikasi berdasarkan tahun, negara, dan bidang kajian. Grafik publikasi berdasarkan tahun ditunjukkan pada Gambar 2, yang menggambarkan perkembangan jumlah artikel dalam rentang waktu penelitian.</w:t>
      </w:r>
    </w:p>
    <w:p w14:paraId="31C6B6D6">
      <w:pPr>
        <w:pStyle w:val="54"/>
        <w:ind w:left="3" w:hanging="5"/>
        <w:jc w:val="center"/>
        <w:rPr>
          <w:rFonts w:eastAsia="MS Mincho"/>
          <w:lang w:val="zh-CN"/>
        </w:rPr>
      </w:pPr>
      <w:r>
        <w:rPr>
          <w:rFonts w:eastAsia="MS Mincho"/>
          <w:lang w:val="zh-CN"/>
        </w:rPr>
        <w:drawing>
          <wp:inline distT="0" distB="0" distL="0" distR="0">
            <wp:extent cx="3264535" cy="2047875"/>
            <wp:effectExtent l="0" t="0" r="0" b="9525"/>
            <wp:docPr id="18672679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6797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70878" cy="2052096"/>
                    </a:xfrm>
                    <a:prstGeom prst="rect">
                      <a:avLst/>
                    </a:prstGeom>
                    <a:noFill/>
                    <a:ln>
                      <a:noFill/>
                    </a:ln>
                  </pic:spPr>
                </pic:pic>
              </a:graphicData>
            </a:graphic>
          </wp:inline>
        </w:drawing>
      </w:r>
    </w:p>
    <w:p w14:paraId="2F610FBA">
      <w:pPr>
        <w:pStyle w:val="54"/>
        <w:ind w:left="3" w:hanging="5"/>
        <w:rPr>
          <w:rFonts w:eastAsia="MS Mincho"/>
        </w:rPr>
      </w:pPr>
    </w:p>
    <w:p w14:paraId="39A52032">
      <w:pPr>
        <w:pStyle w:val="54"/>
        <w:ind w:left="3" w:hanging="5"/>
        <w:jc w:val="center"/>
        <w:rPr>
          <w:rFonts w:eastAsia="MS Mincho"/>
          <w:b/>
          <w:bCs/>
        </w:rPr>
      </w:pPr>
      <w:r>
        <w:rPr>
          <w:rFonts w:eastAsia="MS Mincho"/>
          <w:b/>
          <w:bCs/>
        </w:rPr>
        <w:t xml:space="preserve">Gambar 2. </w:t>
      </w:r>
      <w:r>
        <w:rPr>
          <w:rFonts w:eastAsia="MS Mincho"/>
        </w:rPr>
        <w:t>Grafik Publikasi Scopus dengan Topik Terkait Berdasarkan Tahun</w:t>
      </w:r>
    </w:p>
    <w:p w14:paraId="0ED0FEE6">
      <w:pPr>
        <w:pStyle w:val="54"/>
        <w:ind w:left="3" w:hanging="5"/>
        <w:rPr>
          <w:rFonts w:eastAsia="MS Mincho"/>
          <w:sz w:val="22"/>
          <w:szCs w:val="22"/>
        </w:rPr>
      </w:pPr>
      <w:r>
        <w:rPr>
          <w:rFonts w:eastAsia="MS Mincho"/>
          <w:sz w:val="22"/>
          <w:szCs w:val="22"/>
        </w:rPr>
        <w:t>Selanjutnya, distribusi bidang kajian (subject area) ditampilkan pada Gambar 3 untuk mengidentifikasi bidang ilmu yang mendominasi penelitian pada topik ini.</w:t>
      </w:r>
    </w:p>
    <w:p w14:paraId="02CF8424">
      <w:pPr>
        <w:pStyle w:val="54"/>
        <w:ind w:left="3" w:hanging="5"/>
        <w:rPr>
          <w:rFonts w:eastAsia="MS Mincho"/>
        </w:rPr>
      </w:pPr>
    </w:p>
    <w:p w14:paraId="6E0D1099">
      <w:pPr>
        <w:pStyle w:val="54"/>
        <w:ind w:left="3" w:hanging="5"/>
        <w:jc w:val="center"/>
        <w:rPr>
          <w:rFonts w:eastAsia="MS Mincho"/>
          <w:lang w:val="zh-CN"/>
        </w:rPr>
      </w:pPr>
      <w:r>
        <w:rPr>
          <w:rFonts w:eastAsia="MS Mincho"/>
          <w:lang w:val="zh-CN"/>
        </w:rPr>
        <w:drawing>
          <wp:inline distT="0" distB="0" distL="0" distR="0">
            <wp:extent cx="3495040" cy="2251075"/>
            <wp:effectExtent l="0" t="0" r="0" b="0"/>
            <wp:docPr id="16472006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00661"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09210" cy="2260038"/>
                    </a:xfrm>
                    <a:prstGeom prst="rect">
                      <a:avLst/>
                    </a:prstGeom>
                    <a:noFill/>
                    <a:ln>
                      <a:noFill/>
                    </a:ln>
                  </pic:spPr>
                </pic:pic>
              </a:graphicData>
            </a:graphic>
          </wp:inline>
        </w:drawing>
      </w:r>
    </w:p>
    <w:p w14:paraId="0642AE48">
      <w:pPr>
        <w:pStyle w:val="54"/>
        <w:ind w:left="3" w:hanging="5"/>
        <w:jc w:val="center"/>
        <w:rPr>
          <w:rFonts w:eastAsia="MS Mincho"/>
          <w:lang w:val="zh-CN"/>
        </w:rPr>
      </w:pPr>
    </w:p>
    <w:p w14:paraId="4724AB8A">
      <w:pPr>
        <w:pStyle w:val="54"/>
        <w:ind w:left="3" w:hanging="5"/>
        <w:jc w:val="center"/>
        <w:rPr>
          <w:rFonts w:eastAsia="MS Mincho"/>
          <w:b/>
          <w:bCs/>
        </w:rPr>
      </w:pPr>
      <w:r>
        <w:rPr>
          <w:rFonts w:eastAsia="MS Mincho"/>
          <w:b/>
          <w:bCs/>
        </w:rPr>
        <w:t xml:space="preserve">Gambar 3. </w:t>
      </w:r>
      <w:r>
        <w:rPr>
          <w:rFonts w:eastAsia="MS Mincho"/>
        </w:rPr>
        <w:t>Grafik Publikasi Scopus dengan Topik Terkait Berdasarkan Subject Area</w:t>
      </w:r>
    </w:p>
    <w:p w14:paraId="64D5AD7D">
      <w:pPr>
        <w:pStyle w:val="54"/>
        <w:ind w:left="3" w:hanging="5"/>
        <w:rPr>
          <w:rFonts w:eastAsia="MS Mincho"/>
        </w:rPr>
      </w:pPr>
    </w:p>
    <w:p w14:paraId="746D84E0">
      <w:pPr>
        <w:pStyle w:val="54"/>
        <w:ind w:left="3" w:hanging="5"/>
        <w:rPr>
          <w:rFonts w:eastAsia="MS Mincho"/>
          <w:sz w:val="22"/>
          <w:szCs w:val="22"/>
        </w:rPr>
      </w:pPr>
      <w:r>
        <w:rPr>
          <w:rFonts w:eastAsia="MS Mincho"/>
          <w:sz w:val="22"/>
          <w:szCs w:val="22"/>
        </w:rPr>
        <w:t>Untuk melengkapi analisis bibliometrik, dilakukan pemetaan hubungan antar kata kunci menggunakan perangkat lunak VOSviewer. Analisis ini bertujuan untuk mengidentifikasi keterkaitan topik penelitian serta pola kemunculan kata kunci dalam studi yang dianalisis. Visualisasi jaringan kata kunci (network visualization) disajikan pada Gambar 4.</w:t>
      </w:r>
    </w:p>
    <w:p w14:paraId="288F77DE">
      <w:pPr>
        <w:pStyle w:val="54"/>
        <w:ind w:left="3" w:hanging="5"/>
        <w:jc w:val="center"/>
        <w:rPr>
          <w:rFonts w:eastAsia="MS Mincho"/>
        </w:rPr>
      </w:pPr>
      <w:r>
        <w:rPr>
          <w:rFonts w:eastAsia="MS Mincho"/>
        </w:rPr>
        <w:drawing>
          <wp:inline distT="0" distB="0" distL="0" distR="0">
            <wp:extent cx="3772535" cy="2385060"/>
            <wp:effectExtent l="0" t="0" r="0" b="0"/>
            <wp:docPr id="1780269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69141"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5501" cy="2399647"/>
                    </a:xfrm>
                    <a:prstGeom prst="rect">
                      <a:avLst/>
                    </a:prstGeom>
                  </pic:spPr>
                </pic:pic>
              </a:graphicData>
            </a:graphic>
          </wp:inline>
        </w:drawing>
      </w:r>
    </w:p>
    <w:p w14:paraId="22F6481B">
      <w:pPr>
        <w:pStyle w:val="54"/>
        <w:ind w:left="3" w:hanging="5"/>
        <w:jc w:val="center"/>
        <w:rPr>
          <w:rFonts w:eastAsia="MS Mincho"/>
          <w:lang w:val="pt-BR"/>
        </w:rPr>
      </w:pPr>
      <w:r>
        <w:rPr>
          <w:rFonts w:eastAsia="MS Mincho"/>
          <w:b/>
          <w:bCs/>
          <w:lang w:val="pt-BR"/>
        </w:rPr>
        <w:t xml:space="preserve">Gambar 4. </w:t>
      </w:r>
      <w:r>
        <w:rPr>
          <w:rFonts w:eastAsia="MS Mincho"/>
          <w:lang w:val="pt-BR"/>
        </w:rPr>
        <w:t>Visualisasi Jaringan Kata Kunvi dengan Vosviewer</w:t>
      </w:r>
    </w:p>
    <w:p w14:paraId="5D390016">
      <w:pPr>
        <w:pStyle w:val="54"/>
        <w:ind w:left="3" w:hanging="5"/>
        <w:jc w:val="center"/>
        <w:rPr>
          <w:rFonts w:eastAsia="MS Mincho"/>
          <w:lang w:val="pt-BR"/>
        </w:rPr>
      </w:pPr>
    </w:p>
    <w:p w14:paraId="6EC52262">
      <w:pPr>
        <w:pStyle w:val="54"/>
        <w:ind w:left="3" w:hanging="5"/>
        <w:rPr>
          <w:rFonts w:eastAsia="MS Mincho"/>
          <w:lang w:val="pt-BR"/>
        </w:rPr>
      </w:pPr>
    </w:p>
    <w:p w14:paraId="1BC4F401">
      <w:pPr>
        <w:pStyle w:val="54"/>
        <w:ind w:left="3" w:hanging="5"/>
        <w:rPr>
          <w:rFonts w:eastAsia="MS Mincho"/>
          <w:sz w:val="22"/>
          <w:szCs w:val="22"/>
        </w:rPr>
      </w:pPr>
      <w:r>
        <w:rPr>
          <w:rFonts w:eastAsia="MS Mincho"/>
          <w:sz w:val="22"/>
          <w:szCs w:val="22"/>
        </w:rPr>
        <w:t>Berdasarkan hasil analisis tersebut, selanjutnya dilakukan kajian lebih mendalam terhadap artikel yang memiliki tingkat relevansi tertinggi. Dari total 20 artikel yang dianalisis, dipilih 10 artikel utama yang memiliki tingkat relevansi tertinggi terhadap fokus penelitian. Artikel-artikel ini merepresentasikan perkembangan penelitian terkait penerapan kecerdasan buatan dalam sistem penilaian pembelajaran yang disajikan dalam Tabel 1.</w:t>
      </w:r>
    </w:p>
    <w:p w14:paraId="6DD17B24">
      <w:pPr>
        <w:pStyle w:val="54"/>
        <w:ind w:left="3" w:hanging="5"/>
        <w:rPr>
          <w:rFonts w:eastAsia="MS Mincho"/>
        </w:rPr>
      </w:pPr>
    </w:p>
    <w:p w14:paraId="186DF770">
      <w:pPr>
        <w:pStyle w:val="54"/>
        <w:ind w:left="3" w:hanging="5"/>
        <w:jc w:val="center"/>
        <w:rPr>
          <w:rFonts w:ascii="Times New Roman" w:hAnsi="Times New Roman" w:eastAsia="MS Mincho"/>
          <w:b/>
          <w:bCs/>
          <w:sz w:val="22"/>
          <w:szCs w:val="22"/>
        </w:rPr>
      </w:pPr>
      <w:r>
        <w:rPr>
          <w:rFonts w:ascii="Times New Roman" w:hAnsi="Times New Roman" w:eastAsia="MS Mincho"/>
          <w:b/>
          <w:bCs/>
          <w:sz w:val="22"/>
          <w:szCs w:val="22"/>
        </w:rPr>
        <w:t>Tabel 1. Artikel Inti Hasil Screening</w:t>
      </w:r>
    </w:p>
    <w:tbl>
      <w:tblPr>
        <w:tblStyle w:val="9"/>
        <w:tblW w:w="9071" w:type="dxa"/>
        <w:tblInd w:w="0" w:type="dxa"/>
        <w:tblLayout w:type="autofit"/>
        <w:tblCellMar>
          <w:top w:w="0" w:type="dxa"/>
          <w:left w:w="108" w:type="dxa"/>
          <w:bottom w:w="0" w:type="dxa"/>
          <w:right w:w="108" w:type="dxa"/>
        </w:tblCellMar>
      </w:tblPr>
      <w:tblGrid>
        <w:gridCol w:w="509"/>
        <w:gridCol w:w="1914"/>
        <w:gridCol w:w="1658"/>
        <w:gridCol w:w="1593"/>
        <w:gridCol w:w="1663"/>
        <w:gridCol w:w="1734"/>
      </w:tblGrid>
      <w:tr w14:paraId="161CD06F">
        <w:tblPrEx>
          <w:tblCellMar>
            <w:top w:w="0" w:type="dxa"/>
            <w:left w:w="108" w:type="dxa"/>
            <w:bottom w:w="0" w:type="dxa"/>
            <w:right w:w="108" w:type="dxa"/>
          </w:tblCellMar>
        </w:tblPrEx>
        <w:trPr>
          <w:trHeight w:val="20" w:hRule="atLeast"/>
          <w:tblHeader/>
        </w:trPr>
        <w:tc>
          <w:tcPr>
            <w:tcW w:w="532" w:type="dxa"/>
            <w:tcBorders>
              <w:top w:val="single" w:color="auto" w:sz="4" w:space="0"/>
              <w:left w:val="nil"/>
              <w:bottom w:val="single" w:color="auto" w:sz="4" w:space="0"/>
              <w:right w:val="nil"/>
            </w:tcBorders>
            <w:vAlign w:val="center"/>
          </w:tcPr>
          <w:p w14:paraId="4DBA31C5">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No</w:t>
            </w:r>
          </w:p>
        </w:tc>
        <w:tc>
          <w:tcPr>
            <w:tcW w:w="1358" w:type="dxa"/>
            <w:tcBorders>
              <w:top w:val="single" w:color="auto" w:sz="4" w:space="0"/>
              <w:left w:val="nil"/>
              <w:bottom w:val="single" w:color="auto" w:sz="4" w:space="0"/>
              <w:right w:val="nil"/>
            </w:tcBorders>
          </w:tcPr>
          <w:p w14:paraId="7B14213D">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Penulis, Tahun</w:t>
            </w:r>
          </w:p>
        </w:tc>
        <w:tc>
          <w:tcPr>
            <w:tcW w:w="1711" w:type="dxa"/>
            <w:tcBorders>
              <w:top w:val="single" w:color="auto" w:sz="4" w:space="0"/>
              <w:left w:val="nil"/>
              <w:bottom w:val="single" w:color="auto" w:sz="4" w:space="0"/>
              <w:right w:val="nil"/>
            </w:tcBorders>
            <w:vAlign w:val="center"/>
          </w:tcPr>
          <w:p w14:paraId="4E4C16B9">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Judul Artikel</w:t>
            </w:r>
          </w:p>
        </w:tc>
        <w:tc>
          <w:tcPr>
            <w:tcW w:w="1826" w:type="dxa"/>
            <w:tcBorders>
              <w:top w:val="single" w:color="auto" w:sz="4" w:space="0"/>
              <w:left w:val="nil"/>
              <w:bottom w:val="single" w:color="auto" w:sz="4" w:space="0"/>
              <w:right w:val="nil"/>
            </w:tcBorders>
            <w:vAlign w:val="center"/>
          </w:tcPr>
          <w:p w14:paraId="581090E5">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Fokus Penelitian</w:t>
            </w:r>
          </w:p>
        </w:tc>
        <w:tc>
          <w:tcPr>
            <w:tcW w:w="1874" w:type="dxa"/>
            <w:tcBorders>
              <w:top w:val="single" w:color="auto" w:sz="4" w:space="0"/>
              <w:left w:val="nil"/>
              <w:bottom w:val="single" w:color="auto" w:sz="4" w:space="0"/>
              <w:right w:val="nil"/>
            </w:tcBorders>
            <w:vAlign w:val="center"/>
          </w:tcPr>
          <w:p w14:paraId="0E938B4B">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Metode</w:t>
            </w:r>
          </w:p>
        </w:tc>
        <w:tc>
          <w:tcPr>
            <w:tcW w:w="1770" w:type="dxa"/>
            <w:tcBorders>
              <w:top w:val="single" w:color="auto" w:sz="4" w:space="0"/>
              <w:left w:val="nil"/>
              <w:bottom w:val="single" w:color="auto" w:sz="4" w:space="0"/>
              <w:right w:val="nil"/>
            </w:tcBorders>
            <w:vAlign w:val="center"/>
          </w:tcPr>
          <w:p w14:paraId="4D537784">
            <w:pPr>
              <w:spacing w:line="240" w:lineRule="auto"/>
              <w:ind w:left="0" w:hanging="2"/>
              <w:rPr>
                <w:rFonts w:ascii="Times New Roman" w:hAnsi="Times New Roman" w:cs="Times New Roman"/>
                <w:b/>
                <w:bCs/>
                <w:lang w:val="zh-CN" w:eastAsia="zh-CN"/>
              </w:rPr>
            </w:pPr>
            <w:r>
              <w:rPr>
                <w:rFonts w:ascii="Times New Roman" w:hAnsi="Times New Roman" w:cs="Times New Roman"/>
                <w:b/>
                <w:bCs/>
                <w:lang w:val="zh-CN" w:eastAsia="zh-CN"/>
              </w:rPr>
              <w:t xml:space="preserve">Temuan </w:t>
            </w:r>
          </w:p>
        </w:tc>
      </w:tr>
      <w:tr w14:paraId="542FCB86">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6A74DEC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1</w:t>
            </w:r>
          </w:p>
        </w:tc>
        <w:tc>
          <w:tcPr>
            <w:tcW w:w="1358" w:type="dxa"/>
            <w:tcBorders>
              <w:top w:val="nil"/>
              <w:left w:val="nil"/>
              <w:bottom w:val="nil"/>
              <w:right w:val="nil"/>
            </w:tcBorders>
            <w:vAlign w:val="center"/>
          </w:tcPr>
          <w:p w14:paraId="2092874E">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{"citationItems":[{"id":"ITEM-1","itemData":{"DOI":"https://doi.org/10.1007/s40031-025-01240-1","author":[{"dropping-particle":"","family":"Cheng","given":"Wei","non-dropping-particle":"","parse-names":false,"suffix":""}],"container-title":"Journal of The Institution of Engineers (India): Series B","id":"ITEM-1","issue":"B","issued":{"date-parts":[["2026"]]},"page":"297-307","title":"Prediction and Classification of Student Performance Through an Ensemble Machine Learning Approach","type":"article-journal","volume":"107"},"uris":["http://www.mendeley.com/documents/?uuid=3680e595-498b-4ac5-a777-b86066da3fc5"]}],"mendeley":{"formattedCitation":"(Cheng, 2026)","plainTextFormattedCitation":"(Cheng, 2026)","previouslyFormattedCitation":"(Cheng, 2026)"},"properties":{"noteIndex":0},"schema":"https://github.com/citation-style-language/schema/raw/master/csl-citation.json"}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(Cheng, 2026)</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305D721C">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Prediction and Classification of Student Performance Through an Ensemble Machine Learning Approach</w:t>
            </w:r>
          </w:p>
          <w:p w14:paraId="0BEF6D8C">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7B4A515F">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Prediksi performa siswa</w:t>
            </w:r>
          </w:p>
        </w:tc>
        <w:tc>
          <w:tcPr>
            <w:tcW w:w="1874" w:type="dxa"/>
            <w:tcBorders>
              <w:top w:val="nil"/>
              <w:left w:val="nil"/>
              <w:bottom w:val="nil"/>
              <w:right w:val="nil"/>
            </w:tcBorders>
            <w:vAlign w:val="center"/>
          </w:tcPr>
          <w:p w14:paraId="6D20AE95">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Ensemble ML (RF, SVM, AdaBoost, GBM) + optimasi genetic algorithm</w:t>
            </w:r>
          </w:p>
        </w:tc>
        <w:tc>
          <w:tcPr>
            <w:tcW w:w="1770" w:type="dxa"/>
            <w:tcBorders>
              <w:top w:val="nil"/>
              <w:left w:val="nil"/>
              <w:bottom w:val="nil"/>
              <w:right w:val="nil"/>
            </w:tcBorders>
            <w:vAlign w:val="center"/>
          </w:tcPr>
          <w:p w14:paraId="19D67AC0">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Akurasi meningkat signifikan (&gt;94%) dibanding model tunggal</w:t>
            </w:r>
          </w:p>
        </w:tc>
      </w:tr>
      <w:tr w14:paraId="7F6317A6">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489FC13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2</w:t>
            </w:r>
          </w:p>
        </w:tc>
        <w:tc>
          <w:tcPr>
            <w:tcW w:w="1358" w:type="dxa"/>
            <w:tcBorders>
              <w:top w:val="nil"/>
              <w:left w:val="nil"/>
              <w:bottom w:val="nil"/>
              <w:right w:val="nil"/>
            </w:tcBorders>
            <w:vAlign w:val="center"/>
          </w:tcPr>
          <w:p w14:paraId="33C496FA">
            <w:pPr>
              <w:spacing w:line="240" w:lineRule="auto"/>
              <w:ind w:left="0" w:hanging="2"/>
              <w:rPr>
                <w:rFonts w:ascii="Times New Roman" w:hAnsi="Times New Roman" w:cs="Times New Roman"/>
                <w:lang w:val="zh-CN" w:eastAsia="zh-CN"/>
              </w:rPr>
            </w:pPr>
            <w:bookmarkStart w:id="1" w:name="_Hlk228375915"/>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10.1007/s10763-025-10545-y","author":[{"dropping-particle":"","family":"You","given":"Hyesun","non-dropping-particle":"","parse-names":false,"suffix":""},{"dropping-particle":"","family":"Hong","given":"Minju","non-dropping-particle":"","parse-names":false,"suffix":""},{"dropping-particle":"","family":"Zhu","given":"Li","non-dropping-particle":"","parse-names":false,"suffix":""},{"dropping-particle":"","family":"Zhenhan","given":"Fang","non-dropping-particle":"","parse-names":false,"suffix":""}],"container-title":"International Journal of Science and Mathematics Education","id":"ITEM-1","issued":{"date-parts":[["2025"]]},"page":"2755-2783","title":"Machine Learning Approaches for Predicting U.S. Students’ Scientific Literacy: An Analysis of Key Factors Across Performance Levels and Socioeconomic Statuses","type":"article-journal","volume":"23"},"uris":["http://www.mendeley.com/documents/?uuid=db5498e3-b86d-4607-ad1f-9d4d8d40b34f"]}],"mendeley":{"formattedCitation":"(You et al., 2025)","plainTextFormattedCitation":"(You et al., 2025)","previouslyFormattedCitation":"(You et al., 2025)"},"properties":{"noteIndex":0},"schema":"https://github.com/citation-style-language/schema/raw/master/csl-citation.json"}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(You et al., 2025)</w:t>
            </w:r>
            <w:r>
              <w:rPr>
                <w:rFonts w:ascii="Times New Roman" w:hAnsi="Times New Roman" w:cs="Times New Roman"/>
                <w:lang w:val="zh-CN" w:eastAsia="zh-CN"/>
              </w:rPr>
              <w:fldChar w:fldCharType="end"/>
            </w:r>
            <w:bookmarkEnd w:id="1"/>
          </w:p>
        </w:tc>
        <w:tc>
          <w:tcPr>
            <w:tcW w:w="1711" w:type="dxa"/>
            <w:tcBorders>
              <w:top w:val="nil"/>
              <w:left w:val="nil"/>
              <w:bottom w:val="nil"/>
              <w:right w:val="nil"/>
            </w:tcBorders>
            <w:vAlign w:val="center"/>
          </w:tcPr>
          <w:p w14:paraId="17E0C48C">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 xml:space="preserve">Machine Learning Approaches for Predicting U.S. Students’ Scientific </w:t>
            </w:r>
          </w:p>
          <w:p w14:paraId="24E0EC87">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Literacy: An Analysis of Key Factors Across Performance Levels and Socioeconomic Statuses</w:t>
            </w:r>
          </w:p>
          <w:p w14:paraId="63DEBD53">
            <w:pPr>
              <w:spacing w:line="240" w:lineRule="auto"/>
              <w:ind w:left="0" w:hanging="2"/>
              <w:rPr>
                <w:rFonts w:ascii="Times New Roman" w:hAnsi="Times New Roman" w:cs="Times New Roman"/>
                <w:lang w:val="zh-CN" w:eastAsia="zh-CN"/>
              </w:rPr>
            </w:pPr>
          </w:p>
          <w:p w14:paraId="73120186">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14D172DC">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Prediksi literasi sains</w:t>
            </w:r>
          </w:p>
        </w:tc>
        <w:tc>
          <w:tcPr>
            <w:tcW w:w="1874" w:type="dxa"/>
            <w:tcBorders>
              <w:top w:val="nil"/>
              <w:left w:val="nil"/>
              <w:bottom w:val="nil"/>
              <w:right w:val="nil"/>
            </w:tcBorders>
            <w:vAlign w:val="center"/>
          </w:tcPr>
          <w:p w14:paraId="42301B18">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Random Forest &amp; XGBoost dibanding regresi tradisional</w:t>
            </w:r>
          </w:p>
        </w:tc>
        <w:tc>
          <w:tcPr>
            <w:tcW w:w="1770" w:type="dxa"/>
            <w:tcBorders>
              <w:top w:val="nil"/>
              <w:left w:val="nil"/>
              <w:bottom w:val="nil"/>
              <w:right w:val="nil"/>
            </w:tcBorders>
            <w:vAlign w:val="center"/>
          </w:tcPr>
          <w:p w14:paraId="4A8C31E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ML lebih akurat; faktor utama: grade, enjoyment, self-perception</w:t>
            </w:r>
          </w:p>
        </w:tc>
      </w:tr>
      <w:tr w14:paraId="25A7AB19">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178F260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3</w:t>
            </w:r>
          </w:p>
        </w:tc>
        <w:tc>
          <w:tcPr>
            <w:tcW w:w="1358" w:type="dxa"/>
            <w:tcBorders>
              <w:top w:val="nil"/>
              <w:left w:val="nil"/>
              <w:bottom w:val="nil"/>
              <w:right w:val="nil"/>
            </w:tcBorders>
            <w:vAlign w:val="center"/>
          </w:tcPr>
          <w:p w14:paraId="69B1C103">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author":[{"dropping-particle":"","family":"Kaur","given":"Sukhmeet","non-dropping-particle":"","parse-names":false,"suffix":""},{"dropping-particle":"","family":"Goel","given":"Divya","non-dropping-particle":"","parse-names":false,"suffix":""},{"dropping-particle":"","family":"Ramachandaran","given":"Devi Sharmila","non-dropping-particle":"","parse-names":false,"suffix":""},{"dropping-particle":"","family":"Devi","given":"Saloni","non-dropping-particle":"","parse-names":false,"suffix":""},{"dropping-particle":"","family":"Yadav","given":"Babita","non-dropping-particle":"","parse-names":false,"suffix":""},{"dropping-particle":"","family":"Goyal","given":"Anita","non-dropping-particle":"","parse-names":false,"suffix":""}],"container-title":"International Journal of Interactive Mobile Technologies","id":"ITEM-1","issue":"14","issued":{"date-parts":[["2025"]]},"page":"57-69","title":"AI-Powered and Mobile-Integrated Assessment Models Using Random Forest: Redefining Examminations and Grading","type":"article-journal","volume":"19"},"uris":["http://www.mendeley.com/documents/?uuid=8d2b1df5-b0c7-4401-8204-5a62354eb9d7"]}],"mendeley":{"formattedCitation":"(Kaur et al., 2025)","plainTextFormattedCitation":"(Kaur et al., 2025)","previouslyFormattedCitation":"(Kaur et al., 2025)"},"properties":{"noteIndex":0},"schema":"https://github.com/citation-style-language/schema/raw/master/csl-citation.json"}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(Kaur et al., 2025)</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63468952">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AI-Powered and Mobile-Integrated Assessment Models Using Random Forest: Redefining Examminations and Grading</w:t>
            </w:r>
          </w:p>
          <w:p w14:paraId="240F0AF3">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 xml:space="preserve"> </w:t>
            </w:r>
          </w:p>
          <w:p w14:paraId="7023BEED">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2660823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Penilaian otomatis berbasis AI</w:t>
            </w:r>
          </w:p>
        </w:tc>
        <w:tc>
          <w:tcPr>
            <w:tcW w:w="1874" w:type="dxa"/>
            <w:tcBorders>
              <w:top w:val="nil"/>
              <w:left w:val="nil"/>
              <w:bottom w:val="nil"/>
              <w:right w:val="nil"/>
            </w:tcBorders>
            <w:vAlign w:val="center"/>
          </w:tcPr>
          <w:p w14:paraId="5F700BAF">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Random Forest dengan integrasi mobile learning</w:t>
            </w:r>
          </w:p>
        </w:tc>
        <w:tc>
          <w:tcPr>
            <w:tcW w:w="1770" w:type="dxa"/>
            <w:tcBorders>
              <w:top w:val="nil"/>
              <w:left w:val="nil"/>
              <w:bottom w:val="nil"/>
              <w:right w:val="nil"/>
            </w:tcBorders>
            <w:vAlign w:val="center"/>
          </w:tcPr>
          <w:p w14:paraId="687D3002">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Sistem mampu memberikan penilaian real-time dan lebih adaptif</w:t>
            </w:r>
          </w:p>
        </w:tc>
      </w:tr>
      <w:tr w14:paraId="2835A342">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2C5BA6E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4</w:t>
            </w:r>
          </w:p>
        </w:tc>
        <w:tc>
          <w:tcPr>
            <w:tcW w:w="1358" w:type="dxa"/>
            <w:tcBorders>
              <w:top w:val="nil"/>
              <w:left w:val="nil"/>
              <w:bottom w:val="nil"/>
              <w:right w:val="nil"/>
            </w:tcBorders>
            <w:vAlign w:val="center"/>
          </w:tcPr>
          <w:p w14:paraId="531F27C3">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{"citationItems":[{"id":"ITEM-1","itemData":{"DOI":"https://doi.org/10.3390/info16020093","author":[{"dropping-particle":"","family":"Javed","given":"Muhammad Saqib","non-dropping-particle":"","parse-names":false,"suffix":""},{"dropping-particle":"","family":"Aslam","given":"Muhammad","non-dropping-particle":"","parse-names":false,"suffix":""},{"dropping-particle":"","family":"Khurshid","given":"Syed Khaldoon","non-dropping-particle":"","parse-names":false,"suffix":""}],"container-title":"Information","id":"ITEM-1","issue":"2","issued":{"date-parts":[["2025"]]},"page":"1-35","title":"An Intelligent Model for Parametric Cognitive Assessment of E-Learning-Based Students","type":"article-journal","volume":"16"},"uris":["http://www.mendeley.com/documents/?uuid=4f7072d3-4d75-49c0-9f83-dba344fd4db6"]}],"mendeley":{"formattedCitation":"(Javed et al., 2025)","plainTextFormattedCitation":"(Javed et al., 2025)","previouslyFormattedCitation":"(Javed et al., 2025)"},"properties":{"noteIndex":0},"schema":"https://github.com/citation-style-language/schema/raw/master/csl-citation.json"}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(Javed et al., 2025)</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6D454BF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An Intelligent Model for Parametric Cognitive Assessment of E-Learning-Based Students</w:t>
            </w:r>
          </w:p>
          <w:p w14:paraId="1681152F">
            <w:pPr>
              <w:spacing w:line="240" w:lineRule="auto"/>
              <w:ind w:left="0" w:hanging="2"/>
              <w:rPr>
                <w:rFonts w:ascii="Times New Roman" w:hAnsi="Times New Roman" w:cs="Times New Roman"/>
                <w:lang w:val="zh-CN" w:eastAsia="zh-CN"/>
              </w:rPr>
            </w:pPr>
          </w:p>
          <w:p w14:paraId="711671AE">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0514169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Penilaian kognitif berbasis teks</w:t>
            </w:r>
          </w:p>
        </w:tc>
        <w:tc>
          <w:tcPr>
            <w:tcW w:w="1874" w:type="dxa"/>
            <w:tcBorders>
              <w:top w:val="nil"/>
              <w:left w:val="nil"/>
              <w:bottom w:val="nil"/>
              <w:right w:val="nil"/>
            </w:tcBorders>
            <w:vAlign w:val="center"/>
          </w:tcPr>
          <w:p w14:paraId="6EB3C51E">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NLP + RNN untuk klasifikasi level Bloom’s Taxonomy</w:t>
            </w:r>
          </w:p>
        </w:tc>
        <w:tc>
          <w:tcPr>
            <w:tcW w:w="1770" w:type="dxa"/>
            <w:tcBorders>
              <w:top w:val="nil"/>
              <w:left w:val="nil"/>
              <w:bottom w:val="nil"/>
              <w:right w:val="nil"/>
            </w:tcBorders>
            <w:vAlign w:val="center"/>
          </w:tcPr>
          <w:p w14:paraId="019E126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Akurasi klasifikasi kognitif mencapai &gt;90%</w:t>
            </w:r>
          </w:p>
        </w:tc>
      </w:tr>
      <w:tr w14:paraId="638C567F">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2CC4F5A4">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5</w:t>
            </w:r>
          </w:p>
        </w:tc>
        <w:tc>
          <w:tcPr>
            <w:tcW w:w="1358" w:type="dxa"/>
            <w:tcBorders>
              <w:top w:val="nil"/>
              <w:left w:val="nil"/>
              <w:bottom w:val="nil"/>
              <w:right w:val="nil"/>
            </w:tcBorders>
            <w:vAlign w:val="center"/>
          </w:tcPr>
          <w:p w14:paraId="1B1071AE">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10.1080/2331186X.2025.2485508","author":[{"dropping-particle":"","family":"Hariharasitaraman","given":"S","non-dropping-particle":"","parse-names":false,"suffix":""},{"dropping-particle":"","family":"Jayavel","given":"Amudhavel","non-dropping-particle":"","parse-names":false,"suffix":""},{"dropping-particle":"","family":"Gnanasekaran","given":"Sambasivam","non-dropping-particle":"","parse-names":false,"suffix":""},{"dropping-particle":"","family":"Sohail","given":"Shahab Saquib","non-dropping-particle":"","parse-names":false,"suffix":""},{"dropping-particle":"","family":"Madsen","given":"Dag Øivind","non-dropping-particle":"","parse-names":false,"suffix":""}],"container-title":"Cogent Education","id":"ITEM-1","issue":"1","issued":{"date-parts":[["2025"]]},"page":"-","publisher":"Cogent","title":"Interpretable and ethical learning assessment transformer ( IELAT ): an explainable transformer model for personalized student assessments","type":"article-journal","volume":"12"},"uris":["http://www.mendeley.com/documents/?uuid=d5f0aa8f-5ad1-4549-b18e-6fe0e6f5178a"]}],"mendeley":{"formattedCitation":"(Hariharasitaraman et al., 2025)","plainTextFormattedCitation":"(Hariharasitaraman et al., 2025)","previouslyFormattedCitation":"(Hariharasitaraman et al., 2025)"},"properties":{"noteIndex":0},"schema":"https://github.com/citation-style-language/schema/raw/master/csl-citation.json"}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(Hariharasitaraman et al., 2025)</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60E5DAE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Interpretable and ethical learning assessment</w:t>
            </w:r>
          </w:p>
          <w:p w14:paraId="6D0C3C2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transformer (IELAT): an explainable transformer</w:t>
            </w:r>
          </w:p>
          <w:p w14:paraId="096B9C8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model for personalized student assessments</w:t>
            </w:r>
          </w:p>
          <w:p w14:paraId="006189B2">
            <w:pPr>
              <w:spacing w:line="240" w:lineRule="auto"/>
              <w:ind w:left="0" w:hanging="2"/>
              <w:rPr>
                <w:rFonts w:ascii="Times New Roman" w:hAnsi="Times New Roman" w:cs="Times New Roman"/>
                <w:lang w:val="zh-CN" w:eastAsia="zh-CN"/>
              </w:rPr>
            </w:pPr>
          </w:p>
          <w:p w14:paraId="38EC152E">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53F5634C">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Assessment berbasis AI yang interpretable</w:t>
            </w:r>
          </w:p>
        </w:tc>
        <w:tc>
          <w:tcPr>
            <w:tcW w:w="1874" w:type="dxa"/>
            <w:tcBorders>
              <w:top w:val="nil"/>
              <w:left w:val="nil"/>
              <w:bottom w:val="nil"/>
              <w:right w:val="nil"/>
            </w:tcBorders>
            <w:vAlign w:val="center"/>
          </w:tcPr>
          <w:p w14:paraId="07EF3DD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Transformer + SHAP (explainable AI)</w:t>
            </w:r>
          </w:p>
        </w:tc>
        <w:tc>
          <w:tcPr>
            <w:tcW w:w="1770" w:type="dxa"/>
            <w:tcBorders>
              <w:top w:val="nil"/>
              <w:left w:val="nil"/>
              <w:bottom w:val="nil"/>
              <w:right w:val="nil"/>
            </w:tcBorders>
            <w:vAlign w:val="center"/>
          </w:tcPr>
          <w:p w14:paraId="0023414A">
            <w:pPr>
              <w:spacing w:line="240" w:lineRule="auto"/>
              <w:ind w:left="0" w:hanging="2"/>
              <w:rPr>
                <w:rFonts w:ascii="Times New Roman" w:hAnsi="Times New Roman" w:cs="Times New Roman"/>
                <w:lang w:val="pt-BR" w:eastAsia="zh-CN"/>
              </w:rPr>
            </w:pPr>
            <w:r>
              <w:rPr>
                <w:rFonts w:ascii="Times New Roman" w:hAnsi="Times New Roman" w:cs="Times New Roman"/>
                <w:lang w:val="pt-BR" w:eastAsia="zh-CN"/>
              </w:rPr>
              <w:t>Akurasi sangat tinggi (~99%) dengan transparansi model</w:t>
            </w:r>
          </w:p>
        </w:tc>
      </w:tr>
      <w:tr w14:paraId="63DEB711">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19DF4332">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6</w:t>
            </w:r>
          </w:p>
        </w:tc>
        <w:tc>
          <w:tcPr>
            <w:tcW w:w="1358" w:type="dxa"/>
            <w:tcBorders>
              <w:top w:val="nil"/>
              <w:left w:val="nil"/>
              <w:bottom w:val="nil"/>
              <w:right w:val="nil"/>
            </w:tcBorders>
            <w:vAlign w:val="center"/>
          </w:tcPr>
          <w:p w14:paraId="25219D19">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{"citationItems":[{"id":"ITEM-1","itemData":{"DOI":"10.1016/j.caeai.2024.100244","ISSN":"2666-920X","author":[{"dropping-particle":"","family":"Xuan Lam","given":"Pham","non-dropping-particle":"","parse-names":false,"suffix":""},{"dropping-particle":"","family":"Quoc Hung Mai","given":"Phan","non-dropping-particle":"","parse-names":false,"suffix":""},{"dropping-particle":"","family":"Hung Nguyen","given":"Quang","non-dropping-particle":"","parse-names":false,"suffix":""},{"dropping-particle":"","family":"Pham","given":"Thao","non-dropping-particle":"","parse-names":false,"suffix":""}],"container-title":"Computers and Education: Artificial Intelligence","id":"ITEM-1","issued":{"date-parts":[["2024"]]},"publisher":"Elsevier Ltd","title":"Enhancing educational evaluation through predictive student assessment modeling","type":"article-journal","volume":"6"},"uris":["http://www.mendeley.com/documents/?uuid=32d0d9b0-b292-49b8-bd6d-8642dbf935f1"]}],"mendeley":{"formattedCitation":"(Xuan Lam et al., 2024)","plainTextFormattedCitation":"(Xuan Lam et al., 2024)","previouslyFormattedCitation":"(Xuan Lam et al., 2024)"},"properties":{"noteIndex":0},"schema":"https://github.com/citation-style-language/schema/raw/master/csl-citation.json"}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(Xuan Lam et al., 2024)</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159489F2">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Enhancing Educational Evaluation through Predictive Student Assessment Modeling</w:t>
            </w:r>
          </w:p>
          <w:p w14:paraId="7E7CD5C9">
            <w:pPr>
              <w:spacing w:line="240" w:lineRule="auto"/>
              <w:ind w:left="0" w:hanging="2"/>
              <w:rPr>
                <w:rFonts w:ascii="Times New Roman" w:hAnsi="Times New Roman" w:cs="Times New Roman"/>
                <w:lang w:val="zh-CN" w:eastAsia="zh-CN"/>
              </w:rPr>
            </w:pPr>
          </w:p>
          <w:p w14:paraId="16228E29">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46B4846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Prediksi nilai akademik</w:t>
            </w:r>
          </w:p>
        </w:tc>
        <w:tc>
          <w:tcPr>
            <w:tcW w:w="1874" w:type="dxa"/>
            <w:tcBorders>
              <w:top w:val="nil"/>
              <w:left w:val="nil"/>
              <w:bottom w:val="nil"/>
              <w:right w:val="nil"/>
            </w:tcBorders>
            <w:vAlign w:val="center"/>
          </w:tcPr>
          <w:p w14:paraId="16481E2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Perbandingan ML (RF, SVM, NB, KNN) + Stacking</w:t>
            </w:r>
          </w:p>
        </w:tc>
        <w:tc>
          <w:tcPr>
            <w:tcW w:w="1770" w:type="dxa"/>
            <w:tcBorders>
              <w:top w:val="nil"/>
              <w:left w:val="nil"/>
              <w:bottom w:val="nil"/>
              <w:right w:val="nil"/>
            </w:tcBorders>
            <w:vAlign w:val="center"/>
          </w:tcPr>
          <w:p w14:paraId="67B9F45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Stacking menghasilkan prediksi paling akurat</w:t>
            </w:r>
          </w:p>
        </w:tc>
      </w:tr>
      <w:tr w14:paraId="5AEB9B51">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7221F9B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7</w:t>
            </w:r>
          </w:p>
        </w:tc>
        <w:tc>
          <w:tcPr>
            <w:tcW w:w="1358" w:type="dxa"/>
            <w:tcBorders>
              <w:top w:val="nil"/>
              <w:left w:val="nil"/>
              <w:bottom w:val="nil"/>
              <w:right w:val="nil"/>
            </w:tcBorders>
            <w:vAlign w:val="center"/>
          </w:tcPr>
          <w:p w14:paraId="1C76BD73">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{"citationItems":[{"id":"ITEM-1","itemData":{"DOI":"https://dx.doi.org/10.14569/IJACSA.2024.0150664","author":[{"dropping-particle":"","family":"Tin Tin","given":"Ting","non-dropping-particle":"","parse-names":false,"suffix":""},{"dropping-particle":"","family":"Hock","given":"Lee Shi","non-dropping-particle":"","parse-names":false,"suffix":""},{"dropping-particle":"","family":"Ikumapayi","given":"Omolayo M.","non-dropping-particle":"","parse-names":false,"suffix":""}],"container-title":"(IJACSA) International Journal of Advanced Computer Science and Applications","id":"ITEM-1","issue":"6","issued":{"date-parts":[["2024"]]},"page":"633-645","title":"Educational Big Data Mining : Comparison of Multiple Machine Learning Algorithms in Predictive Modelling of Student Academic Performance","type":"article-journal","volume":"15"},"uris":["http://www.mendeley.com/documents/?uuid=52757796-d21d-466d-97eb-a0f1ace1d600"]}],"mendeley":{"formattedCitation":"(Tin Tin et al., 2024)","plainTextFormattedCitation":"(Tin Tin et al., 2024)","previouslyFormattedCitation":"(Tin Tin et al., 2024)"},"properties":{"noteIndex":0},"schema":"https://github.com/citation-style-language/schema/raw/master/csl-citation.json"}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(Tin Tin et al., 2024)</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124EACF0">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Educational Big Data Mining : Comparison of Multiple Machine Learning Algorithms in Predictive Modelling of Student Academic Performance</w:t>
            </w:r>
          </w:p>
          <w:p w14:paraId="6F4D2397">
            <w:pPr>
              <w:spacing w:line="240" w:lineRule="auto"/>
              <w:ind w:left="0" w:hanging="2"/>
              <w:rPr>
                <w:rFonts w:ascii="Times New Roman" w:hAnsi="Times New Roman" w:cs="Times New Roman"/>
                <w:lang w:val="zh-CN" w:eastAsia="zh-CN"/>
              </w:rPr>
            </w:pPr>
          </w:p>
          <w:p w14:paraId="7D5B3EBB">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308274E9">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Prediksi performa skala besar</w:t>
            </w:r>
          </w:p>
        </w:tc>
        <w:tc>
          <w:tcPr>
            <w:tcW w:w="1874" w:type="dxa"/>
            <w:tcBorders>
              <w:top w:val="nil"/>
              <w:left w:val="nil"/>
              <w:bottom w:val="nil"/>
              <w:right w:val="nil"/>
            </w:tcBorders>
            <w:vAlign w:val="center"/>
          </w:tcPr>
          <w:p w14:paraId="17CBD48E">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Gradient Boosting, RF, SVM pada dataset PISA besar</w:t>
            </w:r>
          </w:p>
        </w:tc>
        <w:tc>
          <w:tcPr>
            <w:tcW w:w="1770" w:type="dxa"/>
            <w:tcBorders>
              <w:top w:val="nil"/>
              <w:left w:val="nil"/>
              <w:bottom w:val="nil"/>
              <w:right w:val="nil"/>
            </w:tcBorders>
            <w:vAlign w:val="center"/>
          </w:tcPr>
          <w:p w14:paraId="01A61120">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Gradient Boosting paling unggul (akurasi ~74%)</w:t>
            </w:r>
          </w:p>
        </w:tc>
      </w:tr>
      <w:tr w14:paraId="400D1BFC">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1BB25017">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8</w:t>
            </w:r>
          </w:p>
        </w:tc>
        <w:tc>
          <w:tcPr>
            <w:tcW w:w="1358" w:type="dxa"/>
            <w:tcBorders>
              <w:top w:val="nil"/>
              <w:left w:val="nil"/>
              <w:bottom w:val="nil"/>
              <w:right w:val="nil"/>
            </w:tcBorders>
            <w:vAlign w:val="center"/>
          </w:tcPr>
          <w:p w14:paraId="22B7433F">
            <w:pPr>
              <w:spacing w:line="240" w:lineRule="auto"/>
              <w:ind w:left="0" w:hanging="2"/>
              <w:rPr>
                <w:rFonts w:ascii="Times New Roman" w:hAnsi="Times New Roman" w:cs="Times New Roman"/>
                <w:lang w:val="zh-CN" w:eastAsia="zh-CN"/>
              </w:rPr>
            </w:pPr>
            <w:bookmarkStart w:id="2" w:name="_Hlk228435025"/>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oi.org/10.1007/s10639-020-10128-0","author":[{"dropping-particle":"","family":"Çınar","given":"Ayşe","non-dropping-particle":"","parse-names":false,"suffix":""},{"dropping-particle":"","family":"Ince","given":"Elif","non-dropping-particle":"","parse-names":false,"suffix":""},{"dropping-particle":"","family":"Gezer","given":"Murat","non-dropping-particle":"","parse-names":false,"suffix":""},{"dropping-particle":"","family":"Yılmaz","given":"Özgür","non-dropping-particle":"","parse-names":false,"suffix":""}],"container-title":"Education and Information Technologies","id":"ITEM-1","issued":{"date-parts":[["2020"]]},"page":"3821-3844","title":"Machine learning algorithm for grading open-ended physics questions in Turkish","type":"article-journal","volume":"25"},"uris":["http://www.mendeley.com/documents/?uuid=0aea332e-3c36-4e8d-aaa4-4b2475f2b540"]}],"mendeley":{"formattedCitation":"(Çınar et al., 2020)","plainTextFormattedCitation":"(Çınar et al., 2020)","previouslyFormattedCitation":"(Çınar et al., 2020)"},"properties":{"noteIndex":0},"schema":"https://github.com/citation-style-language/schema/raw/master/csl-citation.json"}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(Çınar et al., 2020)</w:t>
            </w:r>
            <w:r>
              <w:rPr>
                <w:rFonts w:ascii="Times New Roman" w:hAnsi="Times New Roman" w:cs="Times New Roman"/>
                <w:lang w:val="zh-CN" w:eastAsia="zh-CN"/>
              </w:rPr>
              <w:fldChar w:fldCharType="end"/>
            </w:r>
            <w:bookmarkEnd w:id="2"/>
          </w:p>
        </w:tc>
        <w:tc>
          <w:tcPr>
            <w:tcW w:w="1711" w:type="dxa"/>
            <w:tcBorders>
              <w:top w:val="nil"/>
              <w:left w:val="nil"/>
              <w:bottom w:val="nil"/>
              <w:right w:val="nil"/>
            </w:tcBorders>
            <w:vAlign w:val="center"/>
          </w:tcPr>
          <w:p w14:paraId="6B9B86E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Machine Learning Algorithm for Grading Open-Ended Physics Questions in Turkish</w:t>
            </w:r>
          </w:p>
          <w:p w14:paraId="48931C8A">
            <w:pPr>
              <w:spacing w:line="240" w:lineRule="auto"/>
              <w:ind w:left="0" w:hanging="2"/>
              <w:rPr>
                <w:rFonts w:ascii="Times New Roman" w:hAnsi="Times New Roman" w:cs="Times New Roman"/>
                <w:lang w:val="zh-CN" w:eastAsia="zh-CN"/>
              </w:rPr>
            </w:pPr>
          </w:p>
          <w:p w14:paraId="4EBAC50E">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6E268BA4">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Penilaian fisika otomatis</w:t>
            </w:r>
          </w:p>
        </w:tc>
        <w:tc>
          <w:tcPr>
            <w:tcW w:w="1874" w:type="dxa"/>
            <w:tcBorders>
              <w:top w:val="nil"/>
              <w:left w:val="nil"/>
              <w:bottom w:val="nil"/>
              <w:right w:val="nil"/>
            </w:tcBorders>
            <w:vAlign w:val="center"/>
          </w:tcPr>
          <w:p w14:paraId="57C7FF73">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SVM, KNN, AdaBoost untuk short-answer grading</w:t>
            </w:r>
          </w:p>
        </w:tc>
        <w:tc>
          <w:tcPr>
            <w:tcW w:w="1770" w:type="dxa"/>
            <w:tcBorders>
              <w:top w:val="nil"/>
              <w:left w:val="nil"/>
              <w:bottom w:val="nil"/>
              <w:right w:val="nil"/>
            </w:tcBorders>
            <w:vAlign w:val="center"/>
          </w:tcPr>
          <w:p w14:paraId="2E9FB5C5">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AdaBoost terbaik; penilaian otomatis akurat &amp; objektif</w:t>
            </w:r>
          </w:p>
        </w:tc>
      </w:tr>
      <w:tr w14:paraId="5697A747">
        <w:tblPrEx>
          <w:tblCellMar>
            <w:top w:w="0" w:type="dxa"/>
            <w:left w:w="108" w:type="dxa"/>
            <w:bottom w:w="0" w:type="dxa"/>
            <w:right w:w="108" w:type="dxa"/>
          </w:tblCellMar>
        </w:tblPrEx>
        <w:trPr>
          <w:trHeight w:val="20" w:hRule="atLeast"/>
        </w:trPr>
        <w:tc>
          <w:tcPr>
            <w:tcW w:w="532" w:type="dxa"/>
            <w:tcBorders>
              <w:top w:val="nil"/>
              <w:left w:val="nil"/>
              <w:bottom w:val="nil"/>
              <w:right w:val="nil"/>
            </w:tcBorders>
            <w:vAlign w:val="center"/>
          </w:tcPr>
          <w:p w14:paraId="51F76F15">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9</w:t>
            </w:r>
          </w:p>
        </w:tc>
        <w:tc>
          <w:tcPr>
            <w:tcW w:w="1358" w:type="dxa"/>
            <w:tcBorders>
              <w:top w:val="nil"/>
              <w:left w:val="nil"/>
              <w:bottom w:val="nil"/>
              <w:right w:val="nil"/>
            </w:tcBorders>
            <w:vAlign w:val="center"/>
          </w:tcPr>
          <w:p w14:paraId="1C6D5EFC">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oi.org/10.1007/s10639-024-13110-2","author":[{"dropping-particle":"","family":"Öz","given":"Ersoy","non-dropping-particle":"","parse-names":false,"suffix":""},{"dropping-particle":"","family":"Bulut","given":"Okan","non-dropping-particle":"","parse-names":false,"suffix":""},{"dropping-particle":"","family":"Cellat","given":"Zuhal Fatma","non-dropping-particle":"","parse-names":false,"suffix":""},{"dropping-particle":"","family":"Yürekli","given":"Hülya","non-dropping-particle":"","parse-names":false,"suffix":""}],"container-title":"Education and Information Technologies","id":"ITEM-1","issued":{"date-parts":[["2024"]]},"page":"7753-7779","title":"Stacking: An Ensemble Learning Approach to Predict Student Performance in PISA 2022","type":"article-journal","volume":"30"},"uris":["http://www.mendeley.com/documents/?uuid=c1032e04-78c6-495e-9850-f56c7fb8c7e8"]}],"mendeley":{"formattedCitation":"(Öz et al., 2024)","plainTextFormattedCitation":"(Öz et al., 2024)","previouslyFormattedCitation":"(Öz et al., 2024)"},"properties":{"noteIndex":0},"schema":"https://github.com/citation-style-language/schema/raw/master/csl-citation.json"}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(Öz et al., 2024)</w:t>
            </w:r>
            <w:r>
              <w:rPr>
                <w:rFonts w:ascii="Times New Roman" w:hAnsi="Times New Roman" w:cs="Times New Roman"/>
                <w:lang w:val="zh-CN" w:eastAsia="zh-CN"/>
              </w:rPr>
              <w:fldChar w:fldCharType="end"/>
            </w:r>
          </w:p>
        </w:tc>
        <w:tc>
          <w:tcPr>
            <w:tcW w:w="1711" w:type="dxa"/>
            <w:tcBorders>
              <w:top w:val="nil"/>
              <w:left w:val="nil"/>
              <w:bottom w:val="nil"/>
              <w:right w:val="nil"/>
            </w:tcBorders>
            <w:vAlign w:val="center"/>
          </w:tcPr>
          <w:p w14:paraId="2AE1A1AB">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Stacking: An Ensemble Learning Approach to Predict Student Performance in PISA 2022</w:t>
            </w:r>
          </w:p>
          <w:p w14:paraId="2D03F8D6">
            <w:pPr>
              <w:spacing w:line="240" w:lineRule="auto"/>
              <w:ind w:left="0" w:hanging="2"/>
              <w:rPr>
                <w:rFonts w:ascii="Times New Roman" w:hAnsi="Times New Roman" w:cs="Times New Roman"/>
                <w:lang w:val="zh-CN" w:eastAsia="zh-CN"/>
              </w:rPr>
            </w:pPr>
          </w:p>
          <w:p w14:paraId="0C6DE9CF">
            <w:pPr>
              <w:spacing w:line="240" w:lineRule="auto"/>
              <w:ind w:left="0" w:hanging="2"/>
              <w:rPr>
                <w:rFonts w:ascii="Times New Roman" w:hAnsi="Times New Roman" w:cs="Times New Roman"/>
                <w:lang w:val="zh-CN" w:eastAsia="zh-CN"/>
              </w:rPr>
            </w:pPr>
          </w:p>
        </w:tc>
        <w:tc>
          <w:tcPr>
            <w:tcW w:w="1826" w:type="dxa"/>
            <w:tcBorders>
              <w:top w:val="nil"/>
              <w:left w:val="nil"/>
              <w:bottom w:val="nil"/>
              <w:right w:val="nil"/>
            </w:tcBorders>
            <w:vAlign w:val="center"/>
          </w:tcPr>
          <w:p w14:paraId="6FAF6949">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Prediksi performa global</w:t>
            </w:r>
          </w:p>
        </w:tc>
        <w:tc>
          <w:tcPr>
            <w:tcW w:w="1874" w:type="dxa"/>
            <w:tcBorders>
              <w:top w:val="nil"/>
              <w:left w:val="nil"/>
              <w:bottom w:val="nil"/>
              <w:right w:val="nil"/>
            </w:tcBorders>
            <w:vAlign w:val="center"/>
          </w:tcPr>
          <w:p w14:paraId="3767137A">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Stacking vs boosting &amp; blending</w:t>
            </w:r>
          </w:p>
        </w:tc>
        <w:tc>
          <w:tcPr>
            <w:tcW w:w="1770" w:type="dxa"/>
            <w:tcBorders>
              <w:top w:val="nil"/>
              <w:left w:val="nil"/>
              <w:bottom w:val="nil"/>
              <w:right w:val="nil"/>
            </w:tcBorders>
            <w:vAlign w:val="center"/>
          </w:tcPr>
          <w:p w14:paraId="0862EFD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Stacking memberikan error terendah (MAE, MSE)</w:t>
            </w:r>
          </w:p>
        </w:tc>
      </w:tr>
      <w:tr w14:paraId="3186C6F0">
        <w:tblPrEx>
          <w:tblCellMar>
            <w:top w:w="0" w:type="dxa"/>
            <w:left w:w="108" w:type="dxa"/>
            <w:bottom w:w="0" w:type="dxa"/>
            <w:right w:w="108" w:type="dxa"/>
          </w:tblCellMar>
        </w:tblPrEx>
        <w:trPr>
          <w:trHeight w:val="20" w:hRule="atLeast"/>
        </w:trPr>
        <w:tc>
          <w:tcPr>
            <w:tcW w:w="532" w:type="dxa"/>
            <w:tcBorders>
              <w:top w:val="nil"/>
              <w:left w:val="nil"/>
              <w:bottom w:val="single" w:color="auto" w:sz="4" w:space="0"/>
              <w:right w:val="nil"/>
            </w:tcBorders>
            <w:vAlign w:val="center"/>
          </w:tcPr>
          <w:p w14:paraId="12F93406">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10</w:t>
            </w:r>
          </w:p>
        </w:tc>
        <w:tc>
          <w:tcPr>
            <w:tcW w:w="1358" w:type="dxa"/>
            <w:tcBorders>
              <w:top w:val="nil"/>
              <w:left w:val="nil"/>
              <w:bottom w:val="single" w:color="auto" w:sz="4" w:space="0"/>
              <w:right w:val="nil"/>
            </w:tcBorders>
            <w:vAlign w:val="center"/>
          </w:tcPr>
          <w:p w14:paraId="7D4D8CD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fldChar w:fldCharType="begin" w:fldLock="1"/>
            </w:r>
            <w:r>
              <w:rPr>
                <w:rFonts w:ascii="Times New Roman" w:hAnsi="Times New Roman" w:cs="Times New Roman"/>
                <w:lang w:val="zh-CN" w:eastAsia="zh-CN"/>
              </w:rPr>
              <w:instrText xml:space="preserve">ADDIN CSL_CITATION {"citationItems":[{"id":"ITEM-1","itemData":{"DOI":"https://doi.org/10.1108/K-01-2024-0053","author":[{"dropping-particle":"","family":"Thavasi","given":"S","non-dropping-particle":"","parse-names":false,"suffix":""},{"dropping-particle":"","family":"Revathi","given":"T","non-dropping-particle":"","parse-names":false,"suffix":""}],"container-title":"Kybernetes: The international journal of cybernetics, systems, and management sciences","id":"ITEM-1","issue":"9","issued":{"date-parts":[["2025"]]},"page":"4850–4865","title":"A personalized machine learning–based system to evaluate students’ skillset and analyze the gap between academia and industry for engineering students","type":"article-journal","volume":"54"},"uris":["http://www.mendeley.com/documents/?uuid=12b6ef62-3241-4239-8c3d-8f08e241f523"]}],"mendeley":{"formattedCitation":"(Thavasi &amp; Revathi, 2025)","plainTextFormattedCitation":"(Thavasi &amp; Revathi, 2025)","previouslyFormattedCitation":"(Thavasi &amp; Revathi, 2025)"},"properties":{"noteIndex":0},"schema":"https://github.com/citation-style-language/schema/raw/master/csl-citation.json"}</w:instrText>
            </w:r>
            <w:r>
              <w:rPr>
                <w:rFonts w:ascii="Times New Roman" w:hAnsi="Times New Roman" w:cs="Times New Roman"/>
                <w:lang w:val="zh-CN" w:eastAsia="zh-CN"/>
              </w:rPr>
              <w:fldChar w:fldCharType="separate"/>
            </w:r>
            <w:r>
              <w:rPr>
                <w:rFonts w:ascii="Times New Roman" w:hAnsi="Times New Roman" w:cs="Times New Roman"/>
                <w:lang w:val="zh-CN" w:eastAsia="zh-CN"/>
              </w:rPr>
              <w:t>(Thavasi &amp; Revathi, 2025)</w:t>
            </w:r>
            <w:r>
              <w:rPr>
                <w:rFonts w:ascii="Times New Roman" w:hAnsi="Times New Roman" w:cs="Times New Roman"/>
                <w:lang w:val="zh-CN" w:eastAsia="zh-CN"/>
              </w:rPr>
              <w:fldChar w:fldCharType="end"/>
            </w:r>
          </w:p>
        </w:tc>
        <w:tc>
          <w:tcPr>
            <w:tcW w:w="1711" w:type="dxa"/>
            <w:tcBorders>
              <w:top w:val="nil"/>
              <w:left w:val="nil"/>
              <w:bottom w:val="single" w:color="auto" w:sz="4" w:space="0"/>
              <w:right w:val="nil"/>
            </w:tcBorders>
            <w:vAlign w:val="center"/>
          </w:tcPr>
          <w:p w14:paraId="2321ED74">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A personalized machine learning–based system to evaluate students’ skillset and analyze the gap between academia and industry for engineering students</w:t>
            </w:r>
          </w:p>
        </w:tc>
        <w:tc>
          <w:tcPr>
            <w:tcW w:w="1826" w:type="dxa"/>
            <w:tcBorders>
              <w:top w:val="nil"/>
              <w:left w:val="nil"/>
              <w:bottom w:val="single" w:color="auto" w:sz="4" w:space="0"/>
              <w:right w:val="nil"/>
            </w:tcBorders>
            <w:vAlign w:val="center"/>
          </w:tcPr>
          <w:p w14:paraId="679F35A8">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Evaluasi skill, prediksi karier, dan identifikasi gap kompetensi berbasis machine learning.</w:t>
            </w:r>
          </w:p>
        </w:tc>
        <w:tc>
          <w:tcPr>
            <w:tcW w:w="1874" w:type="dxa"/>
            <w:tcBorders>
              <w:top w:val="nil"/>
              <w:left w:val="nil"/>
              <w:bottom w:val="single" w:color="auto" w:sz="4" w:space="0"/>
              <w:right w:val="nil"/>
            </w:tcBorders>
            <w:vAlign w:val="center"/>
          </w:tcPr>
          <w:p w14:paraId="61DA68E9">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Perbandingan ML (NB, KNN, SVM, ANN) untuk prediksi job role berbasis data akademik.</w:t>
            </w:r>
          </w:p>
        </w:tc>
        <w:tc>
          <w:tcPr>
            <w:tcW w:w="1770" w:type="dxa"/>
            <w:tcBorders>
              <w:top w:val="nil"/>
              <w:left w:val="nil"/>
              <w:bottom w:val="single" w:color="auto" w:sz="4" w:space="0"/>
              <w:right w:val="nil"/>
            </w:tcBorders>
            <w:vAlign w:val="center"/>
          </w:tcPr>
          <w:p w14:paraId="12F7AEA7">
            <w:pPr>
              <w:spacing w:line="240" w:lineRule="auto"/>
              <w:ind w:left="0" w:hanging="2"/>
              <w:rPr>
                <w:rFonts w:ascii="Times New Roman" w:hAnsi="Times New Roman" w:cs="Times New Roman"/>
                <w:lang w:val="pt-BR" w:eastAsia="zh-CN"/>
              </w:rPr>
            </w:pPr>
            <w:r>
              <w:rPr>
                <w:rFonts w:ascii="Times New Roman" w:hAnsi="Times New Roman" w:cs="Times New Roman"/>
                <w:lang w:val="pt-BR" w:eastAsia="zh-CN"/>
              </w:rPr>
              <w:t>ANN memberikan performa terbaik</w:t>
            </w:r>
          </w:p>
          <w:p w14:paraId="42F407BF">
            <w:pPr>
              <w:spacing w:line="240" w:lineRule="auto"/>
              <w:ind w:left="0" w:hanging="2"/>
              <w:rPr>
                <w:rFonts w:ascii="Times New Roman" w:hAnsi="Times New Roman" w:cs="Times New Roman"/>
                <w:lang w:val="pt-BR" w:eastAsia="zh-CN"/>
              </w:rPr>
            </w:pPr>
            <w:r>
              <w:rPr>
                <w:rFonts w:ascii="Times New Roman" w:hAnsi="Times New Roman" w:cs="Times New Roman"/>
                <w:lang w:val="pt-BR" w:eastAsia="zh-CN"/>
              </w:rPr>
              <w:t>akurasi prediksi mencapai 93,33%</w:t>
            </w:r>
          </w:p>
          <w:p w14:paraId="26DA046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precision mencapai 98%</w:t>
            </w:r>
          </w:p>
          <w:p w14:paraId="14E6B67D">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sistem mampu:</w:t>
            </w:r>
          </w:p>
          <w:p w14:paraId="71F38431">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mengidentifikasi kekuatan &amp; kelemahan skill mahasiswa</w:t>
            </w:r>
          </w:p>
          <w:p w14:paraId="26234124">
            <w:pPr>
              <w:spacing w:line="240" w:lineRule="auto"/>
              <w:ind w:left="0" w:hanging="2"/>
              <w:rPr>
                <w:rFonts w:ascii="Times New Roman" w:hAnsi="Times New Roman" w:cs="Times New Roman"/>
                <w:lang w:val="zh-CN" w:eastAsia="zh-CN"/>
              </w:rPr>
            </w:pPr>
            <w:r>
              <w:rPr>
                <w:rFonts w:ascii="Times New Roman" w:hAnsi="Times New Roman" w:cs="Times New Roman"/>
                <w:lang w:val="zh-CN" w:eastAsia="zh-CN"/>
              </w:rPr>
              <w:t>memberikan rekomendasi pengembangan karier</w:t>
            </w:r>
          </w:p>
        </w:tc>
      </w:tr>
    </w:tbl>
    <w:p w14:paraId="1A8ABC42">
      <w:pPr>
        <w:pStyle w:val="54"/>
        <w:ind w:left="3" w:hanging="5"/>
        <w:rPr>
          <w:rFonts w:ascii="Times New Roman" w:hAnsi="Times New Roman" w:eastAsia="MS Mincho"/>
          <w:sz w:val="22"/>
          <w:szCs w:val="22"/>
        </w:rPr>
      </w:pPr>
    </w:p>
    <w:p w14:paraId="59126558">
      <w:pPr>
        <w:pStyle w:val="54"/>
        <w:numPr>
          <w:ilvl w:val="0"/>
          <w:numId w:val="4"/>
        </w:numPr>
        <w:rPr>
          <w:rFonts w:ascii="Times New Roman" w:hAnsi="Times New Roman" w:eastAsia="MS Mincho"/>
          <w:b/>
          <w:bCs/>
          <w:sz w:val="22"/>
          <w:szCs w:val="22"/>
        </w:rPr>
      </w:pPr>
      <w:r>
        <w:rPr>
          <w:rFonts w:ascii="Times New Roman" w:hAnsi="Times New Roman" w:eastAsia="MS Mincho"/>
          <w:b/>
          <w:bCs/>
          <w:sz w:val="22"/>
          <w:szCs w:val="22"/>
        </w:rPr>
        <w:t xml:space="preserve">Pembahasan </w:t>
      </w:r>
    </w:p>
    <w:p w14:paraId="56D17171">
      <w:pPr>
        <w:pStyle w:val="54"/>
        <w:ind w:left="720" w:firstLine="0"/>
        <w:rPr>
          <w:rFonts w:ascii="Times New Roman" w:hAnsi="Times New Roman" w:eastAsia="MS Mincho"/>
          <w:b/>
          <w:bCs/>
          <w:sz w:val="22"/>
          <w:szCs w:val="22"/>
        </w:rPr>
      </w:pPr>
    </w:p>
    <w:p w14:paraId="64DDA8DF">
      <w:pPr>
        <w:pStyle w:val="54"/>
        <w:numPr>
          <w:ilvl w:val="1"/>
          <w:numId w:val="3"/>
        </w:numPr>
        <w:ind w:left="450"/>
        <w:rPr>
          <w:rFonts w:ascii="Times New Roman" w:hAnsi="Times New Roman" w:eastAsia="MS Mincho"/>
          <w:b/>
          <w:bCs/>
          <w:i/>
          <w:iCs w:val="0"/>
          <w:sz w:val="22"/>
          <w:szCs w:val="22"/>
        </w:rPr>
      </w:pPr>
      <w:r>
        <w:rPr>
          <w:rFonts w:ascii="Times New Roman" w:hAnsi="Times New Roman" w:eastAsia="MS Mincho"/>
          <w:b/>
          <w:bCs/>
          <w:i/>
          <w:iCs w:val="0"/>
          <w:sz w:val="22"/>
          <w:szCs w:val="22"/>
        </w:rPr>
        <w:t>Tren Penggunaan Machine Learning dalam Penilaian Pembelajaran</w:t>
      </w:r>
    </w:p>
    <w:p w14:paraId="26A460B5">
      <w:pPr>
        <w:pStyle w:val="54"/>
        <w:ind w:firstLine="0"/>
        <w:rPr>
          <w:rFonts w:ascii="Times New Roman" w:hAnsi="Times New Roman" w:eastAsia="MS Mincho"/>
          <w:sz w:val="22"/>
          <w:szCs w:val="22"/>
        </w:rPr>
      </w:pPr>
      <w:r>
        <w:rPr>
          <w:rFonts w:ascii="Times New Roman" w:hAnsi="Times New Roman" w:eastAsia="MS Mincho"/>
          <w:sz w:val="22"/>
          <w:szCs w:val="22"/>
        </w:rPr>
        <w:t xml:space="preserve">Berdasarkan hasil analisis bibliometrik, terlihat bahwa penelitian terkait penerapan machine learning dalam sistem penilaian pembelajaran didominasi oleh topik prediksi, klasifikasi, dan evaluasi hasil belajar. Visualisasi jaringan kata kunci juga menunjukkan bahwa machine learning menjadi pusat utama penelitian dengan keterkaitan yang kuat terhadap student performance dan prediction. Temuan ini selanjutnya dianalisis lebih mendalam melalui kajian terhadap artikel terpilih. </w:t>
      </w:r>
    </w:p>
    <w:p w14:paraId="0B1ED699">
      <w:pPr>
        <w:pStyle w:val="54"/>
        <w:ind w:left="3" w:hanging="5"/>
        <w:rPr>
          <w:rFonts w:ascii="Times New Roman" w:hAnsi="Times New Roman" w:eastAsia="MS Mincho"/>
          <w:sz w:val="22"/>
          <w:szCs w:val="22"/>
        </w:rPr>
      </w:pPr>
      <w:r>
        <w:rPr>
          <w:rFonts w:ascii="Times New Roman" w:hAnsi="Times New Roman" w:eastAsia="MS Mincho"/>
          <w:sz w:val="22"/>
          <w:szCs w:val="22"/>
        </w:rPr>
        <w:t>Hasil kajian menunjukkan bahwa pendekatan machine learning menjadi metode dominan dalam pengembangan sistem penilaian pembelajaran. Berbagai algoritma seperti Random Forest, Support Vector Machine, serta metode ensemble banyak digunakan untuk meningkatkan akurasi prediksi. Penggunaan metode ensemble terbukti mampu menggabungkan keunggulan beberapa model sehingga menghasilkan performa yang lebih stabil dan akurat.</w:t>
      </w:r>
    </w:p>
    <w:p w14:paraId="391B7310">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Hal ini didukung oleh penelitian Prediction and Classification of Student Performance Through an Ensemble Machine Learning Approach </w:t>
      </w:r>
      <w:r>
        <w:rPr>
          <w:rFonts w:ascii="Times New Roman" w:hAnsi="Times New Roman" w:eastAsia="MS Mincho"/>
          <w:sz w:val="22"/>
          <w:szCs w:val="22"/>
        </w:rPr>
        <w:fldChar w:fldCharType="begin" w:fldLock="1"/>
      </w:r>
      <w:r>
        <w:rPr>
          <w:rFonts w:ascii="Times New Roman" w:hAnsi="Times New Roman" w:eastAsia="MS Mincho"/>
          <w:sz w:val="22"/>
          <w:szCs w:val="22"/>
        </w:rPr>
        <w:instrText xml:space="preserve">ADDIN CSL_CITATION {"citationItems":[{"id":"ITEM-1","itemData":{"DOI":"https://doi.org/10.1007/s40031-025-01240-1","author":[{"dropping-particle":"","family":"Cheng","given":"Wei","non-dropping-particle":"","parse-names":false,"suffix":""}],"container-title":"Journal of The Institution of Engineers (India): Series B","id":"ITEM-1","issue":"B","issued":{"date-parts":[["2026"]]},"page":"297-307","title":"Prediction and Classification of Student Performance Through an Ensemble Machine Learning Approach","type":"article-journal","volume":"107"},"uris":["http://www.mendeley.com/documents/?uuid=3680e595-498b-4ac5-a777-b86066da3fc5"]}],"mendeley":{"formattedCitation":"(Cheng, 2026)","plainTextFormattedCitation":"(Cheng, 2026)","previouslyFormattedCitation":"(Cheng, 2026)"},"properties":{"noteIndex":0},"schema":"https://github.com/citation-style-language/schema/raw/master/csl-citation.json"}</w:instrText>
      </w:r>
      <w:r>
        <w:rPr>
          <w:rFonts w:ascii="Times New Roman" w:hAnsi="Times New Roman" w:eastAsia="MS Mincho"/>
          <w:sz w:val="22"/>
          <w:szCs w:val="22"/>
        </w:rPr>
        <w:fldChar w:fldCharType="separate"/>
      </w:r>
      <w:r>
        <w:rPr>
          <w:rFonts w:ascii="Times New Roman" w:hAnsi="Times New Roman" w:eastAsia="MS Mincho"/>
          <w:sz w:val="22"/>
          <w:szCs w:val="22"/>
        </w:rPr>
        <w:t>(Cheng, 2026)</w:t>
      </w:r>
      <w:r>
        <w:rPr>
          <w:rFonts w:ascii="Times New Roman" w:hAnsi="Times New Roman" w:eastAsia="MS Mincho"/>
          <w:sz w:val="22"/>
          <w:szCs w:val="22"/>
        </w:rPr>
        <w:fldChar w:fldCharType="end"/>
      </w:r>
      <w:r>
        <w:rPr>
          <w:rFonts w:ascii="Times New Roman" w:hAnsi="Times New Roman" w:eastAsia="MS Mincho"/>
          <w:sz w:val="22"/>
          <w:szCs w:val="22"/>
        </w:rPr>
        <w:t xml:space="preserve"> yang menunjukkan bahwa pendekatan ensemble mampu meningkatkan akurasi prediksi secara signifikan hingga lebih dari 94% (“the constructed model… achieved 94.42% accuracy”). Temuan ini menegaskan bahwa pendekatan berbasis kombinasi model lebih unggul dibandingkan model tunggal dalam konteks penilaian pembelajaran.</w:t>
      </w:r>
    </w:p>
    <w:p w14:paraId="0D6F4ED0">
      <w:pPr>
        <w:pStyle w:val="54"/>
        <w:ind w:left="3" w:hanging="5"/>
        <w:rPr>
          <w:rFonts w:ascii="Times New Roman" w:hAnsi="Times New Roman" w:eastAsia="MS Mincho"/>
          <w:sz w:val="22"/>
          <w:szCs w:val="22"/>
        </w:rPr>
      </w:pPr>
    </w:p>
    <w:p w14:paraId="50612F95">
      <w:pPr>
        <w:pStyle w:val="54"/>
        <w:numPr>
          <w:ilvl w:val="1"/>
          <w:numId w:val="3"/>
        </w:numPr>
        <w:ind w:left="450"/>
        <w:rPr>
          <w:rFonts w:ascii="Times New Roman" w:hAnsi="Times New Roman" w:eastAsia="MS Mincho"/>
          <w:b/>
          <w:bCs/>
          <w:sz w:val="22"/>
          <w:szCs w:val="22"/>
        </w:rPr>
      </w:pPr>
      <w:r>
        <w:rPr>
          <w:rFonts w:ascii="Times New Roman" w:hAnsi="Times New Roman" w:eastAsia="MS Mincho"/>
          <w:b/>
          <w:bCs/>
          <w:i/>
          <w:iCs w:val="0"/>
          <w:sz w:val="22"/>
          <w:szCs w:val="22"/>
        </w:rPr>
        <w:t>Peran Jaringan Syaraf Tiruan dalam Penilaian</w:t>
      </w:r>
    </w:p>
    <w:p w14:paraId="3B6B476A">
      <w:pPr>
        <w:pStyle w:val="54"/>
        <w:ind w:left="3" w:hanging="5"/>
        <w:rPr>
          <w:rFonts w:ascii="Times New Roman" w:hAnsi="Times New Roman" w:eastAsia="MS Mincho"/>
          <w:sz w:val="22"/>
          <w:szCs w:val="22"/>
        </w:rPr>
      </w:pPr>
      <w:r>
        <w:rPr>
          <w:rFonts w:ascii="Times New Roman" w:hAnsi="Times New Roman" w:eastAsia="MS Mincho"/>
          <w:sz w:val="22"/>
          <w:szCs w:val="22"/>
        </w:rPr>
        <w:t>Di antara berbagai pendekatan machine learning, jaringan syaraf tiruan (JST) memiliki keunggulan dalam memodelkan hubungan non-linear dan mengenali pola kompleks pada data pembelajaran. JST banyak diimplementasikan dalam bentuk Artificial Neural Network (ANN), Recurrent Neural Network (RNN), serta model berbasis transformer.</w:t>
      </w:r>
    </w:p>
    <w:p w14:paraId="1D9F70A5">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Penelitian An Intelligent Model for Parametric Cognitive Assessment of E-Learning-Based Students </w:t>
      </w:r>
      <w:r>
        <w:rPr>
          <w:rFonts w:ascii="Times New Roman" w:hAnsi="Times New Roman"/>
          <w:sz w:val="22"/>
          <w:szCs w:val="22"/>
          <w:lang w:val="zh-CN" w:eastAsia="zh-CN"/>
        </w:rPr>
        <w:fldChar w:fldCharType="begin" w:fldLock="1"/>
      </w:r>
      <w:r>
        <w:rPr>
          <w:rFonts w:ascii="Times New Roman" w:hAnsi="Times New Roman"/>
          <w:sz w:val="22"/>
          <w:szCs w:val="22"/>
          <w:lang w:val="zh-CN" w:eastAsia="zh-CN"/>
        </w:rPr>
        <w:instrText xml:space="preserve">ADDIN CSL_CITATION {"citationItems":[{"id":"ITEM-1","itemData":{"DOI":"https://doi.org/10.3390/info16020093","author":[{"dropping-particle":"","family":"Javed","given":"Muhammad Saqib","non-dropping-particle":"","parse-names":false,"suffix":""},{"dropping-particle":"","family":"Aslam","given":"Muhammad","non-dropping-particle":"","parse-names":false,"suffix":""},{"dropping-particle":"","family":"Khurshid","given":"Syed Khaldoon","non-dropping-particle":"","parse-names":false,"suffix":""}],"container-title":"Information","id":"ITEM-1","issue":"2","issued":{"date-parts":[["2025"]]},"page":"1-35","title":"An Intelligent Model for Parametric Cognitive Assessment of E-Learning-Based Students","type":"article-journal","volume":"16"},"uris":["http://www.mendeley.com/documents/?uuid=4f7072d3-4d75-49c0-9f83-dba344fd4db6"]}],"mendeley":{"formattedCitation":"(Javed et al., 2025)","plainTextFormattedCitation":"(Javed et al., 2025)","previouslyFormattedCitation":"(Javed et al., 2025)"},"properties":{"noteIndex":0},"schema":"https://github.com/citation-style-language/schema/raw/master/csl-citation.json"}</w:instrText>
      </w:r>
      <w:r>
        <w:rPr>
          <w:rFonts w:ascii="Times New Roman" w:hAnsi="Times New Roman"/>
          <w:sz w:val="22"/>
          <w:szCs w:val="22"/>
          <w:lang w:val="zh-CN" w:eastAsia="zh-CN"/>
        </w:rPr>
        <w:fldChar w:fldCharType="separate"/>
      </w:r>
      <w:r>
        <w:rPr>
          <w:rFonts w:ascii="Times New Roman" w:hAnsi="Times New Roman"/>
          <w:sz w:val="22"/>
          <w:szCs w:val="22"/>
          <w:lang w:val="zh-CN" w:eastAsia="zh-CN"/>
        </w:rPr>
        <w:t>(Javed et al., 2025)</w:t>
      </w:r>
      <w:r>
        <w:rPr>
          <w:rFonts w:ascii="Times New Roman" w:hAnsi="Times New Roman"/>
          <w:sz w:val="22"/>
          <w:szCs w:val="22"/>
          <w:lang w:val="zh-CN" w:eastAsia="zh-CN"/>
        </w:rPr>
        <w:fldChar w:fldCharType="end"/>
      </w:r>
      <w:r>
        <w:rPr>
          <w:rFonts w:ascii="Times New Roman" w:hAnsi="Times New Roman" w:eastAsia="MS Mincho"/>
          <w:sz w:val="22"/>
          <w:szCs w:val="22"/>
        </w:rPr>
        <w:t xml:space="preserve"> menunjukkan bahwa model berbasis RNN mampu mencapai akurasi klasifikasi hingga 98% dalam mengidentifikasi level kognitif siswa (“the cognitive-based questions pool classification achieved by RNN results in 98% accuracy”). Selain itu, integrasi JST dengan metode lain seperti Random Forest juga mampu meningkatkan akurasi evaluasi hingga lebih dari 92% (“student assessments… increased to an accuracy ratio of 92.16%”).</w:t>
      </w:r>
    </w:p>
    <w:p w14:paraId="08B13A31">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Perkembangan lebih lanjut terlihat pada penggunaan model transformer dalam sistem penilaian. Penelitian Interpretable and ethical learning assessment transformer (IELAT): an explainable transformer, model for personalized student assessments menunjukkan bahwa model ini mampu mencapai akurasi sangat tinggi sekaligus memberikan transparansi dalam proses penilaian (“achieving 99.81% accuracy… ensuring transparency and trust”). </w:t>
      </w:r>
      <w:r>
        <w:rPr>
          <w:rFonts w:ascii="Times New Roman" w:hAnsi="Times New Roman" w:eastAsia="MS Mincho"/>
          <w:sz w:val="22"/>
          <w:szCs w:val="22"/>
          <w:lang w:val="en-US"/>
        </w:rPr>
        <w:t xml:space="preserve">Transformer merupakan pengembangan arsitektur jaringan syaraf tiruan berbasis mekanisme self-attention yang mampu memproses data sekuensial secara paralel, sehingga lebih efisien dibandingkan model sebelumnya seperti Recurrent Neural Network (RNN) dan Long Short-Term Memory (LSTM) dalam menangani dependensi jangka panjang </w:t>
      </w:r>
      <w:r>
        <w:rPr>
          <w:rFonts w:ascii="Times New Roman" w:hAnsi="Times New Roman" w:eastAsia="MS Mincho"/>
          <w:sz w:val="22"/>
          <w:szCs w:val="22"/>
          <w:lang w:val="en-US"/>
        </w:rPr>
        <w:fldChar w:fldCharType="begin" w:fldLock="1"/>
      </w:r>
      <w:r>
        <w:rPr>
          <w:rFonts w:ascii="Times New Roman" w:hAnsi="Times New Roman" w:eastAsia="MS Mincho"/>
          <w:sz w:val="22"/>
          <w:szCs w:val="22"/>
          <w:lang w:val="en-US"/>
        </w:rPr>
        <w:instrText xml:space="preserve">ADDIN CSL_CITATION {"citationItems":[{"id":"ITEM-1","itemData":{"author":[{"dropping-particle":"","family":"Vaswani","given":"Ashish","non-dropping-particle":"","parse-names":false,"suffix":""}],"container-title":"31st Conference on Neural Information Processing Systems (NIPS 2017)","id":"ITEM-1","issue":"Nips","issued":{"date-parts":[["2017"]]},"publisher-place":"Long Beach, CA, USA.","title":"Attention Is All You Need","type":"paper-conference"},"uris":["http://www.mendeley.com/documents/?uuid=fe67ff62-3b94-4645-9148-1613d585544c"]}],"mendeley":{"formattedCitation":"(Vaswani, 2017)","plainTextFormattedCitation":"(Vaswani, 2017)"},"properties":{"noteIndex":0},"schema":"https://github.com/citation-style-language/schema/raw/master/csl-citation.json"}</w:instrText>
      </w:r>
      <w:r>
        <w:rPr>
          <w:rFonts w:ascii="Times New Roman" w:hAnsi="Times New Roman" w:eastAsia="MS Mincho"/>
          <w:sz w:val="22"/>
          <w:szCs w:val="22"/>
          <w:lang w:val="en-US"/>
        </w:rPr>
        <w:fldChar w:fldCharType="separate"/>
      </w:r>
      <w:r>
        <w:rPr>
          <w:rFonts w:ascii="Times New Roman" w:hAnsi="Times New Roman" w:eastAsia="MS Mincho"/>
          <w:sz w:val="22"/>
          <w:szCs w:val="22"/>
          <w:lang w:val="en-US"/>
        </w:rPr>
        <w:t>(Vaswani, 2017)</w:t>
      </w:r>
      <w:r>
        <w:rPr>
          <w:rFonts w:ascii="Times New Roman" w:hAnsi="Times New Roman" w:eastAsia="MS Mincho"/>
          <w:sz w:val="22"/>
          <w:szCs w:val="22"/>
          <w:lang w:val="en-US"/>
        </w:rPr>
        <w:fldChar w:fldCharType="end"/>
      </w:r>
      <w:r>
        <w:rPr>
          <w:rFonts w:ascii="Times New Roman" w:hAnsi="Times New Roman" w:eastAsia="MS Mincho"/>
          <w:sz w:val="22"/>
          <w:szCs w:val="22"/>
          <w:lang w:val="en-US"/>
        </w:rPr>
        <w:t xml:space="preserve">. </w:t>
      </w:r>
      <w:r>
        <w:rPr>
          <w:rFonts w:ascii="Times New Roman" w:hAnsi="Times New Roman" w:eastAsia="MS Mincho"/>
          <w:sz w:val="22"/>
          <w:szCs w:val="22"/>
        </w:rPr>
        <w:t>Hal ini menunjukkan bahwa JST tidak hanya unggul dalam akurasi, tetapi juga berkembang dalam aspek interpretabilitas.</w:t>
      </w:r>
    </w:p>
    <w:p w14:paraId="301E0BDF">
      <w:pPr>
        <w:pStyle w:val="54"/>
        <w:ind w:left="3" w:hanging="5"/>
        <w:rPr>
          <w:rFonts w:ascii="Times New Roman" w:hAnsi="Times New Roman" w:eastAsia="MS Mincho"/>
          <w:sz w:val="22"/>
          <w:szCs w:val="22"/>
        </w:rPr>
      </w:pPr>
    </w:p>
    <w:p w14:paraId="76E3C88C">
      <w:pPr>
        <w:pStyle w:val="54"/>
        <w:numPr>
          <w:ilvl w:val="1"/>
          <w:numId w:val="3"/>
        </w:numPr>
        <w:ind w:left="360"/>
        <w:rPr>
          <w:rFonts w:ascii="Times New Roman" w:hAnsi="Times New Roman" w:eastAsia="MS Mincho"/>
          <w:b/>
          <w:bCs/>
          <w:i/>
          <w:iCs w:val="0"/>
          <w:sz w:val="22"/>
          <w:szCs w:val="22"/>
        </w:rPr>
      </w:pPr>
      <w:r>
        <w:rPr>
          <w:rFonts w:ascii="Times New Roman" w:hAnsi="Times New Roman" w:eastAsia="MS Mincho"/>
          <w:b/>
          <w:bCs/>
          <w:i/>
          <w:iCs w:val="0"/>
          <w:sz w:val="22"/>
          <w:szCs w:val="22"/>
        </w:rPr>
        <w:t>Fokus Penelitian: Prediksi Hasil Belajar</w:t>
      </w:r>
    </w:p>
    <w:p w14:paraId="1B919D39">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Sebagian besar penelitian yang dianalisis masih berfokus pada prediksi hasil belajar siswa, seperti nilai akademik dan tingkat literasi sains. Pendekatan ini memanfaatkan data historis siswa untuk membangun model prediktif yang akurat. </w:t>
      </w:r>
    </w:p>
    <w:p w14:paraId="3C494F93">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Sebagai contoh, penelitian Machine Learning Approaches for Predicting U.S. Students’ Scientific Literacy: An Analysis of Key Factors Across Performance Levels and Socioeconomic Statuses </w:t>
      </w:r>
      <w:r>
        <w:rPr>
          <w:rFonts w:ascii="Times New Roman" w:hAnsi="Times New Roman"/>
          <w:sz w:val="22"/>
          <w:szCs w:val="22"/>
          <w:lang w:val="zh-CN" w:eastAsia="zh-CN"/>
        </w:rPr>
        <w:fldChar w:fldCharType="begin" w:fldLock="1"/>
      </w:r>
      <w:r>
        <w:rPr>
          <w:rFonts w:ascii="Times New Roman" w:hAnsi="Times New Roman"/>
          <w:sz w:val="22"/>
          <w:szCs w:val="22"/>
          <w:lang w:val="zh-CN" w:eastAsia="zh-CN"/>
        </w:rPr>
        <w:instrText xml:space="preserve">ADDIN CSL_CITATION {"citationItems":[{"id":"ITEM-1","itemData":{"DOI":"10.1007/s10763-025-10545-y","author":[{"dropping-particle":"","family":"You","given":"Hyesun","non-dropping-particle":"","parse-names":false,"suffix":""},{"dropping-particle":"","family":"Hong","given":"Minju","non-dropping-particle":"","parse-names":false,"suffix":""},{"dropping-particle":"","family":"Zhu","given":"Li","non-dropping-particle":"","parse-names":false,"suffix":""},{"dropping-particle":"","family":"Zhenhan","given":"Fang","non-dropping-particle":"","parse-names":false,"suffix":""}],"container-title":"International Journal of Science and Mathematics Education","id":"ITEM-1","issued":{"date-parts":[["2025"]]},"page":"2755-2783","title":"Machine Learning Approaches for Predicting U.S. Students’ Scientific Literacy: An Analysis of Key Factors Across Performance Levels and Socioeconomic Statuses","type":"article-journal","volume":"23"},"uris":["http://www.mendeley.com/documents/?uuid=db5498e3-b86d-4607-ad1f-9d4d8d40b34f"]}],"mendeley":{"formattedCitation":"(You et al., 2025)","plainTextFormattedCitation":"(You et al., 2025)","previouslyFormattedCitation":"(You et al., 2025)"},"properties":{"noteIndex":0},"schema":"https://github.com/citation-style-language/schema/raw/master/csl-citation.json"}</w:instrText>
      </w:r>
      <w:r>
        <w:rPr>
          <w:rFonts w:ascii="Times New Roman" w:hAnsi="Times New Roman"/>
          <w:sz w:val="22"/>
          <w:szCs w:val="22"/>
          <w:lang w:val="zh-CN" w:eastAsia="zh-CN"/>
        </w:rPr>
        <w:fldChar w:fldCharType="separate"/>
      </w:r>
      <w:r>
        <w:rPr>
          <w:rFonts w:ascii="Times New Roman" w:hAnsi="Times New Roman"/>
          <w:sz w:val="22"/>
          <w:szCs w:val="22"/>
          <w:lang w:val="zh-CN" w:eastAsia="zh-CN"/>
        </w:rPr>
        <w:t>(You et al., 2025)</w:t>
      </w:r>
      <w:r>
        <w:rPr>
          <w:rFonts w:ascii="Times New Roman" w:hAnsi="Times New Roman"/>
          <w:sz w:val="22"/>
          <w:szCs w:val="22"/>
          <w:lang w:val="zh-CN" w:eastAsia="zh-CN"/>
        </w:rPr>
        <w:fldChar w:fldCharType="end"/>
      </w:r>
      <w:r>
        <w:rPr>
          <w:rFonts w:ascii="Times New Roman" w:hAnsi="Times New Roman"/>
          <w:sz w:val="22"/>
          <w:szCs w:val="22"/>
          <w:lang w:val="zh-CN" w:eastAsia="zh-CN"/>
        </w:rPr>
        <w:t xml:space="preserve"> </w:t>
      </w:r>
      <w:r>
        <w:rPr>
          <w:rFonts w:ascii="Times New Roman" w:hAnsi="Times New Roman" w:eastAsia="MS Mincho"/>
          <w:sz w:val="22"/>
          <w:szCs w:val="22"/>
        </w:rPr>
        <w:t>menunjukkan bahwa faktor seperti tingkat kelas, minat belajar, dan persepsi diri menjadi prediktor utama dalam menentukan literasi sains siswa (“grade, enjoyment, and self-perceived scientific literacy were the most important predictors”). Hal ini menunjukkan bahwa machine learning efektif dalam mengidentifikasi faktor-faktor yang mempengaruhi hasil belajar, namun masih terbatas pada aspek output.</w:t>
      </w:r>
    </w:p>
    <w:p w14:paraId="637E9942">
      <w:pPr>
        <w:pStyle w:val="54"/>
        <w:ind w:left="3" w:hanging="5"/>
        <w:rPr>
          <w:rFonts w:ascii="Times New Roman" w:hAnsi="Times New Roman" w:eastAsia="MS Mincho"/>
          <w:sz w:val="22"/>
          <w:szCs w:val="22"/>
        </w:rPr>
      </w:pPr>
    </w:p>
    <w:p w14:paraId="03BB3108">
      <w:pPr>
        <w:pStyle w:val="54"/>
        <w:numPr>
          <w:ilvl w:val="1"/>
          <w:numId w:val="3"/>
        </w:numPr>
        <w:ind w:left="360"/>
        <w:rPr>
          <w:rFonts w:ascii="Times New Roman" w:hAnsi="Times New Roman" w:eastAsia="MS Mincho"/>
          <w:b/>
          <w:bCs/>
          <w:i/>
          <w:iCs w:val="0"/>
          <w:sz w:val="22"/>
          <w:szCs w:val="22"/>
        </w:rPr>
      </w:pPr>
      <w:r>
        <w:rPr>
          <w:rFonts w:ascii="Times New Roman" w:hAnsi="Times New Roman" w:eastAsia="MS Mincho"/>
          <w:b/>
          <w:bCs/>
          <w:i/>
          <w:iCs w:val="0"/>
          <w:sz w:val="22"/>
          <w:szCs w:val="22"/>
        </w:rPr>
        <w:t>Keterbatasan Penilaian Berbasis AI</w:t>
      </w:r>
    </w:p>
    <w:p w14:paraId="3F54B1E2">
      <w:pPr>
        <w:pStyle w:val="54"/>
        <w:ind w:left="3" w:hanging="5"/>
        <w:rPr>
          <w:rFonts w:ascii="Times New Roman" w:hAnsi="Times New Roman" w:eastAsia="MS Mincho"/>
          <w:sz w:val="22"/>
          <w:szCs w:val="22"/>
        </w:rPr>
      </w:pPr>
      <w:r>
        <w:rPr>
          <w:rFonts w:ascii="Times New Roman" w:hAnsi="Times New Roman" w:eastAsia="MS Mincho"/>
          <w:sz w:val="22"/>
          <w:szCs w:val="22"/>
        </w:rPr>
        <w:t>Meskipun teknologi AI menunjukkan potensi besar dalam meningkatkan kualitas penilaian, terdapat beberapa keterbatasan yang masih ditemukan. Sebagian besar penelitian masih menggunakan data berbasis nilai atau jawaban akhir siswa, sehingga belum mampu merepresentasikan proses berpikir secara menyeluruh.</w:t>
      </w:r>
    </w:p>
    <w:p w14:paraId="2F390ADC">
      <w:pPr>
        <w:pStyle w:val="54"/>
        <w:ind w:left="3" w:hanging="5"/>
        <w:rPr>
          <w:rFonts w:ascii="Times New Roman" w:hAnsi="Times New Roman" w:eastAsia="MS Mincho"/>
          <w:sz w:val="22"/>
          <w:szCs w:val="22"/>
        </w:rPr>
      </w:pPr>
      <w:r>
        <w:rPr>
          <w:rFonts w:ascii="Times New Roman" w:hAnsi="Times New Roman" w:eastAsia="MS Mincho"/>
          <w:sz w:val="22"/>
          <w:szCs w:val="22"/>
        </w:rPr>
        <w:t xml:space="preserve">Penelitian Machine Learning Algorithm for Grading Open-Ended Physics Questions in Turkish </w:t>
      </w:r>
      <w:r>
        <w:rPr>
          <w:rFonts w:ascii="Times New Roman" w:hAnsi="Times New Roman"/>
          <w:sz w:val="22"/>
          <w:szCs w:val="22"/>
          <w:lang w:val="zh-CN" w:eastAsia="zh-CN"/>
        </w:rPr>
        <w:fldChar w:fldCharType="begin" w:fldLock="1"/>
      </w:r>
      <w:r>
        <w:rPr>
          <w:rFonts w:ascii="Times New Roman" w:hAnsi="Times New Roman"/>
          <w:sz w:val="22"/>
          <w:szCs w:val="22"/>
          <w:lang w:val="zh-CN" w:eastAsia="zh-CN"/>
        </w:rPr>
        <w:instrText xml:space="preserve">ADDIN CSL_CITATION {"citationItems":[{"id":"ITEM-1","itemData":{"DOI":"https://doi.org/10.1007/s10639-020-10128-0","author":[{"dropping-particle":"","family":"Çınar","given":"Ayşe","non-dropping-particle":"","parse-names":false,"suffix":""},{"dropping-particle":"","family":"Ince","given":"Elif","non-dropping-particle":"","parse-names":false,"suffix":""},{"dropping-particle":"","family":"Gezer","given":"Murat","non-dropping-particle":"","parse-names":false,"suffix":""},{"dropping-particle":"","family":"Yılmaz","given":"Özgür","non-dropping-particle":"","parse-names":false,"suffix":""}],"container-title":"Education and Information Technologies","id":"ITEM-1","issued":{"date-parts":[["2020"]]},"page":"3821-3844","title":"Machine learning algorithm for grading open-ended physics questions in Turkish","type":"article-journal","volume":"25"},"uris":["http://www.mendeley.com/documents/?uuid=0aea332e-3c36-4e8d-aaa4-4b2475f2b540"]}],"mendeley":{"formattedCitation":"(Çınar et al., 2020)","plainTextFormattedCitation":"(Çınar et al., 2020)","previouslyFormattedCitation":"(Çınar et al., 2020)"},"properties":{"noteIndex":0},"schema":"https://github.com/citation-style-language/schema/raw/master/csl-citation.json"}</w:instrText>
      </w:r>
      <w:r>
        <w:rPr>
          <w:rFonts w:ascii="Times New Roman" w:hAnsi="Times New Roman"/>
          <w:sz w:val="22"/>
          <w:szCs w:val="22"/>
          <w:lang w:val="zh-CN" w:eastAsia="zh-CN"/>
        </w:rPr>
        <w:fldChar w:fldCharType="separate"/>
      </w:r>
      <w:r>
        <w:rPr>
          <w:rFonts w:ascii="Times New Roman" w:hAnsi="Times New Roman"/>
          <w:sz w:val="22"/>
          <w:szCs w:val="22"/>
          <w:lang w:val="zh-CN" w:eastAsia="zh-CN"/>
        </w:rPr>
        <w:t>(Çınar et al., 2020)</w:t>
      </w:r>
      <w:r>
        <w:rPr>
          <w:rFonts w:ascii="Times New Roman" w:hAnsi="Times New Roman"/>
          <w:sz w:val="22"/>
          <w:szCs w:val="22"/>
          <w:lang w:val="zh-CN" w:eastAsia="zh-CN"/>
        </w:rPr>
        <w:fldChar w:fldCharType="end"/>
      </w:r>
      <w:r>
        <w:rPr>
          <w:rFonts w:ascii="Times New Roman" w:hAnsi="Times New Roman" w:eastAsia="MS Mincho"/>
          <w:sz w:val="22"/>
          <w:szCs w:val="22"/>
        </w:rPr>
        <w:t xml:space="preserve"> menunjukkan bahwa algoritma machine learning mampu melakukan penilaian otomatis terhadap jawaban terbuka dengan tingkat akurasi yang tinggi (“AdaBoost.M1 technique had the best performance… accuracy, precision and F1-score”), namun masih berfokus pada hasil akhir jawaban, bukan proses penyelesaiannya.</w:t>
      </w:r>
    </w:p>
    <w:p w14:paraId="3A627902">
      <w:pPr>
        <w:pStyle w:val="54"/>
        <w:ind w:left="3" w:hanging="5"/>
        <w:rPr>
          <w:rFonts w:ascii="Times New Roman" w:hAnsi="Times New Roman" w:eastAsia="MS Mincho"/>
          <w:sz w:val="22"/>
          <w:szCs w:val="22"/>
        </w:rPr>
      </w:pPr>
    </w:p>
    <w:p w14:paraId="6EC90875">
      <w:pPr>
        <w:pStyle w:val="54"/>
        <w:numPr>
          <w:ilvl w:val="1"/>
          <w:numId w:val="3"/>
        </w:numPr>
        <w:ind w:left="360"/>
        <w:rPr>
          <w:rFonts w:ascii="Times New Roman" w:hAnsi="Times New Roman" w:eastAsia="MS Mincho"/>
          <w:b/>
          <w:bCs/>
          <w:i/>
          <w:iCs w:val="0"/>
          <w:sz w:val="22"/>
          <w:szCs w:val="22"/>
        </w:rPr>
      </w:pPr>
      <w:r>
        <w:rPr>
          <w:rFonts w:ascii="Times New Roman" w:hAnsi="Times New Roman" w:eastAsia="MS Mincho"/>
          <w:b/>
          <w:bCs/>
          <w:i/>
          <w:iCs w:val="0"/>
          <w:sz w:val="22"/>
          <w:szCs w:val="22"/>
        </w:rPr>
        <w:t>Kesenjangan Penelitian: Integrasi dengan Virtual Laboratory</w:t>
      </w:r>
    </w:p>
    <w:p w14:paraId="31565C54">
      <w:pPr>
        <w:pStyle w:val="54"/>
        <w:ind w:left="3" w:hanging="5"/>
        <w:rPr>
          <w:rFonts w:ascii="Times New Roman" w:hAnsi="Times New Roman" w:eastAsia="MS Mincho"/>
          <w:sz w:val="22"/>
          <w:szCs w:val="22"/>
        </w:rPr>
      </w:pPr>
      <w:r>
        <w:rPr>
          <w:rFonts w:ascii="Times New Roman" w:hAnsi="Times New Roman" w:eastAsia="MS Mincho"/>
          <w:sz w:val="22"/>
          <w:szCs w:val="22"/>
        </w:rPr>
        <w:t>Temuan ini sejalan dengan hasil analisis bibliometrik yang menunjukkan bahwa kata kunci yang berkaitan dengan virtual laboratory dan pembelajaran fisika masih belum dominan dalam jaringan penelitian. Di sisi lain, virtual laboratory sebagai lingkungan pembelajaran digital memiliki potensi besar dalam menyediakan data proses belajar yang lebih kaya, seperti interaksi eksperimen, waktu pengerjaan, dan langkah penyelesaian masalah. Namun, hasil kajian menunjukkan bahwa integrasi antara JST dan virtual laboratory dalam sistem penilaian pembelajaran masih sangat terbatas. Sebagian besar penelitian mengkaji sistem penilaian berbasis AI dan penggunaan virtual laboratory secara terpisah, sehingga belum memanfaatkan potensi data proses belajar secara optimal. Padahal, data yang dihasilkan dari aktivitas eksperimen virtual sangat relevan untuk dianalisis menggunakan JST guna mengembangkan sistem penilaian yang lebih komprehensif.</w:t>
      </w:r>
    </w:p>
    <w:p w14:paraId="5920C4AD">
      <w:pPr>
        <w:pStyle w:val="54"/>
        <w:ind w:left="3" w:hanging="5"/>
        <w:rPr>
          <w:rFonts w:eastAsia="MS Mincho"/>
        </w:rPr>
      </w:pPr>
    </w:p>
    <w:p w14:paraId="59260999">
      <w:pPr>
        <w:pStyle w:val="54"/>
        <w:numPr>
          <w:ilvl w:val="1"/>
          <w:numId w:val="3"/>
        </w:numPr>
        <w:ind w:left="360"/>
        <w:rPr>
          <w:rFonts w:ascii="Times New Roman" w:hAnsi="Times New Roman" w:eastAsia="MS Mincho"/>
          <w:b/>
          <w:bCs/>
          <w:i/>
          <w:iCs w:val="0"/>
          <w:sz w:val="22"/>
          <w:szCs w:val="22"/>
        </w:rPr>
      </w:pPr>
      <w:r>
        <w:rPr>
          <w:rFonts w:ascii="Times New Roman" w:hAnsi="Times New Roman" w:eastAsia="MS Mincho"/>
          <w:b/>
          <w:bCs/>
          <w:i/>
          <w:iCs w:val="0"/>
          <w:sz w:val="22"/>
          <w:szCs w:val="22"/>
        </w:rPr>
        <w:t>Implikasi dan Arah Penelitian Selanjutnya</w:t>
      </w:r>
    </w:p>
    <w:p w14:paraId="6B5FAC48">
      <w:pPr>
        <w:pStyle w:val="54"/>
        <w:ind w:left="3" w:hanging="5"/>
        <w:rPr>
          <w:rFonts w:ascii="Times New Roman" w:hAnsi="Times New Roman" w:eastAsia="MS Mincho"/>
          <w:sz w:val="22"/>
          <w:szCs w:val="22"/>
        </w:rPr>
      </w:pPr>
      <w:r>
        <w:rPr>
          <w:rFonts w:ascii="Times New Roman" w:hAnsi="Times New Roman" w:eastAsia="MS Mincho"/>
          <w:sz w:val="22"/>
          <w:szCs w:val="22"/>
        </w:rPr>
        <w:t>Berdasarkan hasil analisis, integrasi jaringan syaraf tiruan dalam sistem penilaian berbasis virtual laboratory memiliki potensi besar untuk dikembangkan. Pendekatan ini memungkinkan analisis data pembelajaran yang lebih kompleks dan dinamis, sehingga dapat menghasilkan sistem penilaian yang tidak hanya berfokus pada hasil akhir, tetapi juga proses belajar siswa. Dengan demikian, pengembangan sistem penilaian berbasis JST dalam lingkungan virtual laboratory dapat menjadi solusi untuk meningkatkan kualitas evaluasi pembelajaran fisika yang lebih adaptif, objektif, dan berbasis data.</w:t>
      </w:r>
    </w:p>
    <w:p w14:paraId="3E2CBBB0">
      <w:pPr>
        <w:spacing w:after="0" w:line="240" w:lineRule="auto"/>
        <w:ind w:left="0" w:hanging="2"/>
        <w:jc w:val="both"/>
        <w:rPr>
          <w:rFonts w:ascii="Times New Roman" w:hAnsi="Times New Roman" w:eastAsia="Times New Roman" w:cs="Times New Roman"/>
        </w:rPr>
      </w:pPr>
    </w:p>
    <w:p w14:paraId="55292002">
      <w:pPr>
        <w:numPr>
          <w:ilvl w:val="0"/>
          <w:numId w:val="3"/>
        </w:numPr>
        <w:spacing w:after="0" w:line="240" w:lineRule="auto"/>
        <w:ind w:left="0" w:hanging="2"/>
        <w:jc w:val="both"/>
        <w:rPr>
          <w:rFonts w:ascii="Times New Roman" w:hAnsi="Times New Roman" w:eastAsia="Times New Roman" w:cs="Times New Roman"/>
        </w:rPr>
      </w:pPr>
      <w:r>
        <w:rPr>
          <w:rFonts w:ascii="Times New Roman" w:hAnsi="Times New Roman" w:eastAsia="Times New Roman" w:cs="Times New Roman"/>
          <w:b/>
          <w:bCs/>
        </w:rPr>
        <w:t>KESIMPULAN DAN SARAN</w:t>
      </w:r>
    </w:p>
    <w:p w14:paraId="167E53AF">
      <w:pPr>
        <w:pStyle w:val="54"/>
        <w:ind w:firstLine="0"/>
        <w:rPr>
          <w:rFonts w:ascii="Times New Roman" w:hAnsi="Times New Roman" w:eastAsia="MS Mincho"/>
          <w:sz w:val="22"/>
          <w:szCs w:val="22"/>
        </w:rPr>
      </w:pPr>
      <w:r>
        <w:rPr>
          <w:rFonts w:ascii="Times New Roman" w:hAnsi="Times New Roman" w:eastAsia="MS Mincho"/>
          <w:sz w:val="22"/>
          <w:szCs w:val="22"/>
        </w:rPr>
        <w:t>Berdasarkan hasil Systematic Literature Review yang dikombinasikan dengan analisis bibliometrik, dapat disimpulkan bahwa penerapan machine learning, khususnya jaringan syaraf tiruan (JST), memiliki potensi yang signifikan dalam pengembangan sistem penilaian pembelajaran. Tren penelitian menunjukkan peningkatan penggunaan pendekatan berbasis data untuk memprediksi dan mengevaluasi performa belajar siswa. Namun, sebagian besar penelitian masih berfokus pada hasil akhir pembelajaran dan belum mengakomodasi analisis proses belajar secara menyeluruh.</w:t>
      </w:r>
    </w:p>
    <w:p w14:paraId="075D0D76">
      <w:pPr>
        <w:pStyle w:val="54"/>
        <w:ind w:firstLine="0"/>
        <w:rPr>
          <w:rFonts w:ascii="Times New Roman" w:hAnsi="Times New Roman" w:eastAsia="MS Mincho"/>
          <w:sz w:val="22"/>
          <w:szCs w:val="22"/>
        </w:rPr>
      </w:pPr>
      <w:r>
        <w:rPr>
          <w:rFonts w:ascii="Times New Roman" w:hAnsi="Times New Roman" w:eastAsia="MS Mincho"/>
          <w:sz w:val="22"/>
          <w:szCs w:val="22"/>
        </w:rPr>
        <w:t>Hasil analisis juga menunjukkan bahwa integrasi antara JST dan lingkungan pembelajaran berbasis virtual laboratory masih sangat terbatas, meskipun lingkungan tersebut menghasilkan data interaksi yang kaya dan berpotensi untuk dianalisis secara lebih mendalam. Oleh karena itu, penelitian ini menegaskan bahwa pengembangan sistem penilaian berbasis JST yang terintegrasi dengan virtual laboratory merupakan peluang penting untuk menghasilkan evaluasi pembelajaran yang lebih komprehensif, adaptif, dan berbasis data, khususnya dalam pembelajaran fisika.</w:t>
      </w:r>
    </w:p>
    <w:p w14:paraId="7F8B16E9">
      <w:pPr>
        <w:spacing w:after="0" w:line="240" w:lineRule="auto"/>
        <w:ind w:left="0" w:leftChars="0" w:firstLine="0" w:firstLineChars="0"/>
        <w:jc w:val="both"/>
        <w:rPr>
          <w:rFonts w:ascii="Times New Roman" w:hAnsi="Times New Roman" w:eastAsia="Times New Roman" w:cs="Times New Roman"/>
        </w:rPr>
      </w:pPr>
    </w:p>
    <w:p w14:paraId="15F1250E">
      <w:pPr>
        <w:spacing w:after="0" w:line="240" w:lineRule="auto"/>
        <w:ind w:left="0" w:hanging="2"/>
        <w:jc w:val="both"/>
        <w:rPr>
          <w:rFonts w:ascii="Times New Roman" w:hAnsi="Times New Roman" w:eastAsia="Times New Roman" w:cs="Times New Roman"/>
        </w:rPr>
      </w:pPr>
      <w:r>
        <w:rPr>
          <w:rFonts w:ascii="Times New Roman" w:hAnsi="Times New Roman" w:eastAsia="Times New Roman" w:cs="Times New Roman"/>
          <w:b/>
          <w:bCs/>
          <w:smallCaps/>
        </w:rPr>
        <w:t>DAFTAR PUSTAKA</w:t>
      </w:r>
    </w:p>
    <w:p w14:paraId="09C9F116">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eastAsia="MS Mincho" w:cs="Times New Roman"/>
          <w:bCs/>
        </w:rPr>
        <w:fldChar w:fldCharType="begin" w:fldLock="1"/>
      </w:r>
      <w:r>
        <w:rPr>
          <w:rFonts w:ascii="Times New Roman" w:hAnsi="Times New Roman" w:eastAsia="MS Mincho" w:cs="Times New Roman"/>
          <w:bCs/>
          <w:lang w:val="id-ID"/>
        </w:rPr>
        <w:instrText xml:space="preserve">ADDIN Mendeley Bibliography CSL_BIBLIOGRAPHY </w:instrText>
      </w:r>
      <w:r>
        <w:rPr>
          <w:rFonts w:ascii="Times New Roman" w:hAnsi="Times New Roman" w:eastAsia="MS Mincho" w:cs="Times New Roman"/>
          <w:bCs/>
        </w:rPr>
        <w:fldChar w:fldCharType="separate"/>
      </w:r>
      <w:r>
        <w:rPr>
          <w:rFonts w:ascii="Times New Roman" w:hAnsi="Times New Roman" w:cs="Times New Roman"/>
        </w:rPr>
        <w:t xml:space="preserve">Cheng, W. (2026). Prediction and Classification of Student Performance Through an Ensemble Machine Learning Approach. </w:t>
      </w:r>
      <w:r>
        <w:rPr>
          <w:rFonts w:ascii="Times New Roman" w:hAnsi="Times New Roman" w:cs="Times New Roman"/>
          <w:i/>
          <w:iCs/>
        </w:rPr>
        <w:t>Journal of The Institution of Engineers (India): Series B</w:t>
      </w:r>
      <w:r>
        <w:rPr>
          <w:rFonts w:ascii="Times New Roman" w:hAnsi="Times New Roman" w:cs="Times New Roman"/>
        </w:rPr>
        <w:t xml:space="preserve">, </w:t>
      </w:r>
      <w:r>
        <w:rPr>
          <w:rFonts w:ascii="Times New Roman" w:hAnsi="Times New Roman" w:cs="Times New Roman"/>
          <w:i/>
          <w:iCs/>
        </w:rPr>
        <w:t>107</w:t>
      </w:r>
      <w:r>
        <w:rPr>
          <w:rFonts w:ascii="Times New Roman" w:hAnsi="Times New Roman" w:cs="Times New Roman"/>
        </w:rPr>
        <w:t>(B), 297–307. https://doi.org/https://doi.org/10.1007/s40031-025-01240-1</w:t>
      </w:r>
    </w:p>
    <w:p w14:paraId="23328FD7">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Çınar, A., Ince, E., Gezer, M., &amp; Yılmaz, Ö. (2020). Machine learning algorithm for grading open-ended physics questions in Turkish. </w:t>
      </w:r>
      <w:r>
        <w:rPr>
          <w:rFonts w:ascii="Times New Roman" w:hAnsi="Times New Roman" w:cs="Times New Roman"/>
          <w:i/>
          <w:iCs/>
        </w:rPr>
        <w:t>Education and Information Technologies</w:t>
      </w:r>
      <w:r>
        <w:rPr>
          <w:rFonts w:ascii="Times New Roman" w:hAnsi="Times New Roman" w:cs="Times New Roman"/>
        </w:rPr>
        <w:t xml:space="preserve">, </w:t>
      </w:r>
      <w:r>
        <w:rPr>
          <w:rFonts w:ascii="Times New Roman" w:hAnsi="Times New Roman" w:cs="Times New Roman"/>
          <w:i/>
          <w:iCs/>
        </w:rPr>
        <w:t>25</w:t>
      </w:r>
      <w:r>
        <w:rPr>
          <w:rFonts w:ascii="Times New Roman" w:hAnsi="Times New Roman" w:cs="Times New Roman"/>
        </w:rPr>
        <w:t>, 3821–3844. https://doi.org/https://doi.org/10.1007/s10639-020-10128-0</w:t>
      </w:r>
    </w:p>
    <w:p w14:paraId="65C50372">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Darman, D. R., Suhandi, A., Kaniawati, I., Samsudin, A., &amp; Wibowo, F. C. (2024). Virtual laboratory in physics education: A systematic review. </w:t>
      </w:r>
      <w:r>
        <w:rPr>
          <w:rFonts w:ascii="Times New Roman" w:hAnsi="Times New Roman" w:cs="Times New Roman"/>
          <w:i/>
          <w:iCs/>
        </w:rPr>
        <w:t>ELECTRONIC PHYSICS INFORMATICS INTERNATIONAL CONFERENCE (EPIIC)</w:t>
      </w:r>
      <w:r>
        <w:rPr>
          <w:rFonts w:ascii="Times New Roman" w:hAnsi="Times New Roman" w:cs="Times New Roman"/>
        </w:rPr>
        <w:t>. https://doi.org/https://doi.org/10.1063/5.0210640</w:t>
      </w:r>
    </w:p>
    <w:p w14:paraId="52220C2C">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lang w:val="pt-BR"/>
        </w:rPr>
        <w:t xml:space="preserve">Handayani, K. S., Lumbanbatu, K., &amp; Simanjuntak, M. (2021). Jaringan Syaraf Tiruan dengan Algoritma Backpropagation untuk Memprediksi Nilai Ujian Kompetensi Siswa (Studi Kasus Smks Jabal Rahmah Stabat). </w:t>
      </w:r>
      <w:r>
        <w:rPr>
          <w:rFonts w:ascii="Times New Roman" w:hAnsi="Times New Roman" w:cs="Times New Roman"/>
          <w:i/>
          <w:iCs/>
        </w:rPr>
        <w:t>Jurnal Ilmiah Abdi Ilmu</w:t>
      </w:r>
      <w:r>
        <w:rPr>
          <w:rFonts w:ascii="Times New Roman" w:hAnsi="Times New Roman" w:cs="Times New Roman"/>
        </w:rPr>
        <w:t xml:space="preserve">, </w:t>
      </w:r>
      <w:r>
        <w:rPr>
          <w:rFonts w:ascii="Times New Roman" w:hAnsi="Times New Roman" w:cs="Times New Roman"/>
          <w:i/>
          <w:iCs/>
        </w:rPr>
        <w:t>14</w:t>
      </w:r>
      <w:r>
        <w:rPr>
          <w:rFonts w:ascii="Times New Roman" w:hAnsi="Times New Roman" w:cs="Times New Roman"/>
        </w:rPr>
        <w:t>(1), 73–80.</w:t>
      </w:r>
    </w:p>
    <w:p w14:paraId="7F39D311">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Hariharasitaraman, S., Jayavel, A., Gnanasekaran, S., Sohail, S. S., &amp; Madsen, D. Ø. (2025). Interpretable and ethical learning assessment transformer ( IELAT ): an explainable transformer model for personalized student assessments. </w:t>
      </w:r>
      <w:r>
        <w:rPr>
          <w:rFonts w:ascii="Times New Roman" w:hAnsi="Times New Roman" w:cs="Times New Roman"/>
          <w:i/>
          <w:iCs/>
        </w:rPr>
        <w:t>Cogent Education</w:t>
      </w:r>
      <w:r>
        <w:rPr>
          <w:rFonts w:ascii="Times New Roman" w:hAnsi="Times New Roman" w:cs="Times New Roman"/>
        </w:rPr>
        <w:t xml:space="preserve">, </w:t>
      </w:r>
      <w:r>
        <w:rPr>
          <w:rFonts w:ascii="Times New Roman" w:hAnsi="Times New Roman" w:cs="Times New Roman"/>
          <w:i/>
          <w:iCs/>
        </w:rPr>
        <w:t>12</w:t>
      </w:r>
      <w:r>
        <w:rPr>
          <w:rFonts w:ascii="Times New Roman" w:hAnsi="Times New Roman" w:cs="Times New Roman"/>
        </w:rPr>
        <w:t>(1). https://doi.org/10.1080/2331186X.2025.2485508</w:t>
      </w:r>
    </w:p>
    <w:p w14:paraId="68632045">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Javed, M. S., Aslam, M., &amp; Khurshid, S. K. (2025). An Intelligent Model for Parametric Cognitive Assessment of E-Learning-Based Students. </w:t>
      </w:r>
      <w:r>
        <w:rPr>
          <w:rFonts w:ascii="Times New Roman" w:hAnsi="Times New Roman" w:cs="Times New Roman"/>
          <w:i/>
          <w:iCs/>
        </w:rPr>
        <w:t>Information</w:t>
      </w:r>
      <w:r>
        <w:rPr>
          <w:rFonts w:ascii="Times New Roman" w:hAnsi="Times New Roman" w:cs="Times New Roman"/>
        </w:rPr>
        <w:t xml:space="preserve">, </w:t>
      </w:r>
      <w:r>
        <w:rPr>
          <w:rFonts w:ascii="Times New Roman" w:hAnsi="Times New Roman" w:cs="Times New Roman"/>
          <w:i/>
          <w:iCs/>
        </w:rPr>
        <w:t>16</w:t>
      </w:r>
      <w:r>
        <w:rPr>
          <w:rFonts w:ascii="Times New Roman" w:hAnsi="Times New Roman" w:cs="Times New Roman"/>
        </w:rPr>
        <w:t>(2), 1–35. https://doi.org/https://doi.org/10.3390/info16020093</w:t>
      </w:r>
    </w:p>
    <w:p w14:paraId="3DD9E2E4">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Kaur, S., Goel, D., Ramachandaran, D. S., Devi, S., Yadav, B., &amp; Goyal, A. (2025). AI-Powered and Mobile-Integrated Assessment Models Using Random Forest: Redefining Examminations and Grading. </w:t>
      </w:r>
      <w:r>
        <w:rPr>
          <w:rFonts w:ascii="Times New Roman" w:hAnsi="Times New Roman" w:cs="Times New Roman"/>
          <w:i/>
          <w:iCs/>
        </w:rPr>
        <w:t>International Journal of Interactive Mobile Technologies</w:t>
      </w:r>
      <w:r>
        <w:rPr>
          <w:rFonts w:ascii="Times New Roman" w:hAnsi="Times New Roman" w:cs="Times New Roman"/>
        </w:rPr>
        <w:t xml:space="preserve">, </w:t>
      </w:r>
      <w:r>
        <w:rPr>
          <w:rFonts w:ascii="Times New Roman" w:hAnsi="Times New Roman" w:cs="Times New Roman"/>
          <w:i/>
          <w:iCs/>
        </w:rPr>
        <w:t>19</w:t>
      </w:r>
      <w:r>
        <w:rPr>
          <w:rFonts w:ascii="Times New Roman" w:hAnsi="Times New Roman" w:cs="Times New Roman"/>
        </w:rPr>
        <w:t>(14), 57–69.</w:t>
      </w:r>
    </w:p>
    <w:p w14:paraId="6AE206EA">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Lau, E. T., Sun, L., &amp; Yang, Q. (2019). Modelling, prediction and classification of student academic performance using artificial neural networks. </w:t>
      </w:r>
      <w:r>
        <w:rPr>
          <w:rFonts w:ascii="Times New Roman" w:hAnsi="Times New Roman" w:cs="Times New Roman"/>
          <w:i/>
          <w:iCs/>
        </w:rPr>
        <w:t>SN Applied Sciences</w:t>
      </w:r>
      <w:r>
        <w:rPr>
          <w:rFonts w:ascii="Times New Roman" w:hAnsi="Times New Roman" w:cs="Times New Roman"/>
        </w:rPr>
        <w:t xml:space="preserve">, </w:t>
      </w:r>
      <w:r>
        <w:rPr>
          <w:rFonts w:ascii="Times New Roman" w:hAnsi="Times New Roman" w:cs="Times New Roman"/>
          <w:i/>
          <w:iCs/>
        </w:rPr>
        <w:t>1</w:t>
      </w:r>
      <w:r>
        <w:rPr>
          <w:rFonts w:ascii="Times New Roman" w:hAnsi="Times New Roman" w:cs="Times New Roman"/>
        </w:rPr>
        <w:t>(9), 1–10. https://doi.org/10.1007/s42452-019-0884-7</w:t>
      </w:r>
    </w:p>
    <w:p w14:paraId="7C3020C9">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Musahir, M. (2022). Penggunaan media pembelajaran fisika dengan virtual laboratory berbasis “PhET Interactive Simulations” untuk meningkatkan kemampuan penguasaan konsep kognitif rangkaian resistor. </w:t>
      </w:r>
      <w:r>
        <w:rPr>
          <w:rFonts w:ascii="Times New Roman" w:hAnsi="Times New Roman" w:cs="Times New Roman"/>
          <w:i/>
          <w:iCs/>
        </w:rPr>
        <w:t>Compton: Jurnal Ilmiah Pendidikan Fisika</w:t>
      </w:r>
      <w:r>
        <w:rPr>
          <w:rFonts w:ascii="Times New Roman" w:hAnsi="Times New Roman" w:cs="Times New Roman"/>
        </w:rPr>
        <w:t xml:space="preserve">, </w:t>
      </w:r>
      <w:r>
        <w:rPr>
          <w:rFonts w:ascii="Times New Roman" w:hAnsi="Times New Roman" w:cs="Times New Roman"/>
          <w:i/>
          <w:iCs/>
        </w:rPr>
        <w:t>9</w:t>
      </w:r>
      <w:r>
        <w:rPr>
          <w:rFonts w:ascii="Times New Roman" w:hAnsi="Times New Roman" w:cs="Times New Roman"/>
        </w:rPr>
        <w:t>(2), 122–130. https://doi.org/10.30738/cjipf.v9i2.13664</w:t>
      </w:r>
    </w:p>
    <w:p w14:paraId="5D66C0DE">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lang w:val="pt-BR"/>
        </w:rPr>
        <w:t xml:space="preserve">N. Kapita, S., Mahdi, S., &amp; Tempola, F. (2020). </w:t>
      </w:r>
      <w:r>
        <w:rPr>
          <w:rFonts w:ascii="Times New Roman" w:hAnsi="Times New Roman" w:cs="Times New Roman"/>
        </w:rPr>
        <w:t xml:space="preserve">Penilaian Pengetahuan Siswa Dengan Jaringan Syaraf Tiruan Algoritma Perceptron. </w:t>
      </w:r>
      <w:r>
        <w:rPr>
          <w:rFonts w:ascii="Times New Roman" w:hAnsi="Times New Roman" w:cs="Times New Roman"/>
          <w:i/>
          <w:iCs/>
        </w:rPr>
        <w:t>Techno: Jurnal Penelitian</w:t>
      </w:r>
      <w:r>
        <w:rPr>
          <w:rFonts w:ascii="Times New Roman" w:hAnsi="Times New Roman" w:cs="Times New Roman"/>
        </w:rPr>
        <w:t xml:space="preserve">, </w:t>
      </w:r>
      <w:r>
        <w:rPr>
          <w:rFonts w:ascii="Times New Roman" w:hAnsi="Times New Roman" w:cs="Times New Roman"/>
          <w:i/>
          <w:iCs/>
        </w:rPr>
        <w:t>9</w:t>
      </w:r>
      <w:r>
        <w:rPr>
          <w:rFonts w:ascii="Times New Roman" w:hAnsi="Times New Roman" w:cs="Times New Roman"/>
        </w:rPr>
        <w:t>(1), 372. https://doi.org/10.33387/tjp.v9i1.1712</w:t>
      </w:r>
    </w:p>
    <w:p w14:paraId="4A01FC9C">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lang w:val="pt-BR"/>
        </w:rPr>
        <w:t xml:space="preserve">Nurfadila, Z., &amp; Arlita, W. (2025). Penerapan Laboratorium Virtual dalam Pembelajaran Fisika di Era Digital. </w:t>
      </w:r>
      <w:r>
        <w:rPr>
          <w:rFonts w:ascii="Times New Roman" w:hAnsi="Times New Roman" w:cs="Times New Roman"/>
          <w:i/>
          <w:iCs/>
        </w:rPr>
        <w:t>Jurnal Inovasi Pendidikan Dan Pengajaran (JIPP)</w:t>
      </w:r>
      <w:r>
        <w:rPr>
          <w:rFonts w:ascii="Times New Roman" w:hAnsi="Times New Roman" w:cs="Times New Roman"/>
        </w:rPr>
        <w:t xml:space="preserve">, </w:t>
      </w:r>
      <w:r>
        <w:rPr>
          <w:rFonts w:ascii="Times New Roman" w:hAnsi="Times New Roman" w:cs="Times New Roman"/>
          <w:i/>
          <w:iCs/>
        </w:rPr>
        <w:t>4</w:t>
      </w:r>
      <w:r>
        <w:rPr>
          <w:rFonts w:ascii="Times New Roman" w:hAnsi="Times New Roman" w:cs="Times New Roman"/>
        </w:rPr>
        <w:t>(2), 33–36. https://doi.org/10.31571/jipp.v4i2.9317</w:t>
      </w:r>
    </w:p>
    <w:p w14:paraId="4944BF18">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Öz, E., Bulut, O., Cellat, Z. F., &amp; Yürekli, H. (2024). Stacking: An Ensemble Learning Approach to Predict Student Performance in PISA 2022. </w:t>
      </w:r>
      <w:r>
        <w:rPr>
          <w:rFonts w:ascii="Times New Roman" w:hAnsi="Times New Roman" w:cs="Times New Roman"/>
          <w:i/>
          <w:iCs/>
        </w:rPr>
        <w:t>Education and Information Technologies</w:t>
      </w:r>
      <w:r>
        <w:rPr>
          <w:rFonts w:ascii="Times New Roman" w:hAnsi="Times New Roman" w:cs="Times New Roman"/>
        </w:rPr>
        <w:t xml:space="preserve">, </w:t>
      </w:r>
      <w:r>
        <w:rPr>
          <w:rFonts w:ascii="Times New Roman" w:hAnsi="Times New Roman" w:cs="Times New Roman"/>
          <w:i/>
          <w:iCs/>
        </w:rPr>
        <w:t>30</w:t>
      </w:r>
      <w:r>
        <w:rPr>
          <w:rFonts w:ascii="Times New Roman" w:hAnsi="Times New Roman" w:cs="Times New Roman"/>
        </w:rPr>
        <w:t>, 7753–7779. https://doi.org/https://doi.org/10.1007/s10639-024-13110-2</w:t>
      </w:r>
    </w:p>
    <w:p w14:paraId="6D63CE10">
      <w:pPr>
        <w:widowControl w:val="0"/>
        <w:autoSpaceDE w:val="0"/>
        <w:autoSpaceDN w:val="0"/>
        <w:adjustRightInd w:val="0"/>
        <w:spacing w:after="120" w:line="240" w:lineRule="auto"/>
        <w:ind w:left="0" w:hanging="2"/>
        <w:jc w:val="both"/>
        <w:rPr>
          <w:rFonts w:ascii="Times New Roman" w:hAnsi="Times New Roman" w:cs="Times New Roman"/>
          <w:lang w:val="pt-BR"/>
        </w:rPr>
      </w:pPr>
      <w:r>
        <w:rPr>
          <w:rFonts w:ascii="Times New Roman" w:hAnsi="Times New Roman" w:cs="Times New Roman"/>
        </w:rPr>
        <w:t xml:space="preserve">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w:t>
      </w:r>
      <w:r>
        <w:rPr>
          <w:rFonts w:ascii="Times New Roman" w:hAnsi="Times New Roman" w:cs="Times New Roman"/>
          <w:i/>
          <w:iCs/>
          <w:lang w:val="pt-BR"/>
        </w:rPr>
        <w:t>Thebmj</w:t>
      </w:r>
      <w:r>
        <w:rPr>
          <w:rFonts w:ascii="Times New Roman" w:hAnsi="Times New Roman" w:cs="Times New Roman"/>
          <w:lang w:val="pt-BR"/>
        </w:rPr>
        <w:t xml:space="preserve">, </w:t>
      </w:r>
      <w:r>
        <w:rPr>
          <w:rFonts w:ascii="Times New Roman" w:hAnsi="Times New Roman" w:cs="Times New Roman"/>
          <w:i/>
          <w:iCs/>
          <w:lang w:val="pt-BR"/>
        </w:rPr>
        <w:t>372</w:t>
      </w:r>
      <w:r>
        <w:rPr>
          <w:rFonts w:ascii="Times New Roman" w:hAnsi="Times New Roman" w:cs="Times New Roman"/>
          <w:lang w:val="pt-BR"/>
        </w:rPr>
        <w:t>. https://doi.org/10.1136/bmj.n71</w:t>
      </w:r>
    </w:p>
    <w:p w14:paraId="28E52D8E">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lang w:val="pt-BR"/>
        </w:rPr>
        <w:t xml:space="preserve">Santoso, P. H., Santosa, H. S., Istiyono, E., Haryanto, H., &amp; Retnawati, H. (2023). </w:t>
      </w:r>
      <w:r>
        <w:rPr>
          <w:rFonts w:ascii="Times New Roman" w:hAnsi="Times New Roman" w:cs="Times New Roman"/>
        </w:rPr>
        <w:t xml:space="preserve">Predicting Physics Students’ Achievement Using In-Class Assessment Data: A Comparison of Two Machine Learning Models. </w:t>
      </w:r>
      <w:r>
        <w:rPr>
          <w:rFonts w:ascii="Times New Roman" w:hAnsi="Times New Roman" w:cs="Times New Roman"/>
          <w:i/>
          <w:iCs/>
        </w:rPr>
        <w:t>Physics Education Research Journal</w:t>
      </w:r>
      <w:r>
        <w:rPr>
          <w:rFonts w:ascii="Times New Roman" w:hAnsi="Times New Roman" w:cs="Times New Roman"/>
        </w:rPr>
        <w:t xml:space="preserve">, </w:t>
      </w:r>
      <w:r>
        <w:rPr>
          <w:rFonts w:ascii="Times New Roman" w:hAnsi="Times New Roman" w:cs="Times New Roman"/>
          <w:i/>
          <w:iCs/>
        </w:rPr>
        <w:t>5</w:t>
      </w:r>
      <w:r>
        <w:rPr>
          <w:rFonts w:ascii="Times New Roman" w:hAnsi="Times New Roman" w:cs="Times New Roman"/>
        </w:rPr>
        <w:t>(2), 97–106. https://doi.org/10.21580/perj.2023.5.2.14217</w:t>
      </w:r>
    </w:p>
    <w:p w14:paraId="7B11703B">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Tedja, B., Al Musadieq, M., Kusumawati, A., &amp; Yulianto, E. (2024). Systematic literature review using PRISMA: exploring the influence of service quality and perceived value on satisfaction and intention to continue relationship. </w:t>
      </w:r>
      <w:r>
        <w:rPr>
          <w:rFonts w:ascii="Times New Roman" w:hAnsi="Times New Roman" w:cs="Times New Roman"/>
          <w:i/>
          <w:iCs/>
        </w:rPr>
        <w:t>Future Business Journal</w:t>
      </w:r>
      <w:r>
        <w:rPr>
          <w:rFonts w:ascii="Times New Roman" w:hAnsi="Times New Roman" w:cs="Times New Roman"/>
        </w:rPr>
        <w:t xml:space="preserve">, </w:t>
      </w:r>
      <w:r>
        <w:rPr>
          <w:rFonts w:ascii="Times New Roman" w:hAnsi="Times New Roman" w:cs="Times New Roman"/>
          <w:i/>
          <w:iCs/>
        </w:rPr>
        <w:t>10</w:t>
      </w:r>
      <w:r>
        <w:rPr>
          <w:rFonts w:ascii="Times New Roman" w:hAnsi="Times New Roman" w:cs="Times New Roman"/>
        </w:rPr>
        <w:t>(1), 1–9. https://doi.org/10.1186/s43093-024-00326-4</w:t>
      </w:r>
    </w:p>
    <w:p w14:paraId="670B8ADB">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Thavasi, S., &amp; Revathi, T. (2025). A personalized machine learning–based system to evaluate students’ skillset and analyze the gap between academia and industry for engineering students. </w:t>
      </w:r>
      <w:r>
        <w:rPr>
          <w:rFonts w:ascii="Times New Roman" w:hAnsi="Times New Roman" w:cs="Times New Roman"/>
          <w:i/>
          <w:iCs/>
        </w:rPr>
        <w:t>Kybernetes: The International Journal of Cybernetics, Systems, and Management Sciences</w:t>
      </w:r>
      <w:r>
        <w:rPr>
          <w:rFonts w:ascii="Times New Roman" w:hAnsi="Times New Roman" w:cs="Times New Roman"/>
        </w:rPr>
        <w:t xml:space="preserve">, </w:t>
      </w:r>
      <w:r>
        <w:rPr>
          <w:rFonts w:ascii="Times New Roman" w:hAnsi="Times New Roman" w:cs="Times New Roman"/>
          <w:i/>
          <w:iCs/>
        </w:rPr>
        <w:t>54</w:t>
      </w:r>
      <w:r>
        <w:rPr>
          <w:rFonts w:ascii="Times New Roman" w:hAnsi="Times New Roman" w:cs="Times New Roman"/>
        </w:rPr>
        <w:t>(9), 4850–4865. https://doi.org/https://doi.org/10.1108/K-01-2024-0053</w:t>
      </w:r>
    </w:p>
    <w:p w14:paraId="40DAE47A">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Tin Tin, T., Hock, L. S., &amp; Ikumapayi, O. M. (2024). Educational Big Data Mining : Comparison of Multiple Machine Learning Algorithms in Predictive Modelling of Student Academic Performance. </w:t>
      </w:r>
      <w:r>
        <w:rPr>
          <w:rFonts w:ascii="Times New Roman" w:hAnsi="Times New Roman" w:cs="Times New Roman"/>
          <w:i/>
          <w:iCs/>
        </w:rPr>
        <w:t>(IJACSA) International Journal of Advanced Computer Science and Applications</w:t>
      </w:r>
      <w:r>
        <w:rPr>
          <w:rFonts w:ascii="Times New Roman" w:hAnsi="Times New Roman" w:cs="Times New Roman"/>
        </w:rPr>
        <w:t xml:space="preserve">, </w:t>
      </w:r>
      <w:r>
        <w:rPr>
          <w:rFonts w:ascii="Times New Roman" w:hAnsi="Times New Roman" w:cs="Times New Roman"/>
          <w:i/>
          <w:iCs/>
        </w:rPr>
        <w:t>15</w:t>
      </w:r>
      <w:r>
        <w:rPr>
          <w:rFonts w:ascii="Times New Roman" w:hAnsi="Times New Roman" w:cs="Times New Roman"/>
        </w:rPr>
        <w:t>(6), 633–645. https://doi.org/https://dx.doi.org/10.14569/IJACSA.2024.0150664</w:t>
      </w:r>
    </w:p>
    <w:p w14:paraId="287BEBE5">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Vaswani, A. (2017). Attention Is All You Need. </w:t>
      </w:r>
      <w:r>
        <w:rPr>
          <w:rFonts w:ascii="Times New Roman" w:hAnsi="Times New Roman" w:cs="Times New Roman"/>
          <w:i/>
          <w:iCs/>
        </w:rPr>
        <w:t>31st Conference on Neural Information Processing Systems (NIPS 2017)</w:t>
      </w:r>
      <w:r>
        <w:rPr>
          <w:rFonts w:ascii="Times New Roman" w:hAnsi="Times New Roman" w:cs="Times New Roman"/>
        </w:rPr>
        <w:t xml:space="preserve">, </w:t>
      </w:r>
      <w:r>
        <w:rPr>
          <w:rFonts w:ascii="Times New Roman" w:hAnsi="Times New Roman" w:cs="Times New Roman"/>
          <w:i/>
          <w:iCs/>
        </w:rPr>
        <w:t>Nips</w:t>
      </w:r>
      <w:r>
        <w:rPr>
          <w:rFonts w:ascii="Times New Roman" w:hAnsi="Times New Roman" w:cs="Times New Roman"/>
        </w:rPr>
        <w:t>.</w:t>
      </w:r>
    </w:p>
    <w:p w14:paraId="35158649">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Wang, Y., Zhang, L., &amp; Pang, M. (2024). Virtual experiments in physics education: a systematic literature review. </w:t>
      </w:r>
      <w:r>
        <w:rPr>
          <w:rFonts w:ascii="Times New Roman" w:hAnsi="Times New Roman" w:cs="Times New Roman"/>
          <w:i/>
          <w:iCs/>
        </w:rPr>
        <w:t>Research in Science &amp; Technological Education</w:t>
      </w:r>
      <w:r>
        <w:rPr>
          <w:rFonts w:ascii="Times New Roman" w:hAnsi="Times New Roman" w:cs="Times New Roman"/>
        </w:rPr>
        <w:t xml:space="preserve">, </w:t>
      </w:r>
      <w:r>
        <w:rPr>
          <w:rFonts w:ascii="Times New Roman" w:hAnsi="Times New Roman" w:cs="Times New Roman"/>
          <w:i/>
          <w:iCs/>
        </w:rPr>
        <w:t>43</w:t>
      </w:r>
      <w:r>
        <w:rPr>
          <w:rFonts w:ascii="Times New Roman" w:hAnsi="Times New Roman" w:cs="Times New Roman"/>
        </w:rPr>
        <w:t>(2), 633–655. https://doi.org/https://doi.org/10.1080/02635143.2024.2327995</w:t>
      </w:r>
    </w:p>
    <w:p w14:paraId="15CD6D0C">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Xuan Lam, P., Quoc Hung Mai, P., Hung Nguyen, Q., &amp; Pham, T. (2024). Enhancing educational evaluation through predictive student assessment modeling. </w:t>
      </w:r>
      <w:r>
        <w:rPr>
          <w:rFonts w:ascii="Times New Roman" w:hAnsi="Times New Roman" w:cs="Times New Roman"/>
          <w:i/>
          <w:iCs/>
        </w:rPr>
        <w:t>Computers and Education: Artificial Intelligence</w:t>
      </w:r>
      <w:r>
        <w:rPr>
          <w:rFonts w:ascii="Times New Roman" w:hAnsi="Times New Roman" w:cs="Times New Roman"/>
        </w:rPr>
        <w:t xml:space="preserve">, </w:t>
      </w:r>
      <w:r>
        <w:rPr>
          <w:rFonts w:ascii="Times New Roman" w:hAnsi="Times New Roman" w:cs="Times New Roman"/>
          <w:i/>
          <w:iCs/>
        </w:rPr>
        <w:t>6</w:t>
      </w:r>
      <w:r>
        <w:rPr>
          <w:rFonts w:ascii="Times New Roman" w:hAnsi="Times New Roman" w:cs="Times New Roman"/>
        </w:rPr>
        <w:t>. https://doi.org/10.1016/j.caeai.2024.100244</w:t>
      </w:r>
    </w:p>
    <w:p w14:paraId="04DD26A0">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Yang, K. (2024). Predicting Student Performance Using Artificial Neural Network Analysis. </w:t>
      </w:r>
      <w:r>
        <w:rPr>
          <w:rFonts w:ascii="Times New Roman" w:hAnsi="Times New Roman" w:cs="Times New Roman"/>
          <w:i/>
          <w:iCs/>
        </w:rPr>
        <w:t>Journal of Arts, Society, and Education</w:t>
      </w:r>
      <w:r>
        <w:rPr>
          <w:rFonts w:ascii="Times New Roman" w:hAnsi="Times New Roman" w:cs="Times New Roman"/>
        </w:rPr>
        <w:t xml:space="preserve">, </w:t>
      </w:r>
      <w:r>
        <w:rPr>
          <w:rFonts w:ascii="Times New Roman" w:hAnsi="Times New Roman" w:cs="Times New Roman"/>
          <w:i/>
          <w:iCs/>
        </w:rPr>
        <w:t>42</w:t>
      </w:r>
      <w:r>
        <w:rPr>
          <w:rFonts w:ascii="Times New Roman" w:hAnsi="Times New Roman" w:cs="Times New Roman"/>
        </w:rPr>
        <w:t>(5), 516–517. https://doi.org/10.1111/j.1365-2923.2008.03052.x</w:t>
      </w:r>
    </w:p>
    <w:p w14:paraId="331F839F">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You, H., Hong, M., Zhu, L., &amp; Zhenhan, F. (2025). Machine Learning Approaches for Predicting U.S. Students’ Scientific Literacy: An Analysis of Key Factors Across Performance Levels and Socioeconomic Statuses. </w:t>
      </w:r>
      <w:r>
        <w:rPr>
          <w:rFonts w:ascii="Times New Roman" w:hAnsi="Times New Roman" w:cs="Times New Roman"/>
          <w:i/>
          <w:iCs/>
        </w:rPr>
        <w:t>International Journal of Science and Mathematics Education</w:t>
      </w:r>
      <w:r>
        <w:rPr>
          <w:rFonts w:ascii="Times New Roman" w:hAnsi="Times New Roman" w:cs="Times New Roman"/>
        </w:rPr>
        <w:t xml:space="preserve">, </w:t>
      </w:r>
      <w:r>
        <w:rPr>
          <w:rFonts w:ascii="Times New Roman" w:hAnsi="Times New Roman" w:cs="Times New Roman"/>
          <w:i/>
          <w:iCs/>
        </w:rPr>
        <w:t>23</w:t>
      </w:r>
      <w:r>
        <w:rPr>
          <w:rFonts w:ascii="Times New Roman" w:hAnsi="Times New Roman" w:cs="Times New Roman"/>
        </w:rPr>
        <w:t>, 2755–2783. https://doi.org/10.1007/s10763-025-10545-y</w:t>
      </w:r>
    </w:p>
    <w:p w14:paraId="5B0926C7">
      <w:pPr>
        <w:widowControl w:val="0"/>
        <w:autoSpaceDE w:val="0"/>
        <w:autoSpaceDN w:val="0"/>
        <w:adjustRightInd w:val="0"/>
        <w:spacing w:after="120" w:line="240" w:lineRule="auto"/>
        <w:ind w:left="0" w:hanging="2"/>
        <w:jc w:val="both"/>
        <w:rPr>
          <w:rFonts w:ascii="Times New Roman" w:hAnsi="Times New Roman" w:cs="Times New Roman"/>
        </w:rPr>
      </w:pPr>
      <w:r>
        <w:rPr>
          <w:rFonts w:ascii="Times New Roman" w:hAnsi="Times New Roman" w:cs="Times New Roman"/>
        </w:rPr>
        <w:t xml:space="preserve">Zola, F., Nurcahyo, G. W., &amp; Santony, J. (2018). Jaringan Syaraf Tiruan Menggunakan Algoritma Backpropagation Untuk Memprediksi Prestasi Siswa. </w:t>
      </w:r>
      <w:r>
        <w:rPr>
          <w:rFonts w:ascii="Times New Roman" w:hAnsi="Times New Roman" w:cs="Times New Roman"/>
          <w:i/>
          <w:iCs/>
        </w:rPr>
        <w:t>Jurnal Teknologi Dan Open Source</w:t>
      </w:r>
      <w:r>
        <w:rPr>
          <w:rFonts w:ascii="Times New Roman" w:hAnsi="Times New Roman" w:cs="Times New Roman"/>
        </w:rPr>
        <w:t xml:space="preserve">, </w:t>
      </w:r>
      <w:r>
        <w:rPr>
          <w:rFonts w:ascii="Times New Roman" w:hAnsi="Times New Roman" w:cs="Times New Roman"/>
          <w:i/>
          <w:iCs/>
        </w:rPr>
        <w:t>1</w:t>
      </w:r>
      <w:r>
        <w:rPr>
          <w:rFonts w:ascii="Times New Roman" w:hAnsi="Times New Roman" w:cs="Times New Roman"/>
        </w:rPr>
        <w:t>(1), 58–72.</w:t>
      </w:r>
    </w:p>
    <w:p w14:paraId="09218D18">
      <w:pPr>
        <w:pStyle w:val="57"/>
        <w:ind w:left="0" w:hanging="2"/>
        <w:rPr>
          <w:rFonts w:eastAsia="MS Mincho"/>
          <w:bCs/>
        </w:rPr>
      </w:pPr>
      <w:r>
        <w:rPr>
          <w:rFonts w:ascii="Times New Roman" w:hAnsi="Times New Roman" w:eastAsia="MS Mincho"/>
          <w:bCs/>
          <w:sz w:val="22"/>
          <w:szCs w:val="22"/>
        </w:rPr>
        <w:fldChar w:fldCharType="end"/>
      </w:r>
    </w:p>
    <w:p w14:paraId="764BB600">
      <w:pPr>
        <w:pBdr>
          <w:top w:val="none" w:color="auto" w:sz="0" w:space="0"/>
          <w:left w:val="none" w:color="auto" w:sz="0" w:space="0"/>
          <w:bottom w:val="none" w:color="auto" w:sz="0" w:space="0"/>
          <w:right w:val="none" w:color="auto" w:sz="0" w:space="0"/>
          <w:between w:val="none" w:color="auto" w:sz="0" w:space="0"/>
        </w:pBdr>
        <w:spacing w:after="0" w:line="240" w:lineRule="auto"/>
        <w:ind w:left="0" w:leftChars="0" w:firstLine="0" w:firstLineChars="0"/>
        <w:jc w:val="left"/>
        <w:rPr>
          <w:rFonts w:ascii="Times New Roman" w:hAnsi="Times New Roman" w:eastAsia="Times New Roman" w:cs="Times New Roman"/>
          <w:color w:val="000000"/>
          <w:sz w:val="24"/>
          <w:szCs w:val="24"/>
        </w:rPr>
      </w:pPr>
    </w:p>
    <w:sectPr>
      <w:headerReference r:id="rId5" w:type="default"/>
      <w:type w:val="continuous"/>
      <w:pgSz w:w="11906" w:h="16838"/>
      <w:pgMar w:top="1701" w:right="1701" w:bottom="2127" w:left="1701" w:header="1020" w:footer="850" w:gutter="0"/>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7E3489DC-7A1F-421A-A463-9FCB193390D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D9EC36DA-E628-4FFB-A48B-04A19741DA1E}"/>
  </w:font>
  <w:font w:name="Wingdings">
    <w:panose1 w:val="05000000000000000000"/>
    <w:charset w:val="02"/>
    <w:family w:val="auto"/>
    <w:pitch w:val="default"/>
    <w:sig w:usb0="00000000" w:usb1="00000000" w:usb2="00000000" w:usb3="00000000" w:csb0="80000000" w:csb1="00000000"/>
    <w:embedRegular r:id="rId3" w:fontKey="{525ADEAA-2607-4497-8A0C-22646A8595CF}"/>
  </w:font>
  <w:font w:name="Calibri">
    <w:panose1 w:val="020F0502020204030204"/>
    <w:charset w:val="86"/>
    <w:family w:val="swiss"/>
    <w:pitch w:val="default"/>
    <w:sig w:usb0="E4002EFF" w:usb1="C200247B" w:usb2="00000009" w:usb3="00000000" w:csb0="200001FF" w:csb1="00000000"/>
    <w:embedRegular r:id="rId4" w:fontKey="{FFEAA203-9FFF-40FA-8FFD-EA2F1D4BA962}"/>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embedRegular r:id="rId5" w:fontKey="{2CB1457C-0A57-4C74-9D41-6B876952AC7E}"/>
  </w:font>
  <w:font w:name="Times">
    <w:altName w:val="Times New Roman"/>
    <w:panose1 w:val="02020603050405020304"/>
    <w:charset w:val="00"/>
    <w:family w:val="roman"/>
    <w:pitch w:val="default"/>
    <w:sig w:usb0="00000000" w:usb1="00000000" w:usb2="00000009" w:usb3="00000000" w:csb0="000001FF" w:csb1="00000000"/>
    <w:embedRegular r:id="rId6" w:fontKey="{3B9C8A9D-2988-4286-A603-B5AFF80B5119}"/>
  </w:font>
  <w:font w:name="MS Mincho">
    <w:altName w:val="Yu Gothic UI"/>
    <w:panose1 w:val="02020609040205080304"/>
    <w:charset w:val="80"/>
    <w:family w:val="modern"/>
    <w:pitch w:val="default"/>
    <w:sig w:usb0="00000000" w:usb1="00000000" w:usb2="08000012" w:usb3="00000000" w:csb0="0002009F" w:csb1="00000000"/>
    <w:embedRegular r:id="rId7" w:fontKey="{EC99BCEF-4618-4C8C-BDA3-8625833D484B}"/>
  </w:font>
  <w:font w:name="Georgia">
    <w:panose1 w:val="02040502050405020303"/>
    <w:charset w:val="00"/>
    <w:family w:val="roman"/>
    <w:pitch w:val="default"/>
    <w:sig w:usb0="00000287" w:usb1="00000000" w:usb2="00000000" w:usb3="00000000" w:csb0="2000009F" w:csb1="00000000"/>
    <w:embedRegular r:id="rId8" w:fontKey="{94E52CEF-728F-4D4D-B5B4-3063762C67D0}"/>
  </w:font>
  <w:font w:name="Century Gothic">
    <w:panose1 w:val="020B0502020202020204"/>
    <w:charset w:val="00"/>
    <w:family w:val="swiss"/>
    <w:pitch w:val="default"/>
    <w:sig w:usb0="00000287" w:usb1="00000000" w:usb2="00000000" w:usb3="00000000" w:csb0="2000009F" w:csb1="DFD70000"/>
    <w:embedRegular r:id="rId9" w:fontKey="{80AF9B96-8831-47A7-BE57-9788EB528411}"/>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left="-2" w:hanging="2"/>
      </w:pPr>
      <w:r>
        <w:separator/>
      </w:r>
    </w:p>
  </w:footnote>
  <w:footnote w:type="continuationSeparator" w:id="1">
    <w:p>
      <w:pPr>
        <w:spacing w:before="0" w:after="0" w:line="360"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B23D">
    <w:pPr>
      <w:pBdr>
        <w:top w:val="none" w:color="auto" w:sz="0" w:space="0"/>
        <w:left w:val="none" w:color="auto" w:sz="0" w:space="0"/>
        <w:bottom w:val="none" w:color="auto" w:sz="0" w:space="0"/>
        <w:right w:val="none" w:color="auto" w:sz="0" w:space="0"/>
        <w:between w:val="none" w:color="auto" w:sz="0" w:space="0"/>
      </w:pBdr>
      <w:spacing w:after="0" w:line="240" w:lineRule="auto"/>
      <w:ind w:left="0"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905423"/>
    <w:multiLevelType w:val="multilevel"/>
    <w:tmpl w:val="19905423"/>
    <w:lvl w:ilvl="0" w:tentative="0">
      <w:start w:val="1"/>
      <w:numFmt w:val="upperRoman"/>
      <w:lvlText w:val="%1."/>
      <w:lvlJc w:val="left"/>
      <w:pPr>
        <w:ind w:left="1080" w:hanging="72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1">
    <w:nsid w:val="4C407A9A"/>
    <w:multiLevelType w:val="multilevel"/>
    <w:tmpl w:val="4C407A9A"/>
    <w:lvl w:ilvl="0" w:tentative="0">
      <w:start w:val="2"/>
      <w:numFmt w:val="upperRoman"/>
      <w:lvlText w:val="%1."/>
      <w:lvlJc w:val="left"/>
      <w:pPr>
        <w:ind w:left="1080" w:hanging="72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2">
    <w:nsid w:val="52640C69"/>
    <w:multiLevelType w:val="multilevel"/>
    <w:tmpl w:val="52640C69"/>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69472866"/>
    <w:multiLevelType w:val="multilevel"/>
    <w:tmpl w:val="69472866"/>
    <w:lvl w:ilvl="0" w:tentative="0">
      <w:start w:val="1"/>
      <w:numFmt w:val="decimal"/>
      <w:pStyle w:val="4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documentProtection w:enforcement="0"/>
  <w:defaultTabStop w:val="720"/>
  <w:evenAndOddHeaders w:val="1"/>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292"/>
    <w:rsid w:val="00027E9D"/>
    <w:rsid w:val="000A1613"/>
    <w:rsid w:val="005E3E46"/>
    <w:rsid w:val="00647EEA"/>
    <w:rsid w:val="007F4292"/>
    <w:rsid w:val="008F038B"/>
    <w:rsid w:val="00BD7E4C"/>
    <w:rsid w:val="00D43B1F"/>
    <w:rsid w:val="00E63A6C"/>
    <w:rsid w:val="00EB4438"/>
    <w:rsid w:val="664D2C3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360" w:lineRule="auto"/>
      <w:ind w:left="-1" w:leftChars="-1" w:hanging="1" w:hangingChars="1"/>
      <w:jc w:val="center"/>
      <w:textAlignment w:val="top"/>
      <w:outlineLvl w:val="0"/>
    </w:pPr>
    <w:rPr>
      <w:rFonts w:ascii="Calibri" w:hAnsi="Calibri" w:eastAsia="Calibri" w:cs="Calibri"/>
      <w:position w:val="-1"/>
      <w:sz w:val="22"/>
      <w:szCs w:val="22"/>
      <w:lang w:val="en-US" w:eastAsia="en-US" w:bidi="ar-SA"/>
    </w:rPr>
  </w:style>
  <w:style w:type="paragraph" w:styleId="2">
    <w:name w:val="heading 1"/>
    <w:basedOn w:val="1"/>
    <w:next w:val="1"/>
    <w:qFormat/>
    <w:uiPriority w:val="9"/>
    <w:pPr>
      <w:keepNext/>
      <w:keepLines/>
      <w:spacing w:before="480" w:after="12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sz w:val="24"/>
      <w:szCs w:val="24"/>
    </w:rPr>
  </w:style>
  <w:style w:type="paragraph" w:styleId="6">
    <w:name w:val="heading 5"/>
    <w:basedOn w:val="1"/>
    <w:next w:val="1"/>
    <w:semiHidden/>
    <w:unhideWhenUsed/>
    <w:qFormat/>
    <w:uiPriority w:val="9"/>
    <w:pPr>
      <w:keepNext/>
      <w:keepLines/>
      <w:spacing w:before="220" w:after="40"/>
      <w:outlineLvl w:val="4"/>
    </w:pPr>
    <w:rPr>
      <w:b/>
      <w:bCs/>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qFormat/>
    <w:uiPriority w:val="0"/>
    <w:pPr>
      <w:spacing w:after="0" w:line="240" w:lineRule="auto"/>
    </w:pPr>
  </w:style>
  <w:style w:type="paragraph" w:styleId="11">
    <w:name w:val="header"/>
    <w:basedOn w:val="1"/>
    <w:qFormat/>
    <w:uiPriority w:val="0"/>
    <w:pPr>
      <w:spacing w:after="0" w:line="240" w:lineRule="auto"/>
    </w:pPr>
  </w:style>
  <w:style w:type="character" w:styleId="12">
    <w:name w:val="Hyperlink"/>
    <w:qFormat/>
    <w:uiPriority w:val="0"/>
    <w:rPr>
      <w:color w:val="0000FF"/>
      <w:w w:val="100"/>
      <w:position w:val="-1"/>
      <w:u w:val="single"/>
      <w:vertAlign w:val="baseline"/>
      <w:cs w:val="0"/>
    </w:rPr>
  </w:style>
  <w:style w:type="paragraph" w:styleId="13">
    <w:name w:val="Normal (Web)"/>
    <w:basedOn w:val="1"/>
    <w:qFormat/>
    <w:uiPriority w:val="0"/>
    <w:pPr>
      <w:spacing w:before="100" w:beforeAutospacing="1" w:after="100" w:afterAutospacing="1" w:line="240" w:lineRule="auto"/>
      <w:jc w:val="left"/>
    </w:pPr>
    <w:rPr>
      <w:rFonts w:ascii="Times New Roman" w:hAnsi="Times New Roman" w:eastAsia="Times New Roman" w:cs="Times New Roman"/>
      <w:sz w:val="24"/>
      <w:szCs w:val="24"/>
      <w:lang w:val="id-ID" w:eastAsia="id-ID"/>
    </w:rPr>
  </w:style>
  <w:style w:type="paragraph" w:styleId="14">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5">
    <w:name w:val="Title"/>
    <w:basedOn w:val="1"/>
    <w:next w:val="1"/>
    <w:qFormat/>
    <w:uiPriority w:val="10"/>
    <w:pPr>
      <w:keepNext/>
      <w:keepLines/>
      <w:spacing w:before="480" w:after="120"/>
    </w:pPr>
    <w:rPr>
      <w:b/>
      <w:bCs/>
      <w:sz w:val="72"/>
      <w:szCs w:val="72"/>
    </w:rPr>
  </w:style>
  <w:style w:type="table" w:styleId="16">
    <w:name w:val="Light Shading"/>
    <w:basedOn w:val="17"/>
    <w:uiPriority w:val="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customStyle="1" w:styleId="17">
    <w:name w:val="Tabel Normal"/>
    <w:qFormat/>
    <w:uiPriority w:val="0"/>
    <w:pPr>
      <w:suppressAutoHyphens/>
      <w:spacing w:line="1" w:lineRule="atLeast"/>
      <w:ind w:left="-1" w:leftChars="-1" w:hanging="1" w:hangingChars="1"/>
      <w:textAlignment w:val="top"/>
      <w:outlineLvl w:val="0"/>
    </w:pPr>
    <w:rPr>
      <w:position w:val="-1"/>
    </w:rPr>
    <w:tblPr>
      <w:tblCellMar>
        <w:top w:w="0" w:type="dxa"/>
        <w:left w:w="108" w:type="dxa"/>
        <w:bottom w:w="0" w:type="dxa"/>
        <w:right w:w="108" w:type="dxa"/>
      </w:tblCellMar>
    </w:tblPr>
  </w:style>
  <w:style w:type="table" w:customStyle="1" w:styleId="18">
    <w:name w:val="TableNormal"/>
    <w:uiPriority w:val="0"/>
    <w:tblPr>
      <w:tblCellMar>
        <w:top w:w="100" w:type="dxa"/>
        <w:left w:w="100" w:type="dxa"/>
        <w:bottom w:w="100" w:type="dxa"/>
        <w:right w:w="100" w:type="dxa"/>
      </w:tblCellMar>
    </w:tblPr>
  </w:style>
  <w:style w:type="paragraph" w:customStyle="1" w:styleId="19">
    <w:name w:val="Judul 1"/>
    <w:basedOn w:val="1"/>
    <w:uiPriority w:val="0"/>
    <w:pPr>
      <w:spacing w:before="100" w:beforeAutospacing="1" w:after="100" w:afterAutospacing="1" w:line="240" w:lineRule="auto"/>
      <w:jc w:val="left"/>
    </w:pPr>
    <w:rPr>
      <w:rFonts w:ascii="Times New Roman" w:hAnsi="Times New Roman" w:eastAsia="Times New Roman" w:cs="Times New Roman"/>
      <w:b/>
      <w:bCs/>
      <w:kern w:val="36"/>
      <w:sz w:val="48"/>
      <w:szCs w:val="48"/>
    </w:rPr>
  </w:style>
  <w:style w:type="character" w:customStyle="1" w:styleId="20">
    <w:name w:val="Font Paragraf Default"/>
    <w:qFormat/>
    <w:uiPriority w:val="0"/>
    <w:rPr>
      <w:w w:val="100"/>
      <w:position w:val="-1"/>
      <w:vertAlign w:val="baseline"/>
      <w:cs w:val="0"/>
    </w:rPr>
  </w:style>
  <w:style w:type="character" w:customStyle="1" w:styleId="21">
    <w:name w:val="Header KAR"/>
    <w:basedOn w:val="20"/>
    <w:uiPriority w:val="0"/>
    <w:rPr>
      <w:w w:val="100"/>
      <w:position w:val="-1"/>
      <w:vertAlign w:val="baseline"/>
      <w:cs w:val="0"/>
    </w:rPr>
  </w:style>
  <w:style w:type="character" w:customStyle="1" w:styleId="22">
    <w:name w:val="Nomor Baris"/>
    <w:basedOn w:val="20"/>
    <w:qFormat/>
    <w:uiPriority w:val="0"/>
    <w:rPr>
      <w:w w:val="100"/>
      <w:position w:val="-1"/>
      <w:vertAlign w:val="baseline"/>
      <w:cs w:val="0"/>
    </w:rPr>
  </w:style>
  <w:style w:type="character" w:customStyle="1" w:styleId="23">
    <w:name w:val="Footer KAR"/>
    <w:basedOn w:val="20"/>
    <w:uiPriority w:val="0"/>
    <w:rPr>
      <w:w w:val="100"/>
      <w:position w:val="-1"/>
      <w:vertAlign w:val="baseline"/>
      <w:cs w:val="0"/>
    </w:rPr>
  </w:style>
  <w:style w:type="paragraph" w:customStyle="1" w:styleId="24">
    <w:name w:val="Daftar Paragraf"/>
    <w:basedOn w:val="1"/>
    <w:uiPriority w:val="0"/>
    <w:pPr>
      <w:spacing w:line="276" w:lineRule="auto"/>
      <w:ind w:left="720"/>
      <w:contextualSpacing/>
      <w:jc w:val="left"/>
    </w:pPr>
    <w:rPr>
      <w:rFonts w:cs="Times New Roman"/>
      <w:lang w:val="zh-CN"/>
    </w:rPr>
  </w:style>
  <w:style w:type="paragraph" w:customStyle="1" w:styleId="25">
    <w:name w:val="Tidak Ada Spasi"/>
    <w:uiPriority w:val="0"/>
    <w:pPr>
      <w:suppressAutoHyphens/>
      <w:spacing w:after="200" w:line="1" w:lineRule="atLeast"/>
      <w:ind w:left="-1" w:leftChars="-1" w:hanging="1" w:hangingChars="1"/>
      <w:jc w:val="center"/>
      <w:textAlignment w:val="top"/>
      <w:outlineLvl w:val="0"/>
    </w:pPr>
    <w:rPr>
      <w:rFonts w:ascii="Calibri" w:hAnsi="Calibri" w:eastAsia="Calibri" w:cs="Calibri"/>
      <w:position w:val="-1"/>
      <w:sz w:val="22"/>
      <w:szCs w:val="22"/>
      <w:lang w:val="zh-CN" w:eastAsia="en-US" w:bidi="ar-SA"/>
    </w:rPr>
  </w:style>
  <w:style w:type="paragraph" w:customStyle="1" w:styleId="26">
    <w:name w:val="Default"/>
    <w:qFormat/>
    <w:uiPriority w:val="0"/>
    <w:pPr>
      <w:suppressAutoHyphens/>
      <w:autoSpaceDE w:val="0"/>
      <w:autoSpaceDN w:val="0"/>
      <w:adjustRightInd w:val="0"/>
      <w:spacing w:after="200" w:line="1" w:lineRule="atLeast"/>
      <w:ind w:left="-1" w:leftChars="-1" w:hanging="1" w:hangingChars="1"/>
      <w:jc w:val="center"/>
      <w:textAlignment w:val="top"/>
      <w:outlineLvl w:val="0"/>
    </w:pPr>
    <w:rPr>
      <w:rFonts w:ascii="Times New Roman" w:hAnsi="Times New Roman" w:eastAsia="Calibri" w:cs="Times New Roman"/>
      <w:color w:val="000000"/>
      <w:position w:val="-1"/>
      <w:sz w:val="24"/>
      <w:szCs w:val="24"/>
      <w:lang w:val="id-ID" w:eastAsia="en-US" w:bidi="ar-SA"/>
    </w:rPr>
  </w:style>
  <w:style w:type="paragraph" w:customStyle="1" w:styleId="27">
    <w:name w:val="Teks Balon"/>
    <w:basedOn w:val="1"/>
    <w:qFormat/>
    <w:uiPriority w:val="0"/>
    <w:pPr>
      <w:spacing w:after="0" w:line="240" w:lineRule="auto"/>
    </w:pPr>
    <w:rPr>
      <w:rFonts w:ascii="Tahoma" w:hAnsi="Tahoma" w:cs="Times New Roman"/>
      <w:sz w:val="16"/>
      <w:szCs w:val="16"/>
    </w:rPr>
  </w:style>
  <w:style w:type="character" w:customStyle="1" w:styleId="28">
    <w:name w:val="Teks Balon KAR"/>
    <w:qFormat/>
    <w:uiPriority w:val="0"/>
    <w:rPr>
      <w:rFonts w:ascii="Tahoma" w:hAnsi="Tahoma" w:cs="Tahoma"/>
      <w:w w:val="100"/>
      <w:position w:val="-1"/>
      <w:sz w:val="16"/>
      <w:szCs w:val="16"/>
      <w:vertAlign w:val="baseline"/>
      <w:cs w:val="0"/>
    </w:rPr>
  </w:style>
  <w:style w:type="table" w:customStyle="1" w:styleId="29">
    <w:name w:val="Kisi Tabel"/>
    <w:basedOn w:val="17"/>
    <w:qFormat/>
    <w:uiPriority w:val="0"/>
    <w:pPr>
      <w:spacing w:after="0" w:line="240" w:lineRule="auto"/>
      <w:jc w:val="left"/>
    </w:pPr>
    <w:rPr>
      <w:rFonts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Judul 1 KAR"/>
    <w:uiPriority w:val="0"/>
    <w:rPr>
      <w:rFonts w:ascii="Times New Roman" w:hAnsi="Times New Roman" w:eastAsia="Times New Roman" w:cs="Times New Roman"/>
      <w:b/>
      <w:bCs/>
      <w:w w:val="100"/>
      <w:kern w:val="36"/>
      <w:position w:val="-1"/>
      <w:sz w:val="48"/>
      <w:szCs w:val="48"/>
      <w:vertAlign w:val="baseline"/>
      <w:cs w:val="0"/>
    </w:rPr>
  </w:style>
  <w:style w:type="table" w:customStyle="1" w:styleId="31">
    <w:name w:val="Light Shading1"/>
    <w:basedOn w:val="17"/>
    <w:uiPriority w:val="0"/>
    <w:pPr>
      <w:spacing w:after="0" w:line="240" w:lineRule="auto"/>
      <w:jc w:val="left"/>
    </w:pPr>
    <w:rPr>
      <w:color w:val="000000"/>
      <w:lang w:val="id-ID"/>
    </w:rPr>
    <w:tblPr>
      <w:tblBorders>
        <w:top w:val="single" w:color="000000" w:sz="8" w:space="0"/>
        <w:bottom w:val="single" w:color="000000" w:sz="8" w:space="0"/>
      </w:tblBorders>
    </w:tblPr>
  </w:style>
  <w:style w:type="paragraph" w:customStyle="1" w:styleId="32">
    <w:name w:val="Reference"/>
    <w:uiPriority w:val="0"/>
    <w:pPr>
      <w:tabs>
        <w:tab w:val="left" w:pos="709"/>
      </w:tabs>
      <w:suppressAutoHyphens/>
      <w:spacing w:after="200" w:line="1" w:lineRule="atLeast"/>
      <w:ind w:left="567" w:leftChars="-1" w:hanging="567" w:hangingChars="1"/>
      <w:jc w:val="both"/>
      <w:textAlignment w:val="top"/>
      <w:outlineLvl w:val="0"/>
    </w:pPr>
    <w:rPr>
      <w:rFonts w:ascii="Times" w:hAnsi="Times" w:eastAsia="Times New Roman" w:cs="Times New Roman"/>
      <w:color w:val="000000"/>
      <w:position w:val="-1"/>
      <w:sz w:val="22"/>
      <w:szCs w:val="22"/>
      <w:lang w:val="en-GB" w:eastAsia="en-US" w:bidi="ar-SA"/>
    </w:rPr>
  </w:style>
  <w:style w:type="paragraph" w:customStyle="1" w:styleId="33">
    <w:name w:val="Judul Makalah"/>
    <w:basedOn w:val="1"/>
    <w:next w:val="1"/>
    <w:uiPriority w:val="0"/>
    <w:pPr>
      <w:spacing w:before="1200" w:after="0" w:line="240" w:lineRule="auto"/>
    </w:pPr>
    <w:rPr>
      <w:rFonts w:ascii="Times New Roman" w:hAnsi="Times New Roman" w:eastAsia="Times New Roman" w:cs="Times New Roman"/>
      <w:b/>
      <w:sz w:val="36"/>
      <w:szCs w:val="20"/>
      <w:lang w:val="id-ID"/>
    </w:rPr>
  </w:style>
  <w:style w:type="paragraph" w:customStyle="1" w:styleId="34">
    <w:name w:val="Email Penulis"/>
    <w:basedOn w:val="1"/>
    <w:uiPriority w:val="0"/>
    <w:pPr>
      <w:spacing w:after="0" w:line="240" w:lineRule="auto"/>
    </w:pPr>
    <w:rPr>
      <w:rFonts w:ascii="Times New Roman" w:hAnsi="Times New Roman" w:eastAsia="Times New Roman" w:cs="Times New Roman"/>
      <w:sz w:val="20"/>
      <w:szCs w:val="20"/>
      <w:lang w:val="id-ID"/>
    </w:rPr>
  </w:style>
  <w:style w:type="paragraph" w:customStyle="1" w:styleId="35">
    <w:name w:val="Abstrak"/>
    <w:basedOn w:val="1"/>
    <w:next w:val="19"/>
    <w:uiPriority w:val="0"/>
    <w:pPr>
      <w:spacing w:before="360" w:after="360" w:line="240" w:lineRule="auto"/>
      <w:jc w:val="both"/>
    </w:pPr>
    <w:rPr>
      <w:rFonts w:ascii="Times New Roman" w:hAnsi="Times New Roman" w:eastAsia="Times New Roman" w:cs="Times New Roman"/>
      <w:i/>
      <w:sz w:val="20"/>
      <w:szCs w:val="20"/>
      <w:lang w:val="id-ID"/>
    </w:rPr>
  </w:style>
  <w:style w:type="paragraph" w:customStyle="1" w:styleId="36">
    <w:name w:val="Teks Isi"/>
    <w:basedOn w:val="1"/>
    <w:qFormat/>
    <w:uiPriority w:val="0"/>
    <w:pPr>
      <w:widowControl w:val="0"/>
      <w:spacing w:after="0" w:line="240" w:lineRule="auto"/>
      <w:jc w:val="left"/>
    </w:pPr>
    <w:rPr>
      <w:rFonts w:ascii="Times New Roman" w:hAnsi="Times New Roman" w:eastAsia="Times New Roman" w:cs="Times New Roman"/>
      <w:sz w:val="24"/>
      <w:szCs w:val="24"/>
    </w:rPr>
  </w:style>
  <w:style w:type="character" w:customStyle="1" w:styleId="37">
    <w:name w:val="Teks Isi KAR"/>
    <w:uiPriority w:val="0"/>
    <w:rPr>
      <w:rFonts w:ascii="Times New Roman" w:hAnsi="Times New Roman" w:eastAsia="Times New Roman" w:cs="Times New Roman"/>
      <w:w w:val="100"/>
      <w:position w:val="-1"/>
      <w:sz w:val="24"/>
      <w:szCs w:val="24"/>
      <w:vertAlign w:val="baseline"/>
      <w:cs w:val="0"/>
    </w:rPr>
  </w:style>
  <w:style w:type="character" w:customStyle="1" w:styleId="38">
    <w:name w:val="Paragraf Char"/>
    <w:uiPriority w:val="0"/>
    <w:rPr>
      <w:rFonts w:ascii="Times New Roman" w:hAnsi="Times New Roman" w:eastAsia="Times New Roman" w:cs="Times New Roman"/>
      <w:w w:val="100"/>
      <w:position w:val="-1"/>
      <w:vertAlign w:val="baseline"/>
      <w:cs w:val="0"/>
      <w:lang w:val="id-ID"/>
    </w:rPr>
  </w:style>
  <w:style w:type="paragraph" w:customStyle="1" w:styleId="39">
    <w:name w:val="Paragraf"/>
    <w:basedOn w:val="1"/>
    <w:uiPriority w:val="0"/>
    <w:pPr>
      <w:spacing w:after="0" w:line="240" w:lineRule="auto"/>
      <w:ind w:firstLine="284"/>
      <w:jc w:val="both"/>
    </w:pPr>
    <w:rPr>
      <w:rFonts w:ascii="Times New Roman" w:hAnsi="Times New Roman" w:eastAsia="Times New Roman" w:cs="Times New Roman"/>
      <w:sz w:val="20"/>
      <w:szCs w:val="20"/>
      <w:lang w:val="id-ID"/>
    </w:rPr>
  </w:style>
  <w:style w:type="paragraph" w:customStyle="1" w:styleId="40">
    <w:name w:val="Referensi"/>
    <w:basedOn w:val="39"/>
    <w:uiPriority w:val="0"/>
    <w:pPr>
      <w:numPr>
        <w:ilvl w:val="0"/>
        <w:numId w:val="1"/>
      </w:numPr>
      <w:tabs>
        <w:tab w:val="left" w:pos="360"/>
      </w:tabs>
      <w:ind w:left="426" w:hanging="426"/>
      <w:jc w:val="left"/>
    </w:pPr>
  </w:style>
  <w:style w:type="paragraph" w:customStyle="1" w:styleId="41">
    <w:name w:val="Judul"/>
    <w:basedOn w:val="1"/>
    <w:uiPriority w:val="0"/>
    <w:pPr>
      <w:spacing w:after="0" w:line="480" w:lineRule="auto"/>
    </w:pPr>
    <w:rPr>
      <w:rFonts w:ascii="Times New Roman" w:hAnsi="Times New Roman" w:eastAsia="Times New Roman" w:cs="Times New Roman"/>
      <w:b/>
      <w:sz w:val="24"/>
      <w:szCs w:val="20"/>
    </w:rPr>
  </w:style>
  <w:style w:type="character" w:customStyle="1" w:styleId="42">
    <w:name w:val="Judul KAR"/>
    <w:uiPriority w:val="0"/>
    <w:rPr>
      <w:rFonts w:ascii="Times New Roman" w:hAnsi="Times New Roman" w:eastAsia="Times New Roman" w:cs="Times New Roman"/>
      <w:b/>
      <w:w w:val="100"/>
      <w:position w:val="-1"/>
      <w:sz w:val="24"/>
      <w:vertAlign w:val="baseline"/>
      <w:cs w:val="0"/>
    </w:rPr>
  </w:style>
  <w:style w:type="paragraph" w:customStyle="1" w:styleId="43">
    <w:name w:val="HTML Sudah Diformat"/>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eastAsia="Times New Roman" w:cs="Courier New"/>
      <w:sz w:val="20"/>
      <w:szCs w:val="20"/>
    </w:rPr>
  </w:style>
  <w:style w:type="character" w:customStyle="1" w:styleId="44">
    <w:name w:val="HTML Sudah Diformat KAR"/>
    <w:uiPriority w:val="0"/>
    <w:rPr>
      <w:rFonts w:ascii="Courier New" w:hAnsi="Courier New" w:eastAsia="Times New Roman" w:cs="Courier New"/>
      <w:w w:val="100"/>
      <w:position w:val="-1"/>
      <w:vertAlign w:val="baseline"/>
      <w:cs w:val="0"/>
    </w:rPr>
  </w:style>
  <w:style w:type="paragraph" w:customStyle="1" w:styleId="45">
    <w:name w:val="Body"/>
    <w:basedOn w:val="46"/>
    <w:uiPriority w:val="0"/>
    <w:pPr>
      <w:suppressAutoHyphens w:val="0"/>
      <w:spacing w:after="0" w:line="240" w:lineRule="auto"/>
      <w:ind w:left="0" w:firstLine="567"/>
      <w:jc w:val="both"/>
    </w:pPr>
    <w:rPr>
      <w:rFonts w:ascii="Times New Roman" w:hAnsi="Times New Roman" w:eastAsia="Times New Roman" w:cs="Times New Roman"/>
      <w:sz w:val="20"/>
      <w:szCs w:val="20"/>
      <w:lang w:eastAsia="ar-SA"/>
    </w:rPr>
  </w:style>
  <w:style w:type="paragraph" w:customStyle="1" w:styleId="46">
    <w:name w:val="Inden Teks Isi"/>
    <w:basedOn w:val="1"/>
    <w:qFormat/>
    <w:uiPriority w:val="0"/>
    <w:pPr>
      <w:spacing w:after="120"/>
      <w:ind w:left="360"/>
    </w:pPr>
  </w:style>
  <w:style w:type="character" w:customStyle="1" w:styleId="47">
    <w:name w:val="Inden Teks Isi KAR"/>
    <w:uiPriority w:val="0"/>
    <w:rPr>
      <w:w w:val="100"/>
      <w:position w:val="-1"/>
      <w:sz w:val="22"/>
      <w:szCs w:val="22"/>
      <w:vertAlign w:val="baseline"/>
      <w:cs w:val="0"/>
    </w:rPr>
  </w:style>
  <w:style w:type="paragraph" w:customStyle="1" w:styleId="48">
    <w:name w:val="Teks Isi 2"/>
    <w:basedOn w:val="1"/>
    <w:qFormat/>
    <w:uiPriority w:val="0"/>
    <w:pPr>
      <w:spacing w:after="120" w:line="480" w:lineRule="auto"/>
    </w:pPr>
  </w:style>
  <w:style w:type="character" w:customStyle="1" w:styleId="49">
    <w:name w:val="Teks Isi 2 KAR"/>
    <w:qFormat/>
    <w:uiPriority w:val="0"/>
    <w:rPr>
      <w:w w:val="100"/>
      <w:position w:val="-1"/>
      <w:sz w:val="22"/>
      <w:szCs w:val="22"/>
      <w:vertAlign w:val="baseline"/>
      <w:cs w:val="0"/>
    </w:rPr>
  </w:style>
  <w:style w:type="paragraph" w:customStyle="1" w:styleId="50">
    <w:name w:val="paper subtitle"/>
    <w:qFormat/>
    <w:uiPriority w:val="0"/>
    <w:pPr>
      <w:suppressAutoHyphens/>
      <w:spacing w:after="120" w:line="1" w:lineRule="atLeast"/>
      <w:ind w:left="-1" w:leftChars="-1" w:hanging="1" w:hangingChars="1"/>
      <w:jc w:val="center"/>
      <w:textAlignment w:val="top"/>
      <w:outlineLvl w:val="0"/>
    </w:pPr>
    <w:rPr>
      <w:rFonts w:ascii="Times New Roman" w:hAnsi="Times New Roman" w:eastAsia="MS Mincho" w:cs="Times New Roman"/>
      <w:position w:val="-1"/>
      <w:sz w:val="24"/>
      <w:szCs w:val="28"/>
      <w:lang w:val="en-US" w:eastAsia="en-GB" w:bidi="ar-SA"/>
    </w:rPr>
  </w:style>
  <w:style w:type="paragraph" w:customStyle="1" w:styleId="51">
    <w:name w:val="Daftar Pustaka"/>
    <w:basedOn w:val="41"/>
    <w:qFormat/>
    <w:uiPriority w:val="0"/>
    <w:pPr>
      <w:spacing w:before="120" w:after="120" w:line="240" w:lineRule="auto"/>
      <w:ind w:left="284" w:hanging="284"/>
      <w:jc w:val="both"/>
    </w:pPr>
    <w:rPr>
      <w:b w:val="0"/>
      <w:sz w:val="20"/>
      <w:szCs w:val="24"/>
    </w:rPr>
  </w:style>
  <w:style w:type="table" w:customStyle="1" w:styleId="52">
    <w:name w:val="_Style 51"/>
    <w:basedOn w:val="18"/>
    <w:qFormat/>
    <w:uiPriority w:val="0"/>
    <w:tblPr>
      <w:tblCellMar>
        <w:top w:w="0" w:type="dxa"/>
        <w:left w:w="28" w:type="dxa"/>
        <w:bottom w:w="0" w:type="dxa"/>
        <w:right w:w="28" w:type="dxa"/>
      </w:tblCellMar>
    </w:tblPr>
  </w:style>
  <w:style w:type="character" w:customStyle="1" w:styleId="53">
    <w:name w:val="Unresolved Mention"/>
    <w:basedOn w:val="8"/>
    <w:semiHidden/>
    <w:unhideWhenUsed/>
    <w:qFormat/>
    <w:uiPriority w:val="99"/>
    <w:rPr>
      <w:color w:val="605E5C"/>
      <w:shd w:val="clear" w:color="auto" w:fill="E1DFDD"/>
    </w:rPr>
  </w:style>
  <w:style w:type="paragraph" w:customStyle="1" w:styleId="54">
    <w:name w:val="BodytextIndented"/>
    <w:basedOn w:val="1"/>
    <w:link w:val="55"/>
    <w:qFormat/>
    <w:uiPriority w:val="0"/>
    <w:pPr>
      <w:suppressAutoHyphens w:val="0"/>
      <w:spacing w:after="0" w:line="240" w:lineRule="auto"/>
      <w:ind w:left="0" w:leftChars="0" w:firstLine="284" w:firstLineChars="0"/>
      <w:jc w:val="both"/>
      <w:textAlignment w:val="auto"/>
      <w:outlineLvl w:val="9"/>
    </w:pPr>
    <w:rPr>
      <w:rFonts w:ascii="Times" w:hAnsi="Times" w:eastAsia="Times New Roman" w:cs="Times New Roman"/>
      <w:iCs/>
      <w:color w:val="000000"/>
      <w:position w:val="0"/>
      <w:sz w:val="20"/>
      <w:szCs w:val="20"/>
      <w:lang w:val="en-AU" w:eastAsia="tr-TR"/>
    </w:rPr>
  </w:style>
  <w:style w:type="character" w:customStyle="1" w:styleId="55">
    <w:name w:val="BodytextIndented Char"/>
    <w:basedOn w:val="8"/>
    <w:link w:val="54"/>
    <w:qFormat/>
    <w:uiPriority w:val="0"/>
    <w:rPr>
      <w:rFonts w:ascii="Times" w:hAnsi="Times" w:eastAsia="Times New Roman" w:cs="Times New Roman"/>
      <w:iCs/>
      <w:color w:val="000000"/>
      <w:sz w:val="20"/>
      <w:szCs w:val="20"/>
      <w:lang w:val="en-AU" w:eastAsia="tr-TR"/>
    </w:rPr>
  </w:style>
  <w:style w:type="paragraph" w:styleId="56">
    <w:name w:val="List Paragraph"/>
    <w:basedOn w:val="1"/>
    <w:qFormat/>
    <w:uiPriority w:val="34"/>
    <w:pPr>
      <w:ind w:left="720"/>
      <w:contextualSpacing/>
    </w:pPr>
  </w:style>
  <w:style w:type="paragraph" w:customStyle="1" w:styleId="57">
    <w:name w:val="Reference (no number)"/>
    <w:basedOn w:val="32"/>
    <w:qFormat/>
    <w:uiPriority w:val="0"/>
    <w:pPr>
      <w:widowControl w:val="0"/>
      <w:tabs>
        <w:tab w:val="left" w:pos="567"/>
        <w:tab w:val="clear" w:pos="709"/>
      </w:tabs>
      <w:suppressAutoHyphens w:val="0"/>
      <w:spacing w:after="120" w:line="240" w:lineRule="auto"/>
      <w:ind w:left="851" w:leftChars="0" w:hanging="851" w:firstLineChars="0"/>
      <w:textAlignment w:val="auto"/>
      <w:outlineLvl w:val="9"/>
    </w:pPr>
    <w:rPr>
      <w:iCs/>
      <w:positio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L1quRFf3qQQK9IO/RMdDwQ8mGA==">CgMxLjAaJQoBMBIgCh4IB0IaCg9UaW1lcyBOZXcgUm9tYW4SB0d1bmdzdWgaIwoBMRIeChwIB0IYCg9UaW1lcyBOZXcgUm9tYW4SBUNhcmRvMghoLmdqZGd4czgAciExcThlaEFNZm1aTnBUX0k5ZzZ0anc2ODhBQk9kdlVwaEo=</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13</Pages>
  <Words>886</Words>
  <Characters>6289</Characters>
  <Lines>529</Lines>
  <Paragraphs>148</Paragraphs>
  <TotalTime>61</TotalTime>
  <ScaleCrop>false</ScaleCrop>
  <LinksUpToDate>false</LinksUpToDate>
  <CharactersWithSpaces>7165</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2026-07-22T09:39:00Z</dcterms:created>
  <dc:creator>ACER</dc:creator>
  <cp:lastModifiedBy>telko</cp:lastModifiedBy>
  <dcterms:modified xsi:type="dcterms:W3CDTF">2026-07-23T02:38:04Z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eyJoZGlkIjoiYjJjOTQxYzhjODMyMDAzZmE0MDJkMWFkNmJlNDkwYTUifQ==</vt:lpwstr>
  </property>
  <property fmtid="{D5CDD505-2E9C-101B-9397-08002B2CF9AE}" pid="3" name="KSOProductBuildVer">
    <vt:lpwstr>1033-12.1.0.27458</vt:lpwstr>
  </property>
  <property fmtid="{D5CDD505-2E9C-101B-9397-08002B2CF9AE}" pid="4" name="ICV">
    <vt:lpwstr>1A68BBC9954141BEA821BF157E34BD8F_12</vt:lpwstr>
  </property>
</Properties>
</file>