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C2195" w14:textId="77777777" w:rsidR="00F57819" w:rsidRDefault="00F57819" w:rsidP="003F7CBE">
      <w:pPr>
        <w:ind w:left="0" w:firstLine="0"/>
        <w:jc w:val="center"/>
        <w:rPr>
          <w:b/>
          <w:sz w:val="28"/>
          <w:lang w:val="en-US"/>
        </w:rPr>
      </w:pPr>
    </w:p>
    <w:p w14:paraId="74AE38E6" w14:textId="48E264AF" w:rsidR="00E56E74" w:rsidRDefault="0072351E" w:rsidP="00A2391A">
      <w:pPr>
        <w:ind w:left="0" w:firstLine="0"/>
        <w:jc w:val="center"/>
        <w:rPr>
          <w:b/>
          <w:sz w:val="28"/>
          <w:lang w:val="en-US"/>
        </w:rPr>
      </w:pPr>
      <w:r w:rsidRPr="00D8540B">
        <w:rPr>
          <w:b/>
          <w:sz w:val="28"/>
          <w:lang w:val="en-US"/>
        </w:rPr>
        <w:t>IMPLEMENTASI PEMBELAJARAN KITAB KUNING MELALUI METODE AL-HASRI WAL QOSRI DALAM MENINGKATKAN PEMAHAMAN SANTRI</w:t>
      </w:r>
      <w:r>
        <w:rPr>
          <w:b/>
          <w:sz w:val="28"/>
          <w:lang w:val="en-US"/>
        </w:rPr>
        <w:t xml:space="preserve"> </w:t>
      </w:r>
      <w:r w:rsidRPr="00D8540B">
        <w:rPr>
          <w:b/>
          <w:sz w:val="28"/>
          <w:lang w:val="en-US"/>
        </w:rPr>
        <w:t>DI PONDOK PESANTREN AT-TAROQQI KARONGAN SAMPANG</w:t>
      </w:r>
      <w:commentRangeStart w:id="0"/>
      <w:commentRangeEnd w:id="0"/>
      <w:r w:rsidR="007B368C">
        <w:rPr>
          <w:rStyle w:val="CommentReference"/>
        </w:rPr>
        <w:commentReference w:id="0"/>
      </w:r>
    </w:p>
    <w:p w14:paraId="090D67C5" w14:textId="77777777" w:rsidR="00A2391A" w:rsidRPr="00A2391A" w:rsidRDefault="00A2391A" w:rsidP="00A2391A">
      <w:pPr>
        <w:ind w:left="0" w:firstLine="0"/>
        <w:jc w:val="center"/>
        <w:rPr>
          <w:b/>
          <w:sz w:val="28"/>
          <w:lang w:val="en-US"/>
        </w:rPr>
      </w:pPr>
    </w:p>
    <w:p w14:paraId="728FF525" w14:textId="104F9F58" w:rsidR="00441E0A" w:rsidRPr="00D831F4" w:rsidRDefault="00D831F4" w:rsidP="00441E0A">
      <w:pPr>
        <w:ind w:left="0" w:firstLine="0"/>
        <w:jc w:val="center"/>
        <w:rPr>
          <w:rFonts w:eastAsia="Times New Roman" w:cs="Times New Roman"/>
          <w:b/>
          <w:vertAlign w:val="superscript"/>
          <w:lang w:val="en-US"/>
        </w:rPr>
      </w:pPr>
      <w:r>
        <w:rPr>
          <w:rFonts w:eastAsia="Times New Roman" w:cs="Times New Roman"/>
          <w:b/>
          <w:lang w:val="en-US"/>
        </w:rPr>
        <w:t>Ach. Fatoni</w:t>
      </w:r>
      <w:r w:rsidR="00441E0A">
        <w:rPr>
          <w:rFonts w:eastAsia="Times New Roman" w:cs="Times New Roman"/>
          <w:b/>
          <w:vertAlign w:val="superscript"/>
        </w:rPr>
        <w:t>1</w:t>
      </w:r>
      <w:r w:rsidR="00441E0A" w:rsidRPr="00CE6C1B">
        <w:rPr>
          <w:rFonts w:eastAsia="Times New Roman" w:cs="Times New Roman"/>
          <w:b/>
        </w:rPr>
        <w:t xml:space="preserve">, </w:t>
      </w:r>
      <w:r w:rsidRPr="00D831F4">
        <w:rPr>
          <w:rFonts w:eastAsia="Times New Roman" w:cs="Times New Roman"/>
          <w:b/>
        </w:rPr>
        <w:t xml:space="preserve">Solchan Ghozali </w:t>
      </w:r>
      <w:r w:rsidR="00441E0A">
        <w:rPr>
          <w:rFonts w:eastAsia="Times New Roman" w:cs="Times New Roman"/>
          <w:b/>
          <w:vertAlign w:val="superscript"/>
        </w:rPr>
        <w:t>2</w:t>
      </w:r>
      <w:r w:rsidR="00441E0A">
        <w:rPr>
          <w:rFonts w:eastAsia="Times New Roman" w:cs="Times New Roman"/>
          <w:b/>
        </w:rPr>
        <w:t xml:space="preserve">, </w:t>
      </w:r>
      <w:r w:rsidRPr="00D831F4">
        <w:rPr>
          <w:rFonts w:eastAsia="Times New Roman" w:cs="Times New Roman"/>
          <w:b/>
          <w:lang w:val="en-US"/>
        </w:rPr>
        <w:t>Yuliastutik</w:t>
      </w:r>
      <w:r>
        <w:rPr>
          <w:rFonts w:eastAsia="Times New Roman" w:cs="Times New Roman"/>
          <w:b/>
          <w:vertAlign w:val="superscript"/>
          <w:lang w:val="en-US"/>
        </w:rPr>
        <w:t>3</w:t>
      </w:r>
    </w:p>
    <w:p w14:paraId="17BC7724" w14:textId="65AA7B50" w:rsidR="00441E0A" w:rsidRPr="00E774A3" w:rsidRDefault="00E774A3" w:rsidP="00441E0A">
      <w:pPr>
        <w:ind w:left="0" w:firstLine="0"/>
        <w:jc w:val="center"/>
        <w:rPr>
          <w:rFonts w:eastAsia="Times New Roman" w:cs="Times New Roman"/>
          <w:sz w:val="20"/>
          <w:vertAlign w:val="superscript"/>
          <w:lang w:val="en-US"/>
        </w:rPr>
      </w:pPr>
      <w:r w:rsidRPr="00E774A3">
        <w:rPr>
          <w:rFonts w:eastAsia="Times New Roman" w:cs="Times New Roman"/>
          <w:sz w:val="20"/>
        </w:rPr>
        <w:t>Universitas Sunan Giri Surabaya, Indonesia</w:t>
      </w:r>
      <w:r w:rsidR="002E2762">
        <w:rPr>
          <w:rFonts w:eastAsia="Times New Roman" w:cs="Times New Roman"/>
          <w:sz w:val="20"/>
          <w:vertAlign w:val="superscript"/>
        </w:rPr>
        <w:t>1</w:t>
      </w:r>
      <w:r>
        <w:rPr>
          <w:rFonts w:eastAsia="Times New Roman" w:cs="Times New Roman"/>
          <w:sz w:val="20"/>
          <w:vertAlign w:val="superscript"/>
          <w:lang w:val="en-US"/>
        </w:rPr>
        <w:t>,</w:t>
      </w:r>
      <w:r w:rsidR="002E2762">
        <w:rPr>
          <w:rFonts w:eastAsia="Times New Roman" w:cs="Times New Roman"/>
          <w:sz w:val="20"/>
          <w:vertAlign w:val="superscript"/>
        </w:rPr>
        <w:t>2</w:t>
      </w:r>
      <w:r>
        <w:rPr>
          <w:rFonts w:eastAsia="Times New Roman" w:cs="Times New Roman"/>
          <w:sz w:val="20"/>
          <w:vertAlign w:val="superscript"/>
          <w:lang w:val="en-US"/>
        </w:rPr>
        <w:t>,3</w:t>
      </w:r>
    </w:p>
    <w:p w14:paraId="47EF194B" w14:textId="0E8E327E" w:rsidR="00E56E74" w:rsidRDefault="00E774A3" w:rsidP="00E774A3">
      <w:pPr>
        <w:ind w:left="0" w:firstLine="0"/>
        <w:jc w:val="center"/>
        <w:rPr>
          <w:lang w:val="en-US"/>
        </w:rPr>
      </w:pPr>
      <w:r w:rsidRPr="00E774A3">
        <w:rPr>
          <w:rFonts w:eastAsia="Times New Roman" w:cs="Times New Roman"/>
          <w:sz w:val="20"/>
        </w:rPr>
        <w:t xml:space="preserve">Email: </w:t>
      </w:r>
      <w:hyperlink r:id="rId11" w:history="1">
        <w:r w:rsidRPr="00D803C2">
          <w:rPr>
            <w:rStyle w:val="Hyperlink"/>
            <w:rFonts w:eastAsia="Times New Roman" w:cs="Times New Roman"/>
            <w:sz w:val="20"/>
          </w:rPr>
          <w:t>achfatoni757@gmail.com</w:t>
        </w:r>
        <w:r w:rsidRPr="00802A84">
          <w:rPr>
            <w:rStyle w:val="Hyperlink"/>
            <w:rFonts w:eastAsia="Times New Roman" w:cs="Times New Roman"/>
            <w:color w:val="auto"/>
            <w:sz w:val="20"/>
            <w:vertAlign w:val="superscript"/>
          </w:rPr>
          <w:t>1</w:t>
        </w:r>
      </w:hyperlink>
      <w:r w:rsidR="00441E0A" w:rsidRPr="00441E0A">
        <w:rPr>
          <w:rFonts w:eastAsia="Times New Roman" w:cs="Times New Roman"/>
          <w:sz w:val="20"/>
        </w:rPr>
        <w:t xml:space="preserve">, </w:t>
      </w:r>
      <w:hyperlink r:id="rId12" w:history="1">
        <w:r w:rsidRPr="00D803C2">
          <w:rPr>
            <w:rStyle w:val="Hyperlink"/>
            <w:rFonts w:eastAsia="Times New Roman" w:cs="Times New Roman"/>
            <w:sz w:val="20"/>
          </w:rPr>
          <w:t>solchanghozali99@gmail.com</w:t>
        </w:r>
        <w:r w:rsidRPr="00802A84">
          <w:rPr>
            <w:rStyle w:val="Hyperlink"/>
            <w:rFonts w:eastAsia="Times New Roman" w:cs="Times New Roman"/>
            <w:color w:val="auto"/>
            <w:sz w:val="20"/>
            <w:vertAlign w:val="superscript"/>
          </w:rPr>
          <w:t>2</w:t>
        </w:r>
      </w:hyperlink>
      <w:r w:rsidR="00441E0A" w:rsidRPr="00441E0A">
        <w:rPr>
          <w:rFonts w:eastAsia="Times New Roman" w:cs="Times New Roman"/>
          <w:sz w:val="20"/>
        </w:rPr>
        <w:t xml:space="preserve">, </w:t>
      </w:r>
      <w:hyperlink r:id="rId13" w:history="1">
        <w:r w:rsidRPr="00D803C2">
          <w:rPr>
            <w:rStyle w:val="Hyperlink"/>
            <w:rFonts w:eastAsia="Times New Roman" w:cs="Times New Roman"/>
            <w:sz w:val="20"/>
          </w:rPr>
          <w:t>yuliakamila32@gmail.com</w:t>
        </w:r>
        <w:r w:rsidRPr="00802A84">
          <w:rPr>
            <w:rStyle w:val="Hyperlink"/>
            <w:rFonts w:eastAsia="Times New Roman" w:cs="Times New Roman"/>
            <w:color w:val="auto"/>
            <w:sz w:val="20"/>
            <w:vertAlign w:val="superscript"/>
            <w:lang w:val="en-US"/>
          </w:rPr>
          <w:t>3</w:t>
        </w:r>
      </w:hyperlink>
    </w:p>
    <w:p w14:paraId="5A42E2AF" w14:textId="77777777" w:rsidR="00E774A3" w:rsidRPr="00E774A3" w:rsidRDefault="00E774A3" w:rsidP="00E774A3">
      <w:pPr>
        <w:ind w:left="0" w:firstLine="0"/>
        <w:jc w:val="center"/>
        <w:rPr>
          <w:lang w:val="en-US"/>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7"/>
        <w:gridCol w:w="5447"/>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7B636CC3" w:rsidR="003F7CBE" w:rsidRPr="003F7CBE" w:rsidRDefault="00CE5CD5" w:rsidP="00FB50A5">
            <w:pPr>
              <w:ind w:left="-108" w:firstLine="0"/>
              <w:rPr>
                <w:sz w:val="18"/>
              </w:rPr>
            </w:pPr>
            <w:r w:rsidRPr="00CE5CD5">
              <w:rPr>
                <w:sz w:val="18"/>
              </w:rPr>
              <w:t>This study examines the implementation of kitab kuning (classical Islamic texts) instruction through the Al-Hasri wal Qosri method at Pondok Pesantren At-Taroqqi Karongan, Sampang, and its impact on improving students’ comprehension. The research employed a descriptive qualitative approach with a case-study design. Data were collected through participant observation, in-depth interviews with the pesantren leader, education administrators, teachers, students, and students’ parents/guardians, as well as documentation review. Data analysis was conducted interactively through data reduction, data display, and conclusion drawing, with credibility ensured through source, method, and theoretical triangulation. The findings indicate that: (1) students’ understanding developed gradually from the ability to read unvowelled texts (without harakat) to the ability to analyze grammatical structures and contextualize the content of the texts, with mastery of nahwu and sharaf serving as the foundational basis; (2) the Al-Hasri wal Qosri method was implemented systematically through stages of preparation, intensive instructional delivery, and continuous written–oral evaluation, enabling students to learn in a more structured and efficient manner; and (3) key supporting factors included a clear instructional structure, teachers’ commitment and competence, and the pesantren learning ecosystem, while obstacles stemmed from differences in students’ backgrounds and motivation, variations in teacher quality, a dense curriculum, the dominance of Arabic technical terms, and a learning culture that remains relatively passive. The study recommends differentiated instruction, strengthened contextualization strategies, and pedagogical training for teachers to optimize the implementation of the method.</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647FB307" w:rsidR="003F7CBE" w:rsidRPr="004A6306" w:rsidRDefault="00974D16" w:rsidP="003F7CBE">
            <w:pPr>
              <w:ind w:left="-108" w:firstLine="0"/>
              <w:rPr>
                <w:sz w:val="18"/>
              </w:rPr>
            </w:pPr>
            <w:r w:rsidRPr="00974D16">
              <w:rPr>
                <w:sz w:val="18"/>
              </w:rPr>
              <w:t>kitab kuning</w:t>
            </w:r>
            <w:r>
              <w:rPr>
                <w:sz w:val="18"/>
                <w:lang w:val="en-US"/>
              </w:rPr>
              <w:t xml:space="preserve"> </w:t>
            </w:r>
            <w:r w:rsidRPr="00974D16">
              <w:rPr>
                <w:sz w:val="18"/>
              </w:rPr>
              <w:t>(classical Islamic texts)</w:t>
            </w:r>
            <w:r>
              <w:rPr>
                <w:sz w:val="18"/>
                <w:lang w:val="en-US"/>
              </w:rPr>
              <w:t>,</w:t>
            </w:r>
            <w:r w:rsidRPr="00974D16">
              <w:rPr>
                <w:sz w:val="18"/>
              </w:rPr>
              <w:t xml:space="preserve"> Al-Hasri wal Qosri method</w:t>
            </w:r>
            <w:r>
              <w:rPr>
                <w:sz w:val="18"/>
                <w:lang w:val="en-US"/>
              </w:rPr>
              <w:t>,</w:t>
            </w:r>
            <w:r w:rsidRPr="00974D16">
              <w:rPr>
                <w:sz w:val="18"/>
              </w:rPr>
              <w:t xml:space="preserve"> students’ comprehension</w:t>
            </w:r>
            <w:r>
              <w:rPr>
                <w:sz w:val="18"/>
                <w:lang w:val="en-US"/>
              </w:rPr>
              <w:t>,</w:t>
            </w:r>
            <w:r w:rsidRPr="00974D16">
              <w:rPr>
                <w:sz w:val="18"/>
              </w:rPr>
              <w:t xml:space="preserve"> Islamic boarding school (pesantren)</w:t>
            </w:r>
            <w:r>
              <w:rPr>
                <w:sz w:val="18"/>
                <w:lang w:val="en-US"/>
              </w:rPr>
              <w:t>,</w:t>
            </w:r>
            <w:r w:rsidRPr="00974D16">
              <w:rPr>
                <w:sz w:val="18"/>
              </w:rPr>
              <w:t xml:space="preserve"> Arabic language learning.</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6B51B95" w:rsidR="003F7CBE" w:rsidRPr="00802A84" w:rsidRDefault="00FA474A" w:rsidP="002A0D4A">
            <w:pPr>
              <w:ind w:left="-108" w:firstLine="0"/>
              <w:rPr>
                <w:sz w:val="18"/>
                <w:lang w:val="en-US"/>
              </w:rPr>
            </w:pPr>
            <w:r w:rsidRPr="00FA474A">
              <w:rPr>
                <w:sz w:val="18"/>
              </w:rPr>
              <w:t>Ach. Fatoni</w:t>
            </w:r>
            <w:r w:rsidR="006663F4">
              <w:rPr>
                <w:sz w:val="18"/>
              </w:rPr>
              <w:t xml:space="preserve">, </w:t>
            </w:r>
            <w:r w:rsidRPr="00FA474A">
              <w:rPr>
                <w:sz w:val="18"/>
              </w:rPr>
              <w:t>achfatoni757@gmail.com</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BB651CC" w14:textId="77777777" w:rsidR="00A66077" w:rsidRDefault="00A66077" w:rsidP="00060C6B">
      <w:pPr>
        <w:ind w:left="0" w:firstLine="0"/>
      </w:pPr>
    </w:p>
    <w:p w14:paraId="4766FCC5" w14:textId="5D6D3333" w:rsidR="00060C6B" w:rsidRDefault="008F7F7E" w:rsidP="00A66077">
      <w:pPr>
        <w:ind w:left="0" w:firstLine="0"/>
        <w:rPr>
          <w:b/>
          <w:lang w:val="en-US"/>
        </w:rPr>
      </w:pPr>
      <w:r>
        <w:rPr>
          <w:b/>
          <w:lang w:val="en-US"/>
        </w:rPr>
        <w:t>PENDAHULUAN</w:t>
      </w:r>
    </w:p>
    <w:p w14:paraId="048A82F8" w14:textId="77777777" w:rsidR="00A66077" w:rsidRPr="00A66077" w:rsidRDefault="00A66077" w:rsidP="00A66077">
      <w:pPr>
        <w:ind w:left="0" w:firstLine="0"/>
        <w:rPr>
          <w:b/>
          <w:lang w:val="en-US"/>
        </w:rPr>
      </w:pPr>
    </w:p>
    <w:p w14:paraId="6EC296D2" w14:textId="59CDC65C" w:rsidR="00D8540B" w:rsidRDefault="00D8540B" w:rsidP="00D8540B">
      <w:pPr>
        <w:ind w:left="0" w:firstLine="709"/>
      </w:pPr>
      <w:r>
        <w:t>Pesantren merupakan lembaga pendidikan Islam yang menempatkan kajian kitab kuning sebagai inti tradisi keilmuan. Kitab-kitab berbahasa Arab klasik (sering tanpa harakat) menjadi rujukan utama dalam pembentukan kompetensi keagamaan santri melalui beragam tradisi belajar seperti bandongan, sorogan, halaqah, dan musyawarah</w:t>
      </w:r>
      <w:r w:rsidR="002D1971">
        <w:rPr>
          <w:lang w:val="en-US"/>
        </w:rPr>
        <w:t xml:space="preserve"> </w:t>
      </w:r>
      <w:r w:rsidR="002D1971">
        <w:fldChar w:fldCharType="begin" w:fldLock="1"/>
      </w:r>
      <w:r w:rsidR="002D1971">
        <w:instrText>ADDIN CSL_CITATION {"citationItems":[{"id":"ITEM-1","itemData":{"ISSN":"2502-2997","abstract":"Artikel ini mengkaji tradisi keilmuan pesantren di Sumatera Barat melalui integrasi metode sorogan dan bandongan dalam pembelajaran kitab kuning. Penelitian ini bertujuan untuk menelusuri bagaimana dua metode klasik tersebut diimplementasikan secara terpadu dalam menjaga kesinambungan tradisi intelektual Islam serta memperkuat penguasaan agama dan bahasa Arab di lingkungan pesantren. Fokus kajian diarahkan pada tiga aspek utama, yaitu: (1) pola integrasi metode sorogan dan bandongan dalam kegiatan belajar mengajar, (2) kontribusi metode terhadap pencapaian tujuan pembelajaran berbasis tafaqquh fi al-diin, dan (3) relevansi metode dengan tujuan dan materi ajar kitab kuning yang bersifat turats dan kontekstual. Pendekatan penelitian yang digunakan adalah kualitatif dengan desain studi multi- kasus yang melibatkan beberapa pesantren salafiyah di Sumatera Barat. Data diperoleh melalui observasi partisipatif, wawancara mendalam, dan dokumentasi, serta divalidasi dengan teknik triangulasi sumber dan metode. Hasil penelitian menunjukkan bahwa integrasi metode sorogan dan bandongan merupakan strategi utama dalam mempertahankan tradisi keilmuan pesantren yang adaptif terhadap kebutuhan zaman. Metode ini tidak hanya mendukung transmisi keilmuan secara efektif, tetapi juga menjadi fondasi dalam pengembangan kurikulum kitab kuning yang kontekstual, berbasis pada penguatan kompetensi religius dan kebahasaan santri. Temuan ini memberikan kontribusi penting bagi revitalisasi pembelajaran kitab kuning dan pengembangan metodologi pendidikan Islam tradisional yang responsif terhadap tantangan kontemporer","author":[{"dropping-particle":"","family":"Salam","given":"Muhammad Yusuf","non-dropping-particle":"","parse-names":false,"suffix":""},{"dropping-particle":"","family":"Suharmon","given":"Suharmon","non-dropping-particle":"","parse-names":false,"suffix":""},{"dropping-particle":"","family":"Shidqi","given":"Muhammad Husni","non-dropping-particle":"","parse-names":false,"suffix":""},{"dropping-particle":"","family":"Yozi","given":"Satri","non-dropping-particle":"","parse-names":false,"suffix":""},{"dropping-particle":"","family":"Jistito","given":"Dedi","non-dropping-particle":"","parse-names":false,"suffix":""}],"container-title":"At-Tasyrih: jurnal pendidikan dan hukum Islam","id":"ITEM-1","issue":"2","issued":{"date-parts":[["2025"]]},"page":"27-46","title":"Tradisi Keilmuan Pesantren Melalui Integrasi Sorogan dan Bandongan dalam Pembelajaran Kitab Kuning di Sumatera Barat","type":"article-journal","volume":"11"},"uris":["http://www.mendeley.com/documents/?uuid=d067b273-9642-4f0d-b946-4770ee34bd9b"]}],"mendeley":{"formattedCitation":"(Salam et al., 2025)","plainTextFormattedCitation":"(Salam et al., 2025)","previouslyFormattedCitation":"(Salam et al., 2025)"},"properties":{"noteIndex":0},"schema":"https://github.com/citation-style-language/schema/raw/master/csl-citation.json"}</w:instrText>
      </w:r>
      <w:r w:rsidR="002D1971">
        <w:fldChar w:fldCharType="separate"/>
      </w:r>
      <w:r w:rsidR="002D1971" w:rsidRPr="002D1971">
        <w:rPr>
          <w:noProof/>
        </w:rPr>
        <w:t>(Salam et al., 2025)</w:t>
      </w:r>
      <w:r w:rsidR="002D1971">
        <w:fldChar w:fldCharType="end"/>
      </w:r>
      <w:r w:rsidR="002D1971">
        <w:rPr>
          <w:lang w:val="en-US"/>
        </w:rPr>
        <w:t xml:space="preserve"> </w:t>
      </w:r>
      <w:r>
        <w:t>.</w:t>
      </w:r>
    </w:p>
    <w:p w14:paraId="3A20F0F3" w14:textId="6B9A7618" w:rsidR="00D8540B" w:rsidRDefault="00D8540B" w:rsidP="00D8540B">
      <w:pPr>
        <w:ind w:left="0" w:firstLine="709"/>
      </w:pPr>
      <w:r>
        <w:t xml:space="preserve">Dalam praktiknya, kemampuan membaca dan memahami kitab kuning tidak selalu mudah bagi santri, terutama santri pemula. Kesulitan mengenali struktur kalimat (i‘rab), </w:t>
      </w:r>
      <w:r>
        <w:lastRenderedPageBreak/>
        <w:t>keterbatasan penguasaan ilmu alat (nahwu dan sharaf), serta rendahnya motivasi belajar dapat berkontribusi pada hambatan literasi kitab kuning</w:t>
      </w:r>
      <w:r w:rsidR="002D1971">
        <w:rPr>
          <w:lang w:val="en-US"/>
        </w:rPr>
        <w:t xml:space="preserve"> </w:t>
      </w:r>
      <w:r w:rsidR="002D1971">
        <w:rPr>
          <w:lang w:val="en-US"/>
        </w:rPr>
        <w:fldChar w:fldCharType="begin" w:fldLock="1"/>
      </w:r>
      <w:r w:rsidR="00191577">
        <w:rPr>
          <w:lang w:val="en-US"/>
        </w:rPr>
        <w:instrText>ADDIN CSL_CITATION {"citationItems":[{"id":"ITEM-1","itemData":{"author":[{"dropping-particle":"","family":"Husna","given":"Shofa Sayyidatul.","non-dropping-particle":"","parse-names":false,"suffix":""}],"container-title":"Al Ibrah: Journal of Arabic Language Education","id":"ITEM-1","issue":"2","issued":{"date-parts":[["2025"]]},"page":"92-100","title":"Analisis Pendalaman Nahwu Sharaf Dalam Kemampuan Membaca Kitab Kuning: Studi Kasus Santri Putri Ponpes Tebuireng Jombang.","type":"article-journal","volume":"8"},"uris":["http://www.mendeley.com/documents/?uuid=642891ac-a170-4ca1-8239-26520118d70e"]}],"mendeley":{"formattedCitation":"(Husna, 2025)","plainTextFormattedCitation":"(Husna, 2025)","previouslyFormattedCitation":"(Husna, 2025)"},"properties":{"noteIndex":0},"schema":"https://github.com/citation-style-language/schema/raw/master/csl-citation.json"}</w:instrText>
      </w:r>
      <w:r w:rsidR="002D1971">
        <w:rPr>
          <w:lang w:val="en-US"/>
        </w:rPr>
        <w:fldChar w:fldCharType="separate"/>
      </w:r>
      <w:r w:rsidR="002D1971" w:rsidRPr="002D1971">
        <w:rPr>
          <w:noProof/>
          <w:lang w:val="en-US"/>
        </w:rPr>
        <w:t>(Husna, 2025)</w:t>
      </w:r>
      <w:r w:rsidR="002D1971">
        <w:rPr>
          <w:lang w:val="en-US"/>
        </w:rPr>
        <w:fldChar w:fldCharType="end"/>
      </w:r>
      <w:r>
        <w:t>.</w:t>
      </w:r>
    </w:p>
    <w:p w14:paraId="1CC85B18" w14:textId="77777777" w:rsidR="00D8540B" w:rsidRDefault="00D8540B" w:rsidP="00D8540B">
      <w:pPr>
        <w:ind w:left="0" w:firstLine="709"/>
      </w:pPr>
      <w:r>
        <w:t>Pondok Pesantren At-Taroqqi Karongan Sampang merespons tantangan tersebut melalui penerapan metode Al-Hasri wal Qosri, sebuah pendekatan terstruktur yang memfokuskan penguatan fondasi gramatika Arab sekaligus praktik membaca teks. Dalam implementasinya, materi disajikan bertahap melalui beberapa jilid (dua jilid nahwu, dua jilid sharaf) dan dilengkapi modul praktik baca kitab; penguatan dilakukan melalui pengulangan, hafalan kaidah, dan latihan i‘rab.</w:t>
      </w:r>
    </w:p>
    <w:p w14:paraId="61A54F7D" w14:textId="34A0A5DC" w:rsidR="00191577" w:rsidRDefault="00191577" w:rsidP="00D8540B">
      <w:pPr>
        <w:ind w:left="0" w:firstLine="709"/>
        <w:rPr>
          <w:lang w:val="en-US"/>
        </w:rPr>
      </w:pPr>
      <w:r w:rsidRPr="00191577">
        <w:rPr>
          <w:lang w:val="en-US"/>
        </w:rPr>
        <w:t>Penelitian</w:t>
      </w:r>
      <w:r>
        <w:rPr>
          <w:lang w:val="en-US"/>
        </w:rPr>
        <w:t xml:space="preserve"> </w:t>
      </w:r>
      <w:r>
        <w:rPr>
          <w:lang w:val="en-US"/>
        </w:rPr>
        <w:fldChar w:fldCharType="begin" w:fldLock="1"/>
      </w:r>
      <w:r w:rsidR="00DB18FA">
        <w:rPr>
          <w:lang w:val="en-US"/>
        </w:rPr>
        <w:instrText>ADDIN CSL_CITATION {"citationItems":[{"id":"ITEM-1","itemData":{"DOI":"10.55681/sentri.v4i10.4818","abstract":"This study aims to explore the role of learning the yellow book (Kitab Kuning) in improving students' understanding of Islam at Mudarrisul Abrar Al-Aziziyah. This study employed qualitative methods, collecting data through participant observation, interviews, and documentation. Data analysis was conducted through three stages: data reduction, data presentation, and conclusion drawing, to obtain a comprehensive picture of the process of learning the yellow book and its influence on improving students' religious understanding. The results indicate that learning the yellow book plays a significant role in improving the quality of students' knowledge and understanding of Islam. Through a textual interpretation approach, explanations of the socio-religious context, and interpretive discussions with teachers, students are able to understand Islamic teachings more deeply and apply them to their daily lives. Learning the yellow book also trains students' critical and analytical thinking skills regarding classical and contemporary Islamic values. The implications of this study indicate that learning the yellow book is not only relevant as a traditional religious study but can also be used as a contextual learning model in Islamic educational institutions to strengthen students' religious understanding and practice. Therefore, yellow book learning activities need to be continuously developed with more interactive and integrative methods to contribute to increasing Islamic literacy among students.","author":[{"dropping-particle":"","family":"Anggoro","given":"Sasmitro","non-dropping-particle":"","parse-names":false,"suffix":""},{"dropping-particle":"","family":"Miswar","given":"Miswar","non-dropping-particle":"","parse-names":false,"suffix":""}],"container-title":"SENTRI: Jurnal Riset Ilmiah","id":"ITEM-1","issue":"10","issued":{"date-parts":[["2025"]]},"page":"2598-2610","title":"Pembelajaran Kitab Kuning dalam Meningkatkan Pemahaman Agama Islam Siswa di Mudarrisul Abrar Al-Aziziyah","type":"article-journal","volume":"4"},"uris":["http://www.mendeley.com/documents/?uuid=1d713ec0-7190-4d6a-a611-3702c3ec72b1"]}],"mendeley":{"formattedCitation":"(Anggoro &amp; Miswar, 2025)","plainTextFormattedCitation":"(Anggoro &amp; Miswar, 2025)","previouslyFormattedCitation":"(Anggoro &amp; Miswar, 2025)"},"properties":{"noteIndex":0},"schema":"https://github.com/citation-style-language/schema/raw/master/csl-citation.json"}</w:instrText>
      </w:r>
      <w:r>
        <w:rPr>
          <w:lang w:val="en-US"/>
        </w:rPr>
        <w:fldChar w:fldCharType="separate"/>
      </w:r>
      <w:r w:rsidRPr="00191577">
        <w:rPr>
          <w:noProof/>
          <w:lang w:val="en-US"/>
        </w:rPr>
        <w:t>(Anggoro &amp; Miswar, 2025)</w:t>
      </w:r>
      <w:r>
        <w:rPr>
          <w:lang w:val="en-US"/>
        </w:rPr>
        <w:fldChar w:fldCharType="end"/>
      </w:r>
      <w:r>
        <w:rPr>
          <w:lang w:val="en-US"/>
        </w:rPr>
        <w:t xml:space="preserve"> </w:t>
      </w:r>
      <w:r w:rsidRPr="00191577">
        <w:rPr>
          <w:lang w:val="en-US"/>
        </w:rPr>
        <w:t>mengeksplorasi peran pembelajaran kitab kuning</w:t>
      </w:r>
      <w:r>
        <w:rPr>
          <w:lang w:val="en-US"/>
        </w:rPr>
        <w:t xml:space="preserve"> </w:t>
      </w:r>
      <w:r w:rsidRPr="00191577">
        <w:rPr>
          <w:lang w:val="en-US"/>
        </w:rPr>
        <w:t>dalam meningkatkan pemahaman Islam siswa di Mudarrisul Abrar Al-Aziziyah</w:t>
      </w:r>
      <w:r>
        <w:rPr>
          <w:lang w:val="en-US"/>
        </w:rPr>
        <w:t xml:space="preserve">. Dalam hasil penelitiannya </w:t>
      </w:r>
      <w:r w:rsidRPr="00191577">
        <w:rPr>
          <w:lang w:val="en-US"/>
        </w:rPr>
        <w:t>menunjukkan bahwa pembelajaran kitab kuning berperan signifikan dalam meningkatkan kualitas pengetahuan dan pemahaman siswa tentang Islam. Melalui pendekatan interpretasi tekstual, penjelasan konteks sosial-keagamaan, serta diskusi interpretatif bersama guru, siswa mampu memahami ajaran Islam secara lebih mendalam dan menerapkannya dalam kehidupan sehari-hari. Pembelajaran kitab kuning juga melatih kemampuan berpikir kritis dan analitis siswa terhadap nilai-nilai Islam klasik maupun kontemporer.</w:t>
      </w:r>
      <w:r>
        <w:rPr>
          <w:lang w:val="en-US"/>
        </w:rPr>
        <w:t xml:space="preserve"> Penelitian terdahulu tidak menerapkan metode Al-Hasri wal Qosri sehingga penelitian ini menjadi novelty dari peneltian sebelumnya.</w:t>
      </w:r>
    </w:p>
    <w:p w14:paraId="4D5B5FC4" w14:textId="3D703EE3" w:rsidR="00D8540B" w:rsidRDefault="00191577" w:rsidP="00D8540B">
      <w:pPr>
        <w:ind w:left="0" w:firstLine="709"/>
      </w:pPr>
      <w:r>
        <w:rPr>
          <w:lang w:val="en-US"/>
        </w:rPr>
        <w:t>M</w:t>
      </w:r>
      <w:r w:rsidR="00D8540B">
        <w:t>etode Al-Hasri wal Qosri dipandang memiliki potensi mempercepat dan mengefektifkan pembelajaran kitab kuning, kajian empiris yang memotret implementasi metode ini secara rinci beserta faktor pendukung dan penghambatnya masih terbatas, khususnya pada konteks pesantren salaf.</w:t>
      </w:r>
    </w:p>
    <w:p w14:paraId="64B83536" w14:textId="4575B6F2" w:rsidR="00EB2847" w:rsidRPr="00D8540B" w:rsidRDefault="00D8540B" w:rsidP="00D8540B">
      <w:pPr>
        <w:ind w:left="0" w:firstLine="709"/>
        <w:rPr>
          <w:lang w:val="en-US"/>
        </w:rPr>
      </w:pPr>
      <w:r>
        <w:t>Artikel ini bertujuan: (1) mendeskripsikan tingkat pemahaman santri dalam membaca dan memahami kitab kuning, (2) menganalisis implementasi metode Al-Hasri wal Qosri dalam pembelajaran kitab kuning, dan (3) mengidentifikasi faktor pendukung dan penghambat implementasi metode tersebut. Temuan penelitian diharapkan memberikan kontribusi praktis bagi penguatan pembelajaran kitab kuning di pesantren, serta kontribusi akademik bagi pengembangan strategi pembelajaran berbasis tradisi pesantren.</w:t>
      </w:r>
      <w:r>
        <w:rPr>
          <w:lang w:val="en-US"/>
        </w:rPr>
        <w:t xml:space="preserve"> </w:t>
      </w:r>
    </w:p>
    <w:p w14:paraId="4401F7E5" w14:textId="3D763784" w:rsidR="008F7F7E" w:rsidRPr="008F7F7E" w:rsidRDefault="008F7F7E" w:rsidP="00060C6B">
      <w:pPr>
        <w:ind w:left="0" w:firstLine="0"/>
        <w:rPr>
          <w:bCs/>
          <w:lang w:val="en-US"/>
        </w:rPr>
      </w:pPr>
    </w:p>
    <w:p w14:paraId="6D7AFC39" w14:textId="7EFA77FC" w:rsidR="00A66077" w:rsidRDefault="0080596A" w:rsidP="00FB7089">
      <w:pPr>
        <w:ind w:left="0" w:firstLine="0"/>
        <w:rPr>
          <w:b/>
          <w:lang w:val="en-US"/>
        </w:rPr>
      </w:pPr>
      <w:r>
        <w:rPr>
          <w:b/>
          <w:lang w:val="en-US"/>
        </w:rPr>
        <w:t>M</w:t>
      </w:r>
      <w:r w:rsidR="008F7F7E">
        <w:rPr>
          <w:b/>
          <w:lang w:val="en-US"/>
        </w:rPr>
        <w:t>ETODE PENELITIAN</w:t>
      </w:r>
    </w:p>
    <w:p w14:paraId="6C50CF03" w14:textId="77777777" w:rsidR="00FB7089" w:rsidRPr="00A66077" w:rsidRDefault="00FB7089" w:rsidP="00FB7089">
      <w:pPr>
        <w:ind w:left="0" w:firstLine="0"/>
        <w:rPr>
          <w:b/>
          <w:lang w:val="en-US"/>
        </w:rPr>
      </w:pPr>
    </w:p>
    <w:p w14:paraId="1BDE35F9"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Desain dan Pendekatan</w:t>
      </w:r>
    </w:p>
    <w:p w14:paraId="36C9654E" w14:textId="77777777" w:rsidR="00D8540B" w:rsidRDefault="00D8540B" w:rsidP="00560F57">
      <w:pPr>
        <w:spacing w:after="80"/>
        <w:ind w:left="0" w:firstLine="709"/>
        <w:rPr>
          <w:rFonts w:eastAsia="Times New Roman" w:cs="Arial"/>
          <w:lang w:val="en-US"/>
        </w:rPr>
      </w:pPr>
      <w:r w:rsidRPr="00D8540B">
        <w:rPr>
          <w:rFonts w:eastAsia="Times New Roman" w:cs="Arial"/>
          <w:lang w:val="en-US"/>
        </w:rPr>
        <w:t>Penelitian ini menggunakan pendekatan kualitatif deskriptif dengan desain studi kasus untuk memperoleh pemahaman mendalam mengenai implementasi metode Al-Hasri wal Qosri di konteks pesantren.</w:t>
      </w:r>
    </w:p>
    <w:p w14:paraId="37C115CF" w14:textId="229ED749" w:rsidR="00DB18FA" w:rsidRPr="00D8540B" w:rsidRDefault="00DB18FA" w:rsidP="00560F57">
      <w:pPr>
        <w:spacing w:after="80"/>
        <w:ind w:left="0" w:firstLine="709"/>
        <w:rPr>
          <w:rFonts w:eastAsia="Times New Roman" w:cs="Arial"/>
          <w:lang w:val="en-US"/>
        </w:rPr>
      </w:pPr>
      <w:r>
        <w:rPr>
          <w:rFonts w:eastAsia="Times New Roman" w:cs="Arial"/>
          <w:lang w:val="en-US"/>
        </w:rPr>
        <w:t>P</w:t>
      </w:r>
      <w:r w:rsidRPr="00D8540B">
        <w:rPr>
          <w:rFonts w:eastAsia="Times New Roman" w:cs="Arial"/>
          <w:lang w:val="en-US"/>
        </w:rPr>
        <w:t>endekatan kualitatif deskriptif</w:t>
      </w:r>
      <w:r>
        <w:rPr>
          <w:rFonts w:eastAsia="Times New Roman" w:cs="Arial"/>
          <w:lang w:val="en-US"/>
        </w:rPr>
        <w:t xml:space="preserve"> </w:t>
      </w:r>
      <w:r w:rsidRPr="00DB18FA">
        <w:rPr>
          <w:rFonts w:eastAsia="Times New Roman" w:cs="Arial"/>
          <w:lang w:val="en-US"/>
        </w:rPr>
        <w:t>adalah metode penelitian yang bertujuan menggambarkan dan menjelaskan suatu fenomena secara mendalam berdasarkan data non-angka (misalnya kata-kata, perilaku, dokumen, situasi), apa adanya sesuai konteks di lapangan</w:t>
      </w:r>
      <w:r>
        <w:rPr>
          <w:rFonts w:eastAsia="Times New Roman" w:cs="Arial"/>
          <w:lang w:val="en-US"/>
        </w:rPr>
        <w:t xml:space="preserve"> </w:t>
      </w:r>
      <w:r>
        <w:rPr>
          <w:rFonts w:eastAsia="Times New Roman" w:cs="Arial"/>
          <w:lang w:val="en-US"/>
        </w:rPr>
        <w:fldChar w:fldCharType="begin" w:fldLock="1"/>
      </w:r>
      <w:r w:rsidR="00033FF5">
        <w:rPr>
          <w:rFonts w:eastAsia="Times New Roman" w:cs="Arial"/>
          <w:lang w:val="en-US"/>
        </w:rPr>
        <w:instrText>ADDIN CSL_CITATION {"citationItems":[{"id":"ITEM-1","itemData":{"abstract":"Penelitian pada hakikatnya merupakan sebuah upaya untuk memprediksi, menemukan, atau memverifikasi kebenaran. Agar tujuan tersebut dapat dicapai, setiap penelitian harus menggunakan pendekatan yang tepat, karena pendekatan yang digunakan dalam sebuah penelitian sangat menentukan keseluruhan langkah penelitian tersebut. Sehubungan dengan itu, sejak awal pelaksanaannya pendekatan setiap penelitian sudah harus ditentukan dengan jelas. Penentuan pendekatan yang akan digunakan sangat tergantung pada paradigma yang dianut peneliti. Makalah ini membahas konsep-konsep tentang paradigma penelitian sebagai landasan untuk memahami tiga jenis pendekatan penelitian: kuantitatif, kualitatif, dan metode gabungan (mixed methods approach). Penelitian kuantitatif merupakan pendekatan penelitian yang mewakili paham positivisme, sementara itu penelitian kualitatif merupakan pendekatan penelitian yang mewakili paham naturalistik (fenomenologis). Penelitian dengan pendekatan kuantitatif dan kualitatif oleh sebagian kalangan tidak boleh dicampuradukan, namun pemahaman ini dianggap keliru oleh para peneliti yang melihat bahwa masing-masing pendekatan penelitian mempunyai kelemahan, dan oleh karenanya dianggap perlu untuk melakukan kombinasi, agar masingmasing pendekatan saling melengkapi. Alasan pemilihan kedua pendekatan penelitian tersebut adalah bahwa kedua jenis penelitian tersebut saling memperkuat dan saling melengkapi sehingga akan dicapai hasil penelitian yang tidak hanya obyektif, terstruktur dan terukur namun akan dicapai juga hasil penelitian yang mendalam dan faktual. Kata","author":[{"dropping-particle":"","family":"Muhajirin","given":"","non-dropping-particle":"","parse-names":false,"suffix":""},{"dropping-particle":"","family":"Risnita","given":"","non-dropping-particle":"","parse-names":false,"suffix":""},{"dropping-particle":"","family":"Asrulla","given":"","non-dropping-particle":"","parse-names":false,"suffix":""}],"container-title":"Journal Genta Mulia","id":"ITEM-1","issue":"1","issued":{"date-parts":[["2024"]]},"page":"82-92","title":"Pendekatan Penelitian Kuantitatif Dan Kualitatif Serta Tahapan Penelitian.","type":"article-journal","volume":"15"},"uris":["http://www.mendeley.com/documents/?uuid=1d4861ab-6fcd-40da-9960-35dc2ce23fa1"]}],"mendeley":{"formattedCitation":"(Muhajirin et al., 2024)","plainTextFormattedCitation":"(Muhajirin et al., 2024)","previouslyFormattedCitation":"(Muhajirin et al., 2024)"},"properties":{"noteIndex":0},"schema":"https://github.com/citation-style-language/schema/raw/master/csl-citation.json"}</w:instrText>
      </w:r>
      <w:r>
        <w:rPr>
          <w:rFonts w:eastAsia="Times New Roman" w:cs="Arial"/>
          <w:lang w:val="en-US"/>
        </w:rPr>
        <w:fldChar w:fldCharType="separate"/>
      </w:r>
      <w:r w:rsidRPr="00DB18FA">
        <w:rPr>
          <w:rFonts w:eastAsia="Times New Roman" w:cs="Arial"/>
          <w:noProof/>
          <w:lang w:val="en-US"/>
        </w:rPr>
        <w:t>(Muhajirin et al., 2024)</w:t>
      </w:r>
      <w:r>
        <w:rPr>
          <w:rFonts w:eastAsia="Times New Roman" w:cs="Arial"/>
          <w:lang w:val="en-US"/>
        </w:rPr>
        <w:fldChar w:fldCharType="end"/>
      </w:r>
      <w:r w:rsidRPr="00DB18FA">
        <w:rPr>
          <w:rFonts w:eastAsia="Times New Roman" w:cs="Arial"/>
          <w:lang w:val="en-US"/>
        </w:rPr>
        <w:t>.</w:t>
      </w:r>
    </w:p>
    <w:p w14:paraId="67402A20"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Lokasi dan Informan</w:t>
      </w:r>
    </w:p>
    <w:p w14:paraId="239D0C68" w14:textId="77777777" w:rsidR="00D8540B" w:rsidRPr="00D8540B" w:rsidRDefault="00D8540B" w:rsidP="00560F57">
      <w:pPr>
        <w:spacing w:after="80"/>
        <w:ind w:left="0" w:firstLine="709"/>
        <w:rPr>
          <w:rFonts w:eastAsia="Times New Roman" w:cs="Arial"/>
          <w:lang w:val="en-US"/>
        </w:rPr>
      </w:pPr>
      <w:r w:rsidRPr="00D8540B">
        <w:rPr>
          <w:rFonts w:eastAsia="Times New Roman" w:cs="Arial"/>
          <w:lang w:val="en-US"/>
        </w:rPr>
        <w:t>Penelitian dilaksanakan di Pondok Pesantren At-Taroqqi Karongan, Kabupaten Sampang, Jawa Timur. Informan kunci mencakup pimpinan/pengasuh pesantren, pengelola bidang pendidikan, pengajar metode Al-Hasri wal Qosri, santri peserta program, serta wali santri.</w:t>
      </w:r>
    </w:p>
    <w:p w14:paraId="5AF1B225"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Teknik Pengumpulan Data</w:t>
      </w:r>
    </w:p>
    <w:p w14:paraId="054C1069" w14:textId="77777777" w:rsidR="00D8540B" w:rsidRPr="00D8540B" w:rsidRDefault="00D8540B" w:rsidP="00560F57">
      <w:pPr>
        <w:spacing w:after="40"/>
        <w:ind w:left="0" w:firstLine="709"/>
        <w:jc w:val="left"/>
        <w:rPr>
          <w:rFonts w:eastAsia="Times New Roman" w:cs="Arial"/>
          <w:lang w:val="en-US"/>
        </w:rPr>
      </w:pPr>
      <w:r w:rsidRPr="00D8540B">
        <w:rPr>
          <w:rFonts w:eastAsia="Times New Roman" w:cs="Arial"/>
          <w:lang w:val="en-US"/>
        </w:rPr>
        <w:t>Data dikumpulkan melalui:</w:t>
      </w:r>
    </w:p>
    <w:p w14:paraId="43AB582C" w14:textId="77777777" w:rsidR="00015A81" w:rsidRDefault="00D8540B" w:rsidP="00DB18FA">
      <w:pPr>
        <w:pStyle w:val="ListParagraph"/>
        <w:numPr>
          <w:ilvl w:val="0"/>
          <w:numId w:val="11"/>
        </w:numPr>
        <w:tabs>
          <w:tab w:val="num" w:pos="360"/>
        </w:tabs>
        <w:spacing w:after="20"/>
        <w:ind w:left="426" w:hanging="426"/>
        <w:rPr>
          <w:rFonts w:eastAsia="Times New Roman" w:cs="Arial"/>
          <w:lang w:val="en-US"/>
        </w:rPr>
      </w:pPr>
      <w:r w:rsidRPr="00015A81">
        <w:rPr>
          <w:rFonts w:eastAsia="Times New Roman" w:cs="Arial"/>
          <w:lang w:val="en-US"/>
        </w:rPr>
        <w:t>Observasi partisipan terhadap proses pembelajaran dan aktivitas belajar santri.</w:t>
      </w:r>
    </w:p>
    <w:p w14:paraId="1DC57ED4" w14:textId="04893448" w:rsidR="00DB18FA" w:rsidRDefault="00033FF5" w:rsidP="00033FF5">
      <w:pPr>
        <w:pStyle w:val="ListParagraph"/>
        <w:spacing w:after="20"/>
        <w:ind w:left="426" w:firstLine="283"/>
        <w:rPr>
          <w:rFonts w:eastAsia="Times New Roman" w:cs="Arial"/>
          <w:lang w:val="en-US"/>
        </w:rPr>
      </w:pPr>
      <w:r w:rsidRPr="00033FF5">
        <w:rPr>
          <w:rFonts w:eastAsia="Times New Roman" w:cs="Arial"/>
          <w:lang w:val="en-US"/>
        </w:rPr>
        <w:lastRenderedPageBreak/>
        <w:t>Observasi partisipan adalah teknik pengumpulan data di mana peneliti mengamati langsung suatu kegiatan atau perilaku sambil ikut terlibat (berpartisipasi) dalam aktivitas yang diteliti, agar memahami situasi dari “dalam” konteksnya</w:t>
      </w:r>
      <w:r>
        <w:rPr>
          <w:rFonts w:eastAsia="Times New Roman" w:cs="Arial"/>
          <w:lang w:val="en-US"/>
        </w:rPr>
        <w:t xml:space="preserve"> </w:t>
      </w:r>
      <w:r>
        <w:rPr>
          <w:rFonts w:eastAsia="Times New Roman" w:cs="Arial"/>
          <w:lang w:val="en-US"/>
        </w:rPr>
        <w:fldChar w:fldCharType="begin" w:fldLock="1"/>
      </w:r>
      <w:r>
        <w:rPr>
          <w:rFonts w:eastAsia="Times New Roman" w:cs="Arial"/>
          <w:lang w:val="en-US"/>
        </w:rPr>
        <w:instrText>ADDIN CSL_CITATION {"citationItems":[{"id":"ITEM-1","itemData":{"abstract":"Perbedaan keadaan geografis telah memisahkan masyarakat menjadi kelompok-kelompok yang terdiri dari berbagai suku bangsa. Keberagaman suku bangsa tersebut telah melahirkan perbedaan kebudayaan termasuk di dalamnya bahasa dan variasinya. Faktor status sosial, situasi berbahasa, waktu, budaya, dan individual juga telah menyebabkan munculnya variasi-variasi bahasa. Bahasa dan budaya saling berpengaruh. Dalam penggunaan bahasa dapat diketahui bahwa ada hubunganantara struktur sosial dan cara masyarakat dalam menggunakan bahasa tersebut yang dapat mengarah pada pembentukan perilaku linguistik tersebut","author":[{"dropping-particle":"","family":"Sarita","given":"Ajeng Ayu","non-dropping-particle":"","parse-names":false,"suffix":""},{"dropping-particle":"","family":"Imawati","given":"Endah","non-dropping-particle":"","parse-names":false,"suffix":""}],"container-title":"Prosiding Seminar Akademik Pendidikan Bahasa dan Sastra Indonesia","id":"ITEM-1","issue":"2","issued":{"date-parts":[["2023"]]},"page":"59-63","title":"Peningkatan Keterampilan Memahami Teks Laporan Hasil Observasi Menggunakan Metode Diskusi Siswa Kelas VIII","type":"article-journal","volume":"1"},"uris":["http://www.mendeley.com/documents/?uuid=cbd76dc6-efc8-455e-8c79-a2f4f73b372d"]}],"mendeley":{"formattedCitation":"(Sarita &amp; Imawati, 2023)","plainTextFormattedCitation":"(Sarita &amp; Imawati, 2023)","previouslyFormattedCitation":"(Sarita &amp; Imawati, 2023)"},"properties":{"noteIndex":0},"schema":"https://github.com/citation-style-language/schema/raw/master/csl-citation.json"}</w:instrText>
      </w:r>
      <w:r>
        <w:rPr>
          <w:rFonts w:eastAsia="Times New Roman" w:cs="Arial"/>
          <w:lang w:val="en-US"/>
        </w:rPr>
        <w:fldChar w:fldCharType="separate"/>
      </w:r>
      <w:r w:rsidRPr="00033FF5">
        <w:rPr>
          <w:rFonts w:eastAsia="Times New Roman" w:cs="Arial"/>
          <w:noProof/>
          <w:lang w:val="en-US"/>
        </w:rPr>
        <w:t>(Sarita &amp; Imawati, 2023)</w:t>
      </w:r>
      <w:r>
        <w:rPr>
          <w:rFonts w:eastAsia="Times New Roman" w:cs="Arial"/>
          <w:lang w:val="en-US"/>
        </w:rPr>
        <w:fldChar w:fldCharType="end"/>
      </w:r>
      <w:r w:rsidRPr="00033FF5">
        <w:rPr>
          <w:rFonts w:eastAsia="Times New Roman" w:cs="Arial"/>
          <w:lang w:val="en-US"/>
        </w:rPr>
        <w:t>.</w:t>
      </w:r>
    </w:p>
    <w:p w14:paraId="5C98DEEA" w14:textId="2C488E56" w:rsidR="00033FF5" w:rsidRDefault="00D8540B" w:rsidP="00033FF5">
      <w:pPr>
        <w:pStyle w:val="ListParagraph"/>
        <w:numPr>
          <w:ilvl w:val="0"/>
          <w:numId w:val="11"/>
        </w:numPr>
        <w:tabs>
          <w:tab w:val="num" w:pos="360"/>
        </w:tabs>
        <w:spacing w:after="20"/>
        <w:ind w:left="426" w:hanging="426"/>
        <w:rPr>
          <w:rFonts w:eastAsia="Times New Roman" w:cs="Arial"/>
          <w:lang w:val="en-US"/>
        </w:rPr>
      </w:pPr>
      <w:r w:rsidRPr="00015A81">
        <w:rPr>
          <w:rFonts w:eastAsia="Times New Roman" w:cs="Arial"/>
          <w:lang w:val="en-US"/>
        </w:rPr>
        <w:t>Wawancara mendalam (semi-terstruktur) dengan informan kunci.</w:t>
      </w:r>
    </w:p>
    <w:p w14:paraId="0CDDA2F6" w14:textId="6EA3F002" w:rsidR="00033FF5" w:rsidRPr="00033FF5" w:rsidRDefault="00033FF5" w:rsidP="00033FF5">
      <w:pPr>
        <w:pStyle w:val="ListParagraph"/>
        <w:spacing w:after="20"/>
        <w:ind w:left="426" w:firstLine="283"/>
        <w:rPr>
          <w:rFonts w:eastAsia="Times New Roman" w:cs="Arial"/>
          <w:lang w:val="en-US"/>
        </w:rPr>
      </w:pPr>
      <w:r w:rsidRPr="00033FF5">
        <w:rPr>
          <w:rFonts w:eastAsia="Times New Roman" w:cs="Arial"/>
          <w:lang w:val="en-US"/>
        </w:rPr>
        <w:t>Wawancara semi-terstruktur adalah jenis wawancara yang menggunakan pedoman pertanyaan (daftar topik/pertanyaan inti) sebagai acuan, tetapi peneliti tetap fleksibel untuk mengembangkan pertanyaan lanjutan sesuai jawaban responden</w:t>
      </w:r>
      <w:r>
        <w:rPr>
          <w:rFonts w:eastAsia="Times New Roman" w:cs="Arial"/>
          <w:lang w:val="en-US"/>
        </w:rPr>
        <w:t xml:space="preserve"> </w:t>
      </w:r>
      <w:r>
        <w:rPr>
          <w:rFonts w:eastAsia="Times New Roman" w:cs="Arial"/>
          <w:lang w:val="en-US"/>
        </w:rPr>
        <w:fldChar w:fldCharType="begin" w:fldLock="1"/>
      </w:r>
      <w:r w:rsidR="009016D7">
        <w:rPr>
          <w:rFonts w:eastAsia="Times New Roman" w:cs="Arial"/>
          <w:lang w:val="en-US"/>
        </w:rPr>
        <w:instrText>ADDIN CSL_CITATION {"citationItems":[{"id":"ITEM-1","itemData":{"ISSN":"2354-9203","abstract":"In qualitative research, there are various techniques for collecting data, but interviews are among the most commonly used methods. This article discusses interviews as a data collection method, including the different types of interviews, forms of questions, duration, and procedures involved. The purpose of this article is to provide readers with an understanding of interview techniques, enabling them to select the appropriate type of interview for their research methodology and conduct it effectively.","author":[{"dropping-particle":"","family":"Fadila","given":"Farah","non-dropping-particle":"","parse-names":false,"suffix":""},{"dropping-particle":"","family":"Safriani","given":"","non-dropping-particle":"","parse-names":false,"suffix":""},{"dropping-particle":"","family":"Eliana","given":"","non-dropping-particle":"","parse-names":false,"suffix":""},{"dropping-particle":"","family":"Khaddafi","given":"Muammar","non-dropping-particle":"","parse-names":false,"suffix":""}],"container-title":"Jurnal Intelek Insan Cendikia","id":"ITEM-1","issue":"7","issued":{"date-parts":[["2025"]]},"page":"13446-13449","title":"PENGUMPULAN DATA DALAM PENELITIAN KUALITATIF: WAWANCARA","type":"article-journal","volume":"2"},"uris":["http://www.mendeley.com/documents/?uuid=1f136444-0820-4f65-a543-c997d3f3a89e"]}],"mendeley":{"formattedCitation":"(Fadila et al., 2025)","plainTextFormattedCitation":"(Fadila et al., 2025)","previouslyFormattedCitation":"(Fadila et al., 2025)"},"properties":{"noteIndex":0},"schema":"https://github.com/citation-style-language/schema/raw/master/csl-citation.json"}</w:instrText>
      </w:r>
      <w:r>
        <w:rPr>
          <w:rFonts w:eastAsia="Times New Roman" w:cs="Arial"/>
          <w:lang w:val="en-US"/>
        </w:rPr>
        <w:fldChar w:fldCharType="separate"/>
      </w:r>
      <w:r w:rsidRPr="00033FF5">
        <w:rPr>
          <w:rFonts w:eastAsia="Times New Roman" w:cs="Arial"/>
          <w:noProof/>
          <w:lang w:val="en-US"/>
        </w:rPr>
        <w:t>(Fadila et al., 2025)</w:t>
      </w:r>
      <w:r>
        <w:rPr>
          <w:rFonts w:eastAsia="Times New Roman" w:cs="Arial"/>
          <w:lang w:val="en-US"/>
        </w:rPr>
        <w:fldChar w:fldCharType="end"/>
      </w:r>
      <w:r w:rsidRPr="00033FF5">
        <w:rPr>
          <w:rFonts w:eastAsia="Times New Roman" w:cs="Arial"/>
          <w:lang w:val="en-US"/>
        </w:rPr>
        <w:t>.</w:t>
      </w:r>
    </w:p>
    <w:p w14:paraId="066A7B0D" w14:textId="51B1C5D1" w:rsidR="00D8540B" w:rsidRDefault="00D8540B" w:rsidP="00DB18FA">
      <w:pPr>
        <w:pStyle w:val="ListParagraph"/>
        <w:numPr>
          <w:ilvl w:val="0"/>
          <w:numId w:val="11"/>
        </w:numPr>
        <w:tabs>
          <w:tab w:val="num" w:pos="360"/>
        </w:tabs>
        <w:spacing w:after="20"/>
        <w:ind w:left="426" w:hanging="426"/>
        <w:rPr>
          <w:rFonts w:eastAsia="Times New Roman" w:cs="Arial"/>
          <w:lang w:val="en-US"/>
        </w:rPr>
      </w:pPr>
      <w:r w:rsidRPr="00015A81">
        <w:rPr>
          <w:rFonts w:eastAsia="Times New Roman" w:cs="Arial"/>
          <w:lang w:val="en-US"/>
        </w:rPr>
        <w:t>Studi dokumentasi (jadwal, perangkat pembelajaran, arsip, dan dokumentasi kegiatan).</w:t>
      </w:r>
    </w:p>
    <w:p w14:paraId="6DCF5B4B" w14:textId="53C0099B" w:rsidR="009016D7" w:rsidRDefault="009016D7" w:rsidP="009016D7">
      <w:pPr>
        <w:pStyle w:val="ListParagraph"/>
        <w:spacing w:after="20"/>
        <w:ind w:left="426" w:firstLine="283"/>
        <w:rPr>
          <w:rFonts w:eastAsia="Times New Roman" w:cs="Arial"/>
          <w:lang w:val="en-US"/>
        </w:rPr>
      </w:pPr>
      <w:r w:rsidRPr="009016D7">
        <w:rPr>
          <w:rFonts w:eastAsia="Times New Roman" w:cs="Arial"/>
          <w:lang w:val="en-US"/>
        </w:rPr>
        <w:t>Studi dokumentasi adalah teknik pengumpulan data dalam penelitian dengan cara mengumpulkan, menelaah, dan menganalisis dokumen yang relevan untuk mendukung atau memperkuat data dari observasi dan wawancara</w:t>
      </w:r>
      <w:r>
        <w:rPr>
          <w:rFonts w:eastAsia="Times New Roman" w:cs="Arial"/>
          <w:lang w:val="en-US"/>
        </w:rPr>
        <w:t xml:space="preserve"> </w:t>
      </w:r>
      <w:r>
        <w:rPr>
          <w:rFonts w:eastAsia="Times New Roman" w:cs="Arial"/>
          <w:lang w:val="en-US"/>
        </w:rPr>
        <w:fldChar w:fldCharType="begin" w:fldLock="1"/>
      </w:r>
      <w:r w:rsidR="009E5227">
        <w:rPr>
          <w:rFonts w:eastAsia="Times New Roman" w:cs="Arial"/>
          <w:lang w:val="en-US"/>
        </w:rPr>
        <w:instrText>ADDIN CSL_CITATION {"citationItems":[{"id":"ITEM-1","itemData":{"ISSN":"2502-2997","abstract":"Artikel ini mengkaji tradisi keilmuan pesantren di Sumatera Barat melalui integrasi metode sorogan dan bandongan dalam pembelajaran kitab kuning. Penelitian ini bertujuan untuk menelusuri bagaimana dua metode klasik tersebut diimplementasikan secara terpadu dalam menjaga kesinambungan tradisi intelektual Islam serta memperkuat penguasaan agama dan bahasa Arab di lingkungan pesantren. Fokus kajian diarahkan pada tiga aspek utama, yaitu: (1) pola integrasi metode sorogan dan bandongan dalam kegiatan belajar mengajar, (2) kontribusi metode terhadap pencapaian tujuan pembelajaran berbasis tafaqquh fi al-diin, dan (3) relevansi metode dengan tujuan dan materi ajar kitab kuning yang bersifat turats dan kontekstual. Pendekatan penelitian yang digunakan adalah kualitatif dengan desain studi multi- kasus yang melibatkan beberapa pesantren salafiyah di Sumatera Barat. Data diperoleh melalui observasi partisipatif, wawancara mendalam, dan dokumentasi, serta divalidasi dengan teknik triangulasi sumber dan metode. Hasil penelitian menunjukkan bahwa integrasi metode sorogan dan bandongan merupakan strategi utama dalam mempertahankan tradisi keilmuan pesantren yang adaptif terhadap kebutuhan zaman. Metode ini tidak hanya mendukung transmisi keilmuan secara efektif, tetapi juga menjadi fondasi dalam pengembangan kurikulum kitab kuning yang kontekstual, berbasis pada penguatan kompetensi religius dan kebahasaan santri. Temuan ini memberikan kontribusi penting bagi revitalisasi pembelajaran kitab kuning dan pengembangan metodologi pendidikan Islam tradisional yang responsif terhadap tantangan kontemporer","author":[{"dropping-particle":"","family":"Salam","given":"Muhammad Yusuf","non-dropping-particle":"","parse-names":false,"suffix":""},{"dropping-particle":"","family":"Suharmon","given":"Suharmon","non-dropping-particle":"","parse-names":false,"suffix":""},{"dropping-particle":"","family":"Shidqi","given":"Muhammad Husni","non-dropping-particle":"","parse-names":false,"suffix":""},{"dropping-particle":"","family":"Yozi","given":"Satri","non-dropping-particle":"","parse-names":false,"suffix":""},{"dropping-particle":"","family":"Jistito","given":"Dedi","non-dropping-particle":"","parse-names":false,"suffix":""}],"container-title":"At-Tasyrih: jurnal pendidikan dan hukum Islam","id":"ITEM-1","issue":"2","issued":{"date-parts":[["2025"]]},"page":"27-46","title":"Tradisi Keilmuan Pesantren Melalui Integrasi Sorogan dan Bandongan dalam Pembelajaran Kitab Kuning di Sumatera Barat","type":"article-journal","volume":"11"},"uris":["http://www.mendeley.com/documents/?uuid=d067b273-9642-4f0d-b946-4770ee34bd9b"]}],"mendeley":{"formattedCitation":"(Salam et al., 2025)","plainTextFormattedCitation":"(Salam et al., 2025)","previouslyFormattedCitation":"(Salam et al., 2025)"},"properties":{"noteIndex":0},"schema":"https://github.com/citation-style-language/schema/raw/master/csl-citation.json"}</w:instrText>
      </w:r>
      <w:r>
        <w:rPr>
          <w:rFonts w:eastAsia="Times New Roman" w:cs="Arial"/>
          <w:lang w:val="en-US"/>
        </w:rPr>
        <w:fldChar w:fldCharType="separate"/>
      </w:r>
      <w:r w:rsidRPr="009016D7">
        <w:rPr>
          <w:rFonts w:eastAsia="Times New Roman" w:cs="Arial"/>
          <w:noProof/>
          <w:lang w:val="en-US"/>
        </w:rPr>
        <w:t>(Salam et al., 2025)</w:t>
      </w:r>
      <w:r>
        <w:rPr>
          <w:rFonts w:eastAsia="Times New Roman" w:cs="Arial"/>
          <w:lang w:val="en-US"/>
        </w:rPr>
        <w:fldChar w:fldCharType="end"/>
      </w:r>
      <w:r w:rsidRPr="009016D7">
        <w:rPr>
          <w:rFonts w:eastAsia="Times New Roman" w:cs="Arial"/>
          <w:lang w:val="en-US"/>
        </w:rPr>
        <w:t>.</w:t>
      </w:r>
    </w:p>
    <w:p w14:paraId="3985537C" w14:textId="77777777" w:rsidR="00033FF5" w:rsidRPr="00015A81" w:rsidRDefault="00033FF5" w:rsidP="00033FF5">
      <w:pPr>
        <w:pStyle w:val="ListParagraph"/>
        <w:spacing w:after="20"/>
        <w:ind w:left="426" w:firstLine="0"/>
        <w:rPr>
          <w:rFonts w:eastAsia="Times New Roman" w:cs="Arial"/>
          <w:lang w:val="en-US"/>
        </w:rPr>
      </w:pPr>
    </w:p>
    <w:p w14:paraId="3DFF5F04"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Teknik Analisis Data</w:t>
      </w:r>
    </w:p>
    <w:p w14:paraId="08ECE643" w14:textId="77777777" w:rsidR="00D8540B" w:rsidRPr="00D8540B" w:rsidRDefault="00D8540B" w:rsidP="00560F57">
      <w:pPr>
        <w:spacing w:after="80"/>
        <w:ind w:left="0" w:firstLine="709"/>
        <w:rPr>
          <w:rFonts w:eastAsia="Times New Roman" w:cs="Arial"/>
          <w:lang w:val="en-US"/>
        </w:rPr>
      </w:pPr>
      <w:r w:rsidRPr="00D8540B">
        <w:rPr>
          <w:rFonts w:eastAsia="Times New Roman" w:cs="Arial"/>
          <w:lang w:val="en-US"/>
        </w:rPr>
        <w:t>Analisis data dilakukan secara interaktif melalui tahapan reduksi data, penyajian data, serta penarikan/verifikasi kesimpulan. Proses analisis berjalan sepanjang pengumpulan data untuk memastikan temuan terbentuk secara konsisten dan reflektif.</w:t>
      </w:r>
    </w:p>
    <w:p w14:paraId="034A4899" w14:textId="77777777" w:rsidR="00D8540B" w:rsidRPr="00D8540B" w:rsidRDefault="00D8540B" w:rsidP="00560F57">
      <w:pPr>
        <w:spacing w:before="120" w:after="40"/>
        <w:ind w:left="0" w:firstLine="0"/>
        <w:jc w:val="left"/>
        <w:rPr>
          <w:rFonts w:eastAsia="Times New Roman" w:cs="Arial"/>
          <w:lang w:val="en-US"/>
        </w:rPr>
      </w:pPr>
      <w:r w:rsidRPr="00D8540B">
        <w:rPr>
          <w:rFonts w:eastAsia="Times New Roman" w:cs="Arial"/>
          <w:b/>
          <w:lang w:val="en-US"/>
        </w:rPr>
        <w:t>Keabsahan Data</w:t>
      </w:r>
    </w:p>
    <w:p w14:paraId="55F367E8" w14:textId="77777777" w:rsidR="00FB7089" w:rsidRDefault="00D8540B" w:rsidP="00560F57">
      <w:pPr>
        <w:ind w:left="0" w:firstLine="709"/>
        <w:rPr>
          <w:i/>
        </w:rPr>
      </w:pPr>
      <w:r w:rsidRPr="00A27A0C">
        <w:rPr>
          <w:rFonts w:eastAsia="Times New Roman" w:cs="Arial"/>
          <w:lang w:val="en-US"/>
        </w:rPr>
        <w:t>Keabsahan data dijaga melalui triangulasi sumber, triangulasi metode, dan triangulasi teori untuk meningkatkan kredibilitas temuan.</w:t>
      </w:r>
    </w:p>
    <w:p w14:paraId="157FD5DC" w14:textId="77777777" w:rsidR="00FB7089" w:rsidRPr="00FB7089" w:rsidRDefault="00FB7089" w:rsidP="00FB7089">
      <w:pPr>
        <w:ind w:left="0" w:firstLine="0"/>
        <w:rPr>
          <w:iCs/>
          <w:lang w:val="en-US"/>
        </w:rPr>
      </w:pPr>
    </w:p>
    <w:p w14:paraId="020B13E1" w14:textId="75E60CA4" w:rsidR="00B27BD9" w:rsidRPr="00FB7089" w:rsidRDefault="008F7F7E" w:rsidP="00560F57">
      <w:pPr>
        <w:ind w:left="0" w:firstLine="0"/>
        <w:rPr>
          <w:i/>
        </w:rPr>
      </w:pPr>
      <w:r>
        <w:rPr>
          <w:b/>
          <w:lang w:val="en-US"/>
        </w:rPr>
        <w:t>HASIL PENELITIAN DAN PEMBAHASAN</w:t>
      </w:r>
    </w:p>
    <w:p w14:paraId="68ABBE59" w14:textId="77777777" w:rsidR="00A66077" w:rsidRPr="0080596A" w:rsidRDefault="00A66077" w:rsidP="00560F57">
      <w:pPr>
        <w:ind w:left="0" w:firstLine="0"/>
        <w:rPr>
          <w:b/>
          <w:lang w:val="en-US"/>
        </w:rPr>
      </w:pPr>
    </w:p>
    <w:p w14:paraId="281DCE4E" w14:textId="77777777" w:rsidR="00A27A0C" w:rsidRPr="00A66077" w:rsidRDefault="00A27A0C" w:rsidP="00560F57">
      <w:pPr>
        <w:spacing w:after="80"/>
        <w:ind w:left="0" w:firstLine="0"/>
        <w:rPr>
          <w:b/>
          <w:bCs/>
          <w:lang w:val="en-US"/>
        </w:rPr>
      </w:pPr>
      <w:r w:rsidRPr="00A66077">
        <w:rPr>
          <w:b/>
          <w:bCs/>
          <w:lang w:val="en-US"/>
        </w:rPr>
        <w:t>Hasil Penelitian</w:t>
      </w:r>
    </w:p>
    <w:p w14:paraId="7C47A311" w14:textId="33F29251" w:rsidR="00A27A0C" w:rsidRPr="00A66077" w:rsidRDefault="00A27A0C" w:rsidP="00560F57">
      <w:pPr>
        <w:pStyle w:val="ListParagraph"/>
        <w:numPr>
          <w:ilvl w:val="0"/>
          <w:numId w:val="12"/>
        </w:numPr>
        <w:spacing w:after="80"/>
        <w:ind w:left="284" w:hanging="284"/>
        <w:rPr>
          <w:b/>
          <w:bCs/>
          <w:lang w:val="en-US"/>
        </w:rPr>
      </w:pPr>
      <w:r w:rsidRPr="00A66077">
        <w:rPr>
          <w:b/>
          <w:bCs/>
          <w:lang w:val="en-US"/>
        </w:rPr>
        <w:t>Tingkat Pemahaman Santri terhadap Kitab Kuning</w:t>
      </w:r>
    </w:p>
    <w:p w14:paraId="6347B13E" w14:textId="77777777" w:rsidR="00A27A0C" w:rsidRPr="00A27A0C" w:rsidRDefault="00A27A0C" w:rsidP="00560F57">
      <w:pPr>
        <w:ind w:left="0" w:firstLine="709"/>
        <w:rPr>
          <w:lang w:val="en-US"/>
        </w:rPr>
      </w:pPr>
      <w:r w:rsidRPr="00A27A0C">
        <w:rPr>
          <w:lang w:val="en-US"/>
        </w:rPr>
        <w:t>Hasil penelitian menunjukkan bahwa pemahaman santri terhadap kitab kuning berkembang secara bertahap. Pada tahap awal, sebagian santri masih mengalami kesulitan membaca teks Arab tanpa harakat dan kerap keliru dalam menentukan i‘rab. Seiring proses pembelajaran, santri tingkat menengah mulai mampu mengenali unsur kalimat (isim, fi‘il, dan huruf) serta memahami fungsi gramatikalnya. Pada tingkat lanjut, santri cenderung menunjukkan kemampuan analitis yang lebih baik, termasuk menghubungkan isi kitab dengan konteks hukum fikih kontemporer.</w:t>
      </w:r>
    </w:p>
    <w:p w14:paraId="50679148" w14:textId="77777777" w:rsidR="00A27A0C" w:rsidRPr="00A27A0C" w:rsidRDefault="00A27A0C" w:rsidP="00560F57">
      <w:pPr>
        <w:ind w:left="0" w:firstLine="709"/>
        <w:rPr>
          <w:lang w:val="en-US"/>
        </w:rPr>
      </w:pPr>
      <w:r w:rsidRPr="00A27A0C">
        <w:rPr>
          <w:lang w:val="en-US"/>
        </w:rPr>
        <w:t>Dalam proses penguatan pemahaman, santri memanfaatkan berbagai strategi belajar, antara lain:</w:t>
      </w:r>
    </w:p>
    <w:p w14:paraId="17419CF9" w14:textId="77777777" w:rsidR="00A27A0C" w:rsidRDefault="00A27A0C" w:rsidP="00560F57">
      <w:pPr>
        <w:pStyle w:val="ListParagraph"/>
        <w:numPr>
          <w:ilvl w:val="0"/>
          <w:numId w:val="7"/>
        </w:numPr>
        <w:ind w:left="284" w:hanging="284"/>
        <w:rPr>
          <w:lang w:val="en-US"/>
        </w:rPr>
      </w:pPr>
      <w:r w:rsidRPr="00A27A0C">
        <w:rPr>
          <w:lang w:val="en-US"/>
        </w:rPr>
        <w:t>teknik matan-syarah (membaca teks inti lalu merujuk kitab syarah),</w:t>
      </w:r>
    </w:p>
    <w:p w14:paraId="2BB40D35" w14:textId="77777777" w:rsidR="00A27A0C" w:rsidRDefault="00A27A0C" w:rsidP="00560F57">
      <w:pPr>
        <w:pStyle w:val="ListParagraph"/>
        <w:numPr>
          <w:ilvl w:val="0"/>
          <w:numId w:val="7"/>
        </w:numPr>
        <w:ind w:left="284" w:hanging="284"/>
        <w:rPr>
          <w:lang w:val="en-US"/>
        </w:rPr>
      </w:pPr>
      <w:r w:rsidRPr="00A27A0C">
        <w:rPr>
          <w:lang w:val="en-US"/>
        </w:rPr>
        <w:t>penulisan makna gandul untuk membantu pemetaan fungsi kata,</w:t>
      </w:r>
    </w:p>
    <w:p w14:paraId="671D5D41" w14:textId="77777777" w:rsidR="00A27A0C" w:rsidRDefault="00A27A0C" w:rsidP="00560F57">
      <w:pPr>
        <w:pStyle w:val="ListParagraph"/>
        <w:numPr>
          <w:ilvl w:val="0"/>
          <w:numId w:val="7"/>
        </w:numPr>
        <w:ind w:left="284" w:hanging="284"/>
        <w:rPr>
          <w:lang w:val="en-US"/>
        </w:rPr>
      </w:pPr>
      <w:r w:rsidRPr="00A27A0C">
        <w:rPr>
          <w:lang w:val="en-US"/>
        </w:rPr>
        <w:t>diskusi halaqah/bahtsul masail, dan</w:t>
      </w:r>
    </w:p>
    <w:p w14:paraId="717BA598" w14:textId="40D5DA1D" w:rsidR="00A27A0C" w:rsidRDefault="00A27A0C" w:rsidP="00560F57">
      <w:pPr>
        <w:pStyle w:val="ListParagraph"/>
        <w:numPr>
          <w:ilvl w:val="0"/>
          <w:numId w:val="7"/>
        </w:numPr>
        <w:ind w:left="284" w:hanging="284"/>
        <w:rPr>
          <w:lang w:val="en-US"/>
        </w:rPr>
      </w:pPr>
      <w:r w:rsidRPr="00A27A0C">
        <w:rPr>
          <w:lang w:val="en-US"/>
        </w:rPr>
        <w:t>penguatan hafalan kaidah ilmu alat.</w:t>
      </w:r>
    </w:p>
    <w:p w14:paraId="68C18A3F" w14:textId="09451206" w:rsidR="00A27A0C" w:rsidRPr="00560F57" w:rsidRDefault="00A27A0C" w:rsidP="00560F57">
      <w:pPr>
        <w:pStyle w:val="ListParagraph"/>
        <w:numPr>
          <w:ilvl w:val="0"/>
          <w:numId w:val="12"/>
        </w:numPr>
        <w:ind w:left="284" w:hanging="284"/>
        <w:rPr>
          <w:b/>
          <w:bCs/>
          <w:lang w:val="en-US"/>
        </w:rPr>
      </w:pPr>
      <w:r w:rsidRPr="00560F57">
        <w:rPr>
          <w:b/>
          <w:bCs/>
          <w:lang w:val="en-US"/>
        </w:rPr>
        <w:t>Implementasi Metode Al-Hasri wal Qosri</w:t>
      </w:r>
    </w:p>
    <w:p w14:paraId="63E177AA" w14:textId="77777777" w:rsidR="00A27A0C" w:rsidRPr="00A27A0C" w:rsidRDefault="00A27A0C" w:rsidP="00560F57">
      <w:pPr>
        <w:ind w:left="0" w:firstLine="709"/>
        <w:rPr>
          <w:lang w:val="en-US"/>
        </w:rPr>
      </w:pPr>
      <w:r w:rsidRPr="00A27A0C">
        <w:rPr>
          <w:lang w:val="en-US"/>
        </w:rPr>
        <w:t>Metode Al-Hasri wal Qosri diterapkan sebagai program pembelajaran yang menekankan keterurutan materi, penguatan fondasi nahwu-sharaf, serta praktik membaca kitab. Pembelajaran dilaksanakan secara intensif pada waktu-waktu yang ditetapkan pesantren. Dalam praktik lapangan, sesi pagi (sekitar pukul 07.30–10.00 WIB) menjadi waktu utama pembelajaran, disertai pengulangan pada sesi lain sesuai jadwal pesantren.</w:t>
      </w:r>
    </w:p>
    <w:p w14:paraId="4CC27D6F" w14:textId="77777777" w:rsidR="00A27A0C" w:rsidRDefault="00A27A0C" w:rsidP="00560F57">
      <w:pPr>
        <w:ind w:left="0" w:firstLine="709"/>
        <w:rPr>
          <w:lang w:val="en-US"/>
        </w:rPr>
      </w:pPr>
      <w:r w:rsidRPr="00A27A0C">
        <w:rPr>
          <w:lang w:val="en-US"/>
        </w:rPr>
        <w:t>Implementasi metode berlangsung melalui tiga tahap, yaitu:</w:t>
      </w:r>
    </w:p>
    <w:p w14:paraId="3B81B349" w14:textId="77777777" w:rsidR="00A27A0C" w:rsidRDefault="00A27A0C" w:rsidP="000E493D">
      <w:pPr>
        <w:pStyle w:val="ListParagraph"/>
        <w:numPr>
          <w:ilvl w:val="0"/>
          <w:numId w:val="4"/>
        </w:numPr>
        <w:ind w:left="284" w:hanging="284"/>
        <w:rPr>
          <w:lang w:val="en-US"/>
        </w:rPr>
      </w:pPr>
      <w:r w:rsidRPr="00A27A0C">
        <w:rPr>
          <w:lang w:val="en-US"/>
        </w:rPr>
        <w:t>Tahap persiapan, meliputi pembagian kelas sesuai kemampuan, penjelasan tujuan, penyiapan perangkat belajar, serta pembiasaan hafalan kaidah.</w:t>
      </w:r>
    </w:p>
    <w:p w14:paraId="38424DE3" w14:textId="77777777" w:rsidR="00A27A0C" w:rsidRDefault="00A27A0C" w:rsidP="000E493D">
      <w:pPr>
        <w:pStyle w:val="ListParagraph"/>
        <w:numPr>
          <w:ilvl w:val="0"/>
          <w:numId w:val="4"/>
        </w:numPr>
        <w:ind w:left="284" w:hanging="284"/>
        <w:rPr>
          <w:lang w:val="en-US"/>
        </w:rPr>
      </w:pPr>
      <w:r w:rsidRPr="00A27A0C">
        <w:rPr>
          <w:lang w:val="en-US"/>
        </w:rPr>
        <w:lastRenderedPageBreak/>
        <w:t>Tahap pelaksanaan, meliputi penjelasan kaidah oleh ustadz, pengulangan, hafalan, latihan i‘rab, tanya-jawab, serta praktik membaca teks secara bertahap.</w:t>
      </w:r>
    </w:p>
    <w:p w14:paraId="677F6B7A" w14:textId="77777777" w:rsidR="00A27A0C" w:rsidRDefault="00A27A0C" w:rsidP="000E493D">
      <w:pPr>
        <w:pStyle w:val="ListParagraph"/>
        <w:numPr>
          <w:ilvl w:val="0"/>
          <w:numId w:val="4"/>
        </w:numPr>
        <w:ind w:left="284" w:hanging="284"/>
        <w:rPr>
          <w:lang w:val="en-US"/>
        </w:rPr>
      </w:pPr>
      <w:r w:rsidRPr="00A27A0C">
        <w:rPr>
          <w:lang w:val="en-US"/>
        </w:rPr>
        <w:t>Tahap evaluasi, meliputi tes tulis dan lisan (tafahhum), evaluasi harian, ujian bulanan, dan ujian semester untuk memantau perkembangan santri secara berkelanjutan.</w:t>
      </w:r>
    </w:p>
    <w:p w14:paraId="4BA45D8A" w14:textId="57C75451" w:rsidR="00A27A0C" w:rsidRPr="000E493D" w:rsidRDefault="00A27A0C" w:rsidP="000E493D">
      <w:pPr>
        <w:pStyle w:val="ListParagraph"/>
        <w:numPr>
          <w:ilvl w:val="0"/>
          <w:numId w:val="12"/>
        </w:numPr>
        <w:ind w:left="284" w:hanging="284"/>
        <w:rPr>
          <w:b/>
          <w:bCs/>
          <w:lang w:val="en-US"/>
        </w:rPr>
      </w:pPr>
      <w:r w:rsidRPr="000E493D">
        <w:rPr>
          <w:b/>
          <w:bCs/>
          <w:lang w:val="en-US"/>
        </w:rPr>
        <w:t>Faktor Pendukung dan Penghambat Implementasi</w:t>
      </w:r>
    </w:p>
    <w:p w14:paraId="7BA55CF5" w14:textId="47F25A4A" w:rsidR="00A27A0C" w:rsidRPr="00A27A0C" w:rsidRDefault="00A27A0C" w:rsidP="000E493D">
      <w:pPr>
        <w:pStyle w:val="ListParagraph"/>
        <w:numPr>
          <w:ilvl w:val="0"/>
          <w:numId w:val="5"/>
        </w:numPr>
        <w:ind w:left="284" w:hanging="284"/>
        <w:rPr>
          <w:lang w:val="en-US"/>
        </w:rPr>
      </w:pPr>
      <w:r w:rsidRPr="00A27A0C">
        <w:rPr>
          <w:lang w:val="en-US"/>
        </w:rPr>
        <w:t>Faktor Pendukung</w:t>
      </w:r>
    </w:p>
    <w:p w14:paraId="11EC1D71" w14:textId="77777777" w:rsidR="00A27A0C" w:rsidRPr="00A27A0C" w:rsidRDefault="00A27A0C" w:rsidP="00560F57">
      <w:pPr>
        <w:ind w:left="0" w:firstLine="709"/>
        <w:rPr>
          <w:lang w:val="en-US"/>
        </w:rPr>
      </w:pPr>
      <w:r w:rsidRPr="00A27A0C">
        <w:rPr>
          <w:lang w:val="en-US"/>
        </w:rPr>
        <w:t>Faktor pendukung utama yang teridentifikasi meliputi:</w:t>
      </w:r>
    </w:p>
    <w:p w14:paraId="0F73A892" w14:textId="77777777" w:rsidR="00A27A0C" w:rsidRDefault="00A27A0C" w:rsidP="000E493D">
      <w:pPr>
        <w:pStyle w:val="ListParagraph"/>
        <w:numPr>
          <w:ilvl w:val="0"/>
          <w:numId w:val="6"/>
        </w:numPr>
        <w:ind w:left="284" w:hanging="284"/>
        <w:rPr>
          <w:lang w:val="en-US"/>
        </w:rPr>
      </w:pPr>
      <w:r w:rsidRPr="00A27A0C">
        <w:rPr>
          <w:lang w:val="en-US"/>
        </w:rPr>
        <w:t>Kejelasan struktur pengajaran dan pembinaan bertahap di pesantren.</w:t>
      </w:r>
    </w:p>
    <w:p w14:paraId="3A2D3569" w14:textId="77777777" w:rsidR="00A27A0C" w:rsidRDefault="00A27A0C" w:rsidP="000E493D">
      <w:pPr>
        <w:pStyle w:val="ListParagraph"/>
        <w:numPr>
          <w:ilvl w:val="0"/>
          <w:numId w:val="6"/>
        </w:numPr>
        <w:ind w:left="284" w:hanging="284"/>
        <w:rPr>
          <w:lang w:val="en-US"/>
        </w:rPr>
      </w:pPr>
      <w:r w:rsidRPr="00A27A0C">
        <w:rPr>
          <w:lang w:val="en-US"/>
        </w:rPr>
        <w:t>Komitmen dan kompetensi pengajar yang menguasai materi serta mampu mengelola kelas.</w:t>
      </w:r>
    </w:p>
    <w:p w14:paraId="0A9307CF" w14:textId="39A997B1" w:rsidR="00A27A0C" w:rsidRPr="00A27A0C" w:rsidRDefault="00A27A0C" w:rsidP="000E493D">
      <w:pPr>
        <w:pStyle w:val="ListParagraph"/>
        <w:numPr>
          <w:ilvl w:val="0"/>
          <w:numId w:val="6"/>
        </w:numPr>
        <w:ind w:left="284" w:hanging="284"/>
        <w:rPr>
          <w:lang w:val="en-US"/>
        </w:rPr>
      </w:pPr>
      <w:r w:rsidRPr="00A27A0C">
        <w:rPr>
          <w:lang w:val="en-US"/>
        </w:rPr>
        <w:t>Lingkungan pesantren yang kondusif bagi budaya ilmiah (mutola‘ah, halaqah, serta kebiasaan mengulang pelajaran di asrama).</w:t>
      </w:r>
    </w:p>
    <w:p w14:paraId="459F38F6" w14:textId="61023855" w:rsidR="00A27A0C" w:rsidRPr="00A66077" w:rsidRDefault="00A27A0C" w:rsidP="000E493D">
      <w:pPr>
        <w:pStyle w:val="ListParagraph"/>
        <w:numPr>
          <w:ilvl w:val="0"/>
          <w:numId w:val="5"/>
        </w:numPr>
        <w:ind w:left="284" w:hanging="284"/>
        <w:rPr>
          <w:lang w:val="en-US"/>
        </w:rPr>
      </w:pPr>
      <w:r w:rsidRPr="00A66077">
        <w:rPr>
          <w:lang w:val="en-US"/>
        </w:rPr>
        <w:t>Faktor Penghambat</w:t>
      </w:r>
    </w:p>
    <w:p w14:paraId="3857B02B" w14:textId="77777777" w:rsidR="00A66077" w:rsidRDefault="00A27A0C" w:rsidP="00560F57">
      <w:pPr>
        <w:ind w:left="0" w:firstLine="709"/>
        <w:rPr>
          <w:lang w:val="en-US"/>
        </w:rPr>
      </w:pPr>
      <w:r w:rsidRPr="00A27A0C">
        <w:rPr>
          <w:lang w:val="en-US"/>
        </w:rPr>
        <w:t>Faktor penghambat yang muncul meliputi:</w:t>
      </w:r>
    </w:p>
    <w:p w14:paraId="793F2DC0" w14:textId="77777777" w:rsidR="00A66077" w:rsidRDefault="00A27A0C" w:rsidP="000E493D">
      <w:pPr>
        <w:pStyle w:val="ListParagraph"/>
        <w:numPr>
          <w:ilvl w:val="0"/>
          <w:numId w:val="8"/>
        </w:numPr>
        <w:ind w:left="284" w:hanging="284"/>
        <w:rPr>
          <w:lang w:val="en-US"/>
        </w:rPr>
      </w:pPr>
      <w:r w:rsidRPr="00A66077">
        <w:rPr>
          <w:lang w:val="en-US"/>
        </w:rPr>
        <w:t>Perbedaan latar belakang pendidikan, kemampuan awal, dan motivasi belajar santri.</w:t>
      </w:r>
    </w:p>
    <w:p w14:paraId="0BBC684E" w14:textId="77777777" w:rsidR="00A66077" w:rsidRDefault="00A27A0C" w:rsidP="000E493D">
      <w:pPr>
        <w:pStyle w:val="ListParagraph"/>
        <w:numPr>
          <w:ilvl w:val="0"/>
          <w:numId w:val="8"/>
        </w:numPr>
        <w:ind w:left="284" w:hanging="284"/>
        <w:rPr>
          <w:lang w:val="en-US"/>
        </w:rPr>
      </w:pPr>
      <w:r w:rsidRPr="00A66077">
        <w:rPr>
          <w:lang w:val="en-US"/>
        </w:rPr>
        <w:t>Kecenderungan menghafal kaidah tanpa memahami penerapannya dalam teks.</w:t>
      </w:r>
    </w:p>
    <w:p w14:paraId="182C9BED" w14:textId="77777777" w:rsidR="00A66077" w:rsidRDefault="00A27A0C" w:rsidP="000E493D">
      <w:pPr>
        <w:pStyle w:val="ListParagraph"/>
        <w:numPr>
          <w:ilvl w:val="0"/>
          <w:numId w:val="8"/>
        </w:numPr>
        <w:ind w:left="284" w:hanging="284"/>
        <w:rPr>
          <w:lang w:val="en-US"/>
        </w:rPr>
      </w:pPr>
      <w:r w:rsidRPr="00A66077">
        <w:rPr>
          <w:lang w:val="en-US"/>
        </w:rPr>
        <w:t>Variasi kualitas pengajar serta keterbatasan inovasi pedagogik dalam penyajian materi.</w:t>
      </w:r>
    </w:p>
    <w:p w14:paraId="6A71BC2E" w14:textId="77777777" w:rsidR="00A66077" w:rsidRDefault="00A27A0C" w:rsidP="000E493D">
      <w:pPr>
        <w:pStyle w:val="ListParagraph"/>
        <w:numPr>
          <w:ilvl w:val="0"/>
          <w:numId w:val="8"/>
        </w:numPr>
        <w:ind w:left="284" w:hanging="284"/>
        <w:rPr>
          <w:lang w:val="en-US"/>
        </w:rPr>
      </w:pPr>
      <w:r w:rsidRPr="00A66077">
        <w:rPr>
          <w:lang w:val="en-US"/>
        </w:rPr>
        <w:t>Materi yang padat dan abstrak, serta dominasi istilah Arab yang menyulitkan santri pemula.</w:t>
      </w:r>
    </w:p>
    <w:p w14:paraId="23A6DE0E" w14:textId="0BA595D5" w:rsidR="00A27A0C" w:rsidRDefault="00A27A0C" w:rsidP="000E493D">
      <w:pPr>
        <w:pStyle w:val="ListParagraph"/>
        <w:numPr>
          <w:ilvl w:val="0"/>
          <w:numId w:val="8"/>
        </w:numPr>
        <w:ind w:left="284" w:hanging="284"/>
        <w:rPr>
          <w:lang w:val="en-US"/>
        </w:rPr>
      </w:pPr>
      <w:r w:rsidRPr="00A66077">
        <w:rPr>
          <w:lang w:val="en-US"/>
        </w:rPr>
        <w:t>Hambatan kultural: kecenderungan belajar pasif/taqlid, padatnya jadwal kegiatan pesantren, dan keterbatasan kepemilikan kitab rujukan.</w:t>
      </w:r>
    </w:p>
    <w:p w14:paraId="33B39A2E" w14:textId="77777777" w:rsidR="00A66077" w:rsidRPr="00A66077" w:rsidRDefault="00A66077" w:rsidP="00FB7089">
      <w:pPr>
        <w:pStyle w:val="ListParagraph"/>
        <w:ind w:firstLine="0"/>
        <w:rPr>
          <w:lang w:val="en-US"/>
        </w:rPr>
      </w:pPr>
    </w:p>
    <w:p w14:paraId="718AC47F" w14:textId="77777777" w:rsidR="00A66077" w:rsidRDefault="00A66077" w:rsidP="00FB7089">
      <w:pPr>
        <w:ind w:left="0" w:firstLine="0"/>
        <w:rPr>
          <w:b/>
          <w:bCs/>
          <w:lang w:val="en-US"/>
        </w:rPr>
      </w:pPr>
      <w:r w:rsidRPr="00A66077">
        <w:rPr>
          <w:b/>
          <w:bCs/>
          <w:lang w:val="en-US"/>
        </w:rPr>
        <w:t>Pembahasan</w:t>
      </w:r>
    </w:p>
    <w:p w14:paraId="768EEF22" w14:textId="2DAC6538" w:rsidR="00A27A0C" w:rsidRPr="00FB7089" w:rsidRDefault="00A27A0C" w:rsidP="00FB7089">
      <w:pPr>
        <w:pStyle w:val="ListParagraph"/>
        <w:numPr>
          <w:ilvl w:val="0"/>
          <w:numId w:val="10"/>
        </w:numPr>
        <w:ind w:left="284" w:hanging="284"/>
        <w:rPr>
          <w:b/>
          <w:bCs/>
          <w:lang w:val="en-US"/>
        </w:rPr>
      </w:pPr>
      <w:r w:rsidRPr="00FB7089">
        <w:rPr>
          <w:b/>
          <w:bCs/>
          <w:lang w:val="en-US"/>
        </w:rPr>
        <w:t>Tingkat Pemahaman Santri terhadap Kitab Kuning</w:t>
      </w:r>
    </w:p>
    <w:p w14:paraId="6478E02A" w14:textId="77777777" w:rsidR="00A27A0C" w:rsidRDefault="00A27A0C" w:rsidP="00717CFC">
      <w:pPr>
        <w:ind w:left="0" w:firstLine="709"/>
        <w:rPr>
          <w:lang w:val="en-US"/>
        </w:rPr>
      </w:pPr>
      <w:r w:rsidRPr="00A27A0C">
        <w:rPr>
          <w:lang w:val="en-US"/>
        </w:rPr>
        <w:t>Temuan menunjukkan adanya pola perkembangan kompetensi literasi kitab kuning yang bersifat bertahap: dari kesulitan membaca teks Arab tanpa harakat dan ketidaktepatan i‘rab pada tahap awal, menuju kemampuan mengidentifikasi unsur kalimat dan fungsi gramatikal pada tahap menengah, hingga kemampuan analitis pada tahap lanjut. Pola ini mengindikasikan bahwa penguasaan kitab kuning tidak berhenti pada kemampuan teknis membaca, tetapi berkembang menuju kemampuan memahami dan menalar isi teks serta mengaitkannya dengan konteks fikih yang lebih luas.</w:t>
      </w:r>
    </w:p>
    <w:p w14:paraId="1FE859B8" w14:textId="35732A15" w:rsidR="009E5227" w:rsidRDefault="00A358DC" w:rsidP="00A358DC">
      <w:pPr>
        <w:pStyle w:val="ListParagraph"/>
        <w:ind w:left="0" w:firstLine="709"/>
        <w:rPr>
          <w:lang w:val="en-US"/>
        </w:rPr>
      </w:pPr>
      <w:r w:rsidRPr="009E5227">
        <w:rPr>
          <w:lang w:val="en-US"/>
        </w:rPr>
        <w:t>Manfaat    dalam    membaca    kitab kuning  adalah    untuk    memahami    kedua sumber    utama    yaitu    al-Qur’an dan al-Hadits  Nabi  agar  tidak  terjerumus  dalam kesalahan  dan  kekeliruan  yang  dibuatnya  sendiri</w:t>
      </w:r>
      <w:r>
        <w:rPr>
          <w:lang w:val="en-US"/>
        </w:rPr>
        <w:t xml:space="preserve"> </w:t>
      </w:r>
      <w:r>
        <w:rPr>
          <w:lang w:val="en-US"/>
        </w:rPr>
        <w:fldChar w:fldCharType="begin" w:fldLock="1"/>
      </w:r>
      <w:r w:rsidR="003D426A">
        <w:rPr>
          <w:lang w:val="en-US"/>
        </w:rPr>
        <w:instrText>ADDIN CSL_CITATION {"citationItems":[{"id":"ITEM-1","itemData":{"author":[{"dropping-particle":"","family":"Rahman","given":"Elan Zaelani","non-dropping-particle":"","parse-names":false,"suffix":""},{"dropping-particle":"","family":"Nuraeni.","given":"Fia","non-dropping-particle":"","parse-names":false,"suffix":""}],"container-title":"Ta'dibiya","id":"ITEM-1","issue":"2","issued":{"date-parts":[["2024"]]},"page":"108-121","title":"Efektivitas Pembelajaran Metode Amtsilati dalam Meningkatkan Kemampuan Membaca Kitab Kuning Di Pondok Pesantren Ar-Rahman Cidadap-Curug.","type":"article-journal","volume":"4"},"uris":["http://www.mendeley.com/documents/?uuid=4585b4db-f2f4-419a-8eb5-b754fc285a72"]}],"mendeley":{"formattedCitation":"(Rahman &amp; Nuraeni., 2024)","plainTextFormattedCitation":"(Rahman &amp; Nuraeni., 2024)","previouslyFormattedCitation":"(Rahman &amp; Nuraeni., 2024)"},"properties":{"noteIndex":0},"schema":"https://github.com/citation-style-language/schema/raw/master/csl-citation.json"}</w:instrText>
      </w:r>
      <w:r>
        <w:rPr>
          <w:lang w:val="en-US"/>
        </w:rPr>
        <w:fldChar w:fldCharType="separate"/>
      </w:r>
      <w:r w:rsidRPr="009E5227">
        <w:rPr>
          <w:noProof/>
          <w:lang w:val="en-US"/>
        </w:rPr>
        <w:t>(Rahman &amp; Nuraeni., 2024)</w:t>
      </w:r>
      <w:r>
        <w:rPr>
          <w:lang w:val="en-US"/>
        </w:rPr>
        <w:fldChar w:fldCharType="end"/>
      </w:r>
      <w:r w:rsidRPr="009E5227">
        <w:rPr>
          <w:lang w:val="en-US"/>
        </w:rPr>
        <w:t>.</w:t>
      </w:r>
      <w:r>
        <w:rPr>
          <w:lang w:val="en-US"/>
        </w:rPr>
        <w:t xml:space="preserve"> Hal ini membuat santri perlu meningkatkan pemahaman mengenai kitab kuning.</w:t>
      </w:r>
    </w:p>
    <w:p w14:paraId="280B4319" w14:textId="5CAD0785" w:rsidR="009E5227" w:rsidRDefault="00A27A0C" w:rsidP="009E5227">
      <w:pPr>
        <w:ind w:left="0" w:firstLine="709"/>
        <w:rPr>
          <w:lang w:val="en-US"/>
        </w:rPr>
      </w:pPr>
      <w:r w:rsidRPr="00A27A0C">
        <w:rPr>
          <w:lang w:val="en-US"/>
        </w:rPr>
        <w:t>Strategi belajar yang digunakan santri</w:t>
      </w:r>
      <w:r w:rsidR="00A358DC">
        <w:rPr>
          <w:lang w:val="en-US"/>
        </w:rPr>
        <w:t xml:space="preserve"> </w:t>
      </w:r>
      <w:r w:rsidRPr="00A27A0C">
        <w:rPr>
          <w:lang w:val="en-US"/>
        </w:rPr>
        <w:t>seperti matan-syarah, makna gandul, halaqah/bahtsul masail, dan penguatan kaidah ilmu alat</w:t>
      </w:r>
      <w:r w:rsidR="00A358DC">
        <w:rPr>
          <w:lang w:val="en-US"/>
        </w:rPr>
        <w:t xml:space="preserve"> </w:t>
      </w:r>
      <w:r w:rsidRPr="00A27A0C">
        <w:rPr>
          <w:lang w:val="en-US"/>
        </w:rPr>
        <w:t>menegaskan bahwa pemahaman terbentuk melalui kombinasi antara penguasaan kaidah dan praktik membaca yang berulang</w:t>
      </w:r>
      <w:r w:rsidR="003D426A">
        <w:rPr>
          <w:lang w:val="en-US"/>
        </w:rPr>
        <w:t xml:space="preserve"> </w:t>
      </w:r>
      <w:r w:rsidR="003D426A">
        <w:rPr>
          <w:lang w:val="en-US"/>
        </w:rPr>
        <w:fldChar w:fldCharType="begin" w:fldLock="1"/>
      </w:r>
      <w:r w:rsidR="00D77BE3">
        <w:rPr>
          <w:lang w:val="en-US"/>
        </w:rPr>
        <w:instrText>ADDIN CSL_CITATION {"citationItems":[{"id":"ITEM-1","itemData":{"author":[{"dropping-particle":"","family":"Afifa","given":"Nurul","non-dropping-particle":"","parse-names":false,"suffix":""}],"id":"ITEM-1","issued":{"date-parts":[["2022"]]},"publisher":"IAIN Parepare","title":"Implementasi Kitab Syarah Al-Jurumiyah dalam Pembelajaran Bahasa Arab Santriwati Al-Risalah Batetangnga Polman.","type":"thesis"},"uris":["http://www.mendeley.com/documents/?uuid=b7a5bb08-9220-44f9-875f-dbd3d7950fad"]}],"mendeley":{"formattedCitation":"(Afifa, 2022)","plainTextFormattedCitation":"(Afifa, 2022)","previouslyFormattedCitation":"(Afifa, 2022)"},"properties":{"noteIndex":0},"schema":"https://github.com/citation-style-language/schema/raw/master/csl-citation.json"}</w:instrText>
      </w:r>
      <w:r w:rsidR="003D426A">
        <w:rPr>
          <w:lang w:val="en-US"/>
        </w:rPr>
        <w:fldChar w:fldCharType="separate"/>
      </w:r>
      <w:r w:rsidR="003D426A" w:rsidRPr="003D426A">
        <w:rPr>
          <w:noProof/>
          <w:lang w:val="en-US"/>
        </w:rPr>
        <w:t>(Afifa, 2022)</w:t>
      </w:r>
      <w:r w:rsidR="003D426A">
        <w:rPr>
          <w:lang w:val="en-US"/>
        </w:rPr>
        <w:fldChar w:fldCharType="end"/>
      </w:r>
      <w:r w:rsidRPr="00A27A0C">
        <w:rPr>
          <w:lang w:val="en-US"/>
        </w:rPr>
        <w:t>. Dengan demikian, literasi kitab kuning dapat dipahami sebagai proses konstruksi makna yang ditopang oleh latihan interpretasi teks dan dialog keilmuan, bukan semata-mata hafalan.</w:t>
      </w:r>
    </w:p>
    <w:p w14:paraId="09D355DC" w14:textId="04125628" w:rsidR="00A27A0C" w:rsidRPr="00717CFC" w:rsidRDefault="00A27A0C" w:rsidP="00717CFC">
      <w:pPr>
        <w:pStyle w:val="ListParagraph"/>
        <w:numPr>
          <w:ilvl w:val="0"/>
          <w:numId w:val="10"/>
        </w:numPr>
        <w:ind w:left="284" w:hanging="284"/>
        <w:rPr>
          <w:b/>
          <w:bCs/>
          <w:lang w:val="en-US"/>
        </w:rPr>
      </w:pPr>
      <w:r w:rsidRPr="00717CFC">
        <w:rPr>
          <w:b/>
          <w:bCs/>
          <w:lang w:val="en-US"/>
        </w:rPr>
        <w:t>Implementasi Metode Al-Hasri wal Qosri</w:t>
      </w:r>
    </w:p>
    <w:p w14:paraId="0B919073" w14:textId="77777777" w:rsidR="00A27A0C" w:rsidRPr="00A27A0C" w:rsidRDefault="00A27A0C" w:rsidP="00717CFC">
      <w:pPr>
        <w:ind w:left="0" w:firstLine="709"/>
        <w:rPr>
          <w:lang w:val="en-US"/>
        </w:rPr>
      </w:pPr>
      <w:r w:rsidRPr="00A27A0C">
        <w:rPr>
          <w:lang w:val="en-US"/>
        </w:rPr>
        <w:t>Pelaksanaan metode Al-Hasri wal Qosri yang menekankan keterurutan materi, penguatan nahwu-sharaf, dan praktik membaca kitab memperlihatkan kesesuaian dengan pembelajaran berjenjang. Tahap persiapan berfungsi membangun fondasi (penempatan kelas sesuai kemampuan, orientasi tujuan, serta pembiasaan hafalan kaidah). Tahap pelaksanaan menekankan internalisasi kaidah melalui pengulangan, hafalan, latihan i‘rab, serta praktik membaca bertahap. Sementara tahap evaluasi memastikan adanya pemantauan perkembangan yang kontinu melalui tes tulis, lisan (tafahhum), evaluasi harian, bulanan, hingga semester.</w:t>
      </w:r>
    </w:p>
    <w:p w14:paraId="60C6A001" w14:textId="77777777" w:rsidR="00A66077" w:rsidRDefault="00A27A0C" w:rsidP="00717CFC">
      <w:pPr>
        <w:ind w:left="0" w:firstLine="709"/>
        <w:rPr>
          <w:lang w:val="en-US"/>
        </w:rPr>
      </w:pPr>
      <w:r w:rsidRPr="00A27A0C">
        <w:rPr>
          <w:lang w:val="en-US"/>
        </w:rPr>
        <w:lastRenderedPageBreak/>
        <w:t>Ditinjau dari perspektif teori belajar, metode ini dapat dipahami melalui prinsip hierarki materi dalam teori kognitif, yaitu pembelajaran dimulai dari dasar menuju tingkat kompleks yang lebih tinggi. Selain itu, praktik membaca, tanya-jawab, dan interaksi dalam pembelajaran mencerminkan pendekatan konstruktivisme, karena santri membangun pemahamannya melalui penerapan kaidah pada teks, bukan sekadar menerima informasi secara pasif. Hal ini menjelaskan mengapa pemahaman santri cenderung lebih stabil ketika kaidah yang dihafal langsung diuji dalam praktik membaca kitab.</w:t>
      </w:r>
    </w:p>
    <w:p w14:paraId="60B76D0E" w14:textId="08B8832F" w:rsidR="00A27A0C" w:rsidRPr="00717CFC" w:rsidRDefault="00A27A0C" w:rsidP="00717CFC">
      <w:pPr>
        <w:pStyle w:val="ListParagraph"/>
        <w:numPr>
          <w:ilvl w:val="0"/>
          <w:numId w:val="10"/>
        </w:numPr>
        <w:ind w:left="284" w:hanging="284"/>
        <w:rPr>
          <w:b/>
          <w:bCs/>
          <w:lang w:val="en-US"/>
        </w:rPr>
      </w:pPr>
      <w:r w:rsidRPr="00717CFC">
        <w:rPr>
          <w:b/>
          <w:bCs/>
          <w:lang w:val="en-US"/>
        </w:rPr>
        <w:t>Faktor Pendukung dan Penghambat Implementasi</w:t>
      </w:r>
    </w:p>
    <w:p w14:paraId="77DF948A" w14:textId="77255BB8" w:rsidR="00A27A0C" w:rsidRPr="00A27A0C" w:rsidRDefault="00A27A0C" w:rsidP="00717CFC">
      <w:pPr>
        <w:ind w:left="0" w:firstLine="709"/>
        <w:rPr>
          <w:lang w:val="en-US"/>
        </w:rPr>
      </w:pPr>
      <w:r w:rsidRPr="00A27A0C">
        <w:rPr>
          <w:lang w:val="en-US"/>
        </w:rPr>
        <w:t>Faktor pendukung seperti struktur pembinaan bertahap, kompetensi pengajar, serta lingkungan pesantren yang kondusif berperan sebagai ekosistem belajar yang mempercepat penguatan literasi kitab kuning</w:t>
      </w:r>
      <w:r w:rsidR="00D77BE3">
        <w:rPr>
          <w:lang w:val="en-US"/>
        </w:rPr>
        <w:t xml:space="preserve"> </w:t>
      </w:r>
      <w:r w:rsidR="00D77BE3">
        <w:rPr>
          <w:lang w:val="en-US"/>
        </w:rPr>
        <w:fldChar w:fldCharType="begin" w:fldLock="1"/>
      </w:r>
      <w:r w:rsidR="00D77BE3">
        <w:rPr>
          <w:lang w:val="en-US"/>
        </w:rPr>
        <w:instrText>ADDIN CSL_CITATION {"citationItems":[{"id":"ITEM-1","itemData":{"DOI":"10.31538/cjotl.v1i2.134","abstract":"Tujuan Artikel ini adalah untuk mengetahui optimalisasi penguasaan materi pelajaran dan kemampuan mengelola kelas dalam meningkatkan kompetensi mengajar guru Pendidikan Agama Islam di MI Darul Hidayah Sudimoro Tulangan Sidoarjo. Metode penelitian yang akan digunakan di dalam penelitian ini adalah menggunakan pendekatan kualitatif. Obyek penelitian dibatasi seputar aktifitas maupun interaksi yang dilakukan oleh siswa MI Darul Hidayah Sudimoro Tulangan Sidoarjo untuk mengatasi kompetensi mengajar guru. Berdasarkan hasil penelitian, maka dapat disimpulkan bahwa, 1) Penguasaan materi pelajaran dan kemampuan mengelola kelas dalam meningkatkan kompetensi mengajar guru Pendidikan Agama Islam di MI Darul Hidayah Sudimoro Tulangan Sidoarjo masih perlu dioptimalkan, mengingat kelebihan yang ditemukan di madrasah ini terbilang masih dalam katagori cukup. 2)Faktor kelemahan apa saja yang menyertai Optimalisasi penguasaan materi pelajaran dan kemampuan mengelola kelas dalam meningkatkan kompetensi mengajar guru Pendidikan Agama Islam di MI Darul Hidayah Sudimoro Tulangan Sidoarjo menyangkut keterbatasan inovasi dan kreativitas mengajar sebagaimana yang harus direspon di masa kemajuan teknologi dan informasi sat kini. Kelemahan dan hambatan ini disolusi secara non teknis dan perlu pelatihan dan pengembangan pada aspek pendidikan dan pelatihan bagi guru PAI-nya. Dan solusi yang ditawarkan adalah Perlunya pendalaman persepsi materi ajar sekaligus teknik penguasasaan kelas dalam rangka meningkatkan kompetensi guru, Perlunya mengatasi kelmahan dan hambatan peningkatan kompetensi guru melalui intensitas diklat dan pembinaan motivasional, Perlunya keterpaduan sinergi kepala madrasah, pengawas madrasah, serta guru PAI dalam rangka peningkatan kompetensi guru madrasah.","author":[{"dropping-particle":"","family":"Wulandari","given":"Sri","non-dropping-particle":"","parse-names":false,"suffix":""}],"container-title":"Chalim Journal of Teaching and Learning","id":"ITEM-1","issue":"2","issued":{"date-parts":[["2022"]]},"page":"129-137","title":"Optimalisasi Penguasaan Materi Pelajaran dan Kemampuan Mengelola Kelas dalam Meningkatkan Kompetensi Mengajar Guru Pendidikan Agama Islam","type":"article-journal","volume":"1"},"uris":["http://www.mendeley.com/documents/?uuid=52c7ba6c-10c5-4bf5-8a0c-ff0f13451ace"]}],"mendeley":{"formattedCitation":"(Wulandari, 2022)","plainTextFormattedCitation":"(Wulandari, 2022)","previouslyFormattedCitation":"(Wulandari, 2022)"},"properties":{"noteIndex":0},"schema":"https://github.com/citation-style-language/schema/raw/master/csl-citation.json"}</w:instrText>
      </w:r>
      <w:r w:rsidR="00D77BE3">
        <w:rPr>
          <w:lang w:val="en-US"/>
        </w:rPr>
        <w:fldChar w:fldCharType="separate"/>
      </w:r>
      <w:r w:rsidR="00D77BE3" w:rsidRPr="00D77BE3">
        <w:rPr>
          <w:noProof/>
          <w:lang w:val="en-US"/>
        </w:rPr>
        <w:t>(Wulandari, 2022)</w:t>
      </w:r>
      <w:r w:rsidR="00D77BE3">
        <w:rPr>
          <w:lang w:val="en-US"/>
        </w:rPr>
        <w:fldChar w:fldCharType="end"/>
      </w:r>
      <w:r w:rsidRPr="00A27A0C">
        <w:rPr>
          <w:lang w:val="en-US"/>
        </w:rPr>
        <w:t>. Kejelasan struktur pengajaran membantu santri memahami target capaian, sedangkan kompetensi pengajar menentukan ketepatan penyampaian kaidah dan efektivitas pembimbingan latihan membaca. Budaya ilmiah pesantren (mutola‘ah, halaqah, dan pengulangan di asrama) memperkuat pembelajaran melalui pengulangan dan praktik di luar kelas formal.</w:t>
      </w:r>
    </w:p>
    <w:p w14:paraId="574B82A1" w14:textId="64094420" w:rsidR="00B06E1E" w:rsidRDefault="00A27A0C" w:rsidP="00717CFC">
      <w:pPr>
        <w:ind w:left="0" w:firstLine="709"/>
        <w:rPr>
          <w:lang w:val="en-US"/>
        </w:rPr>
      </w:pPr>
      <w:r w:rsidRPr="00A27A0C">
        <w:rPr>
          <w:lang w:val="en-US"/>
        </w:rPr>
        <w:t>Sebaliknya, faktor penghambat terutama berkaitan dengan heterogenitas kemampuan awal santri dan tantangan pedagogik. Perbedaan latar belakang pendidikan serta motivasi belajar membuat kecepatan pemahaman tidak merata</w:t>
      </w:r>
      <w:r w:rsidR="00D77BE3">
        <w:rPr>
          <w:lang w:val="en-US"/>
        </w:rPr>
        <w:t xml:space="preserve"> </w:t>
      </w:r>
      <w:r w:rsidR="00D77BE3">
        <w:rPr>
          <w:lang w:val="en-US"/>
        </w:rPr>
        <w:fldChar w:fldCharType="begin" w:fldLock="1"/>
      </w:r>
      <w:r w:rsidR="00756949">
        <w:rPr>
          <w:lang w:val="en-US"/>
        </w:rPr>
        <w:instrText>ADDIN CSL_CITATION {"citationItems":[{"id":"ITEM-1","itemData":{"abstract":"Objective: To review the current knowledge on neurobiological aspects of autism and pervasive developmental disorders, as well as to provide pediatricians with up to date information on diagnosis and treatment of autism. Sources of data: Review of MEDLINE and Internet.","author":[{"dropping-particle":"","family":"Sibuea","given":"Sri Agustina","non-dropping-particle":"","parse-names":false,"suffix":""},{"dropping-particle":"","family":"Amini","given":"","non-dropping-particle":"","parse-names":false,"suffix":""},{"dropping-particle":"","family":"Ardini","given":"Rizka","non-dropping-particle":"","parse-names":false,"suffix":""},{"dropping-particle":"","family":"Aminah","given":"Siti","non-dropping-particle":"","parse-names":false,"suffix":""},{"dropping-particle":"","family":"Mailida","given":"Yulita","non-dropping-particle":"","parse-names":false,"suffix":""}],"container-title":"PUSTAKA: Jurnal Bahasa dan Pendidikan","id":"ITEM-1","issue":"1","issued":{"date-parts":[["2024"]]},"page":"234-240","title":"Pengaruh Strategi Pembelajaran dan Motivasi Belajar terhadap Pemahaman Siswa","type":"article-journal","volume":"4"},"uris":["http://www.mendeley.com/documents/?uuid=c37e40fa-dfe3-4663-8c6e-e93b6195a8da"]}],"mendeley":{"formattedCitation":"(Sibuea et al., 2024)","plainTextFormattedCitation":"(Sibuea et al., 2024)","previouslyFormattedCitation":"(Sibuea et al., 2024)"},"properties":{"noteIndex":0},"schema":"https://github.com/citation-style-language/schema/raw/master/csl-citation.json"}</w:instrText>
      </w:r>
      <w:r w:rsidR="00D77BE3">
        <w:rPr>
          <w:lang w:val="en-US"/>
        </w:rPr>
        <w:fldChar w:fldCharType="separate"/>
      </w:r>
      <w:r w:rsidR="00D77BE3" w:rsidRPr="00D77BE3">
        <w:rPr>
          <w:noProof/>
          <w:lang w:val="en-US"/>
        </w:rPr>
        <w:t>(Sibuea et al., 2024)</w:t>
      </w:r>
      <w:r w:rsidR="00D77BE3">
        <w:rPr>
          <w:lang w:val="en-US"/>
        </w:rPr>
        <w:fldChar w:fldCharType="end"/>
      </w:r>
      <w:r w:rsidRPr="00A27A0C">
        <w:rPr>
          <w:lang w:val="en-US"/>
        </w:rPr>
        <w:t>. Kecenderungan menghafal kaidah tanpa memahami penerapannya menunjukkan adanya risiko pembelajaran yang terlalu berorientasi pada hafalan. Selain itu, variasi kualitas pengajar dan keterbatasan inovasi penyajian materi dapat membuat pembelajaran kurang adaptif terhadap kebutuhan santri pemula. Kepadatan dan keabstrakan materi, dominasi istilah Arab, serta hambatan kultural (belajar pasif/taqlid, jadwal padat, keterbatasan kitab rujukan) turut memperbesar kesulitan dalam proses pembelajaran.</w:t>
      </w:r>
    </w:p>
    <w:p w14:paraId="73C34C9B" w14:textId="77777777" w:rsidR="00A66077" w:rsidRPr="00A66077" w:rsidRDefault="00A66077" w:rsidP="00A66077">
      <w:pPr>
        <w:ind w:left="0" w:firstLine="0"/>
        <w:rPr>
          <w:lang w:val="en-US"/>
        </w:rPr>
      </w:pPr>
    </w:p>
    <w:p w14:paraId="3ECA0AF3" w14:textId="68DC1C39" w:rsidR="00D12A53" w:rsidRPr="005938E3" w:rsidRDefault="008F7F7E" w:rsidP="00D12A53">
      <w:pPr>
        <w:ind w:left="0" w:firstLine="0"/>
        <w:rPr>
          <w:b/>
          <w:lang w:val="en-US"/>
        </w:rPr>
      </w:pPr>
      <w:r>
        <w:rPr>
          <w:b/>
          <w:lang w:val="en-US"/>
        </w:rPr>
        <w:t>KESIMPULAN</w:t>
      </w:r>
    </w:p>
    <w:p w14:paraId="7FA52E88" w14:textId="77777777" w:rsidR="00355670" w:rsidRPr="00897DED" w:rsidRDefault="00355670" w:rsidP="00355670">
      <w:pPr>
        <w:pStyle w:val="ListBullet"/>
        <w:spacing w:after="20"/>
        <w:jc w:val="both"/>
        <w:rPr>
          <w:sz w:val="22"/>
        </w:rPr>
      </w:pPr>
      <w:r w:rsidRPr="00897DED">
        <w:rPr>
          <w:sz w:val="22"/>
        </w:rPr>
        <w:t>Pemahaman santri terhadap kitab kuning berkembang secara hierarkis: dari kesulitan membaca teks gundul menuju kemampuan analitis dan kontekstual, dengan penguasaan nahwu dan sharaf sebagai fondasi utama.</w:t>
      </w:r>
    </w:p>
    <w:p w14:paraId="7EF70B65" w14:textId="77777777" w:rsidR="00355670" w:rsidRPr="00897DED" w:rsidRDefault="00355670" w:rsidP="00355670">
      <w:pPr>
        <w:pStyle w:val="ListBullet"/>
        <w:spacing w:after="20"/>
        <w:jc w:val="both"/>
        <w:rPr>
          <w:sz w:val="22"/>
        </w:rPr>
      </w:pPr>
      <w:r w:rsidRPr="00897DED">
        <w:rPr>
          <w:sz w:val="22"/>
        </w:rPr>
        <w:t>Metode Al-Hasri wal Qosri di Pondok Pesantren At-Taroqqi diterapkan secara sistematis melalui tahap persiapan, pelaksanaan pembelajaran intensif, dan evaluasi tulis-lisan berkelanjutan, sehingga membantu santri belajar lebih terarah dan efisien.</w:t>
      </w:r>
    </w:p>
    <w:p w14:paraId="667D1980" w14:textId="77777777" w:rsidR="00355670" w:rsidRPr="00897DED" w:rsidRDefault="00355670" w:rsidP="00355670">
      <w:pPr>
        <w:pStyle w:val="ListBullet"/>
        <w:spacing w:after="20"/>
        <w:jc w:val="both"/>
        <w:rPr>
          <w:sz w:val="22"/>
        </w:rPr>
      </w:pPr>
      <w:r w:rsidRPr="00897DED">
        <w:rPr>
          <w:sz w:val="22"/>
        </w:rPr>
        <w:t>Keberhasilan metode sangat ditentukan oleh sinergi struktur pengajaran, kompetensi guru, dan lingkungan belajar; sementara hambatan terutama berasal dari heterogenitas kemampuan santri, kepadatan materi, dominasi istilah Arab, serta budaya belajar yang cenderung pasif.</w:t>
      </w:r>
    </w:p>
    <w:p w14:paraId="51A3EE86" w14:textId="77777777" w:rsidR="00A66077" w:rsidRPr="00355670" w:rsidRDefault="00A66077" w:rsidP="00A66077">
      <w:pPr>
        <w:ind w:left="0" w:firstLine="709"/>
        <w:rPr>
          <w:lang w:val="en-US"/>
        </w:rPr>
      </w:pPr>
    </w:p>
    <w:p w14:paraId="170DCD9A" w14:textId="1B758CBC" w:rsidR="005938E3" w:rsidRDefault="008F7F7E" w:rsidP="008F51D7">
      <w:pPr>
        <w:ind w:left="0" w:firstLine="0"/>
        <w:rPr>
          <w:b/>
          <w:lang w:val="en-US"/>
        </w:rPr>
      </w:pPr>
      <w:r>
        <w:rPr>
          <w:b/>
          <w:lang w:val="en-US"/>
        </w:rPr>
        <w:t>SARAN/REKOMENDASI</w:t>
      </w:r>
    </w:p>
    <w:p w14:paraId="604C337A" w14:textId="77777777" w:rsidR="00897DED" w:rsidRPr="00897DED" w:rsidRDefault="00897DED" w:rsidP="00897DED">
      <w:pPr>
        <w:spacing w:before="120" w:after="40"/>
        <w:ind w:left="0" w:firstLine="0"/>
      </w:pPr>
      <w:r w:rsidRPr="00897DED">
        <w:rPr>
          <w:b/>
        </w:rPr>
        <w:t>Bagi Pengasuh dan Pimpinan Pesantren</w:t>
      </w:r>
    </w:p>
    <w:p w14:paraId="665FC927" w14:textId="77777777" w:rsidR="00897DED" w:rsidRPr="00897DED" w:rsidRDefault="00897DED" w:rsidP="00897DED">
      <w:pPr>
        <w:pStyle w:val="ListBullet"/>
        <w:spacing w:after="20"/>
        <w:jc w:val="both"/>
        <w:rPr>
          <w:sz w:val="22"/>
        </w:rPr>
      </w:pPr>
      <w:r w:rsidRPr="00897DED">
        <w:rPr>
          <w:sz w:val="22"/>
        </w:rPr>
        <w:t>Memperkuat penataan kurikulum dan alur jenjang pembelajaran kitab kuning agar lebih terstruktur dan berkesinambungan.</w:t>
      </w:r>
    </w:p>
    <w:p w14:paraId="03B4C459" w14:textId="77777777" w:rsidR="00897DED" w:rsidRPr="00897DED" w:rsidRDefault="00897DED" w:rsidP="00897DED">
      <w:pPr>
        <w:pStyle w:val="ListBullet"/>
        <w:spacing w:after="20"/>
        <w:jc w:val="both"/>
        <w:rPr>
          <w:sz w:val="22"/>
        </w:rPr>
      </w:pPr>
      <w:r w:rsidRPr="00897DED">
        <w:rPr>
          <w:sz w:val="22"/>
        </w:rPr>
        <w:t>Melakukan evaluasi berkala terhadap efektivitas metode Al-Hasri wal Qosri dan menyesuaikannya dengan kebutuhan santri yang beragam.</w:t>
      </w:r>
    </w:p>
    <w:p w14:paraId="48DD4261" w14:textId="77777777" w:rsidR="00897DED" w:rsidRPr="00897DED" w:rsidRDefault="00897DED" w:rsidP="00897DED">
      <w:pPr>
        <w:spacing w:before="120" w:after="40"/>
        <w:ind w:left="0" w:firstLine="0"/>
      </w:pPr>
      <w:r w:rsidRPr="00897DED">
        <w:rPr>
          <w:b/>
        </w:rPr>
        <w:t>Bagi Para Pengajar</w:t>
      </w:r>
    </w:p>
    <w:p w14:paraId="6B4857FB" w14:textId="77777777" w:rsidR="00897DED" w:rsidRPr="00897DED" w:rsidRDefault="00897DED" w:rsidP="00897DED">
      <w:pPr>
        <w:pStyle w:val="ListBullet"/>
        <w:spacing w:after="20"/>
        <w:jc w:val="both"/>
        <w:rPr>
          <w:sz w:val="22"/>
        </w:rPr>
      </w:pPr>
      <w:r w:rsidRPr="00897DED">
        <w:rPr>
          <w:sz w:val="22"/>
        </w:rPr>
        <w:t>Mengembangkan variasi strategi pembelajaran (diskusi, praktik kelompok, contoh kontekstual) agar materi yang padat lebih mudah dipahami santri.</w:t>
      </w:r>
    </w:p>
    <w:p w14:paraId="516422BB" w14:textId="77777777" w:rsidR="00897DED" w:rsidRPr="00897DED" w:rsidRDefault="00897DED" w:rsidP="00897DED">
      <w:pPr>
        <w:pStyle w:val="ListBullet"/>
        <w:spacing w:after="20"/>
        <w:jc w:val="both"/>
        <w:rPr>
          <w:sz w:val="22"/>
        </w:rPr>
      </w:pPr>
      <w:r w:rsidRPr="00897DED">
        <w:rPr>
          <w:sz w:val="22"/>
        </w:rPr>
        <w:lastRenderedPageBreak/>
        <w:t>Mengikuti pelatihan pedagogik/metodologi secara berkelanjutan untuk meningkatkan kualitas fasilitasi belajar.</w:t>
      </w:r>
    </w:p>
    <w:p w14:paraId="0995452A" w14:textId="77777777" w:rsidR="00897DED" w:rsidRPr="00897DED" w:rsidRDefault="00897DED" w:rsidP="00897DED">
      <w:pPr>
        <w:spacing w:before="120" w:after="40"/>
        <w:ind w:left="0" w:firstLine="0"/>
      </w:pPr>
      <w:r w:rsidRPr="00897DED">
        <w:rPr>
          <w:b/>
        </w:rPr>
        <w:t>Bagi Para Santri</w:t>
      </w:r>
    </w:p>
    <w:p w14:paraId="3E8B1EF2" w14:textId="77777777" w:rsidR="00897DED" w:rsidRPr="00897DED" w:rsidRDefault="00897DED" w:rsidP="00897DED">
      <w:pPr>
        <w:pStyle w:val="ListBullet"/>
        <w:spacing w:after="20"/>
        <w:jc w:val="both"/>
        <w:rPr>
          <w:sz w:val="22"/>
        </w:rPr>
      </w:pPr>
      <w:r w:rsidRPr="00897DED">
        <w:rPr>
          <w:sz w:val="22"/>
        </w:rPr>
        <w:t>Membangun kemandirian belajar melalui mutola‘ah, halaqah, dan latihan i‘rab secara rutin, serta berani bertanya/diskusi untuk memperdalam pemahaman.</w:t>
      </w:r>
    </w:p>
    <w:p w14:paraId="7A2EF6B6" w14:textId="77777777" w:rsidR="00897DED" w:rsidRPr="00897DED" w:rsidRDefault="00897DED" w:rsidP="00897DED">
      <w:pPr>
        <w:spacing w:before="120" w:after="40"/>
        <w:ind w:left="0" w:firstLine="0"/>
      </w:pPr>
      <w:r w:rsidRPr="00897DED">
        <w:rPr>
          <w:b/>
        </w:rPr>
        <w:t>Bagi Pengembang Metode Pembelajaran</w:t>
      </w:r>
    </w:p>
    <w:p w14:paraId="76BBAB49" w14:textId="77777777" w:rsidR="00897DED" w:rsidRPr="00897DED" w:rsidRDefault="00897DED" w:rsidP="00897DED">
      <w:pPr>
        <w:pStyle w:val="ListBullet"/>
        <w:spacing w:after="20"/>
        <w:jc w:val="both"/>
        <w:rPr>
          <w:sz w:val="22"/>
        </w:rPr>
      </w:pPr>
      <w:r w:rsidRPr="00897DED">
        <w:rPr>
          <w:sz w:val="22"/>
        </w:rPr>
        <w:t>Mengembangkan perangkat ajar pendukung (glosarium istilah, contoh kontekstual, latihan bertingkat) agar metode lebih ramah bagi santri pemula tanpa menghilangkan ruh tradisi pesantren.</w:t>
      </w:r>
    </w:p>
    <w:p w14:paraId="18A70370" w14:textId="77777777" w:rsidR="00897DED" w:rsidRPr="00897DED" w:rsidRDefault="00897DED" w:rsidP="00897DED">
      <w:pPr>
        <w:spacing w:before="120" w:after="40"/>
        <w:ind w:left="0" w:firstLine="0"/>
      </w:pPr>
      <w:r w:rsidRPr="00897DED">
        <w:rPr>
          <w:b/>
        </w:rPr>
        <w:t>Bagi Peneliti Selanjutnya</w:t>
      </w:r>
    </w:p>
    <w:p w14:paraId="5A3B9329" w14:textId="77777777" w:rsidR="00897DED" w:rsidRPr="00897DED" w:rsidRDefault="00897DED" w:rsidP="00897DED">
      <w:pPr>
        <w:pStyle w:val="ListBullet"/>
        <w:spacing w:after="20"/>
        <w:jc w:val="both"/>
        <w:rPr>
          <w:sz w:val="22"/>
        </w:rPr>
      </w:pPr>
      <w:r w:rsidRPr="00897DED">
        <w:rPr>
          <w:sz w:val="22"/>
        </w:rPr>
        <w:t>Melakukan studi komparatif antar-metode pembelajaran kitab kuning atau pengukuran dampak jangka panjang untuk memperkaya rekomendasi penguatan literasi kitab kuning di pesantren.</w:t>
      </w:r>
    </w:p>
    <w:p w14:paraId="69B273DB" w14:textId="0696BC3E" w:rsidR="005938E3" w:rsidRDefault="005938E3" w:rsidP="008F51D7">
      <w:pPr>
        <w:ind w:left="0" w:firstLine="0"/>
        <w:rPr>
          <w:b/>
          <w:lang w:val="en-US"/>
        </w:rPr>
      </w:pPr>
    </w:p>
    <w:p w14:paraId="752DB6DD" w14:textId="77777777" w:rsidR="00897DED" w:rsidRDefault="00897DED" w:rsidP="008F51D7">
      <w:pPr>
        <w:ind w:left="0" w:firstLine="0"/>
        <w:rPr>
          <w:b/>
          <w:lang w:val="en-US"/>
        </w:rPr>
      </w:pPr>
    </w:p>
    <w:p w14:paraId="4421FD89" w14:textId="46DD76E4" w:rsidR="008F51D7" w:rsidRDefault="008F7F7E" w:rsidP="008F39A9">
      <w:pPr>
        <w:ind w:left="0" w:firstLine="0"/>
        <w:rPr>
          <w:b/>
          <w:lang w:val="en-US"/>
        </w:rPr>
      </w:pPr>
      <w:r>
        <w:rPr>
          <w:b/>
          <w:lang w:val="en-US"/>
        </w:rPr>
        <w:t>DAFTAR PUSTAKA</w:t>
      </w:r>
    </w:p>
    <w:p w14:paraId="22A7993F" w14:textId="77777777" w:rsidR="008F39A9" w:rsidRPr="008F39A9" w:rsidRDefault="008F39A9" w:rsidP="008F39A9">
      <w:pPr>
        <w:ind w:left="0" w:firstLine="0"/>
        <w:rPr>
          <w:b/>
          <w:lang w:val="en-US"/>
        </w:rPr>
      </w:pPr>
    </w:p>
    <w:p w14:paraId="5933A980" w14:textId="67DA4C53" w:rsidR="00756949" w:rsidRPr="00756949" w:rsidRDefault="00756949" w:rsidP="00756949">
      <w:pPr>
        <w:widowControl w:val="0"/>
        <w:autoSpaceDE w:val="0"/>
        <w:autoSpaceDN w:val="0"/>
        <w:adjustRightInd w:val="0"/>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756949">
        <w:rPr>
          <w:rFonts w:cs="Times New Roman"/>
          <w:noProof/>
          <w:szCs w:val="24"/>
        </w:rPr>
        <w:t xml:space="preserve">Afifa, N. (2022). </w:t>
      </w:r>
      <w:r w:rsidRPr="00756949">
        <w:rPr>
          <w:rFonts w:cs="Times New Roman"/>
          <w:i/>
          <w:iCs/>
          <w:noProof/>
          <w:szCs w:val="24"/>
        </w:rPr>
        <w:t>Implementasi Kitab Syarah Al-Jurumiyah dalam Pembelajaran Bahasa Arab Santriwati Al-Risalah Batetangnga Polman.</w:t>
      </w:r>
      <w:r w:rsidRPr="00756949">
        <w:rPr>
          <w:rFonts w:cs="Times New Roman"/>
          <w:noProof/>
          <w:szCs w:val="24"/>
        </w:rPr>
        <w:t xml:space="preserve"> IAIN Parepare.</w:t>
      </w:r>
    </w:p>
    <w:p w14:paraId="2DFA8ADD"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Anggoro, S., &amp; Miswar, M. (2025). Pembelajaran Kitab Kuning dalam Meningkatkan Pemahaman Agama Islam Siswa di Mudarrisul Abrar Al-Aziziyah. </w:t>
      </w:r>
      <w:r w:rsidRPr="00756949">
        <w:rPr>
          <w:rFonts w:cs="Times New Roman"/>
          <w:i/>
          <w:iCs/>
          <w:noProof/>
          <w:szCs w:val="24"/>
        </w:rPr>
        <w:t>SENTRI: Jurnal Riset Ilmiah</w:t>
      </w:r>
      <w:r w:rsidRPr="00756949">
        <w:rPr>
          <w:rFonts w:cs="Times New Roman"/>
          <w:noProof/>
          <w:szCs w:val="24"/>
        </w:rPr>
        <w:t xml:space="preserve">, </w:t>
      </w:r>
      <w:r w:rsidRPr="00756949">
        <w:rPr>
          <w:rFonts w:cs="Times New Roman"/>
          <w:i/>
          <w:iCs/>
          <w:noProof/>
          <w:szCs w:val="24"/>
        </w:rPr>
        <w:t>4</w:t>
      </w:r>
      <w:r w:rsidRPr="00756949">
        <w:rPr>
          <w:rFonts w:cs="Times New Roman"/>
          <w:noProof/>
          <w:szCs w:val="24"/>
        </w:rPr>
        <w:t>(10), 2598–2610. https://doi.org/10.55681/sentri.v4i10.4818</w:t>
      </w:r>
    </w:p>
    <w:p w14:paraId="7FAE0152"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Fadila, F., Safriani, Eliana, &amp; Khaddafi, M. (2025). PENGUMPULAN DATA DALAM PENELITIAN KUALITATIF: WAWANCARA. </w:t>
      </w:r>
      <w:r w:rsidRPr="00756949">
        <w:rPr>
          <w:rFonts w:cs="Times New Roman"/>
          <w:i/>
          <w:iCs/>
          <w:noProof/>
          <w:szCs w:val="24"/>
        </w:rPr>
        <w:t>Jurnal Intelek Insan Cendikia</w:t>
      </w:r>
      <w:r w:rsidRPr="00756949">
        <w:rPr>
          <w:rFonts w:cs="Times New Roman"/>
          <w:noProof/>
          <w:szCs w:val="24"/>
        </w:rPr>
        <w:t xml:space="preserve">, </w:t>
      </w:r>
      <w:r w:rsidRPr="00756949">
        <w:rPr>
          <w:rFonts w:cs="Times New Roman"/>
          <w:i/>
          <w:iCs/>
          <w:noProof/>
          <w:szCs w:val="24"/>
        </w:rPr>
        <w:t>2</w:t>
      </w:r>
      <w:r w:rsidRPr="00756949">
        <w:rPr>
          <w:rFonts w:cs="Times New Roman"/>
          <w:noProof/>
          <w:szCs w:val="24"/>
        </w:rPr>
        <w:t>(7), 13446–13449.</w:t>
      </w:r>
    </w:p>
    <w:p w14:paraId="51759A1A"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Husna, S. S. (2025). Analisis Pendalaman Nahwu Sharaf Dalam Kemampuan Membaca Kitab Kuning: Studi Kasus Santri Putri Ponpes Tebuireng Jombang. </w:t>
      </w:r>
      <w:r w:rsidRPr="00756949">
        <w:rPr>
          <w:rFonts w:cs="Times New Roman"/>
          <w:i/>
          <w:iCs/>
          <w:noProof/>
          <w:szCs w:val="24"/>
        </w:rPr>
        <w:t>Al Ibrah: Journal of Arabic Language Education</w:t>
      </w:r>
      <w:r w:rsidRPr="00756949">
        <w:rPr>
          <w:rFonts w:cs="Times New Roman"/>
          <w:noProof/>
          <w:szCs w:val="24"/>
        </w:rPr>
        <w:t xml:space="preserve">, </w:t>
      </w:r>
      <w:r w:rsidRPr="00756949">
        <w:rPr>
          <w:rFonts w:cs="Times New Roman"/>
          <w:i/>
          <w:iCs/>
          <w:noProof/>
          <w:szCs w:val="24"/>
        </w:rPr>
        <w:t>8</w:t>
      </w:r>
      <w:r w:rsidRPr="00756949">
        <w:rPr>
          <w:rFonts w:cs="Times New Roman"/>
          <w:noProof/>
          <w:szCs w:val="24"/>
        </w:rPr>
        <w:t>(2), 92–100.</w:t>
      </w:r>
    </w:p>
    <w:p w14:paraId="27A5C644"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Muhajirin, Risnita, &amp; Asrulla. (2024). Pendekatan Penelitian Kuantitatif Dan Kualitatif Serta Tahapan Penelitian. </w:t>
      </w:r>
      <w:r w:rsidRPr="00756949">
        <w:rPr>
          <w:rFonts w:cs="Times New Roman"/>
          <w:i/>
          <w:iCs/>
          <w:noProof/>
          <w:szCs w:val="24"/>
        </w:rPr>
        <w:t>Journal Genta Mulia</w:t>
      </w:r>
      <w:r w:rsidRPr="00756949">
        <w:rPr>
          <w:rFonts w:cs="Times New Roman"/>
          <w:noProof/>
          <w:szCs w:val="24"/>
        </w:rPr>
        <w:t xml:space="preserve">, </w:t>
      </w:r>
      <w:r w:rsidRPr="00756949">
        <w:rPr>
          <w:rFonts w:cs="Times New Roman"/>
          <w:i/>
          <w:iCs/>
          <w:noProof/>
          <w:szCs w:val="24"/>
        </w:rPr>
        <w:t>15</w:t>
      </w:r>
      <w:r w:rsidRPr="00756949">
        <w:rPr>
          <w:rFonts w:cs="Times New Roman"/>
          <w:noProof/>
          <w:szCs w:val="24"/>
        </w:rPr>
        <w:t>(1), 82–92.</w:t>
      </w:r>
    </w:p>
    <w:p w14:paraId="1DB3EAFC"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Rahman, E. Z., &amp; Nuraeni., F. (2024). Efektivitas Pembelajaran Metode Amtsilati dalam Meningkatkan Kemampuan Membaca Kitab Kuning Di Pondok Pesantren Ar-Rahman Cidadap-Curug. </w:t>
      </w:r>
      <w:r w:rsidRPr="00756949">
        <w:rPr>
          <w:rFonts w:cs="Times New Roman"/>
          <w:i/>
          <w:iCs/>
          <w:noProof/>
          <w:szCs w:val="24"/>
        </w:rPr>
        <w:t>Ta’dibiya</w:t>
      </w:r>
      <w:r w:rsidRPr="00756949">
        <w:rPr>
          <w:rFonts w:cs="Times New Roman"/>
          <w:noProof/>
          <w:szCs w:val="24"/>
        </w:rPr>
        <w:t xml:space="preserve">, </w:t>
      </w:r>
      <w:r w:rsidRPr="00756949">
        <w:rPr>
          <w:rFonts w:cs="Times New Roman"/>
          <w:i/>
          <w:iCs/>
          <w:noProof/>
          <w:szCs w:val="24"/>
        </w:rPr>
        <w:t>4</w:t>
      </w:r>
      <w:r w:rsidRPr="00756949">
        <w:rPr>
          <w:rFonts w:cs="Times New Roman"/>
          <w:noProof/>
          <w:szCs w:val="24"/>
        </w:rPr>
        <w:t>(2), 108–121.</w:t>
      </w:r>
    </w:p>
    <w:p w14:paraId="1A4A7594"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Salam, M. Y., Suharmon, S., Shidqi, M. H., Yozi, S., &amp; Jistito, D. (2025). Tradisi Keilmuan Pesantren Melalui Integrasi Sorogan dan Bandongan dalam Pembelajaran Kitab Kuning di Sumatera Barat. </w:t>
      </w:r>
      <w:r w:rsidRPr="00756949">
        <w:rPr>
          <w:rFonts w:cs="Times New Roman"/>
          <w:i/>
          <w:iCs/>
          <w:noProof/>
          <w:szCs w:val="24"/>
        </w:rPr>
        <w:t>At-Tasyrih: Jurnal Pendidikan Dan Hukum Islam</w:t>
      </w:r>
      <w:r w:rsidRPr="00756949">
        <w:rPr>
          <w:rFonts w:cs="Times New Roman"/>
          <w:noProof/>
          <w:szCs w:val="24"/>
        </w:rPr>
        <w:t xml:space="preserve">, </w:t>
      </w:r>
      <w:r w:rsidRPr="00756949">
        <w:rPr>
          <w:rFonts w:cs="Times New Roman"/>
          <w:i/>
          <w:iCs/>
          <w:noProof/>
          <w:szCs w:val="24"/>
        </w:rPr>
        <w:t>11</w:t>
      </w:r>
      <w:r w:rsidRPr="00756949">
        <w:rPr>
          <w:rFonts w:cs="Times New Roman"/>
          <w:noProof/>
          <w:szCs w:val="24"/>
        </w:rPr>
        <w:t>(2), 27–46. https://ejournal.iainbatanghari.ac.id/index.php/attasyrih/index</w:t>
      </w:r>
    </w:p>
    <w:p w14:paraId="358D72CD"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Sarita, A. A., &amp; Imawati, E. (2023). Peningkatan Keterampilan Memahami Teks Laporan Hasil Observasi Menggunakan Metode Diskusi Siswa Kelas VIII. </w:t>
      </w:r>
      <w:r w:rsidRPr="00756949">
        <w:rPr>
          <w:rFonts w:cs="Times New Roman"/>
          <w:i/>
          <w:iCs/>
          <w:noProof/>
          <w:szCs w:val="24"/>
        </w:rPr>
        <w:t>Prosiding Seminar Akademik Pendidikan Bahasa Dan Sastra Indonesia</w:t>
      </w:r>
      <w:r w:rsidRPr="00756949">
        <w:rPr>
          <w:rFonts w:cs="Times New Roman"/>
          <w:noProof/>
          <w:szCs w:val="24"/>
        </w:rPr>
        <w:t xml:space="preserve">, </w:t>
      </w:r>
      <w:r w:rsidRPr="00756949">
        <w:rPr>
          <w:rFonts w:cs="Times New Roman"/>
          <w:i/>
          <w:iCs/>
          <w:noProof/>
          <w:szCs w:val="24"/>
        </w:rPr>
        <w:t>1</w:t>
      </w:r>
      <w:r w:rsidRPr="00756949">
        <w:rPr>
          <w:rFonts w:cs="Times New Roman"/>
          <w:noProof/>
          <w:szCs w:val="24"/>
        </w:rPr>
        <w:t>(2), 59–63.</w:t>
      </w:r>
    </w:p>
    <w:p w14:paraId="0E79F99E" w14:textId="77777777" w:rsidR="00756949" w:rsidRPr="00756949" w:rsidRDefault="00756949" w:rsidP="00756949">
      <w:pPr>
        <w:widowControl w:val="0"/>
        <w:autoSpaceDE w:val="0"/>
        <w:autoSpaceDN w:val="0"/>
        <w:adjustRightInd w:val="0"/>
        <w:ind w:left="480" w:hanging="480"/>
        <w:rPr>
          <w:rFonts w:cs="Times New Roman"/>
          <w:noProof/>
          <w:szCs w:val="24"/>
        </w:rPr>
      </w:pPr>
      <w:r w:rsidRPr="00756949">
        <w:rPr>
          <w:rFonts w:cs="Times New Roman"/>
          <w:noProof/>
          <w:szCs w:val="24"/>
        </w:rPr>
        <w:t xml:space="preserve">Sibuea, S. A., Amini, Ardini, R., Aminah, S., &amp; Mailida, Y. (2024). Pengaruh Strategi Pembelajaran dan Motivasi Belajar terhadap Pemahaman Siswa. </w:t>
      </w:r>
      <w:r w:rsidRPr="00756949">
        <w:rPr>
          <w:rFonts w:cs="Times New Roman"/>
          <w:i/>
          <w:iCs/>
          <w:noProof/>
          <w:szCs w:val="24"/>
        </w:rPr>
        <w:t>PUSTAKA: Jurnal Bahasa Dan Pendidikan</w:t>
      </w:r>
      <w:r w:rsidRPr="00756949">
        <w:rPr>
          <w:rFonts w:cs="Times New Roman"/>
          <w:noProof/>
          <w:szCs w:val="24"/>
        </w:rPr>
        <w:t xml:space="preserve">, </w:t>
      </w:r>
      <w:r w:rsidRPr="00756949">
        <w:rPr>
          <w:rFonts w:cs="Times New Roman"/>
          <w:i/>
          <w:iCs/>
          <w:noProof/>
          <w:szCs w:val="24"/>
        </w:rPr>
        <w:t>4</w:t>
      </w:r>
      <w:r w:rsidRPr="00756949">
        <w:rPr>
          <w:rFonts w:cs="Times New Roman"/>
          <w:noProof/>
          <w:szCs w:val="24"/>
        </w:rPr>
        <w:t>(1), 234–240.</w:t>
      </w:r>
    </w:p>
    <w:p w14:paraId="20DB9CF3" w14:textId="51842DF8" w:rsidR="00EB2847" w:rsidRPr="008F39A9" w:rsidRDefault="00756949" w:rsidP="00412C8C">
      <w:pPr>
        <w:widowControl w:val="0"/>
        <w:autoSpaceDE w:val="0"/>
        <w:autoSpaceDN w:val="0"/>
        <w:adjustRightInd w:val="0"/>
        <w:ind w:left="480" w:hanging="480"/>
        <w:rPr>
          <w:lang w:val="en-US"/>
        </w:rPr>
      </w:pPr>
      <w:r w:rsidRPr="00756949">
        <w:rPr>
          <w:rFonts w:cs="Times New Roman"/>
          <w:noProof/>
          <w:szCs w:val="24"/>
        </w:rPr>
        <w:t xml:space="preserve">Wulandari, S. (2022). Optimalisasi Penguasaan Materi Pelajaran dan Kemampuan Mengelola Kelas dalam Meningkatkan Kompetensi Mengajar Guru Pendidikan Agama Islam. </w:t>
      </w:r>
      <w:r w:rsidRPr="00756949">
        <w:rPr>
          <w:rFonts w:cs="Times New Roman"/>
          <w:i/>
          <w:iCs/>
          <w:noProof/>
          <w:szCs w:val="24"/>
        </w:rPr>
        <w:t>Chalim Journal of Teaching and Learning</w:t>
      </w:r>
      <w:r w:rsidRPr="00756949">
        <w:rPr>
          <w:rFonts w:cs="Times New Roman"/>
          <w:noProof/>
          <w:szCs w:val="24"/>
        </w:rPr>
        <w:t xml:space="preserve">, </w:t>
      </w:r>
      <w:r w:rsidRPr="00756949">
        <w:rPr>
          <w:rFonts w:cs="Times New Roman"/>
          <w:i/>
          <w:iCs/>
          <w:noProof/>
          <w:szCs w:val="24"/>
        </w:rPr>
        <w:t>1</w:t>
      </w:r>
      <w:r w:rsidRPr="00756949">
        <w:rPr>
          <w:rFonts w:cs="Times New Roman"/>
          <w:noProof/>
          <w:szCs w:val="24"/>
        </w:rPr>
        <w:t>(2), 129–137. https://doi.org/10.31538/cjotl.v1i2.134</w:t>
      </w:r>
      <w:r>
        <w:rPr>
          <w:lang w:val="en-US"/>
        </w:rPr>
        <w:fldChar w:fldCharType="end"/>
      </w:r>
    </w:p>
    <w:sectPr w:rsidR="00EB2847" w:rsidRPr="008F39A9" w:rsidSect="0080596A">
      <w:footerReference w:type="default" r:id="rId14"/>
      <w:headerReference w:type="first" r:id="rId15"/>
      <w:pgSz w:w="11906" w:h="16838" w:code="9"/>
      <w:pgMar w:top="2127" w:right="1701" w:bottom="1701" w:left="2268" w:header="567"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Riview 1" w:date="2026-03-03T15:42:00Z" w:initials="l">
    <w:p w14:paraId="63709307" w14:textId="22CC9FAB" w:rsidR="007B368C" w:rsidRPr="007B368C" w:rsidRDefault="007B368C">
      <w:pPr>
        <w:pStyle w:val="CommentText"/>
        <w:rPr>
          <w:lang w:val="en-US"/>
        </w:rPr>
      </w:pPr>
      <w:r>
        <w:rPr>
          <w:rStyle w:val="CommentReference"/>
        </w:rPr>
        <w:annotationRef/>
      </w:r>
      <w:r>
        <w:rPr>
          <w:lang w:val="en-US"/>
        </w:rPr>
        <w:t>Judul harus huruf Kapital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37093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709307" w16cid:durableId="2D51AE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955CF" w14:textId="77777777" w:rsidR="00661D45" w:rsidRDefault="00661D45" w:rsidP="003F7CBE">
      <w:r>
        <w:separator/>
      </w:r>
    </w:p>
  </w:endnote>
  <w:endnote w:type="continuationSeparator" w:id="0">
    <w:p w14:paraId="2221DE71" w14:textId="77777777" w:rsidR="00661D45" w:rsidRDefault="00661D4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3B47A" w14:textId="654D795E"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B368C">
          <w:rPr>
            <w:noProof/>
          </w:rPr>
          <w:t>6</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90779" w14:textId="77777777" w:rsidR="00661D45" w:rsidRDefault="00661D45" w:rsidP="003F7CBE">
      <w:r>
        <w:separator/>
      </w:r>
    </w:p>
  </w:footnote>
  <w:footnote w:type="continuationSeparator" w:id="0">
    <w:p w14:paraId="6BBA286D" w14:textId="77777777" w:rsidR="00661D45" w:rsidRDefault="00661D45"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US"/>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42E3DE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C213E4"/>
    <w:multiLevelType w:val="hybridMultilevel"/>
    <w:tmpl w:val="8C92597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434A87"/>
    <w:multiLevelType w:val="hybridMultilevel"/>
    <w:tmpl w:val="ACC48FB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1CE0CE6"/>
    <w:multiLevelType w:val="hybridMultilevel"/>
    <w:tmpl w:val="054C93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3897A0B"/>
    <w:multiLevelType w:val="hybridMultilevel"/>
    <w:tmpl w:val="92901C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3652337A"/>
    <w:multiLevelType w:val="hybridMultilevel"/>
    <w:tmpl w:val="FE083A7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B890E1B"/>
    <w:multiLevelType w:val="hybridMultilevel"/>
    <w:tmpl w:val="782E0B76"/>
    <w:lvl w:ilvl="0" w:tplc="005876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C1E5733"/>
    <w:multiLevelType w:val="hybridMultilevel"/>
    <w:tmpl w:val="BF96599E"/>
    <w:lvl w:ilvl="0" w:tplc="3C1210B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CC97709"/>
    <w:multiLevelType w:val="hybridMultilevel"/>
    <w:tmpl w:val="DB5842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2823965"/>
    <w:multiLevelType w:val="hybridMultilevel"/>
    <w:tmpl w:val="13C00E7E"/>
    <w:lvl w:ilvl="0" w:tplc="38090001">
      <w:start w:val="1"/>
      <w:numFmt w:val="bullet"/>
      <w:lvlText w:val=""/>
      <w:lvlJc w:val="left"/>
      <w:pPr>
        <w:ind w:left="1004" w:hanging="360"/>
      </w:pPr>
      <w:rPr>
        <w:rFonts w:ascii="Symbol" w:hAnsi="Symbol" w:hint="default"/>
      </w:rPr>
    </w:lvl>
    <w:lvl w:ilvl="1" w:tplc="38090003" w:tentative="1">
      <w:start w:val="1"/>
      <w:numFmt w:val="bullet"/>
      <w:lvlText w:val="o"/>
      <w:lvlJc w:val="left"/>
      <w:pPr>
        <w:ind w:left="1724" w:hanging="360"/>
      </w:pPr>
      <w:rPr>
        <w:rFonts w:ascii="Courier New" w:hAnsi="Courier New" w:cs="Courier New" w:hint="default"/>
      </w:rPr>
    </w:lvl>
    <w:lvl w:ilvl="2" w:tplc="38090005" w:tentative="1">
      <w:start w:val="1"/>
      <w:numFmt w:val="bullet"/>
      <w:lvlText w:val=""/>
      <w:lvlJc w:val="left"/>
      <w:pPr>
        <w:ind w:left="2444" w:hanging="360"/>
      </w:pPr>
      <w:rPr>
        <w:rFonts w:ascii="Wingdings" w:hAnsi="Wingdings" w:hint="default"/>
      </w:rPr>
    </w:lvl>
    <w:lvl w:ilvl="3" w:tplc="38090001" w:tentative="1">
      <w:start w:val="1"/>
      <w:numFmt w:val="bullet"/>
      <w:lvlText w:val=""/>
      <w:lvlJc w:val="left"/>
      <w:pPr>
        <w:ind w:left="3164" w:hanging="360"/>
      </w:pPr>
      <w:rPr>
        <w:rFonts w:ascii="Symbol" w:hAnsi="Symbol" w:hint="default"/>
      </w:rPr>
    </w:lvl>
    <w:lvl w:ilvl="4" w:tplc="38090003" w:tentative="1">
      <w:start w:val="1"/>
      <w:numFmt w:val="bullet"/>
      <w:lvlText w:val="o"/>
      <w:lvlJc w:val="left"/>
      <w:pPr>
        <w:ind w:left="3884" w:hanging="360"/>
      </w:pPr>
      <w:rPr>
        <w:rFonts w:ascii="Courier New" w:hAnsi="Courier New" w:cs="Courier New" w:hint="default"/>
      </w:rPr>
    </w:lvl>
    <w:lvl w:ilvl="5" w:tplc="38090005" w:tentative="1">
      <w:start w:val="1"/>
      <w:numFmt w:val="bullet"/>
      <w:lvlText w:val=""/>
      <w:lvlJc w:val="left"/>
      <w:pPr>
        <w:ind w:left="4604" w:hanging="360"/>
      </w:pPr>
      <w:rPr>
        <w:rFonts w:ascii="Wingdings" w:hAnsi="Wingdings" w:hint="default"/>
      </w:rPr>
    </w:lvl>
    <w:lvl w:ilvl="6" w:tplc="38090001" w:tentative="1">
      <w:start w:val="1"/>
      <w:numFmt w:val="bullet"/>
      <w:lvlText w:val=""/>
      <w:lvlJc w:val="left"/>
      <w:pPr>
        <w:ind w:left="5324" w:hanging="360"/>
      </w:pPr>
      <w:rPr>
        <w:rFonts w:ascii="Symbol" w:hAnsi="Symbol" w:hint="default"/>
      </w:rPr>
    </w:lvl>
    <w:lvl w:ilvl="7" w:tplc="38090003" w:tentative="1">
      <w:start w:val="1"/>
      <w:numFmt w:val="bullet"/>
      <w:lvlText w:val="o"/>
      <w:lvlJc w:val="left"/>
      <w:pPr>
        <w:ind w:left="6044" w:hanging="360"/>
      </w:pPr>
      <w:rPr>
        <w:rFonts w:ascii="Courier New" w:hAnsi="Courier New" w:cs="Courier New" w:hint="default"/>
      </w:rPr>
    </w:lvl>
    <w:lvl w:ilvl="8" w:tplc="38090005" w:tentative="1">
      <w:start w:val="1"/>
      <w:numFmt w:val="bullet"/>
      <w:lvlText w:val=""/>
      <w:lvlJc w:val="left"/>
      <w:pPr>
        <w:ind w:left="6764" w:hanging="360"/>
      </w:pPr>
      <w:rPr>
        <w:rFonts w:ascii="Wingdings" w:hAnsi="Wingdings" w:hint="default"/>
      </w:rPr>
    </w:lvl>
  </w:abstractNum>
  <w:abstractNum w:abstractNumId="10" w15:restartNumberingAfterBreak="0">
    <w:nsid w:val="73BD7545"/>
    <w:multiLevelType w:val="hybridMultilevel"/>
    <w:tmpl w:val="3D8A20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76D475A7"/>
    <w:multiLevelType w:val="hybridMultilevel"/>
    <w:tmpl w:val="C4C6861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E2119BE"/>
    <w:multiLevelType w:val="hybridMultilevel"/>
    <w:tmpl w:val="1CCE7D3A"/>
    <w:lvl w:ilvl="0" w:tplc="AF78FB68">
      <w:start w:val="1"/>
      <w:numFmt w:val="decimal"/>
      <w:lvlText w:val="%1."/>
      <w:lvlJc w:val="left"/>
      <w:pPr>
        <w:ind w:left="1080" w:hanging="360"/>
      </w:pPr>
      <w:rPr>
        <w:rFonts w:hint="default"/>
        <w:b/>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2124961882">
    <w:abstractNumId w:val="10"/>
  </w:num>
  <w:num w:numId="2" w16cid:durableId="1234850502">
    <w:abstractNumId w:val="1"/>
  </w:num>
  <w:num w:numId="3" w16cid:durableId="1741709172">
    <w:abstractNumId w:val="3"/>
  </w:num>
  <w:num w:numId="4" w16cid:durableId="1423183310">
    <w:abstractNumId w:val="11"/>
  </w:num>
  <w:num w:numId="5" w16cid:durableId="1804038559">
    <w:abstractNumId w:val="5"/>
  </w:num>
  <w:num w:numId="6" w16cid:durableId="1552962245">
    <w:abstractNumId w:val="4"/>
  </w:num>
  <w:num w:numId="7" w16cid:durableId="350643058">
    <w:abstractNumId w:val="9"/>
  </w:num>
  <w:num w:numId="8" w16cid:durableId="757362313">
    <w:abstractNumId w:val="2"/>
  </w:num>
  <w:num w:numId="9" w16cid:durableId="460464249">
    <w:abstractNumId w:val="7"/>
  </w:num>
  <w:num w:numId="10" w16cid:durableId="1802915214">
    <w:abstractNumId w:val="12"/>
  </w:num>
  <w:num w:numId="11" w16cid:durableId="2059888635">
    <w:abstractNumId w:val="8"/>
  </w:num>
  <w:num w:numId="12" w16cid:durableId="1506091271">
    <w:abstractNumId w:val="6"/>
  </w:num>
  <w:num w:numId="13" w16cid:durableId="1180321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view 1">
    <w15:presenceInfo w15:providerId="None" w15:userId="Riview 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15A81"/>
    <w:rsid w:val="00033FF5"/>
    <w:rsid w:val="00060C6B"/>
    <w:rsid w:val="000646B1"/>
    <w:rsid w:val="000E493D"/>
    <w:rsid w:val="001126BA"/>
    <w:rsid w:val="00113FB7"/>
    <w:rsid w:val="0011649D"/>
    <w:rsid w:val="0015187E"/>
    <w:rsid w:val="00183669"/>
    <w:rsid w:val="00191577"/>
    <w:rsid w:val="001C3277"/>
    <w:rsid w:val="001C472D"/>
    <w:rsid w:val="00201A8F"/>
    <w:rsid w:val="00211710"/>
    <w:rsid w:val="00247666"/>
    <w:rsid w:val="002A0D4A"/>
    <w:rsid w:val="002D1971"/>
    <w:rsid w:val="002D69F8"/>
    <w:rsid w:val="002E2762"/>
    <w:rsid w:val="0032778E"/>
    <w:rsid w:val="00355670"/>
    <w:rsid w:val="00362B2B"/>
    <w:rsid w:val="003768F7"/>
    <w:rsid w:val="0038794D"/>
    <w:rsid w:val="003A5AE0"/>
    <w:rsid w:val="003B4800"/>
    <w:rsid w:val="003D426A"/>
    <w:rsid w:val="003F7CBE"/>
    <w:rsid w:val="00412C8C"/>
    <w:rsid w:val="004277AF"/>
    <w:rsid w:val="00433560"/>
    <w:rsid w:val="00441E0A"/>
    <w:rsid w:val="0046265C"/>
    <w:rsid w:val="004755C0"/>
    <w:rsid w:val="004A6306"/>
    <w:rsid w:val="0051193C"/>
    <w:rsid w:val="0054223F"/>
    <w:rsid w:val="00560F57"/>
    <w:rsid w:val="005730DE"/>
    <w:rsid w:val="00585578"/>
    <w:rsid w:val="00591112"/>
    <w:rsid w:val="005938E3"/>
    <w:rsid w:val="005C4793"/>
    <w:rsid w:val="00612379"/>
    <w:rsid w:val="006332E2"/>
    <w:rsid w:val="00661D45"/>
    <w:rsid w:val="006663F4"/>
    <w:rsid w:val="00694D00"/>
    <w:rsid w:val="006A58FC"/>
    <w:rsid w:val="006D061E"/>
    <w:rsid w:val="006D4715"/>
    <w:rsid w:val="006D63F3"/>
    <w:rsid w:val="007158B6"/>
    <w:rsid w:val="00717CFC"/>
    <w:rsid w:val="0072351E"/>
    <w:rsid w:val="00732BDC"/>
    <w:rsid w:val="00756949"/>
    <w:rsid w:val="00764C40"/>
    <w:rsid w:val="00785CA4"/>
    <w:rsid w:val="00785F59"/>
    <w:rsid w:val="007B368C"/>
    <w:rsid w:val="007E5D17"/>
    <w:rsid w:val="007F5EAA"/>
    <w:rsid w:val="00802A84"/>
    <w:rsid w:val="0080596A"/>
    <w:rsid w:val="008239EE"/>
    <w:rsid w:val="00835DC8"/>
    <w:rsid w:val="00890DBB"/>
    <w:rsid w:val="00897DED"/>
    <w:rsid w:val="008F39A9"/>
    <w:rsid w:val="008F51D7"/>
    <w:rsid w:val="008F7F7E"/>
    <w:rsid w:val="009016D7"/>
    <w:rsid w:val="00941C17"/>
    <w:rsid w:val="00950B41"/>
    <w:rsid w:val="00974D16"/>
    <w:rsid w:val="009D5565"/>
    <w:rsid w:val="009E0585"/>
    <w:rsid w:val="009E5227"/>
    <w:rsid w:val="009E7747"/>
    <w:rsid w:val="00A2391A"/>
    <w:rsid w:val="00A253A1"/>
    <w:rsid w:val="00A27A0C"/>
    <w:rsid w:val="00A358DC"/>
    <w:rsid w:val="00A43863"/>
    <w:rsid w:val="00A66077"/>
    <w:rsid w:val="00A73591"/>
    <w:rsid w:val="00A919ED"/>
    <w:rsid w:val="00A954C0"/>
    <w:rsid w:val="00B01F33"/>
    <w:rsid w:val="00B03C3D"/>
    <w:rsid w:val="00B06E1E"/>
    <w:rsid w:val="00B078B5"/>
    <w:rsid w:val="00B27BD9"/>
    <w:rsid w:val="00B6718A"/>
    <w:rsid w:val="00B77349"/>
    <w:rsid w:val="00C3556C"/>
    <w:rsid w:val="00C54FC0"/>
    <w:rsid w:val="00C96C96"/>
    <w:rsid w:val="00CE3CF7"/>
    <w:rsid w:val="00CE5CD5"/>
    <w:rsid w:val="00D10978"/>
    <w:rsid w:val="00D12A53"/>
    <w:rsid w:val="00D35E4D"/>
    <w:rsid w:val="00D77BE3"/>
    <w:rsid w:val="00D831F4"/>
    <w:rsid w:val="00D8540B"/>
    <w:rsid w:val="00DB18FA"/>
    <w:rsid w:val="00DC3341"/>
    <w:rsid w:val="00DC4025"/>
    <w:rsid w:val="00DC6983"/>
    <w:rsid w:val="00E56E74"/>
    <w:rsid w:val="00E774A3"/>
    <w:rsid w:val="00EA55E4"/>
    <w:rsid w:val="00EA736E"/>
    <w:rsid w:val="00EB2847"/>
    <w:rsid w:val="00EC39C4"/>
    <w:rsid w:val="00ED53C6"/>
    <w:rsid w:val="00EE5DBE"/>
    <w:rsid w:val="00EF616D"/>
    <w:rsid w:val="00F57819"/>
    <w:rsid w:val="00F678AA"/>
    <w:rsid w:val="00F75B47"/>
    <w:rsid w:val="00F86200"/>
    <w:rsid w:val="00FA474A"/>
    <w:rsid w:val="00FB50A5"/>
    <w:rsid w:val="00FB708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1">
    <w:name w:val="Unresolved Mention1"/>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A27A0C"/>
    <w:pPr>
      <w:ind w:left="720"/>
      <w:contextualSpacing/>
    </w:pPr>
  </w:style>
  <w:style w:type="paragraph" w:styleId="ListBullet">
    <w:name w:val="List Bullet"/>
    <w:basedOn w:val="Normal"/>
    <w:uiPriority w:val="99"/>
    <w:unhideWhenUsed/>
    <w:rsid w:val="00355670"/>
    <w:pPr>
      <w:numPr>
        <w:numId w:val="13"/>
      </w:numPr>
      <w:spacing w:line="276" w:lineRule="auto"/>
      <w:contextualSpacing/>
      <w:jc w:val="left"/>
    </w:pPr>
    <w:rPr>
      <w:rFonts w:eastAsia="Times New Roman"/>
      <w:sz w:val="24"/>
      <w:lang w:val="en-US"/>
    </w:rPr>
  </w:style>
  <w:style w:type="character" w:styleId="CommentReference">
    <w:name w:val="annotation reference"/>
    <w:basedOn w:val="DefaultParagraphFont"/>
    <w:uiPriority w:val="99"/>
    <w:semiHidden/>
    <w:unhideWhenUsed/>
    <w:rsid w:val="007B368C"/>
    <w:rPr>
      <w:sz w:val="16"/>
      <w:szCs w:val="16"/>
    </w:rPr>
  </w:style>
  <w:style w:type="paragraph" w:styleId="CommentText">
    <w:name w:val="annotation text"/>
    <w:basedOn w:val="Normal"/>
    <w:link w:val="CommentTextChar"/>
    <w:uiPriority w:val="99"/>
    <w:semiHidden/>
    <w:unhideWhenUsed/>
    <w:rsid w:val="007B368C"/>
    <w:rPr>
      <w:sz w:val="20"/>
      <w:szCs w:val="20"/>
    </w:rPr>
  </w:style>
  <w:style w:type="character" w:customStyle="1" w:styleId="CommentTextChar">
    <w:name w:val="Comment Text Char"/>
    <w:basedOn w:val="DefaultParagraphFont"/>
    <w:link w:val="CommentText"/>
    <w:uiPriority w:val="99"/>
    <w:semiHidden/>
    <w:rsid w:val="007B368C"/>
    <w:rPr>
      <w:sz w:val="20"/>
      <w:szCs w:val="20"/>
    </w:rPr>
  </w:style>
  <w:style w:type="paragraph" w:styleId="CommentSubject">
    <w:name w:val="annotation subject"/>
    <w:basedOn w:val="CommentText"/>
    <w:next w:val="CommentText"/>
    <w:link w:val="CommentSubjectChar"/>
    <w:uiPriority w:val="99"/>
    <w:semiHidden/>
    <w:unhideWhenUsed/>
    <w:rsid w:val="007B368C"/>
    <w:rPr>
      <w:b/>
      <w:bCs/>
    </w:rPr>
  </w:style>
  <w:style w:type="character" w:customStyle="1" w:styleId="CommentSubjectChar">
    <w:name w:val="Comment Subject Char"/>
    <w:basedOn w:val="CommentTextChar"/>
    <w:link w:val="CommentSubject"/>
    <w:uiPriority w:val="99"/>
    <w:semiHidden/>
    <w:rsid w:val="007B36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yuliakamila32@gmail.com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olchanghozali99@gmail.com2"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hfatoni757@gmail.com1" TargetMode="Externa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16F0C-FC9E-4DE8-9216-2D2E1F895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6</Pages>
  <Words>5933</Words>
  <Characters>33819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LIESTA AUGUSTINE</cp:lastModifiedBy>
  <cp:revision>24</cp:revision>
  <cp:lastPrinted>2018-01-25T05:27:00Z</cp:lastPrinted>
  <dcterms:created xsi:type="dcterms:W3CDTF">2026-02-25T07:44:00Z</dcterms:created>
  <dcterms:modified xsi:type="dcterms:W3CDTF">2026-03-03T13:51:00Z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e06d0bd4-0df5-3603-b2ae-6a2e010b94b6</vt:lpwstr>
  </property>
  <property fmtid="{D5CDD505-2E9C-101B-9397-08002B2CF9AE}" pid="25" name="Mendeley Citation Style_1">
    <vt:lpwstr>http://www.zotero.org/styles/apa</vt:lpwstr>
  </property>
</Properties>
</file>