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91"/>
        <w:tblW w:w="0" w:type="auto"/>
        <w:tblLook w:val="04A0" w:firstRow="1" w:lastRow="0" w:firstColumn="1" w:lastColumn="0" w:noHBand="0" w:noVBand="1"/>
      </w:tblPr>
      <w:tblGrid>
        <w:gridCol w:w="4990"/>
        <w:gridCol w:w="3258"/>
      </w:tblGrid>
      <w:tr w:rsidR="000865AA" w:rsidRPr="00FC7485" w14:paraId="78C4ED76" w14:textId="77777777" w:rsidTr="000865AA">
        <w:trPr>
          <w:trHeight w:val="784"/>
        </w:trPr>
        <w:tc>
          <w:tcPr>
            <w:tcW w:w="4990" w:type="dxa"/>
          </w:tcPr>
          <w:p w14:paraId="3B4CF706" w14:textId="77777777" w:rsidR="000865AA" w:rsidRPr="00FC7485" w:rsidRDefault="000865AA" w:rsidP="004A00C5">
            <w:pPr>
              <w:ind w:right="130"/>
              <w:rPr>
                <w:b/>
              </w:rPr>
            </w:pPr>
            <w:bookmarkStart w:id="0" w:name="_Hlk184812274"/>
            <w:r w:rsidRPr="00FC7485">
              <w:rPr>
                <w:b/>
              </w:rPr>
              <w:t>IBN ABBAS : Jurnal Ilmu Alquran dan Tafsir</w:t>
            </w:r>
          </w:p>
          <w:p w14:paraId="12AD6465" w14:textId="77777777" w:rsidR="000865AA" w:rsidRPr="00FC7485" w:rsidRDefault="000865AA" w:rsidP="004A00C5">
            <w:pPr>
              <w:ind w:right="130"/>
              <w:rPr>
                <w:bCs/>
              </w:rPr>
            </w:pPr>
            <w:hyperlink r:id="rId8" w:history="1">
              <w:r w:rsidRPr="00FC7485">
                <w:rPr>
                  <w:rStyle w:val="Hyperlink"/>
                  <w:bCs/>
                </w:rPr>
                <w:t>https://jurnal.uinsu.ac.id/index.php/ibnabbas</w:t>
              </w:r>
            </w:hyperlink>
          </w:p>
          <w:p w14:paraId="20F1278C" w14:textId="77777777" w:rsidR="000865AA" w:rsidRPr="00FC7485" w:rsidRDefault="000865AA" w:rsidP="004A00C5">
            <w:pPr>
              <w:ind w:right="130"/>
              <w:rPr>
                <w:bCs/>
              </w:rPr>
            </w:pPr>
            <w:r w:rsidRPr="00FC7485">
              <w:rPr>
                <w:spacing w:val="3"/>
                <w:sz w:val="20"/>
              </w:rPr>
              <w:t xml:space="preserve">E- </w:t>
            </w:r>
            <w:r w:rsidRPr="00FC7485">
              <w:rPr>
                <w:sz w:val="20"/>
              </w:rPr>
              <w:t>ISSN</w:t>
            </w:r>
            <w:r w:rsidRPr="00FC7485">
              <w:rPr>
                <w:spacing w:val="1"/>
                <w:sz w:val="20"/>
              </w:rPr>
              <w:t xml:space="preserve"> </w:t>
            </w:r>
            <w:r w:rsidRPr="00FC7485">
              <w:rPr>
                <w:sz w:val="20"/>
              </w:rPr>
              <w:t>:</w:t>
            </w:r>
            <w:r w:rsidRPr="00FC7485">
              <w:rPr>
                <w:spacing w:val="3"/>
                <w:sz w:val="20"/>
              </w:rPr>
              <w:t xml:space="preserve"> </w:t>
            </w:r>
            <w:r w:rsidRPr="00FC7485">
              <w:rPr>
                <w:sz w:val="20"/>
              </w:rPr>
              <w:t>2620-</w:t>
            </w:r>
            <w:r w:rsidRPr="00FC7485">
              <w:rPr>
                <w:spacing w:val="-4"/>
                <w:sz w:val="20"/>
              </w:rPr>
              <w:t>7885</w:t>
            </w:r>
          </w:p>
        </w:tc>
        <w:tc>
          <w:tcPr>
            <w:tcW w:w="3258" w:type="dxa"/>
          </w:tcPr>
          <w:p w14:paraId="5E86E9D1" w14:textId="77777777" w:rsidR="000865AA" w:rsidRPr="00FC7485" w:rsidRDefault="000865AA" w:rsidP="004A00C5">
            <w:pPr>
              <w:ind w:right="130"/>
              <w:rPr>
                <w:b/>
              </w:rPr>
            </w:pPr>
            <w:r w:rsidRPr="00FC7485">
              <w:drawing>
                <wp:anchor distT="0" distB="0" distL="114300" distR="114300" simplePos="0" relativeHeight="251661312" behindDoc="0" locked="0" layoutInCell="1" allowOverlap="1" wp14:anchorId="35D6AF58" wp14:editId="081196F8">
                  <wp:simplePos x="0" y="0"/>
                  <wp:positionH relativeFrom="column">
                    <wp:posOffset>-7289</wp:posOffset>
                  </wp:positionH>
                  <wp:positionV relativeFrom="paragraph">
                    <wp:posOffset>58420</wp:posOffset>
                  </wp:positionV>
                  <wp:extent cx="1929765" cy="533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22748" r="17793"/>
                          <a:stretch/>
                        </pic:blipFill>
                        <pic:spPr bwMode="auto">
                          <a:xfrm>
                            <a:off x="0" y="0"/>
                            <a:ext cx="1929765" cy="533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5EC776C4" w14:textId="77777777" w:rsidR="00452C36" w:rsidRPr="00FC7485" w:rsidRDefault="00452C36" w:rsidP="00AB473D">
      <w:pPr>
        <w:pStyle w:val="BodyText"/>
        <w:jc w:val="center"/>
        <w:rPr>
          <w:b/>
          <w:bCs/>
          <w:sz w:val="28"/>
          <w:szCs w:val="28"/>
        </w:rPr>
      </w:pPr>
    </w:p>
    <w:p w14:paraId="36AB01BD" w14:textId="4BD08560" w:rsidR="00A72127" w:rsidRPr="00597158" w:rsidRDefault="00597158" w:rsidP="00AB473D">
      <w:pPr>
        <w:pStyle w:val="BodyText"/>
        <w:jc w:val="center"/>
        <w:rPr>
          <w:b/>
        </w:rPr>
      </w:pPr>
      <w:r w:rsidRPr="00597158">
        <w:rPr>
          <w:b/>
          <w:bCs/>
        </w:rPr>
        <w:t xml:space="preserve">RELASI AGAMA DAN STRATIFIKASI SOSIAL: ANALISIS SOSIOLOGI AL-QUR’AN TERHADAP FENOMENA KEMISKINAN STRUKTURAL PADA MASYARAKAT PESISIR ACEH </w:t>
      </w:r>
    </w:p>
    <w:p w14:paraId="18182F00" w14:textId="116B9FA5" w:rsidR="00AB473D" w:rsidRPr="00FC7485" w:rsidRDefault="000254A6" w:rsidP="000F5B76">
      <w:pPr>
        <w:autoSpaceDE/>
        <w:autoSpaceDN/>
        <w:spacing w:before="240"/>
        <w:ind w:left="132" w:right="132"/>
        <w:jc w:val="center"/>
        <w:rPr>
          <w:b/>
        </w:rPr>
      </w:pPr>
      <w:r w:rsidRPr="00FC7485">
        <w:rPr>
          <w:b/>
          <w:bCs/>
          <w:sz w:val="24"/>
          <w:szCs w:val="24"/>
        </w:rPr>
        <w:t>Muhammad Roni</w:t>
      </w:r>
      <w:r w:rsidR="00565971">
        <w:rPr>
          <w:b/>
          <w:bCs/>
          <w:sz w:val="24"/>
          <w:szCs w:val="24"/>
        </w:rPr>
        <w:t xml:space="preserve">, </w:t>
      </w:r>
    </w:p>
    <w:p w14:paraId="67AADA5B" w14:textId="1CB07C73" w:rsidR="00452C36" w:rsidRPr="00FC7485" w:rsidRDefault="000254A6" w:rsidP="00565971">
      <w:pPr>
        <w:jc w:val="center"/>
        <w:rPr>
          <w:b/>
          <w:bCs/>
          <w:sz w:val="24"/>
          <w:szCs w:val="24"/>
        </w:rPr>
      </w:pPr>
      <w:r w:rsidRPr="00FC7485">
        <w:rPr>
          <w:sz w:val="24"/>
          <w:szCs w:val="24"/>
        </w:rPr>
        <w:t xml:space="preserve">Institut Agama Islam Negeri Langsa, </w:t>
      </w:r>
      <w:hyperlink r:id="rId10" w:history="1">
        <w:r w:rsidR="00565971" w:rsidRPr="00FC7485">
          <w:rPr>
            <w:rStyle w:val="Hyperlink"/>
            <w:sz w:val="24"/>
            <w:szCs w:val="24"/>
          </w:rPr>
          <w:t>muhammad_roni@iainlangsa.ac.id</w:t>
        </w:r>
      </w:hyperlink>
    </w:p>
    <w:p w14:paraId="57E2C198" w14:textId="77777777" w:rsidR="00565971" w:rsidRDefault="00565971" w:rsidP="00452C36">
      <w:pPr>
        <w:ind w:left="2520"/>
        <w:rPr>
          <w:b/>
          <w:bCs/>
          <w:sz w:val="24"/>
          <w:szCs w:val="24"/>
        </w:rPr>
      </w:pPr>
    </w:p>
    <w:p w14:paraId="2AAF141A" w14:textId="4CE6A17D" w:rsidR="00565971" w:rsidRDefault="00565971" w:rsidP="00565971">
      <w:pPr>
        <w:jc w:val="center"/>
        <w:rPr>
          <w:b/>
          <w:bCs/>
          <w:sz w:val="24"/>
          <w:szCs w:val="24"/>
        </w:rPr>
      </w:pPr>
      <w:r w:rsidRPr="00565971">
        <w:rPr>
          <w:b/>
          <w:bCs/>
          <w:sz w:val="24"/>
          <w:szCs w:val="24"/>
        </w:rPr>
        <w:t>Deni Hamdani</w:t>
      </w:r>
    </w:p>
    <w:p w14:paraId="5EAFCF42" w14:textId="39486509" w:rsidR="000254A6" w:rsidRPr="00FC7485" w:rsidRDefault="00565971" w:rsidP="00565971">
      <w:pPr>
        <w:jc w:val="center"/>
        <w:rPr>
          <w:b/>
          <w:bCs/>
          <w:sz w:val="24"/>
          <w:szCs w:val="24"/>
        </w:rPr>
      </w:pPr>
      <w:r w:rsidRPr="00565971">
        <w:rPr>
          <w:sz w:val="24"/>
          <w:szCs w:val="24"/>
        </w:rPr>
        <w:t>S</w:t>
      </w:r>
      <w:r>
        <w:rPr>
          <w:sz w:val="24"/>
          <w:szCs w:val="24"/>
        </w:rPr>
        <w:t xml:space="preserve">ekolah </w:t>
      </w:r>
      <w:r w:rsidRPr="00565971">
        <w:rPr>
          <w:sz w:val="24"/>
          <w:szCs w:val="24"/>
        </w:rPr>
        <w:t>T</w:t>
      </w:r>
      <w:r>
        <w:rPr>
          <w:sz w:val="24"/>
          <w:szCs w:val="24"/>
        </w:rPr>
        <w:t xml:space="preserve">inggi </w:t>
      </w:r>
      <w:r w:rsidRPr="00565971">
        <w:rPr>
          <w:sz w:val="24"/>
          <w:szCs w:val="24"/>
        </w:rPr>
        <w:t>A</w:t>
      </w:r>
      <w:r>
        <w:rPr>
          <w:sz w:val="24"/>
          <w:szCs w:val="24"/>
        </w:rPr>
        <w:t xml:space="preserve">gama </w:t>
      </w:r>
      <w:r w:rsidRPr="00565971">
        <w:rPr>
          <w:sz w:val="24"/>
          <w:szCs w:val="24"/>
        </w:rPr>
        <w:t>I</w:t>
      </w:r>
      <w:r>
        <w:rPr>
          <w:sz w:val="24"/>
          <w:szCs w:val="24"/>
        </w:rPr>
        <w:t>slam</w:t>
      </w:r>
      <w:r w:rsidRPr="00565971">
        <w:rPr>
          <w:sz w:val="24"/>
          <w:szCs w:val="24"/>
        </w:rPr>
        <w:t xml:space="preserve"> Ar-Ridho </w:t>
      </w:r>
      <w:r w:rsidRPr="00565971">
        <w:rPr>
          <w:sz w:val="24"/>
          <w:szCs w:val="24"/>
        </w:rPr>
        <w:t>Bagansiapiapi</w:t>
      </w:r>
      <w:r>
        <w:rPr>
          <w:b/>
          <w:bCs/>
          <w:sz w:val="24"/>
          <w:szCs w:val="24"/>
        </w:rPr>
        <w:t xml:space="preserve">,  </w:t>
      </w:r>
      <w:hyperlink r:id="rId11" w:history="1">
        <w:r w:rsidRPr="00565971">
          <w:rPr>
            <w:rStyle w:val="Hyperlink"/>
            <w:sz w:val="24"/>
            <w:szCs w:val="24"/>
          </w:rPr>
          <w:t>denirtaq@gmail.com</w:t>
        </w:r>
      </w:hyperlink>
    </w:p>
    <w:p w14:paraId="023F331C" w14:textId="77777777" w:rsidR="00A72127" w:rsidRPr="00FC7485" w:rsidRDefault="00A72127">
      <w:pPr>
        <w:pStyle w:val="BodyText"/>
        <w:spacing w:before="11"/>
        <w:rPr>
          <w:sz w:val="20"/>
        </w:rPr>
      </w:pPr>
    </w:p>
    <w:p w14:paraId="74E253DF" w14:textId="794A33D0" w:rsidR="0004116B" w:rsidRPr="00FC7485" w:rsidRDefault="00AB473D" w:rsidP="00B15C17">
      <w:pPr>
        <w:ind w:right="3"/>
        <w:jc w:val="center"/>
        <w:rPr>
          <w:b/>
        </w:rPr>
      </w:pPr>
      <w:r w:rsidRPr="00FC7485">
        <w:rPr>
          <w:b/>
        </w:rPr>
        <w:t>Abstrak</w:t>
      </w:r>
    </w:p>
    <w:p w14:paraId="7B50112B" w14:textId="77777777" w:rsidR="000254A6" w:rsidRPr="00FC7485" w:rsidRDefault="000254A6" w:rsidP="000254A6">
      <w:pPr>
        <w:tabs>
          <w:tab w:val="left" w:pos="1985"/>
        </w:tabs>
        <w:jc w:val="both"/>
        <w:rPr>
          <w:sz w:val="24"/>
          <w:szCs w:val="24"/>
        </w:rPr>
      </w:pPr>
      <w:r w:rsidRPr="00FC7485">
        <w:rPr>
          <w:sz w:val="24"/>
          <w:szCs w:val="24"/>
        </w:rPr>
        <w:t>Kemiskinan struktural pada masyarakat pesisir Aceh tidak hanya disebabkan oleh faktor ekonomi dan kebijakan, tetapi juga dipengaruhi oleh relasi agama dan stratifikasi sosial. Penelitian ini bertujuan menganalisis bagaimana pemaknaan ajaran agama, khususnya melalui perspektif sosiologi Al-Qur’an, membentuk dan mempertahankan stratifikasi sosial yang melanggengkan kemiskinan struktural. Metode yang digunakan adalah kualitatif dengan pendekatan tafsir tematik (maudhu’i) terhadap ayat-ayat Al-Qur’an yang relevan, dikombinasikan dengan observasi dan wawancara mendalam pada masyarakat pesisir Aceh. Hasil penelitian menunjukkan bahwa interpretasi agama yang bersifat hierarkis dan fatalistik cenderung memperkuat legitimasi ketimpangan sosial, di mana kelompok nelayan miskin menerima status mereka sebagai takdir. Sebaliknya, pemaknaan agama yang berorientasi pada keadilan sosial dan etos kerja kritis—seperti konsep khalifah dan ‘adl—dapat menjadi resistensi terhadap struktur yang timpang. Kesimpulannya, relasi agama dan stratifikasi sosial bersifat ambivalen: dapat menjadi alat reproduksi kemiskinan struktural sekaligus sumber pembebasan, tergantung pada cara interpretasi dan praktik keagamaan yang dominan.</w:t>
      </w:r>
    </w:p>
    <w:p w14:paraId="1684C22D" w14:textId="7DCB1B41" w:rsidR="000254A6" w:rsidRPr="00FC7485" w:rsidRDefault="00AB473D" w:rsidP="000254A6">
      <w:pPr>
        <w:jc w:val="both"/>
        <w:rPr>
          <w:sz w:val="24"/>
          <w:szCs w:val="24"/>
        </w:rPr>
      </w:pPr>
      <w:r w:rsidRPr="00FC7485">
        <w:rPr>
          <w:b/>
          <w:sz w:val="24"/>
          <w:szCs w:val="24"/>
        </w:rPr>
        <w:t xml:space="preserve">Kata Kunci: </w:t>
      </w:r>
      <w:r w:rsidR="000254A6" w:rsidRPr="00FC7485">
        <w:rPr>
          <w:sz w:val="24"/>
          <w:szCs w:val="24"/>
        </w:rPr>
        <w:t>Stratifikasi sosial, Sosiologi Al-Qur’an, Masyarakat pesisir Aceh</w:t>
      </w:r>
    </w:p>
    <w:p w14:paraId="7A5CAA47" w14:textId="77777777" w:rsidR="000254A6" w:rsidRPr="00FC7485" w:rsidRDefault="000254A6" w:rsidP="000254A6">
      <w:pPr>
        <w:jc w:val="both"/>
        <w:rPr>
          <w:b/>
          <w:sz w:val="24"/>
          <w:szCs w:val="24"/>
        </w:rPr>
      </w:pPr>
    </w:p>
    <w:p w14:paraId="6ED2E0D2" w14:textId="6A81F444" w:rsidR="00AB473D" w:rsidRPr="00FC7485" w:rsidRDefault="00AB473D" w:rsidP="00B15C17">
      <w:pPr>
        <w:spacing w:before="1"/>
        <w:ind w:right="132"/>
        <w:jc w:val="center"/>
        <w:rPr>
          <w:b/>
        </w:rPr>
      </w:pPr>
      <w:r w:rsidRPr="00FC7485">
        <w:rPr>
          <w:b/>
        </w:rPr>
        <w:t>Abstract</w:t>
      </w:r>
    </w:p>
    <w:p w14:paraId="41EFFD35" w14:textId="77777777" w:rsidR="000254A6" w:rsidRDefault="000254A6" w:rsidP="000254A6">
      <w:pPr>
        <w:spacing w:before="1"/>
        <w:jc w:val="both"/>
        <w:rPr>
          <w:sz w:val="24"/>
          <w:szCs w:val="24"/>
        </w:rPr>
      </w:pPr>
      <w:r w:rsidRPr="00FC7485">
        <w:rPr>
          <w:sz w:val="24"/>
          <w:szCs w:val="24"/>
        </w:rPr>
        <w:t>Structural poverty among coastal communities in Aceh is not merely caused by economic factors and policy issues, but is also shaped by religious relations and social stratification. This study aims to analyze how the interpretation of religious teachings, particularly through the perspective of the Sociology of the Qur’an, constructs and sustains social stratification that perpetuates structural poverty. The research employs a qualitative method using a thematic interpretation (maudhu‘i) approach to relevant Qur’anic verses, combined with observation and in-depth interviews with coastal communities in Aceh. The findings reveal that hierarchical and fatalistic interpretations of religion tend to reinforce the legitimacy of social inequality, whereby impoverished fishermen accept their condition as destiny. In contrast, religious interpretations oriented toward social justice and a critical work ethic—such as the concepts of khalifah (vicegerency) and ‘adl (justice)—can function as forms of resistance against unequal social structures. In conclusion, the relationship between religion and social stratification is ambivalent: it can serve both as a mechanism for reproducing structural poverty and as a source of liberation, depending on the dominant modes of religious interpretation and practice.</w:t>
      </w:r>
    </w:p>
    <w:p w14:paraId="04941F28" w14:textId="053131FC" w:rsidR="00BD0467" w:rsidRPr="00FC7485" w:rsidRDefault="00BD0467" w:rsidP="000254A6">
      <w:pPr>
        <w:spacing w:before="1"/>
        <w:jc w:val="both"/>
        <w:rPr>
          <w:sz w:val="24"/>
          <w:szCs w:val="24"/>
        </w:rPr>
      </w:pPr>
    </w:p>
    <w:p w14:paraId="4A32A821" w14:textId="6B31C933" w:rsidR="00B15C17" w:rsidRDefault="00AB473D" w:rsidP="004A00C5">
      <w:pPr>
        <w:spacing w:before="1" w:after="240"/>
        <w:rPr>
          <w:sz w:val="24"/>
          <w:szCs w:val="24"/>
        </w:rPr>
      </w:pPr>
      <w:r w:rsidRPr="00FC7485">
        <w:rPr>
          <w:b/>
          <w:sz w:val="24"/>
          <w:szCs w:val="24"/>
        </w:rPr>
        <w:lastRenderedPageBreak/>
        <w:t xml:space="preserve">Keywords: </w:t>
      </w:r>
      <w:r w:rsidR="000254A6" w:rsidRPr="00FC7485">
        <w:rPr>
          <w:sz w:val="24"/>
          <w:szCs w:val="24"/>
        </w:rPr>
        <w:t>Social Stratification, Sociology of the Qur’an, Acehnese Coastal</w:t>
      </w:r>
      <w:r w:rsidR="004A00C5">
        <w:rPr>
          <w:sz w:val="24"/>
          <w:szCs w:val="24"/>
        </w:rPr>
        <w:t xml:space="preserve"> </w:t>
      </w:r>
      <w:r w:rsidR="000254A6" w:rsidRPr="00FC7485">
        <w:rPr>
          <w:sz w:val="24"/>
          <w:szCs w:val="24"/>
        </w:rPr>
        <w:t>Communities.</w:t>
      </w:r>
    </w:p>
    <w:p w14:paraId="47A92A37" w14:textId="4E666B64" w:rsidR="00A72127" w:rsidRPr="00FC7485" w:rsidRDefault="00D861DA" w:rsidP="00B15C17">
      <w:pPr>
        <w:spacing w:before="1"/>
        <w:jc w:val="both"/>
        <w:rPr>
          <w:sz w:val="24"/>
          <w:szCs w:val="24"/>
        </w:rPr>
      </w:pPr>
      <w:r w:rsidRPr="00FC7485">
        <w:rPr>
          <w:b/>
          <w:spacing w:val="-1"/>
          <w:sz w:val="24"/>
          <w:szCs w:val="24"/>
        </w:rPr>
        <w:t>PENDAHULUAN</w:t>
      </w:r>
      <w:r w:rsidR="00AB473D" w:rsidRPr="00FC7485">
        <w:rPr>
          <w:b/>
          <w:spacing w:val="-1"/>
          <w:sz w:val="24"/>
          <w:szCs w:val="24"/>
        </w:rPr>
        <w:t xml:space="preserve"> </w:t>
      </w:r>
    </w:p>
    <w:p w14:paraId="1720C4D5" w14:textId="77777777" w:rsidR="00452C36" w:rsidRPr="00FC7485" w:rsidRDefault="00452C36" w:rsidP="00E73CAC">
      <w:pPr>
        <w:ind w:right="132"/>
        <w:jc w:val="both"/>
        <w:rPr>
          <w:sz w:val="24"/>
          <w:szCs w:val="24"/>
        </w:rPr>
      </w:pPr>
    </w:p>
    <w:p w14:paraId="67D18AB5" w14:textId="7B5226C3" w:rsidR="00452C36" w:rsidRPr="00FC7485" w:rsidRDefault="00452C36" w:rsidP="00452C36">
      <w:pPr>
        <w:spacing w:line="360" w:lineRule="auto"/>
        <w:jc w:val="both"/>
        <w:rPr>
          <w:sz w:val="24"/>
          <w:szCs w:val="24"/>
        </w:rPr>
      </w:pPr>
      <w:r w:rsidRPr="00FC7485">
        <w:rPr>
          <w:sz w:val="24"/>
          <w:szCs w:val="24"/>
        </w:rPr>
        <w:t>Kemiskinan merupakan masalah sosial yang multidimensional dan terus menjadi tantangan serius di berbagai wilayah Indonesia, termasuk di Provinsi Aceh</w:t>
      </w:r>
      <w:r w:rsidR="007D660A" w:rsidRPr="00FC7485">
        <w:rPr>
          <w:rStyle w:val="FootnoteReference"/>
        </w:rPr>
        <w:footnoteReference w:id="1"/>
      </w:r>
      <w:r w:rsidRPr="00FC7485">
        <w:rPr>
          <w:sz w:val="24"/>
          <w:szCs w:val="24"/>
        </w:rPr>
        <w:t xml:space="preserve">. Meskipun Aceh memiliki sumber daya alam pesisir yang melimpah, masyarakat pesisir—khususnya nelayan dan buruh tambak—justru kerap terperangkap dalam lingkaran kemiskinan yang berlangsung secara turun-temurun. Fenomena ini tidak dapat dijelaskan semata-mata oleh rendahnya pendapatan atau keterbatasan akses modal, melainkan mengindikasikan adanya kemiskinan struktural, yaitu kemiskinan yang disebabkan oleh ketidakadilan dalam struktur sosial, ekonomi, dan politik yang sistematis memarginalkan kelompok tertentu. </w:t>
      </w:r>
    </w:p>
    <w:p w14:paraId="6CC339B6" w14:textId="19A60612" w:rsidR="00452C36" w:rsidRPr="00FC7485" w:rsidRDefault="00452C36" w:rsidP="00452C36">
      <w:pPr>
        <w:spacing w:line="360" w:lineRule="auto"/>
        <w:ind w:firstLine="720"/>
        <w:jc w:val="both"/>
        <w:rPr>
          <w:sz w:val="24"/>
          <w:szCs w:val="24"/>
        </w:rPr>
      </w:pPr>
      <w:r w:rsidRPr="00FC7485">
        <w:rPr>
          <w:sz w:val="24"/>
          <w:szCs w:val="24"/>
        </w:rPr>
        <w:t>Di masyarakat pesisir Aceh, kemiskinan struktural tampak dari praktik patron-klien yang eksploitatif, akses tanah dan laut yang timpang, serta kebijakan pembangunan yang cenderung mengabaikan ekonomi lokal.</w:t>
      </w:r>
      <w:r w:rsidR="007D660A" w:rsidRPr="00FC7485">
        <w:rPr>
          <w:rStyle w:val="FootnoteReference"/>
        </w:rPr>
        <w:footnoteReference w:id="2"/>
      </w:r>
      <w:r w:rsidRPr="00FC7485">
        <w:rPr>
          <w:sz w:val="24"/>
          <w:szCs w:val="24"/>
        </w:rPr>
        <w:t xml:space="preserve"> Namun, yang lebih menarik adalah bahwa faktor agama yang seharusnya menjadi etika pembebasan—seringkali justru berperan dalam melanggengkan stratifikasi sosial yang menjadi pangkal kemiskinan tersebut. Pertanyaan mendasarnya adalah: bagaimana relasi antara agama dan stratifikasi sosial bekerja dalam konteks masyarakat pesisir Aceh sehingga kemiskinan struktural dapat bertahan? Dan apakah ajaran Al-Qur’an, sebagai sumber utama ajaran Islam, menawarkan kerangka kritis untuk memahami dan memecahkan masalah ini?</w:t>
      </w:r>
    </w:p>
    <w:p w14:paraId="1889F3E8" w14:textId="0E76E403" w:rsidR="00452C36" w:rsidRPr="00FC7485" w:rsidRDefault="00452C36" w:rsidP="00452C36">
      <w:pPr>
        <w:spacing w:line="360" w:lineRule="auto"/>
        <w:ind w:firstLine="720"/>
        <w:jc w:val="both"/>
        <w:rPr>
          <w:sz w:val="24"/>
          <w:szCs w:val="24"/>
        </w:rPr>
      </w:pPr>
      <w:r w:rsidRPr="00FC7485">
        <w:rPr>
          <w:sz w:val="24"/>
          <w:szCs w:val="24"/>
        </w:rPr>
        <w:t xml:space="preserve">Wawasan awal yang menjadi titik tolak penelitian ini adalah bahwa kemiskinan struktural tidak hanya berakar pada faktor material, tetapi juga pada sistem legitimasi simbolik. Agama, dalam hal ini Islam, seringkali diinterpretasikan secara selektif oleh elite lokal untuk membenarkan ketimpangan. Misalnya, konsep “rezeki sudah diatur” atau “kesabaran dalam kemiskinan” dapat ditonjolkan sementara ayat-ayat tentang keadilan ekonomi dan larangan menumpuk kekayaan diabaikan. Akibatnya, masyarakat miskin </w:t>
      </w:r>
      <w:r w:rsidRPr="00FC7485">
        <w:rPr>
          <w:sz w:val="24"/>
          <w:szCs w:val="24"/>
        </w:rPr>
        <w:lastRenderedPageBreak/>
        <w:t>menerima status mereka sebagai sesuatu yang takdir dan tidak perlu dilawan</w:t>
      </w:r>
      <w:r w:rsidR="007D660A" w:rsidRPr="00FC7485">
        <w:rPr>
          <w:rStyle w:val="FootnoteReference"/>
        </w:rPr>
        <w:footnoteReference w:id="3"/>
      </w:r>
      <w:r w:rsidRPr="00FC7485">
        <w:rPr>
          <w:sz w:val="24"/>
          <w:szCs w:val="24"/>
        </w:rPr>
        <w:t>.Di sisi lain, agama juga memiliki potensi emansipatoris yang kuat, seperti terlihat dalam etika Al-Qur’an yang mengecam sistem sosial yang menindas (Q.S. Al-Hasyr: 7) dan mewajibkan distribusi kekayaan yang merata.</w:t>
      </w:r>
      <w:r w:rsidR="007D660A" w:rsidRPr="00FC7485">
        <w:rPr>
          <w:rStyle w:val="FootnoteReference"/>
        </w:rPr>
        <w:footnoteReference w:id="4"/>
      </w:r>
      <w:r w:rsidRPr="00FC7485">
        <w:rPr>
          <w:sz w:val="24"/>
          <w:szCs w:val="24"/>
        </w:rPr>
        <w:t xml:space="preserve"> Oleh karena itu, rencana pemecahan masalah yang ditawarkan dalam penelitian ini adalah melakukan analisis sosiologi Al-Qur’an yaitu membaca ayat-ayat Al-Qur’an tidak hanya secara tekstual, tetapi sebagai sistem nilai yang berinteraksi dengan realitas sosial—untuk mengidentifikasi bagaimana relasi agama dan stratifikasi sosial terjadi di lapangan, sekaligus menemukan prinsip-prinsip teologis yang dapat menjadi basis resistensi terhadap kemiskinan struktural. Pendekatan ini memungkinkan pemecahan masalah tidak sekadar pada level kebijakan, tetapi juga pada rekonstruksi kesadaran agama masyarakat.</w:t>
      </w:r>
    </w:p>
    <w:p w14:paraId="7F5EB743" w14:textId="6B04CE26" w:rsidR="00452C36" w:rsidRPr="00FC7485" w:rsidRDefault="00452C36" w:rsidP="00452C36">
      <w:pPr>
        <w:spacing w:line="360" w:lineRule="auto"/>
        <w:ind w:firstLine="720"/>
        <w:jc w:val="both"/>
        <w:rPr>
          <w:sz w:val="24"/>
          <w:szCs w:val="24"/>
        </w:rPr>
      </w:pPr>
      <w:r w:rsidRPr="00FC7485">
        <w:rPr>
          <w:sz w:val="24"/>
          <w:szCs w:val="24"/>
        </w:rPr>
        <w:t>Secara spesifik, tujuan penelitian ini adalah: pertama, mengidentifikasi bentuk-bentuk stratifikasi sosial yang berkembang di masyarakat pesisir Aceh dan bagaimana agama (dalam praktik, fatwa, dan pemaknaan lokal) terkait dengan stratifikasi tersebut. Kedua, menganalisis mekanisme interpretasi ayat-ayat Al-Qur’an yang digunakan untuk melanggengkan atau justru menantang ketimpangan sosial yang menyebabkan kemiskinan struktural. Ketiga, merumuskan pandangan sosiologi Al-Qur’an tentang relasi yang seharusnya antara agama dan tatanan sosial,</w:t>
      </w:r>
      <w:r w:rsidR="007D660A" w:rsidRPr="00FC7485">
        <w:rPr>
          <w:rStyle w:val="FootnoteReference"/>
        </w:rPr>
        <w:footnoteReference w:id="5"/>
      </w:r>
      <w:r w:rsidRPr="00FC7485">
        <w:rPr>
          <w:sz w:val="24"/>
          <w:szCs w:val="24"/>
        </w:rPr>
        <w:t xml:space="preserve"> khususnya dalam kaitannya dengan upaya pengentasan kemiskinan struktural. Penelitian ini diharapkan menghasilkan rekomendasi bagi para pemuka agama, pengambil kebijakan, dan aktivis sosial dalam membangun gerakan teologis yang berpihak pada kaum miskin pesisir.</w:t>
      </w:r>
    </w:p>
    <w:p w14:paraId="6FA97714" w14:textId="0C79309D" w:rsidR="00452C36" w:rsidRPr="00FC7485" w:rsidRDefault="00452C36" w:rsidP="00452C36">
      <w:pPr>
        <w:spacing w:line="360" w:lineRule="auto"/>
        <w:ind w:firstLine="720"/>
        <w:jc w:val="both"/>
        <w:rPr>
          <w:sz w:val="24"/>
          <w:szCs w:val="24"/>
        </w:rPr>
      </w:pPr>
      <w:r w:rsidRPr="00FC7485">
        <w:rPr>
          <w:sz w:val="24"/>
          <w:szCs w:val="24"/>
        </w:rPr>
        <w:t>Kajian teoritik yang melandasi penelitian ini merujuk pada tiga kerangka utama. Pertama, teori stratifikasi sosial dari Max Weber yang membedakan antara kelas, status, dan kekuasaan.</w:t>
      </w:r>
      <w:r w:rsidR="007D660A" w:rsidRPr="00FC7485">
        <w:rPr>
          <w:rStyle w:val="FootnoteReference"/>
        </w:rPr>
        <w:footnoteReference w:id="6"/>
      </w:r>
      <w:r w:rsidRPr="00FC7485">
        <w:rPr>
          <w:sz w:val="24"/>
          <w:szCs w:val="24"/>
        </w:rPr>
        <w:t xml:space="preserve"> Weber menunjukkan bahwa agama dapat menjadi sumber “legitimasi theodicea” bagi ketimpangan: kelompok miskin sering diyakinkan bahwa penderitaan mereka adalah ujian atau jalan menuju keselamatan. </w:t>
      </w:r>
    </w:p>
    <w:p w14:paraId="534A3047" w14:textId="204CF53F" w:rsidR="00452C36" w:rsidRPr="00FC7485" w:rsidRDefault="00452C36" w:rsidP="00452C36">
      <w:pPr>
        <w:spacing w:line="360" w:lineRule="auto"/>
        <w:ind w:firstLine="720"/>
        <w:jc w:val="both"/>
        <w:rPr>
          <w:sz w:val="24"/>
          <w:szCs w:val="24"/>
        </w:rPr>
      </w:pPr>
      <w:r w:rsidRPr="00FC7485">
        <w:rPr>
          <w:sz w:val="24"/>
          <w:szCs w:val="24"/>
        </w:rPr>
        <w:t>Dalam konteks Aceh yang religius, theodicea semacam ini sangat kuat dan menjadi kendala kesadaran kritis.</w:t>
      </w:r>
      <w:r w:rsidR="007D660A" w:rsidRPr="00FC7485">
        <w:rPr>
          <w:rStyle w:val="FootnoteReference"/>
        </w:rPr>
        <w:footnoteReference w:id="7"/>
      </w:r>
      <w:r w:rsidRPr="00FC7485">
        <w:rPr>
          <w:sz w:val="24"/>
          <w:szCs w:val="24"/>
        </w:rPr>
        <w:t xml:space="preserve"> Kedua, teori kemiskinan struktural dari para sosiolog </w:t>
      </w:r>
      <w:r w:rsidRPr="00FC7485">
        <w:rPr>
          <w:sz w:val="24"/>
          <w:szCs w:val="24"/>
        </w:rPr>
        <w:lastRenderedPageBreak/>
        <w:t>seperti Giddens dan Portes yang menekankan bahwa kemiskinan bukan kegagalan individu melainkan hasil dari mekanisme eksklusi dan reproduksi sosial. Masyarakat pesisir Aceh miskin karena akses mereka ke laut dipolitisasi, sistem bagi hasil tidak adil, dan jaringan patron-klien yang feodal masih kuat. Ketiga, perspektif sosiologi Al-Qur’an yang dikembangkan oleh para pemikir seperti Farid Esack (1997) dan Hassan Hanafi (1995). Esack, misalnya, memperkenalkan pendekatan “hermeneutika pembebasan” yang membaca Al-Qur’an dari sudut pandang kaum mustad’afin (yang dilemahkan).</w:t>
      </w:r>
      <w:r w:rsidR="007D660A" w:rsidRPr="00FC7485">
        <w:rPr>
          <w:rStyle w:val="FootnoteReference"/>
        </w:rPr>
        <w:footnoteReference w:id="8"/>
      </w:r>
      <w:r w:rsidRPr="00FC7485">
        <w:rPr>
          <w:sz w:val="24"/>
          <w:szCs w:val="24"/>
        </w:rPr>
        <w:t xml:space="preserve"> Al-Qur’an sendiri memuat istilah-istilah sosial seperti al-miskin, al-faqir, al-yatim, dan kecaman terhadap al-mutrafin (golongan kaya yang berfoya-foya) serta al-mukabbirin (para penguasa yang sombong). Dengan demikian, sosiologi Al-Qur’an menolak pandangan bahwa agama bersifat netral; sebaliknya, ia memihak pada transformasi sosial yang berkeadilan.</w:t>
      </w:r>
      <w:r w:rsidR="007D660A" w:rsidRPr="00FC7485">
        <w:rPr>
          <w:rStyle w:val="FootnoteReference"/>
        </w:rPr>
        <w:footnoteReference w:id="9"/>
      </w:r>
    </w:p>
    <w:p w14:paraId="602AF0ED" w14:textId="214BFD0E" w:rsidR="00452C36" w:rsidRPr="00FC7485" w:rsidRDefault="00452C36" w:rsidP="00452C36">
      <w:pPr>
        <w:spacing w:line="360" w:lineRule="auto"/>
        <w:ind w:firstLine="720"/>
        <w:jc w:val="both"/>
        <w:rPr>
          <w:sz w:val="24"/>
          <w:szCs w:val="24"/>
        </w:rPr>
      </w:pPr>
      <w:r w:rsidRPr="00FC7485">
        <w:rPr>
          <w:sz w:val="24"/>
          <w:szCs w:val="24"/>
        </w:rPr>
        <w:t>Penelitian ini diharapkan memberikan manfaat teoretis berupa pengayaan model analisis sosiologi agama yang berbasis pada sumber-sumber Islam, serta manfaat praktis bagi masyarakat pesisir Aceh dalam bentuk kesadaran baru bahwa agama tidak harus menjadi kendaraan pelanggengan ketidakadilan, melainkan dapat menjadi kekuatan perubahan. Dengan memahami bagaimana stratifikasi sosial direproduksi melalui wacana agama, masyarakat dapat melakukan “pembacaan ulang” terhadap ajaran-ajaran yang selama ini dipakai untuk menjustifikasi kemiskinan mereka. Pada akhirnya, penelitian ini berharap dapat membuka ruang dialog antara teks suci dan realitas sosial yang timpang, serta menawarkan alternatif gerakan keagamaan yang transformatif.</w:t>
      </w:r>
    </w:p>
    <w:p w14:paraId="1EBD4CAF" w14:textId="77777777" w:rsidR="00A72127" w:rsidRPr="00FC7485" w:rsidRDefault="00D861DA" w:rsidP="00B15C17">
      <w:pPr>
        <w:pStyle w:val="Heading1"/>
        <w:spacing w:before="90"/>
        <w:ind w:left="0"/>
      </w:pPr>
      <w:r w:rsidRPr="00FC7485">
        <w:t>METODE</w:t>
      </w:r>
    </w:p>
    <w:p w14:paraId="0BE12F40" w14:textId="5CC12F75" w:rsidR="00452C36" w:rsidRPr="00FC7485" w:rsidRDefault="00452C36" w:rsidP="00452C36">
      <w:pPr>
        <w:spacing w:line="360" w:lineRule="auto"/>
        <w:ind w:firstLine="720"/>
        <w:jc w:val="both"/>
        <w:rPr>
          <w:sz w:val="24"/>
          <w:szCs w:val="24"/>
        </w:rPr>
      </w:pPr>
      <w:r w:rsidRPr="00FC7485">
        <w:rPr>
          <w:sz w:val="24"/>
          <w:szCs w:val="24"/>
        </w:rPr>
        <w:t>Penelitian ini menggunakan pendekatan kualitatif dengan desain studi kasus yang dipadukan dengan analisis tafsir tematik (maudhu’i) untuk memahami secara mendalam relasi antara agama dan stratifikasi sosial dalam masyarakat pesisir Aceh yang mengalami kemiskinan struktural.</w:t>
      </w:r>
      <w:r w:rsidR="00510684" w:rsidRPr="00FC7485">
        <w:rPr>
          <w:rStyle w:val="FootnoteReference"/>
        </w:rPr>
        <w:footnoteReference w:id="10"/>
      </w:r>
      <w:r w:rsidRPr="00FC7485">
        <w:rPr>
          <w:sz w:val="24"/>
          <w:szCs w:val="24"/>
        </w:rPr>
        <w:t xml:space="preserve"> Lokasi penelitian dipilih secara purposif di tiga desa pesisir di Aceh Tamiang dan Kota Langsa  berdasarkan karakteristik dominasi nelayan, tingkat kemiskinan yang tinggi, serta kuatnya praktik keagamaan dan pengaruh ulama. Penelitian dilaksanakan selama enam bulan dengan peneliti sebagai instrumen kunci yang terlibat </w:t>
      </w:r>
      <w:r w:rsidRPr="00FC7485">
        <w:rPr>
          <w:sz w:val="24"/>
          <w:szCs w:val="24"/>
        </w:rPr>
        <w:lastRenderedPageBreak/>
        <w:t>langsung melalui observasi partisipatif dalam aktivitas keagamaan dan sosial-ekonomi masyarakat.</w:t>
      </w:r>
    </w:p>
    <w:p w14:paraId="58DE5F26" w14:textId="72DBF099" w:rsidR="00452C36" w:rsidRPr="00FC7485" w:rsidRDefault="00452C36" w:rsidP="00452C36">
      <w:pPr>
        <w:spacing w:line="360" w:lineRule="auto"/>
        <w:ind w:firstLine="720"/>
        <w:jc w:val="both"/>
        <w:rPr>
          <w:sz w:val="24"/>
          <w:szCs w:val="24"/>
        </w:rPr>
      </w:pPr>
      <w:r w:rsidRPr="00FC7485">
        <w:rPr>
          <w:sz w:val="24"/>
          <w:szCs w:val="24"/>
        </w:rPr>
        <w:t>Subjek penelitian adalah masyarakat miskin pesisir (faqir dan miskin), dengan informan yang ditentukan melalui teknik purposive dan snowball sampling hingga mencapai kejenuhan data, berjumlah 35 orang yang terdiri dari nelayan, buruh tambak, tokoh agama, pemilik kapal, istri nelayan, dan aparatur desa. Data dikumpulkan melalui wawancara mendalam, observasi partisipatif, dan dokumentasi, serta diperkuat dengan penelusuran ayat-ayat Al-Qur’an terkait kemiskinan, ketimpangan sosial, dan keadilan yang dianalisis menggunakan tafsir klasik dan kontemporer.</w:t>
      </w:r>
      <w:r w:rsidR="00510684" w:rsidRPr="00FC7485">
        <w:rPr>
          <w:rStyle w:val="FootnoteReference"/>
        </w:rPr>
        <w:footnoteReference w:id="11"/>
      </w:r>
    </w:p>
    <w:p w14:paraId="07660A9E" w14:textId="5AAB9C73" w:rsidR="007F1655" w:rsidRPr="00FC7485" w:rsidRDefault="00452C36" w:rsidP="00510684">
      <w:pPr>
        <w:spacing w:line="360" w:lineRule="auto"/>
        <w:ind w:firstLine="720"/>
        <w:jc w:val="both"/>
        <w:rPr>
          <w:sz w:val="24"/>
          <w:szCs w:val="24"/>
        </w:rPr>
      </w:pPr>
      <w:r w:rsidRPr="00FC7485">
        <w:rPr>
          <w:sz w:val="24"/>
          <w:szCs w:val="24"/>
        </w:rPr>
        <w:t>Analisis data dilakukan secara interaktif melalui reduksi, penyajian, dan penarikan kesimpulan, disertai analisis tafsir tematik yang mengaitkan teks Al-Qur’an dengan realitas sosial melalui dialog hermeneutis.</w:t>
      </w:r>
      <w:r w:rsidR="00510684" w:rsidRPr="00FC7485">
        <w:rPr>
          <w:rStyle w:val="FootnoteReference"/>
        </w:rPr>
        <w:footnoteReference w:id="12"/>
      </w:r>
      <w:r w:rsidRPr="00FC7485">
        <w:rPr>
          <w:sz w:val="24"/>
          <w:szCs w:val="24"/>
        </w:rPr>
        <w:t xml:space="preserve"> Keabsahan data dijaga melalui triangulasi sumber dan metode, member check, serta audit trail, dengan tetap memperhatikan prinsip etika penelitian seperti anonimitas dan persetujuan informan.</w:t>
      </w:r>
    </w:p>
    <w:p w14:paraId="70B2106F" w14:textId="77777777" w:rsidR="007F1655" w:rsidRPr="00FC7485" w:rsidRDefault="007F1655" w:rsidP="0018367C">
      <w:pPr>
        <w:pStyle w:val="Heading1"/>
        <w:spacing w:before="240" w:after="240"/>
        <w:ind w:left="0"/>
        <w:jc w:val="both"/>
      </w:pPr>
      <w:r w:rsidRPr="00FC7485">
        <w:t>HASIL</w:t>
      </w:r>
      <w:r w:rsidRPr="00FC7485">
        <w:rPr>
          <w:spacing w:val="-7"/>
        </w:rPr>
        <w:t xml:space="preserve"> </w:t>
      </w:r>
      <w:r w:rsidRPr="00FC7485">
        <w:t>DAN</w:t>
      </w:r>
      <w:r w:rsidRPr="00FC7485">
        <w:rPr>
          <w:spacing w:val="-7"/>
        </w:rPr>
        <w:t xml:space="preserve"> </w:t>
      </w:r>
      <w:r w:rsidRPr="00FC7485">
        <w:t>PEMBAHASAN</w:t>
      </w:r>
    </w:p>
    <w:p w14:paraId="37D2EB45" w14:textId="78203033" w:rsidR="00452C36" w:rsidRPr="00B15C17" w:rsidRDefault="00452C36" w:rsidP="00B15C17">
      <w:pPr>
        <w:pStyle w:val="ListParagraph"/>
        <w:numPr>
          <w:ilvl w:val="0"/>
          <w:numId w:val="3"/>
        </w:numPr>
        <w:spacing w:line="360" w:lineRule="auto"/>
        <w:jc w:val="both"/>
        <w:rPr>
          <w:b/>
          <w:bCs/>
          <w:sz w:val="24"/>
          <w:szCs w:val="24"/>
        </w:rPr>
      </w:pPr>
      <w:r w:rsidRPr="00B15C17">
        <w:rPr>
          <w:b/>
          <w:bCs/>
          <w:sz w:val="24"/>
          <w:szCs w:val="24"/>
        </w:rPr>
        <w:t>Bentuk-Bentuk Stratifikasi Sosial pada Masyarakat Pesisir Aceh</w:t>
      </w:r>
    </w:p>
    <w:p w14:paraId="319882A5" w14:textId="518FA183" w:rsidR="00452C36" w:rsidRPr="00FC7485" w:rsidRDefault="00452C36" w:rsidP="00510684">
      <w:pPr>
        <w:spacing w:line="360" w:lineRule="auto"/>
        <w:ind w:firstLine="720"/>
        <w:jc w:val="both"/>
        <w:rPr>
          <w:sz w:val="24"/>
          <w:szCs w:val="24"/>
        </w:rPr>
      </w:pPr>
      <w:r w:rsidRPr="00FC7485">
        <w:rPr>
          <w:sz w:val="24"/>
          <w:szCs w:val="24"/>
        </w:rPr>
        <w:t>Penelitian menemukan bahwa masyarakat pesisir Aceh di tiga lokasi penelitian memiliki struktur sosial yang terstratifikasi secara jelas ke dalam tiga lapisan utama.</w:t>
      </w:r>
      <w:r w:rsidR="00510684" w:rsidRPr="00FC7485">
        <w:rPr>
          <w:rStyle w:val="FootnoteReference"/>
        </w:rPr>
        <w:footnoteReference w:id="13"/>
      </w:r>
      <w:r w:rsidRPr="00FC7485">
        <w:rPr>
          <w:sz w:val="24"/>
          <w:szCs w:val="24"/>
        </w:rPr>
        <w:t xml:space="preserve"> Lapisan atas (elite) ditempati oleh pemilik kapal besar (disebut cukong) yang juga merangkap sebagai pengumpul hasil laut (pengumpul), pemilik tambak, dan seringkali memiliki hubungan kekerabatan atau patronase dengan tokoh agama berpengaruh. Lapisan menengah ditempati oleh nelayan pemilik kapal kecil (pawang atau juragan), dan lapisan bawah adalah buruh nelayan (anak buah kapal atau ABK) serta buruh tambak yang tidak memiliki alat produksi. Yang menarik, stratifikasi ini tidak semata-mata berbasis ekonomi, tetapi juga berbasis status sosial-keagamaan.</w:t>
      </w:r>
      <w:r w:rsidR="00510684" w:rsidRPr="00FC7485">
        <w:rPr>
          <w:rStyle w:val="FootnoteReference"/>
        </w:rPr>
        <w:footnoteReference w:id="14"/>
      </w:r>
    </w:p>
    <w:p w14:paraId="42D8BFD8" w14:textId="4DF8D2FA" w:rsidR="00452C36" w:rsidRPr="00FC7485" w:rsidRDefault="00452C36" w:rsidP="00452C36">
      <w:pPr>
        <w:spacing w:line="360" w:lineRule="auto"/>
        <w:ind w:firstLine="720"/>
        <w:jc w:val="both"/>
        <w:rPr>
          <w:sz w:val="24"/>
          <w:szCs w:val="24"/>
        </w:rPr>
      </w:pPr>
      <w:r w:rsidRPr="00FC7485">
        <w:rPr>
          <w:sz w:val="24"/>
          <w:szCs w:val="24"/>
        </w:rPr>
        <w:t xml:space="preserve">Tokoh agama </w:t>
      </w:r>
      <w:r w:rsidRPr="00FC7485">
        <w:rPr>
          <w:i/>
          <w:iCs/>
          <w:sz w:val="24"/>
          <w:szCs w:val="24"/>
        </w:rPr>
        <w:t>teungku</w:t>
      </w:r>
      <w:r w:rsidRPr="00FC7485">
        <w:rPr>
          <w:sz w:val="24"/>
          <w:szCs w:val="24"/>
        </w:rPr>
        <w:t xml:space="preserve"> meskipun secara ekonomi tergolong miskin, sering ditempatkan pada lapisan terhormat karena dianggap memiliki otoritas spiritual. Namun </w:t>
      </w:r>
      <w:r w:rsidRPr="00FC7485">
        <w:rPr>
          <w:sz w:val="24"/>
          <w:szCs w:val="24"/>
        </w:rPr>
        <w:lastRenderedPageBreak/>
        <w:t xml:space="preserve">demikian, hubungan patron-klien yang kuat ditemukan antara cukong dan teungku: pengusaha memberikan sumbangan untuk pembangunan meunasah atau acara keagamaan, sementara teungku memberikan legitimasi religius terhadap praktik ekonomi yang eksploitatif. Seorang informan ABK (45 tahun) mengungkapkan: </w:t>
      </w:r>
      <w:r w:rsidRPr="00FC7485">
        <w:rPr>
          <w:i/>
          <w:iCs/>
          <w:sz w:val="24"/>
          <w:szCs w:val="24"/>
        </w:rPr>
        <w:t>“Kami miskin ya memang sudah nasib, tapi teungku bilang sabar, rezeki di laut banyak tapi Allah yang membagi. Yang kaya dapat lebih karena mereka punya amanah lebih besar”</w:t>
      </w:r>
      <w:r w:rsidRPr="00FC7485">
        <w:rPr>
          <w:sz w:val="24"/>
          <w:szCs w:val="24"/>
        </w:rPr>
        <w:t>. Ungkapan ini menunjukkan bagaimana agama dijadikan justifikasi atas ketimpangan.</w:t>
      </w:r>
    </w:p>
    <w:p w14:paraId="10449B63" w14:textId="42A3B37C" w:rsidR="00452C36" w:rsidRPr="00FC7485" w:rsidRDefault="00452C36" w:rsidP="00452C36">
      <w:pPr>
        <w:spacing w:line="360" w:lineRule="auto"/>
        <w:ind w:firstLine="720"/>
        <w:jc w:val="both"/>
        <w:rPr>
          <w:sz w:val="24"/>
          <w:szCs w:val="24"/>
        </w:rPr>
      </w:pPr>
      <w:r w:rsidRPr="00FC7485">
        <w:rPr>
          <w:sz w:val="24"/>
          <w:szCs w:val="24"/>
        </w:rPr>
        <w:t>Stratifikasi horizontal juga ditemukan dalam bentuk segregasi spasial. Rumah-rumah elite berada di sepanjang jalan utama dan dekat dermaga, sementara rumah buruh nelayan terletak di kawasan becek dan rawan banjir rob. Akses ke sumber daya laut pun distratifikasi: pemilik kapal besar memiliki akses ke wilayah tangkapan yang lebih luas karena modal dan koneksi politik, sementara nelayan kecil hanya bisa beroperasi di sekitar pesisir yang sudah overfishing.</w:t>
      </w:r>
      <w:r w:rsidR="00AD0A95" w:rsidRPr="00FC7485">
        <w:rPr>
          <w:rStyle w:val="FootnoteReference"/>
        </w:rPr>
        <w:footnoteReference w:id="15"/>
      </w:r>
      <w:r w:rsidRPr="00FC7485">
        <w:rPr>
          <w:sz w:val="24"/>
          <w:szCs w:val="24"/>
        </w:rPr>
        <w:t xml:space="preserve"> Temuan ini mengonfirmasi teori Weber bahwa stratifikasi tidak hanya tentang kelas ekonomi tetapi juga tentang status dan kekuasaan.</w:t>
      </w:r>
    </w:p>
    <w:p w14:paraId="3309D73E" w14:textId="20A05EFF" w:rsidR="00452C36" w:rsidRPr="00FC7485" w:rsidRDefault="00452C36" w:rsidP="00452C36">
      <w:pPr>
        <w:spacing w:line="360" w:lineRule="auto"/>
        <w:ind w:firstLine="720"/>
        <w:jc w:val="both"/>
        <w:rPr>
          <w:sz w:val="24"/>
          <w:szCs w:val="24"/>
        </w:rPr>
      </w:pPr>
      <w:r w:rsidRPr="00FC7485">
        <w:rPr>
          <w:sz w:val="24"/>
          <w:szCs w:val="24"/>
        </w:rPr>
        <w:t>Dalam konteks Aceh, status keagamaan bahkan dapat mengkompensasi kekurangan ekonomi, namun justru membuat kaum miskin tidak berdaya karena mereka menghormati teungku yang sering berpihak pada elite</w:t>
      </w:r>
      <w:r w:rsidR="00AD0A95" w:rsidRPr="00FC7485">
        <w:rPr>
          <w:rStyle w:val="FootnoteReference"/>
        </w:rPr>
        <w:footnoteReference w:id="16"/>
      </w:r>
      <w:r w:rsidRPr="00FC7485">
        <w:rPr>
          <w:sz w:val="24"/>
          <w:szCs w:val="24"/>
        </w:rPr>
        <w:t>. Hal ini memperkuat temuan Scott tentang “moral ekonomi” petani, namun dengan modifikasi bahwa dalam masyarakat pesisir Aceh, moralitas agama lebih dominan daripada moralitas resiprositas tradisional.</w:t>
      </w:r>
    </w:p>
    <w:p w14:paraId="1B933ACB" w14:textId="2DA4AA99" w:rsidR="00452C36" w:rsidRPr="00B15C17" w:rsidRDefault="00452C36" w:rsidP="00B15C17">
      <w:pPr>
        <w:pStyle w:val="ListParagraph"/>
        <w:numPr>
          <w:ilvl w:val="0"/>
          <w:numId w:val="3"/>
        </w:numPr>
        <w:spacing w:before="240" w:line="360" w:lineRule="auto"/>
        <w:jc w:val="both"/>
        <w:rPr>
          <w:b/>
          <w:bCs/>
          <w:sz w:val="24"/>
          <w:szCs w:val="24"/>
        </w:rPr>
      </w:pPr>
      <w:r w:rsidRPr="00B15C17">
        <w:rPr>
          <w:b/>
          <w:bCs/>
          <w:sz w:val="24"/>
          <w:szCs w:val="24"/>
        </w:rPr>
        <w:t>Relasi Agama dan Pelanggengan Kemiskinan Struktural</w:t>
      </w:r>
    </w:p>
    <w:p w14:paraId="7A434C58" w14:textId="1781579E" w:rsidR="00452C36" w:rsidRPr="00FC7485" w:rsidRDefault="00452C36" w:rsidP="00AD0A95">
      <w:pPr>
        <w:spacing w:line="360" w:lineRule="auto"/>
        <w:ind w:firstLine="720"/>
        <w:jc w:val="both"/>
        <w:rPr>
          <w:sz w:val="24"/>
          <w:szCs w:val="24"/>
        </w:rPr>
      </w:pPr>
      <w:r w:rsidRPr="00FC7485">
        <w:rPr>
          <w:sz w:val="24"/>
          <w:szCs w:val="24"/>
        </w:rPr>
        <w:t>Hasil penelitian menunjukkan bahwa agama berperan secara ambivalen, namun kecenderungan dominan di lokasi penelitian adalah agama sebagai instrumen pelanggengan ketimpangan. Setidaknya tiga mekanisme ditemukan.</w:t>
      </w:r>
      <w:r w:rsidR="00AD0A95" w:rsidRPr="00FC7485">
        <w:rPr>
          <w:rStyle w:val="FootnoteReference"/>
        </w:rPr>
        <w:footnoteReference w:id="17"/>
      </w:r>
    </w:p>
    <w:p w14:paraId="02D4BA91" w14:textId="1B57F9C1" w:rsidR="00452C36" w:rsidRPr="00FC7485" w:rsidRDefault="00452C36" w:rsidP="00452C36">
      <w:pPr>
        <w:spacing w:line="360" w:lineRule="auto"/>
        <w:ind w:firstLine="720"/>
        <w:jc w:val="both"/>
        <w:rPr>
          <w:sz w:val="24"/>
          <w:szCs w:val="24"/>
        </w:rPr>
      </w:pPr>
      <w:r w:rsidRPr="00FC7485">
        <w:rPr>
          <w:sz w:val="24"/>
          <w:szCs w:val="24"/>
        </w:rPr>
        <w:t>Pertama, interpretasi teologis tentang takdir dan rezeki.</w:t>
      </w:r>
      <w:r w:rsidRPr="00FC7485">
        <w:rPr>
          <w:rStyle w:val="FootnoteReference"/>
        </w:rPr>
        <w:footnoteReference w:id="18"/>
      </w:r>
      <w:r w:rsidRPr="00FC7485">
        <w:rPr>
          <w:sz w:val="24"/>
          <w:szCs w:val="24"/>
        </w:rPr>
        <w:t xml:space="preserve"> Ayat-ayat seperti </w:t>
      </w:r>
      <w:r w:rsidRPr="00FC7485">
        <w:rPr>
          <w:i/>
          <w:iCs/>
          <w:sz w:val="24"/>
          <w:szCs w:val="24"/>
        </w:rPr>
        <w:t>“Dan Allah melebihkan sebagian kamu atas sebagian yang lain dalam rezeki”</w:t>
      </w:r>
      <w:r w:rsidRPr="00FC7485">
        <w:rPr>
          <w:sz w:val="24"/>
          <w:szCs w:val="24"/>
        </w:rPr>
        <w:t xml:space="preserve"> (Q.S. An-Nahl: 71) dan </w:t>
      </w:r>
      <w:r w:rsidRPr="00FC7485">
        <w:rPr>
          <w:i/>
          <w:iCs/>
          <w:sz w:val="24"/>
          <w:szCs w:val="24"/>
        </w:rPr>
        <w:t>“Sesungguhnya Tuhanmu melapangkan rezeki kepada siapa yang Dia kehendaki dan menyempitkannya</w:t>
      </w:r>
      <w:r w:rsidRPr="00FC7485">
        <w:rPr>
          <w:sz w:val="24"/>
          <w:szCs w:val="24"/>
        </w:rPr>
        <w:t xml:space="preserve">” (Q.S. Al-Isra’: 30) sering dikutip oleh teungku dalam pengajian tanpa menyertakan ayat-ayat tentang kewajiban negara dan masyarakat untuk </w:t>
      </w:r>
      <w:r w:rsidRPr="00FC7485">
        <w:rPr>
          <w:sz w:val="24"/>
          <w:szCs w:val="24"/>
        </w:rPr>
        <w:lastRenderedPageBreak/>
        <w:t>menanggulangi kemiskinan (seperti Q.S. Adz-Dzariyat: 19 tentang hak orang miskin dalam harta orang kaya). Akibatnya, masyarakat miskin menginternalisasi bahwa kemiskinan adalah ketetapan Tuhan yang tidak perlu dilawan</w:t>
      </w:r>
      <w:r w:rsidR="00204188" w:rsidRPr="00FC7485">
        <w:rPr>
          <w:rStyle w:val="FootnoteReference"/>
        </w:rPr>
        <w:footnoteReference w:id="19"/>
      </w:r>
      <w:r w:rsidRPr="00FC7485">
        <w:rPr>
          <w:sz w:val="24"/>
          <w:szCs w:val="24"/>
        </w:rPr>
        <w:t xml:space="preserve">. Seorang informan perempuan (50 tahun) berkata: </w:t>
      </w:r>
      <w:r w:rsidRPr="00FC7485">
        <w:rPr>
          <w:i/>
          <w:iCs/>
          <w:sz w:val="24"/>
          <w:szCs w:val="24"/>
        </w:rPr>
        <w:t>“Kami nerimo, Bang. Rezeki sudah diatur. Yang penting kami tetap shalat dan bersedekah walau sedikit</w:t>
      </w:r>
      <w:r w:rsidRPr="00FC7485">
        <w:rPr>
          <w:sz w:val="24"/>
          <w:szCs w:val="24"/>
        </w:rPr>
        <w:t>”. Sikap nerimo (pasrah) ini menjadi penghalang bagi aksi kolektif untuk menuntut keadilan.</w:t>
      </w:r>
    </w:p>
    <w:p w14:paraId="3606040C" w14:textId="76C0B9C3" w:rsidR="00452C36" w:rsidRPr="00FC7485" w:rsidRDefault="00452C36" w:rsidP="00452C36">
      <w:pPr>
        <w:spacing w:line="360" w:lineRule="auto"/>
        <w:ind w:firstLine="720"/>
        <w:jc w:val="both"/>
        <w:rPr>
          <w:sz w:val="24"/>
          <w:szCs w:val="24"/>
        </w:rPr>
      </w:pPr>
      <w:r w:rsidRPr="00FC7485">
        <w:rPr>
          <w:sz w:val="24"/>
          <w:szCs w:val="24"/>
        </w:rPr>
        <w:t>Kedua, institusi zakat dan sedekah yang seharusnya menjadi instrumen pemerataan, justru berfungsi memperkuat hubungan patron-klien. Pemilik kapal besar membayar zakat mal dan sedekah kepada teungku dan fakir miskin, tetapi jumlahnya kecil dan sifatnya simbolis. Lebih parah lagi, praktik hutang piutang yang dibungkus dengan istilah “</w:t>
      </w:r>
      <w:r w:rsidRPr="00FC7485">
        <w:rPr>
          <w:i/>
          <w:iCs/>
          <w:sz w:val="24"/>
          <w:szCs w:val="24"/>
        </w:rPr>
        <w:t>tolong-menolong</w:t>
      </w:r>
      <w:r w:rsidRPr="00FC7485">
        <w:rPr>
          <w:sz w:val="24"/>
          <w:szCs w:val="24"/>
        </w:rPr>
        <w:t xml:space="preserve">” membuat nelayan miskin terjerat utang kepada cukong. Mereka harus menjual hasil tangkapan dengan harga di bawah pasar sebagai cicilan. Jika gagal bayar, mereka diingatkan bahwa “Allah bersama orang-orang yang sabar”. Seorang informan ABK (38 tahun) mengaku: </w:t>
      </w:r>
      <w:r w:rsidRPr="00FC7485">
        <w:rPr>
          <w:i/>
          <w:iCs/>
          <w:sz w:val="24"/>
          <w:szCs w:val="24"/>
        </w:rPr>
        <w:t>“Saya sudah 10 tahun utang sama Haji M. Tidak pernah lunas, karena bunganya ditambah terus. Tapi saya takut kalau protes, dosa karena beliau haji dan sering sedekah</w:t>
      </w:r>
      <w:r w:rsidRPr="00FC7485">
        <w:rPr>
          <w:sz w:val="24"/>
          <w:szCs w:val="24"/>
        </w:rPr>
        <w:t>”. Di sini, simbol keagamaan (gelar haji, sedekah) digunakan untuk menutupi eksploitasi.</w:t>
      </w:r>
    </w:p>
    <w:p w14:paraId="1FD6231F" w14:textId="1E360B91" w:rsidR="00452C36" w:rsidRPr="00FC7485" w:rsidRDefault="00452C36" w:rsidP="00452C36">
      <w:pPr>
        <w:spacing w:line="360" w:lineRule="auto"/>
        <w:ind w:firstLine="720"/>
        <w:jc w:val="both"/>
        <w:rPr>
          <w:sz w:val="24"/>
          <w:szCs w:val="24"/>
        </w:rPr>
      </w:pPr>
      <w:r w:rsidRPr="00FC7485">
        <w:rPr>
          <w:sz w:val="24"/>
          <w:szCs w:val="24"/>
        </w:rPr>
        <w:t>Ketiga, sistem pewarisan kepemimpinan agama yang cenderung oligarkis. Jabatan imam meunasah dan teungku desa sering diwariskan secara turun-temurun dalam satu keluarga atau kelompok, yang umumnya memiliki hubungan dengan elite ekonomi. Hal ini menyebabkan wacana keagamaan yang kritis terhadap ketidakadilan sulit muncul. Ceramah-ceramah yang berorientasi pada ukhrawi (akhirat) lebih dominan daripada etika sosial politik. Temuan ini sejalan dengan teori theodicea Weber bahwa agama menyediakan pembenaran bagi penderitaan kaum tertindas sekaligus memberikan “keuntungan psikologis” bagi kaum kaya bahwa kekayaan mereka adalah berkah Tuhan.</w:t>
      </w:r>
      <w:r w:rsidR="0001459C" w:rsidRPr="00FC7485">
        <w:rPr>
          <w:rStyle w:val="FootnoteReference"/>
          <w:sz w:val="24"/>
          <w:szCs w:val="24"/>
        </w:rPr>
        <w:footnoteReference w:id="20"/>
      </w:r>
      <w:r w:rsidR="001673C2" w:rsidRPr="00FC7485">
        <w:rPr>
          <w:sz w:val="24"/>
          <w:szCs w:val="24"/>
        </w:rPr>
        <w:t xml:space="preserve"> Dalam konteks Aceh, sosiologi Al-Qur’an menilai ini sebagai bentuk taghut (penyembahan berhala sosial) karena teks-teks suci telah dipelintir untuk melayani kepentingan kekuasaan.</w:t>
      </w:r>
    </w:p>
    <w:p w14:paraId="750E0FCF" w14:textId="0978D4C9" w:rsidR="00452C36" w:rsidRPr="00B15C17" w:rsidRDefault="00452C36" w:rsidP="00B15C17">
      <w:pPr>
        <w:pStyle w:val="ListParagraph"/>
        <w:numPr>
          <w:ilvl w:val="0"/>
          <w:numId w:val="3"/>
        </w:numPr>
        <w:spacing w:before="240" w:line="360" w:lineRule="auto"/>
        <w:jc w:val="both"/>
        <w:rPr>
          <w:b/>
          <w:bCs/>
          <w:sz w:val="24"/>
          <w:szCs w:val="24"/>
        </w:rPr>
      </w:pPr>
      <w:r w:rsidRPr="00B15C17">
        <w:rPr>
          <w:b/>
          <w:bCs/>
          <w:sz w:val="24"/>
          <w:szCs w:val="24"/>
        </w:rPr>
        <w:t>Pemaknaan Al-Qur’an yang Dominan dan yang Tersisihkan</w:t>
      </w:r>
    </w:p>
    <w:p w14:paraId="58CEFD54" w14:textId="77777777" w:rsidR="00D32083" w:rsidRDefault="00452C36" w:rsidP="00D32083">
      <w:pPr>
        <w:spacing w:line="360" w:lineRule="auto"/>
        <w:ind w:firstLine="720"/>
        <w:jc w:val="both"/>
        <w:rPr>
          <w:sz w:val="24"/>
          <w:szCs w:val="24"/>
        </w:rPr>
      </w:pPr>
      <w:r w:rsidRPr="00FC7485">
        <w:rPr>
          <w:sz w:val="24"/>
          <w:szCs w:val="24"/>
        </w:rPr>
        <w:lastRenderedPageBreak/>
        <w:t>Penelitian ini melakukan analisis tafsir tematik</w:t>
      </w:r>
      <w:r w:rsidR="0001459C" w:rsidRPr="00FC7485">
        <w:rPr>
          <w:rStyle w:val="FootnoteReference"/>
          <w:sz w:val="24"/>
          <w:szCs w:val="24"/>
        </w:rPr>
        <w:footnoteReference w:id="21"/>
      </w:r>
      <w:r w:rsidRPr="00FC7485">
        <w:rPr>
          <w:sz w:val="24"/>
          <w:szCs w:val="24"/>
        </w:rPr>
        <w:t>terhadap ayat-ayat yang sering dirujuk dalam ceramah dan diskusi masyarakat serta membandingkannya dengan ayat-ayat yang jarang atau tidak pernah disampaikan. Hasilnya menunjukkan adanya penekanan selektif.</w:t>
      </w:r>
      <w:r w:rsidR="0001459C" w:rsidRPr="00FC7485">
        <w:rPr>
          <w:rStyle w:val="FootnoteReference"/>
          <w:sz w:val="24"/>
          <w:szCs w:val="24"/>
        </w:rPr>
        <w:footnoteReference w:id="22"/>
      </w:r>
      <w:r w:rsidRPr="00FC7485">
        <w:rPr>
          <w:sz w:val="24"/>
          <w:szCs w:val="24"/>
        </w:rPr>
        <w:t xml:space="preserve"> Ayat-ayat yang dominan adalah yang berisi perintah sabar, tawakal, dan bahwa kemiskinan</w:t>
      </w:r>
      <w:r w:rsidR="00593EAC" w:rsidRPr="00FC7485">
        <w:rPr>
          <w:sz w:val="24"/>
          <w:szCs w:val="24"/>
        </w:rPr>
        <w:t> </w:t>
      </w:r>
      <w:r w:rsidRPr="00FC7485">
        <w:rPr>
          <w:sz w:val="24"/>
          <w:szCs w:val="24"/>
        </w:rPr>
        <w:t>adalah</w:t>
      </w:r>
      <w:r w:rsidR="00593EAC" w:rsidRPr="00FC7485">
        <w:rPr>
          <w:sz w:val="24"/>
          <w:szCs w:val="24"/>
        </w:rPr>
        <w:t> </w:t>
      </w:r>
      <w:r w:rsidRPr="00FC7485">
        <w:rPr>
          <w:sz w:val="24"/>
          <w:szCs w:val="24"/>
        </w:rPr>
        <w:t>ujian</w:t>
      </w:r>
      <w:r w:rsidR="00593EAC" w:rsidRPr="00FC7485">
        <w:rPr>
          <w:sz w:val="24"/>
          <w:szCs w:val="24"/>
        </w:rPr>
        <w:t> </w:t>
      </w:r>
      <w:r w:rsidRPr="00FC7485">
        <w:rPr>
          <w:sz w:val="24"/>
          <w:szCs w:val="24"/>
        </w:rPr>
        <w:t>(Q.S.</w:t>
      </w:r>
      <w:r w:rsidR="00593EAC" w:rsidRPr="00FC7485">
        <w:rPr>
          <w:sz w:val="24"/>
          <w:szCs w:val="24"/>
        </w:rPr>
        <w:t> </w:t>
      </w:r>
      <w:r w:rsidRPr="00FC7485">
        <w:rPr>
          <w:sz w:val="24"/>
          <w:szCs w:val="24"/>
        </w:rPr>
        <w:t>Al-Baqarah:</w:t>
      </w:r>
      <w:r w:rsidR="00593EAC" w:rsidRPr="00FC7485">
        <w:rPr>
          <w:sz w:val="24"/>
          <w:szCs w:val="24"/>
        </w:rPr>
        <w:t> </w:t>
      </w:r>
      <w:r w:rsidRPr="00FC7485">
        <w:rPr>
          <w:sz w:val="24"/>
          <w:szCs w:val="24"/>
        </w:rPr>
        <w:t>155-157</w:t>
      </w:r>
      <w:r w:rsidR="00593EAC" w:rsidRPr="00FC7485">
        <w:rPr>
          <w:sz w:val="24"/>
          <w:szCs w:val="24"/>
        </w:rPr>
        <w:t>).</w:t>
      </w:r>
    </w:p>
    <w:p w14:paraId="5C511AB1" w14:textId="433C5F39" w:rsidR="00D32083" w:rsidRPr="00D32083" w:rsidRDefault="0018367C" w:rsidP="00D32083">
      <w:pPr>
        <w:bidi/>
        <w:ind w:firstLine="720"/>
        <w:jc w:val="both"/>
        <w:rPr>
          <w:rFonts w:ascii="Traditional Arabic" w:hAnsi="Traditional Arabic" w:cs="Traditional Arabic"/>
          <w:sz w:val="32"/>
          <w:szCs w:val="32"/>
        </w:rPr>
      </w:pPr>
      <w:r>
        <w:rPr>
          <w:sz w:val="24"/>
          <w:szCs w:val="24"/>
        </w:rPr>
        <w:tab/>
      </w:r>
      <w:r w:rsidR="00593EAC" w:rsidRPr="00FC7485">
        <w:rPr>
          <w:sz w:val="32"/>
          <w:szCs w:val="32"/>
        </w:rPr>
        <w:br/>
      </w:r>
      <w:r w:rsidR="00D32083" w:rsidRPr="00D32083">
        <w:rPr>
          <w:rFonts w:ascii="Traditional Arabic" w:hAnsi="Traditional Arabic" w:cs="Traditional Arabic"/>
          <w:sz w:val="32"/>
          <w:szCs w:val="32"/>
          <w:rtl/>
        </w:rPr>
        <w:t>وَلَنَبْلُوَنَّكُمْ بِشَيْءٍ مِنَ الْخَوْفِ وَالْجُوعِ وَنَقْصٍ مِنَ الأمْوَالِ وَالأنْفُسِ وَالثَّمَرَاتِ وَبَشِّرِ الصَّابِرِينَ</w:t>
      </w:r>
      <w:r w:rsidR="00D32083" w:rsidRPr="00D32083">
        <w:rPr>
          <w:rFonts w:ascii="Traditional Arabic" w:hAnsi="Traditional Arabic" w:cs="Traditional Arabic"/>
          <w:sz w:val="32"/>
          <w:szCs w:val="32"/>
        </w:rPr>
        <w:t>,</w:t>
      </w:r>
      <w:r w:rsidR="00D32083" w:rsidRPr="00D32083">
        <w:rPr>
          <w:rFonts w:ascii="Traditional Arabic" w:hAnsi="Traditional Arabic" w:cs="Traditional Arabic"/>
          <w:color w:val="5F0000"/>
          <w:sz w:val="32"/>
          <w:szCs w:val="32"/>
          <w:shd w:val="clear" w:color="auto" w:fill="FFFFFF"/>
          <w:rtl/>
        </w:rPr>
        <w:t xml:space="preserve"> </w:t>
      </w:r>
      <w:r w:rsidR="00D32083" w:rsidRPr="00D32083">
        <w:rPr>
          <w:rFonts w:ascii="Traditional Arabic" w:hAnsi="Traditional Arabic" w:cs="Traditional Arabic"/>
          <w:sz w:val="32"/>
          <w:szCs w:val="32"/>
          <w:rtl/>
        </w:rPr>
        <w:t>وبشر الصابرين الذين إذا أصَابتهم مُصيبه قالوا إنا لله وإنا إليه راجعون أولئك عَلمهم صَلواتٌ من رَبهم وَرَحمة وأولئك هُمُ المهتدون</w:t>
      </w:r>
      <w:r w:rsidR="00D32083" w:rsidRPr="00D32083">
        <w:rPr>
          <w:rFonts w:ascii="Traditional Arabic" w:hAnsi="Traditional Arabic" w:cs="Traditional Arabic"/>
          <w:sz w:val="32"/>
          <w:szCs w:val="32"/>
        </w:rPr>
        <w:t>,</w:t>
      </w:r>
      <w:r w:rsidR="00D32083" w:rsidRPr="00D32083">
        <w:rPr>
          <w:rFonts w:ascii="Traditional Arabic" w:hAnsi="Traditional Arabic" w:cs="Traditional Arabic"/>
          <w:sz w:val="32"/>
          <w:szCs w:val="32"/>
          <w:rtl/>
        </w:rPr>
        <w:t>أُولَئِكَ عَلَيْهِمْ صَلَوَاتٌ مِنْ رَبِّهِمْ وَرَحْمَةٌ وَأُولَئِكَ هُمُ الْمُهْتَدُونَ</w:t>
      </w:r>
    </w:p>
    <w:p w14:paraId="37817734" w14:textId="2310F343" w:rsidR="00452C36" w:rsidRPr="00FC7485" w:rsidRDefault="00452C36" w:rsidP="00D32083">
      <w:pPr>
        <w:spacing w:line="360" w:lineRule="auto"/>
        <w:jc w:val="both"/>
        <w:rPr>
          <w:rFonts w:ascii="Traditional Arabic" w:hAnsi="Traditional Arabic" w:cs="Traditional Arabic"/>
          <w:sz w:val="24"/>
          <w:szCs w:val="24"/>
        </w:rPr>
      </w:pPr>
      <w:r w:rsidRPr="00FC7485">
        <w:rPr>
          <w:sz w:val="24"/>
          <w:szCs w:val="24"/>
        </w:rPr>
        <w:t xml:space="preserve">Q.S. At-Taghabun: 11). </w:t>
      </w:r>
      <w:r w:rsidR="0001459C" w:rsidRPr="00FC7485">
        <w:rPr>
          <w:rStyle w:val="FootnoteReference"/>
          <w:sz w:val="24"/>
          <w:szCs w:val="24"/>
        </w:rPr>
        <w:footnoteReference w:id="23"/>
      </w:r>
    </w:p>
    <w:p w14:paraId="589CC9D5" w14:textId="01AA8AD8" w:rsidR="00451B61" w:rsidRDefault="00451B61" w:rsidP="00451B61">
      <w:pPr>
        <w:bidi/>
        <w:ind w:right="147" w:firstLine="3"/>
        <w:rPr>
          <w:rFonts w:ascii="Traditional Arabic" w:hAnsi="Traditional Arabic" w:cs="Traditional Arabic"/>
          <w:sz w:val="32"/>
          <w:szCs w:val="32"/>
        </w:rPr>
      </w:pPr>
      <w:r w:rsidRPr="00451B61">
        <w:rPr>
          <w:rFonts w:ascii="Traditional Arabic" w:hAnsi="Traditional Arabic" w:cs="Traditional Arabic"/>
          <w:sz w:val="32"/>
          <w:szCs w:val="32"/>
          <w:rtl/>
        </w:rPr>
        <w:t>مَا أَصَابَ مِنْ مُصِيبَةٍ إِلا بِإِذْنِ اللَّهِ وَمَنْ يُؤْمِنْ بِاللَّهِ يَهْدِ قَلْبَهُ</w:t>
      </w:r>
      <w:r>
        <w:rPr>
          <w:rFonts w:ascii="Traditional Arabic" w:hAnsi="Traditional Arabic" w:cs="Traditional Arabic"/>
          <w:sz w:val="32"/>
          <w:szCs w:val="32"/>
        </w:rPr>
        <w:t xml:space="preserve"> </w:t>
      </w:r>
      <w:r w:rsidRPr="00451B61">
        <w:rPr>
          <w:rFonts w:ascii="Traditional Arabic" w:hAnsi="Traditional Arabic" w:cs="Traditional Arabic"/>
          <w:sz w:val="32"/>
          <w:szCs w:val="32"/>
          <w:rtl/>
        </w:rPr>
        <w:t>اللَّهِ وَمَنْ يُؤْمِنْ بِاللَّهِ يَهْدِ قَلْبَهُ وَاللَّهُ بِكُلِّ شَيْءٍ عَلِيم</w:t>
      </w:r>
    </w:p>
    <w:p w14:paraId="6C82DF18" w14:textId="51D44D0D" w:rsidR="00593EAC" w:rsidRPr="00FC7485" w:rsidRDefault="00452C36" w:rsidP="00451B61">
      <w:pPr>
        <w:spacing w:line="360" w:lineRule="auto"/>
        <w:ind w:firstLine="720"/>
        <w:rPr>
          <w:rFonts w:ascii="Traditional Arabic" w:hAnsi="Traditional Arabic" w:cs="Traditional Arabic"/>
          <w:sz w:val="32"/>
          <w:szCs w:val="32"/>
        </w:rPr>
      </w:pPr>
      <w:r w:rsidRPr="00FC7485">
        <w:rPr>
          <w:sz w:val="24"/>
          <w:szCs w:val="24"/>
        </w:rPr>
        <w:t xml:space="preserve">Sementara itu, ayat-ayat tentang kewajiban negara untuk menjamin kesejahteraan (Q.S. Al-Hasyr: 7: </w:t>
      </w:r>
    </w:p>
    <w:p w14:paraId="60C93F01" w14:textId="764CBFC6" w:rsidR="00593EAC" w:rsidRPr="00FC7485" w:rsidRDefault="00451B61" w:rsidP="00451B61">
      <w:pPr>
        <w:spacing w:line="360" w:lineRule="auto"/>
        <w:ind w:firstLine="720"/>
        <w:jc w:val="right"/>
        <w:rPr>
          <w:sz w:val="24"/>
          <w:szCs w:val="24"/>
        </w:rPr>
      </w:pPr>
      <w:r w:rsidRPr="00451B61">
        <w:rPr>
          <w:rFonts w:ascii="Traditional Arabic" w:hAnsi="Traditional Arabic" w:cs="Traditional Arabic"/>
          <w:sz w:val="32"/>
          <w:szCs w:val="32"/>
          <w:rtl/>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r w:rsidR="00593EAC" w:rsidRPr="00FC7485">
        <w:rPr>
          <w:sz w:val="24"/>
          <w:szCs w:val="24"/>
        </w:rPr>
        <w:t>۝٧</w:t>
      </w:r>
    </w:p>
    <w:p w14:paraId="7052E80D" w14:textId="77777777" w:rsidR="00593EAC" w:rsidRPr="00FC7485" w:rsidRDefault="00593EAC" w:rsidP="00452C36">
      <w:pPr>
        <w:spacing w:line="360" w:lineRule="auto"/>
        <w:ind w:firstLine="720"/>
        <w:jc w:val="both"/>
        <w:rPr>
          <w:sz w:val="24"/>
          <w:szCs w:val="24"/>
        </w:rPr>
      </w:pPr>
    </w:p>
    <w:p w14:paraId="1683F889" w14:textId="5A75D172" w:rsidR="00593EAC" w:rsidRPr="00FC7485" w:rsidRDefault="00452C36" w:rsidP="0089236C">
      <w:pPr>
        <w:spacing w:line="360" w:lineRule="auto"/>
        <w:ind w:firstLine="720"/>
        <w:rPr>
          <w:sz w:val="32"/>
          <w:szCs w:val="32"/>
        </w:rPr>
      </w:pPr>
      <w:r w:rsidRPr="00FC7485">
        <w:rPr>
          <w:i/>
          <w:iCs/>
          <w:sz w:val="24"/>
          <w:szCs w:val="24"/>
        </w:rPr>
        <w:t>“...supaya harta itu jangan hanya beredar di antara orang-orang kaya saja di antara kamu”),</w:t>
      </w:r>
      <w:r w:rsidR="0001459C" w:rsidRPr="00FC7485">
        <w:rPr>
          <w:rStyle w:val="FootnoteReference"/>
          <w:i/>
          <w:iCs/>
          <w:sz w:val="24"/>
          <w:szCs w:val="24"/>
        </w:rPr>
        <w:footnoteReference w:id="24"/>
      </w:r>
      <w:r w:rsidRPr="00FC7485">
        <w:rPr>
          <w:i/>
          <w:iCs/>
          <w:sz w:val="24"/>
          <w:szCs w:val="24"/>
        </w:rPr>
        <w:t xml:space="preserve"> </w:t>
      </w:r>
      <w:r w:rsidR="00593EAC" w:rsidRPr="00FC7485">
        <w:rPr>
          <w:sz w:val="24"/>
          <w:szCs w:val="24"/>
        </w:rPr>
        <w:t>t</w:t>
      </w:r>
      <w:r w:rsidRPr="00FC7485">
        <w:rPr>
          <w:sz w:val="24"/>
          <w:szCs w:val="24"/>
        </w:rPr>
        <w:t>entang kutukan terhadap penimbunan harta (Q.S. At-Taubah: 34-35)</w:t>
      </w:r>
      <w:r w:rsidR="00593EAC" w:rsidRPr="00FC7485">
        <w:rPr>
          <w:sz w:val="24"/>
          <w:szCs w:val="24"/>
        </w:rPr>
        <w:t>.</w:t>
      </w:r>
    </w:p>
    <w:p w14:paraId="56569EA0" w14:textId="46B82735" w:rsidR="0089236C" w:rsidRPr="00FC7485" w:rsidRDefault="00D32083" w:rsidP="00451B61">
      <w:pPr>
        <w:bidi/>
        <w:ind w:firstLine="3"/>
        <w:rPr>
          <w:rFonts w:ascii="Traditional Arabic" w:hAnsi="Traditional Arabic" w:cs="Traditional Arabic"/>
          <w:sz w:val="24"/>
          <w:szCs w:val="24"/>
        </w:rPr>
      </w:pPr>
      <w:r w:rsidRPr="00D32083">
        <w:rPr>
          <w:rFonts w:ascii="Traditional Arabic" w:hAnsi="Traditional Arabic" w:cs="Traditional Arabic"/>
          <w:sz w:val="32"/>
          <w:szCs w:val="32"/>
          <w:rtl/>
        </w:rPr>
        <w:t>يَا أَيُّهَا الَّذِينَ آمَنُوا إِنَّ كَثِيرًا مِنَ الأحْبَارِ وَالرُّهْبَانِ لَيَأْكُلُونَ أَمْوَالَ النَّاسِ بِالْبَاطِلِ وَيَصُدُّونَ عَنْ سَبِيلِ اللَّهِ </w:t>
      </w:r>
      <w:r w:rsidRPr="00D32083">
        <w:rPr>
          <w:rFonts w:ascii="Traditional Arabic" w:hAnsi="Traditional Arabic" w:cs="Traditional Arabic"/>
          <w:sz w:val="32"/>
          <w:szCs w:val="32"/>
        </w:rPr>
        <w:t xml:space="preserve"> </w:t>
      </w:r>
      <w:r w:rsidRPr="00D32083">
        <w:rPr>
          <w:rFonts w:ascii="Traditional Arabic" w:hAnsi="Traditional Arabic" w:cs="Traditional Arabic"/>
          <w:sz w:val="32"/>
          <w:szCs w:val="32"/>
          <w:rtl/>
        </w:rPr>
        <w:t>٣٤</w:t>
      </w:r>
      <w:r w:rsidR="00451B61" w:rsidRPr="00451B61">
        <w:rPr>
          <w:rFonts w:ascii="Naskh" w:hAnsi="Naskh"/>
          <w:color w:val="000000"/>
          <w:sz w:val="33"/>
          <w:szCs w:val="33"/>
          <w:shd w:val="clear" w:color="auto" w:fill="FFFFFF"/>
          <w:rtl/>
        </w:rPr>
        <w:t xml:space="preserve"> </w:t>
      </w:r>
      <w:r w:rsidR="00451B61" w:rsidRPr="00451B61">
        <w:rPr>
          <w:rFonts w:ascii="Traditional Arabic" w:hAnsi="Traditional Arabic" w:cs="Traditional Arabic"/>
          <w:sz w:val="32"/>
          <w:szCs w:val="32"/>
          <w:rtl/>
        </w:rPr>
        <w:t>يَوْمَ يُحْمَى عَلَيْهَا فِي نَارِ جَهَنَّمَ فَتُكْوَى بِهَا جِبَاهُهُمْ وَجُنُوبُهُمْ وَظُهُورُهُمْ هَذَا مَا كَنزتُمْ لأنْفُسِكُمْ فَذُوقُوا مَا كُنْتُمْ تَكْنزونَ</w:t>
      </w:r>
      <w:r w:rsidR="00451B61">
        <w:rPr>
          <w:rFonts w:ascii="Traditional Arabic" w:hAnsi="Traditional Arabic" w:cs="Traditional Arabic"/>
          <w:sz w:val="32"/>
          <w:szCs w:val="32"/>
        </w:rPr>
        <w:t>,</w:t>
      </w:r>
    </w:p>
    <w:p w14:paraId="0F5875B7" w14:textId="5BA60459" w:rsidR="0089236C" w:rsidRPr="00FC7485" w:rsidRDefault="00452C36" w:rsidP="0089236C">
      <w:pPr>
        <w:spacing w:line="360" w:lineRule="auto"/>
        <w:jc w:val="both"/>
        <w:rPr>
          <w:sz w:val="24"/>
          <w:szCs w:val="24"/>
        </w:rPr>
      </w:pPr>
      <w:r w:rsidRPr="00FC7485">
        <w:rPr>
          <w:sz w:val="24"/>
          <w:szCs w:val="24"/>
        </w:rPr>
        <w:t xml:space="preserve">serta tentang kewajiban berperang melawan kemiskinan struktural (dalam pengertian </w:t>
      </w:r>
      <w:r w:rsidRPr="00FC7485">
        <w:rPr>
          <w:sz w:val="24"/>
          <w:szCs w:val="24"/>
        </w:rPr>
        <w:lastRenderedPageBreak/>
        <w:t>melawan thaghut, Q.S. An-Nisa’: 60 dan 76)</w:t>
      </w:r>
      <w:r w:rsidR="0089236C" w:rsidRPr="00FC7485">
        <w:rPr>
          <w:sz w:val="24"/>
          <w:szCs w:val="24"/>
        </w:rPr>
        <w:t>.</w:t>
      </w:r>
    </w:p>
    <w:p w14:paraId="5A15EF11" w14:textId="77777777" w:rsidR="00451B61" w:rsidRDefault="00D32083" w:rsidP="00451B61">
      <w:pPr>
        <w:bidi/>
        <w:spacing w:line="360" w:lineRule="auto"/>
        <w:rPr>
          <w:rFonts w:ascii="Traditional Arabic" w:hAnsi="Traditional Arabic" w:cs="Traditional Arabic"/>
          <w:sz w:val="32"/>
          <w:szCs w:val="32"/>
        </w:rPr>
      </w:pPr>
      <w:r w:rsidRPr="00D32083">
        <w:rPr>
          <w:rFonts w:ascii="Traditional Arabic" w:hAnsi="Traditional Arabic" w:cs="Traditional Arabic"/>
          <w:sz w:val="32"/>
          <w:szCs w:val="32"/>
          <w:rtl/>
        </w:rPr>
        <w:t>أَلَمْ تَرَ إِلَى الَّذِينَ يَزْعُمُونَ أَنَّهُمْ آمَنُوا بِمَا أُنْزِلَ إِلَيْكَ وَمَا أُنْزِلَ مِنْ قَبْلِكَ يُرِيدُونَ أَنْ يَتَحَاكَمُوا إِلَى الطَّاغُوتِ وَقَدْ أُمِرُوا أَنْ يَكْفُرُوا بِهِ وَيُرِيدُ الشَّيْطَانُ أَنْ يُضِلَّهُمْ ضَلالا بَعِيدً</w:t>
      </w:r>
      <w:r w:rsidR="00451B61">
        <w:rPr>
          <w:rFonts w:ascii="Traditional Arabic" w:hAnsi="Traditional Arabic" w:cs="Traditional Arabic"/>
          <w:sz w:val="32"/>
          <w:szCs w:val="32"/>
        </w:rPr>
        <w:t>,</w:t>
      </w:r>
    </w:p>
    <w:p w14:paraId="268E31DB" w14:textId="6A084397" w:rsidR="0089236C" w:rsidRPr="00451B61" w:rsidRDefault="00D32083" w:rsidP="00451B61">
      <w:pPr>
        <w:bidi/>
        <w:spacing w:line="360" w:lineRule="auto"/>
        <w:rPr>
          <w:rFonts w:ascii="Traditional Arabic" w:hAnsi="Traditional Arabic" w:cs="Traditional Arabic"/>
          <w:sz w:val="32"/>
          <w:szCs w:val="32"/>
        </w:rPr>
      </w:pPr>
      <w:r w:rsidRPr="00D32083">
        <w:rPr>
          <w:rFonts w:ascii="Traditional Arabic" w:hAnsi="Traditional Arabic" w:cs="Traditional Arabic"/>
          <w:sz w:val="32"/>
          <w:szCs w:val="32"/>
          <w:rtl/>
        </w:rPr>
        <w:t>وَإِنَّ مِنْكُمْ لَمَنْ لَيُبَطِّئَنَّ فَإِنْ أَصَابَتْكُمْ مُصِيبَةٌ قَالَ قَدْ أَنْعَمَ اللَّهُ عَلَيَّ إِذْ لَمْ أَكُنْ مَعَهُمْ شَهِيدًا ٧٢</w:t>
      </w:r>
    </w:p>
    <w:p w14:paraId="5AB60A20" w14:textId="5479B7A4" w:rsidR="0089236C" w:rsidRPr="00FC7485" w:rsidRDefault="00452C36" w:rsidP="0089236C">
      <w:pPr>
        <w:spacing w:line="360" w:lineRule="auto"/>
        <w:jc w:val="both"/>
        <w:rPr>
          <w:sz w:val="24"/>
          <w:szCs w:val="24"/>
        </w:rPr>
      </w:pPr>
      <w:r w:rsidRPr="00FC7485">
        <w:rPr>
          <w:sz w:val="24"/>
          <w:szCs w:val="24"/>
        </w:rPr>
        <w:t>tidak pernah disinggung.</w:t>
      </w:r>
      <w:r w:rsidR="0001459C" w:rsidRPr="00FC7485">
        <w:rPr>
          <w:rStyle w:val="FootnoteReference"/>
          <w:sz w:val="24"/>
          <w:szCs w:val="24"/>
        </w:rPr>
        <w:footnoteReference w:id="25"/>
      </w:r>
      <w:r w:rsidRPr="00FC7485">
        <w:rPr>
          <w:sz w:val="24"/>
          <w:szCs w:val="24"/>
        </w:rPr>
        <w:t xml:space="preserve"> Bahkan konsep mustad’afun (</w:t>
      </w:r>
      <w:r w:rsidRPr="00FC7485">
        <w:rPr>
          <w:i/>
          <w:iCs/>
          <w:sz w:val="24"/>
          <w:szCs w:val="24"/>
        </w:rPr>
        <w:t>orang-orang yang dilemahkan</w:t>
      </w:r>
      <w:r w:rsidRPr="00FC7485">
        <w:rPr>
          <w:sz w:val="24"/>
          <w:szCs w:val="24"/>
        </w:rPr>
        <w:t>) yang dalam Al-Qur’an (Q.S. Al-Qashash: 5)</w:t>
      </w:r>
      <w:r w:rsidR="0089236C" w:rsidRPr="00FC7485">
        <w:rPr>
          <w:sz w:val="24"/>
          <w:szCs w:val="24"/>
        </w:rPr>
        <w:t>.</w:t>
      </w:r>
    </w:p>
    <w:p w14:paraId="10ECDFA0" w14:textId="45E5989D" w:rsidR="0089236C" w:rsidRPr="00FC7485" w:rsidRDefault="00451B61" w:rsidP="00451B61">
      <w:pPr>
        <w:spacing w:line="360" w:lineRule="auto"/>
        <w:jc w:val="right"/>
        <w:rPr>
          <w:rFonts w:ascii="Traditional Arabic" w:hAnsi="Traditional Arabic" w:cs="Traditional Arabic"/>
          <w:sz w:val="24"/>
          <w:szCs w:val="24"/>
        </w:rPr>
      </w:pPr>
      <w:r w:rsidRPr="00451B61">
        <w:rPr>
          <w:rFonts w:ascii="Traditional Arabic" w:hAnsi="Traditional Arabic" w:cs="Traditional Arabic"/>
          <w:sz w:val="32"/>
          <w:szCs w:val="32"/>
          <w:rtl/>
        </w:rPr>
        <w:t>وَنُرِيدُ أَنْ نَمُنَّ عَلَى الَّذِينَ اسْتُضْعِفُوا فِي الأرْضِ وَنَجْعَلَهُمْ أَئِمَّةً وَنَجْعَلَهُمُ الْوَارِثِينَ</w:t>
      </w:r>
      <w:r w:rsidR="0089236C" w:rsidRPr="00FC7485">
        <w:rPr>
          <w:rFonts w:ascii="Traditional Arabic" w:hAnsi="Traditional Arabic" w:cs="Traditional Arabic" w:hint="cs"/>
          <w:sz w:val="32"/>
          <w:szCs w:val="32"/>
        </w:rPr>
        <w:t> </w:t>
      </w:r>
    </w:p>
    <w:p w14:paraId="7CC6DB3B" w14:textId="2298271E" w:rsidR="00452C36" w:rsidRPr="00FC7485" w:rsidRDefault="00452C36" w:rsidP="0089236C">
      <w:pPr>
        <w:spacing w:line="360" w:lineRule="auto"/>
        <w:jc w:val="both"/>
        <w:rPr>
          <w:sz w:val="24"/>
          <w:szCs w:val="24"/>
        </w:rPr>
      </w:pPr>
      <w:r w:rsidRPr="00FC7485">
        <w:rPr>
          <w:sz w:val="24"/>
          <w:szCs w:val="24"/>
        </w:rPr>
        <w:t>dijanjikan akan menjadi pewaris bumi, ditafsirkan secara spiritualis sebagai “orang-orang yang lemah hati” bukan kelompok sosial yang tertindas secara struktural.</w:t>
      </w:r>
      <w:r w:rsidR="009E14B2" w:rsidRPr="00FC7485">
        <w:rPr>
          <w:rStyle w:val="FootnoteReference"/>
          <w:sz w:val="24"/>
          <w:szCs w:val="24"/>
        </w:rPr>
        <w:footnoteReference w:id="26"/>
      </w:r>
    </w:p>
    <w:p w14:paraId="73D5625D" w14:textId="1933FA7B" w:rsidR="00452C36" w:rsidRPr="00FC7485" w:rsidRDefault="00452C36" w:rsidP="00452C36">
      <w:pPr>
        <w:spacing w:line="360" w:lineRule="auto"/>
        <w:ind w:firstLine="720"/>
        <w:jc w:val="both"/>
        <w:rPr>
          <w:sz w:val="24"/>
          <w:szCs w:val="24"/>
        </w:rPr>
      </w:pPr>
      <w:r w:rsidRPr="00FC7485">
        <w:rPr>
          <w:sz w:val="24"/>
          <w:szCs w:val="24"/>
        </w:rPr>
        <w:t>Temuan lapangan menunjukkan bahwa tidak ada satu pun teung</w:t>
      </w:r>
      <w:r w:rsidR="0089236C" w:rsidRPr="00FC7485">
        <w:rPr>
          <w:sz w:val="24"/>
          <w:szCs w:val="24"/>
        </w:rPr>
        <w:t>k</w:t>
      </w:r>
      <w:r w:rsidRPr="00FC7485">
        <w:rPr>
          <w:sz w:val="24"/>
          <w:szCs w:val="24"/>
        </w:rPr>
        <w:t xml:space="preserve">u yang pernah membahas ayat </w:t>
      </w:r>
      <w:r w:rsidRPr="00FC7485">
        <w:rPr>
          <w:i/>
          <w:iCs/>
          <w:sz w:val="24"/>
          <w:szCs w:val="24"/>
        </w:rPr>
        <w:t>“Mengapa kamu tidak mau berperang di jalan Allah dan (membela) orang-orang yang lemah (mustad’afin), baik laki-laki, perempuan, maupun anak-anak</w:t>
      </w:r>
      <w:r w:rsidRPr="00FC7485">
        <w:rPr>
          <w:sz w:val="24"/>
          <w:szCs w:val="24"/>
        </w:rPr>
        <w:t>?” (Q.S. An-Nisa’: 75) dalam pengajian.</w:t>
      </w:r>
      <w:r w:rsidR="009E14B2" w:rsidRPr="00FC7485">
        <w:rPr>
          <w:rStyle w:val="FootnoteReference"/>
          <w:sz w:val="24"/>
          <w:szCs w:val="24"/>
        </w:rPr>
        <w:footnoteReference w:id="27"/>
      </w:r>
      <w:r w:rsidRPr="00FC7485">
        <w:rPr>
          <w:sz w:val="24"/>
          <w:szCs w:val="24"/>
        </w:rPr>
        <w:t xml:space="preserve"> Padahal ayat ini secara eksplisit memerintahkan perlawanan terhadap struktur yang menindas. Sebaliknya, ayat-ayat tentang kewajiban taat pada pemimpin (uli amri) sering dikutip tanpa syarat “jika mereka tidak menyuruh kemungkaran”.</w:t>
      </w:r>
      <w:r w:rsidR="009E14B2" w:rsidRPr="00FC7485">
        <w:rPr>
          <w:rStyle w:val="FootnoteReference"/>
          <w:sz w:val="24"/>
          <w:szCs w:val="24"/>
        </w:rPr>
        <w:footnoteReference w:id="28"/>
      </w:r>
      <w:r w:rsidRPr="00FC7485">
        <w:rPr>
          <w:sz w:val="24"/>
          <w:szCs w:val="24"/>
        </w:rPr>
        <w:t xml:space="preserve"> Pola ini menunjukkan adanya ideologi tafsir yang konservatif dan akomodatif terhadap status quo.</w:t>
      </w:r>
      <w:r w:rsidRPr="00FC7485">
        <w:rPr>
          <w:rStyle w:val="FootnoteReference"/>
        </w:rPr>
        <w:footnoteReference w:id="29"/>
      </w:r>
      <w:r w:rsidRPr="00FC7485">
        <w:rPr>
          <w:sz w:val="24"/>
          <w:szCs w:val="24"/>
        </w:rPr>
        <w:t xml:space="preserve"> Dari perspektif sosiologi Al-Qur’an, temuan ini mengonfirmasi bahwa teks suci bersifat polisemik, tetapi kekuatan sosial yang dominan berhasil memaksakan makna tertentu dan menyingkirkan makna-makna subversive.</w:t>
      </w:r>
      <w:r w:rsidR="009E14B2" w:rsidRPr="00FC7485">
        <w:rPr>
          <w:rStyle w:val="FootnoteReference"/>
          <w:sz w:val="24"/>
          <w:szCs w:val="24"/>
        </w:rPr>
        <w:footnoteReference w:id="30"/>
      </w:r>
      <w:r w:rsidRPr="00FC7485">
        <w:rPr>
          <w:sz w:val="24"/>
          <w:szCs w:val="24"/>
        </w:rPr>
        <w:t xml:space="preserve"> Dengan kata lain, kemiskinan struktural dapat bertahan bukan karena Al-Qur’an tidak mengaturnya, tetapi karena interpretasi yang berlaku di masyarakat pesisir Aceh telah </w:t>
      </w:r>
      <w:r w:rsidRPr="00FC7485">
        <w:rPr>
          <w:sz w:val="24"/>
          <w:szCs w:val="24"/>
        </w:rPr>
        <w:lastRenderedPageBreak/>
        <w:t>mengalami distorsi kelas.</w:t>
      </w:r>
    </w:p>
    <w:p w14:paraId="5C2B7468" w14:textId="35EB8719" w:rsidR="00452C36" w:rsidRPr="00B15C17" w:rsidRDefault="00452C36" w:rsidP="00B15C17">
      <w:pPr>
        <w:pStyle w:val="ListParagraph"/>
        <w:numPr>
          <w:ilvl w:val="0"/>
          <w:numId w:val="3"/>
        </w:numPr>
        <w:spacing w:line="360" w:lineRule="auto"/>
        <w:jc w:val="both"/>
        <w:rPr>
          <w:b/>
          <w:bCs/>
          <w:sz w:val="24"/>
          <w:szCs w:val="24"/>
        </w:rPr>
      </w:pPr>
      <w:r w:rsidRPr="00B15C17">
        <w:rPr>
          <w:b/>
          <w:bCs/>
          <w:sz w:val="24"/>
          <w:szCs w:val="24"/>
        </w:rPr>
        <w:t>Resistensi dan Alternatif: Menuju Teologi Pembebasan Pesisir</w:t>
      </w:r>
    </w:p>
    <w:p w14:paraId="0A1DA5E8" w14:textId="44A8FC25" w:rsidR="00452C36" w:rsidRPr="00FC7485" w:rsidRDefault="00452C36" w:rsidP="0089236C">
      <w:pPr>
        <w:spacing w:line="360" w:lineRule="auto"/>
        <w:ind w:firstLine="720"/>
        <w:jc w:val="both"/>
        <w:rPr>
          <w:sz w:val="24"/>
          <w:szCs w:val="24"/>
        </w:rPr>
      </w:pPr>
      <w:r w:rsidRPr="00FC7485">
        <w:rPr>
          <w:sz w:val="24"/>
          <w:szCs w:val="24"/>
        </w:rPr>
        <w:t>Meskipun dominan, penelitian ini juga menemukan benih-benih resistensi yang menunjukkan potensi agama sebagai kekuatan perubahan. Di Kuala Langsa dan Sungai Lueng, terdapat sekelompok nelayan muda yang mengikuti pengajian alternatif yang diasuh oleh seorang teung</w:t>
      </w:r>
      <w:r w:rsidR="00000BE1" w:rsidRPr="00FC7485">
        <w:rPr>
          <w:sz w:val="24"/>
          <w:szCs w:val="24"/>
        </w:rPr>
        <w:t>ku</w:t>
      </w:r>
      <w:r w:rsidRPr="00FC7485">
        <w:rPr>
          <w:sz w:val="24"/>
          <w:szCs w:val="24"/>
        </w:rPr>
        <w:t xml:space="preserve"> muda lulusan pesantren modern. Kelompok ini secara rutin membaca tafsir tematik tentang keadilan ekonomi</w:t>
      </w:r>
      <w:r w:rsidR="009E14B2" w:rsidRPr="00FC7485">
        <w:rPr>
          <w:rStyle w:val="FootnoteReference"/>
          <w:sz w:val="24"/>
          <w:szCs w:val="24"/>
        </w:rPr>
        <w:footnoteReference w:id="31"/>
      </w:r>
      <w:r w:rsidRPr="00FC7485">
        <w:rPr>
          <w:sz w:val="24"/>
          <w:szCs w:val="24"/>
        </w:rPr>
        <w:t xml:space="preserve"> dan melakukan pendampingan hukum bagi nelayan yang dieksploitasi. Mereka menginterpretasikan konsep khalifah(Q.S. Al-Baqarah: 30) sebagai tanggung jawab aktif untuk mengelola bumi secara adil, dan konsep ‘adl sebagai lawan dari zhulm (kezaliman).</w:t>
      </w:r>
    </w:p>
    <w:p w14:paraId="2E726CE1" w14:textId="77777777" w:rsidR="00452C36" w:rsidRPr="00FC7485" w:rsidRDefault="00452C36" w:rsidP="00452C36">
      <w:pPr>
        <w:spacing w:line="360" w:lineRule="auto"/>
        <w:ind w:firstLine="720"/>
        <w:jc w:val="both"/>
        <w:rPr>
          <w:sz w:val="24"/>
          <w:szCs w:val="24"/>
        </w:rPr>
      </w:pPr>
      <w:r w:rsidRPr="00FC7485">
        <w:rPr>
          <w:sz w:val="24"/>
          <w:szCs w:val="24"/>
        </w:rPr>
        <w:t>Salah seorang dari mereka menyatakan: “Nabi Muhammad itu miskin, tapi beliau berjuang melawan kaum kaya Quraisy yang menindas. Sabar bukan berarti diam. Sabar adalah perjuangan yang konsisten”. Interpretasi ini menggeser makna sabar dari pasrah menjadi ketekunan dalam perlawanan.</w:t>
      </w:r>
    </w:p>
    <w:p w14:paraId="76C7C508" w14:textId="499BD22D" w:rsidR="00452C36" w:rsidRPr="00FC7485" w:rsidRDefault="00452C36" w:rsidP="00452C36">
      <w:pPr>
        <w:spacing w:line="360" w:lineRule="auto"/>
        <w:ind w:firstLine="720"/>
        <w:jc w:val="both"/>
        <w:rPr>
          <w:sz w:val="24"/>
          <w:szCs w:val="24"/>
        </w:rPr>
      </w:pPr>
      <w:r w:rsidRPr="00FC7485">
        <w:rPr>
          <w:sz w:val="24"/>
          <w:szCs w:val="24"/>
        </w:rPr>
        <w:t>Selain itu, ditemukan pula praktik gotong royong yang disebut peumulek (bekerja sama tanpa bayaran) yang masih hidup di kalangan nelayan kecil.</w:t>
      </w:r>
      <w:r w:rsidR="00D73516" w:rsidRPr="00FC7485">
        <w:rPr>
          <w:rStyle w:val="FootnoteReference"/>
          <w:sz w:val="24"/>
          <w:szCs w:val="24"/>
        </w:rPr>
        <w:footnoteReference w:id="32"/>
      </w:r>
      <w:r w:rsidRPr="00FC7485">
        <w:rPr>
          <w:sz w:val="24"/>
          <w:szCs w:val="24"/>
        </w:rPr>
        <w:t xml:space="preserve"> Praktik ini berakar pada nilai-nilai Islam tentang ta’awun (tolong-menolong) namun dijalankan secara egaliter, tanpa dominasi patron. Kelompok nelayan ini juga menginisiasi lumbung pangan desa dan koperasi nelayan syariah yang mandiri, meskipun skalanya masih kecil. Mereka menolak utang berbunga kepada pemilik kapal, meskipun konsekuensinya mereka harus melaut dengan peralatan sederhana.</w:t>
      </w:r>
      <w:r w:rsidR="00D73516" w:rsidRPr="00FC7485">
        <w:rPr>
          <w:rStyle w:val="FootnoteReference"/>
          <w:sz w:val="24"/>
          <w:szCs w:val="24"/>
        </w:rPr>
        <w:footnoteReference w:id="33"/>
      </w:r>
      <w:r w:rsidRPr="00FC7485">
        <w:rPr>
          <w:sz w:val="24"/>
          <w:szCs w:val="24"/>
        </w:rPr>
        <w:t xml:space="preserve"> Keberhasilan kelompok ini menunjukkan bahwa relasi agama dan stratifikasi sosial tidak bersifat deterministik; ada ruang bagi agensi kolektif untuk melakukan reinterpretasi dan perlawanan.</w:t>
      </w:r>
    </w:p>
    <w:p w14:paraId="68DEC72E" w14:textId="47F1C954" w:rsidR="00452C36" w:rsidRPr="00FC7485" w:rsidRDefault="00452C36" w:rsidP="00452C36">
      <w:pPr>
        <w:spacing w:line="360" w:lineRule="auto"/>
        <w:ind w:firstLine="720"/>
        <w:jc w:val="both"/>
        <w:rPr>
          <w:sz w:val="24"/>
          <w:szCs w:val="24"/>
        </w:rPr>
      </w:pPr>
      <w:r w:rsidRPr="00FC7485">
        <w:rPr>
          <w:sz w:val="24"/>
          <w:szCs w:val="24"/>
        </w:rPr>
        <w:t xml:space="preserve">Dari perspektif teori, temuan ini memodifikasi tesis Weber tentang “etika Protestan” dengan menunjukkan bahwa dalam Islam, terutama dengan pendekatan sosiologi Al-Qur’an, justru ditemukan etika “pembebasan” yang dapat menjadi basis </w:t>
      </w:r>
      <w:r w:rsidRPr="00FC7485">
        <w:rPr>
          <w:sz w:val="24"/>
          <w:szCs w:val="24"/>
        </w:rPr>
        <w:lastRenderedPageBreak/>
        <w:t>gerakan melawan kemiskinan struktural.</w:t>
      </w:r>
      <w:r w:rsidRPr="00FC7485">
        <w:rPr>
          <w:rStyle w:val="FootnoteReference"/>
        </w:rPr>
        <w:footnoteReference w:id="34"/>
      </w:r>
      <w:r w:rsidRPr="00FC7485">
        <w:rPr>
          <w:sz w:val="24"/>
          <w:szCs w:val="24"/>
        </w:rPr>
        <w:t xml:space="preserve"> Ini sejalan dengan pemikiran Esack tentang “hermeneutika pembebasan”</w:t>
      </w:r>
      <w:r w:rsidR="00273F1A" w:rsidRPr="00FC7485">
        <w:rPr>
          <w:rStyle w:val="FootnoteReference"/>
          <w:sz w:val="24"/>
          <w:szCs w:val="24"/>
        </w:rPr>
        <w:footnoteReference w:id="35"/>
      </w:r>
      <w:r w:rsidRPr="00FC7485">
        <w:rPr>
          <w:sz w:val="24"/>
          <w:szCs w:val="24"/>
        </w:rPr>
        <w:t xml:space="preserve"> dan mengkritik pandangan bahwa Islam secara inheren konservatif. Namun demikian, tantangan utama yang dihadapi kelompok resisten ini adalah tekanan sosial dari elite desa yang menganggap mereka “melawan takdir” dan “tidak hormat pada teungku”. Oleh karena itu, perubahan kesadaran agama menjadi pra-kondisi bagi perubahan struktur.</w:t>
      </w:r>
    </w:p>
    <w:p w14:paraId="458C128B" w14:textId="333B9FA5" w:rsidR="00452C36" w:rsidRPr="00B15C17" w:rsidRDefault="00452C36" w:rsidP="00B15C17">
      <w:pPr>
        <w:pStyle w:val="ListParagraph"/>
        <w:numPr>
          <w:ilvl w:val="0"/>
          <w:numId w:val="3"/>
        </w:numPr>
        <w:spacing w:line="360" w:lineRule="auto"/>
        <w:jc w:val="both"/>
        <w:rPr>
          <w:b/>
          <w:bCs/>
          <w:sz w:val="24"/>
          <w:szCs w:val="24"/>
        </w:rPr>
      </w:pPr>
      <w:r w:rsidRPr="00B15C17">
        <w:rPr>
          <w:b/>
          <w:bCs/>
          <w:sz w:val="24"/>
          <w:szCs w:val="24"/>
        </w:rPr>
        <w:t>Sintesis: Sosiologi Al-Qur’an tentang Relasi Agama dan Stratifikasi</w:t>
      </w:r>
    </w:p>
    <w:p w14:paraId="29B02861" w14:textId="074304C8" w:rsidR="00452C36" w:rsidRPr="00FC7485" w:rsidRDefault="00452C36" w:rsidP="0089236C">
      <w:pPr>
        <w:spacing w:line="360" w:lineRule="auto"/>
        <w:ind w:firstLine="720"/>
        <w:jc w:val="both"/>
        <w:rPr>
          <w:sz w:val="24"/>
          <w:szCs w:val="24"/>
        </w:rPr>
      </w:pPr>
      <w:r w:rsidRPr="00FC7485">
        <w:rPr>
          <w:sz w:val="24"/>
          <w:szCs w:val="24"/>
        </w:rPr>
        <w:t>Berdasarkan temuan dan pembahasan di atas, penelitian ini merumuskan pandangan sosiologi Al-Qur’an bahwa relasi antara agama dan stratifikasi sosial bersifat dialektis.</w:t>
      </w:r>
      <w:r w:rsidR="00273F1A" w:rsidRPr="00FC7485">
        <w:rPr>
          <w:rStyle w:val="FootnoteReference"/>
          <w:sz w:val="24"/>
          <w:szCs w:val="24"/>
        </w:rPr>
        <w:footnoteReference w:id="36"/>
      </w:r>
      <w:r w:rsidRPr="00FC7485">
        <w:rPr>
          <w:sz w:val="24"/>
          <w:szCs w:val="24"/>
        </w:rPr>
        <w:t xml:space="preserve"> Di satu sisi, agama dapat menjadi “candu” (dalam istilah Marx) yang membius kesadaran kelas,</w:t>
      </w:r>
      <w:r w:rsidR="00317FAE" w:rsidRPr="00FC7485">
        <w:rPr>
          <w:rStyle w:val="FootnoteReference"/>
          <w:sz w:val="24"/>
          <w:szCs w:val="24"/>
        </w:rPr>
        <w:footnoteReference w:id="37"/>
      </w:r>
      <w:r w:rsidRPr="00FC7485">
        <w:rPr>
          <w:sz w:val="24"/>
          <w:szCs w:val="24"/>
        </w:rPr>
        <w:t xml:space="preserve"> seperti terlihat dari dominasi interpretasi fatalistik di masyarakat pesisir Aceh. Di sisi lain, agama memiliki muatan normatif yang sangat kuat untuk melakukan transformasi sosial menuju masyarakat yang adil dan bebas dari kemiskinan struktural. Al-Qur’an tidak hanya mengecam kemiskinan (Q.S. Al-Ma’un: 1-3) tetapi juga menunjukkan akar strukturalnya: penimbunan harta oleh segelintir orang (Q.S. Al-Humazah)</w:t>
      </w:r>
      <w:r w:rsidR="00317FAE" w:rsidRPr="00FC7485">
        <w:rPr>
          <w:rStyle w:val="FootnoteReference"/>
          <w:sz w:val="24"/>
          <w:szCs w:val="24"/>
        </w:rPr>
        <w:footnoteReference w:id="38"/>
      </w:r>
      <w:r w:rsidRPr="00FC7485">
        <w:rPr>
          <w:sz w:val="24"/>
          <w:szCs w:val="24"/>
        </w:rPr>
        <w:t>, praktik riba dan kecurangan dalam timbangan (Q.S. Al-Muthaffifin)</w:t>
      </w:r>
      <w:r w:rsidR="00317FAE" w:rsidRPr="00FC7485">
        <w:rPr>
          <w:rStyle w:val="FootnoteReference"/>
          <w:sz w:val="24"/>
          <w:szCs w:val="24"/>
        </w:rPr>
        <w:footnoteReference w:id="39"/>
      </w:r>
      <w:r w:rsidRPr="00FC7485">
        <w:rPr>
          <w:sz w:val="24"/>
          <w:szCs w:val="24"/>
        </w:rPr>
        <w:t>, serta kekuasaan yang sewenang-wenang (Q.S. Hud: 85)</w:t>
      </w:r>
      <w:r w:rsidR="00317FAE" w:rsidRPr="00FC7485">
        <w:rPr>
          <w:rStyle w:val="FootnoteReference"/>
          <w:sz w:val="24"/>
          <w:szCs w:val="24"/>
        </w:rPr>
        <w:footnoteReference w:id="40"/>
      </w:r>
      <w:r w:rsidRPr="00FC7485">
        <w:rPr>
          <w:sz w:val="24"/>
          <w:szCs w:val="24"/>
        </w:rPr>
        <w:t>. Dengan demikian, solusi yang ditawarkan Al-Qur’an bukan sekadar sedekah, melainkan redistribusi kekayaan secara sistemik melalui zakat, larangan riba, dan kewajiban negara untuk memenuhi kebutuhan dasar.</w:t>
      </w:r>
    </w:p>
    <w:p w14:paraId="2768A370" w14:textId="428383C7" w:rsidR="00AB473D" w:rsidRPr="00FC7485" w:rsidRDefault="00452C36" w:rsidP="00452C36">
      <w:pPr>
        <w:spacing w:line="360" w:lineRule="auto"/>
        <w:ind w:firstLine="720"/>
        <w:jc w:val="both"/>
        <w:rPr>
          <w:sz w:val="24"/>
          <w:szCs w:val="24"/>
        </w:rPr>
      </w:pPr>
      <w:r w:rsidRPr="00FC7485">
        <w:rPr>
          <w:sz w:val="24"/>
          <w:szCs w:val="24"/>
        </w:rPr>
        <w:t xml:space="preserve">Penelitian ini menyimpulkan bahwa fenomena kemiskinan struktural di masyarakat pesisir Aceh tidak dapat diatasi tanpa melakukan kritik ideologis terhadap interpretasi agama yang dominan. Para pemuka agama, ulama, dan aktivis keagamaan </w:t>
      </w:r>
      <w:r w:rsidRPr="00FC7485">
        <w:rPr>
          <w:sz w:val="24"/>
          <w:szCs w:val="24"/>
        </w:rPr>
        <w:lastRenderedPageBreak/>
        <w:t>perlu didorong untuk mengembangkan tafsir yang berorientasi pada keadilan sosial (tafsir al-‘adalah al-ijtima’iyyah) dan secara berani memihak kepada kaum miskin. Juga diperlukan penguatan organisasi masyarakat sipil berbasis agama yang independen dari elite ekonomi. Dengan kata lain, agama harus dikembalikan pada misi aslinya, yaitu rahmatan lil ‘alamin (rahmat bagi semesta) yang secara otomatis berarti membebaskan manusia dari segala bentuk penindasan, termasuk kemiskinan struktural.</w:t>
      </w:r>
    </w:p>
    <w:p w14:paraId="3050AE30" w14:textId="0DBA2652" w:rsidR="000D5699" w:rsidRPr="00FC7485" w:rsidRDefault="000D5699" w:rsidP="00AB473D">
      <w:pPr>
        <w:spacing w:after="240" w:line="276" w:lineRule="auto"/>
        <w:jc w:val="both"/>
        <w:rPr>
          <w:b/>
          <w:bCs/>
          <w:sz w:val="24"/>
          <w:szCs w:val="24"/>
        </w:rPr>
      </w:pPr>
      <w:r w:rsidRPr="00FC7485">
        <w:rPr>
          <w:b/>
          <w:bCs/>
          <w:sz w:val="24"/>
          <w:szCs w:val="24"/>
        </w:rPr>
        <w:t>PENUTUP</w:t>
      </w:r>
    </w:p>
    <w:p w14:paraId="161BE2DD" w14:textId="4642338F" w:rsidR="00452C36" w:rsidRPr="00FC7485" w:rsidRDefault="00452C36" w:rsidP="00452C36">
      <w:pPr>
        <w:spacing w:line="360" w:lineRule="auto"/>
        <w:ind w:firstLine="720"/>
        <w:jc w:val="both"/>
        <w:rPr>
          <w:sz w:val="24"/>
          <w:szCs w:val="24"/>
        </w:rPr>
      </w:pPr>
      <w:r w:rsidRPr="00FC7485">
        <w:rPr>
          <w:sz w:val="24"/>
          <w:szCs w:val="24"/>
        </w:rPr>
        <w:t>Penelitian ini menyimpulkan bahwa masyarakat pesisir Aceh memiliki stratifikasi sosial tiga lapis elite pemilik modal, nelayan kecil, serta buruh dengan posisi tokoh agama yang secara sosial terhormat meski lemah secara ekonomi, namun kerap terlibat dalam relasi patronase yang melegitimasi ketimpangan. Agama berperan dalam melanggengkan kemiskinan struktural melalui tafsir fatalistik tentang takdir, praktik zakat dan sedekah yang memperkuat hubungan patron-klien, serta sistem kepemimpinan keagamaan yang oligarkis. Pemaknaan Al-Qur’an cenderung selektif dengan menonjolkan kesabaran dan tawakal, sementara mengabaikan pesan keadilan sosial dan perlawanan terhadap ketidakadilan. Meski demikian, muncul benih resistensi dari kelompok nelayan yang mengembangkan tafsir alternatif yang lebih progresif dan praktik ekonomi kolektif berbasis solidaritas. Secara esensial, relasi agama dan stratifikasi sosial bersifat dialektis: agama dapat menjadi alat legitimasi maupun pembebasan, tergantung pada aktor dan kepentingan yang menginterpretasikannya. Karena itu, pengentasan kemiskinan struktural memerlukan tidak hanya intervensi ekonomi, tetapi juga reinterpretasi teologis yang berpihak pada kaum miskin, penguatan gerakan keagamaan kritis, serta transformasi kepemimpinan agama yang lebih progresif.</w:t>
      </w:r>
    </w:p>
    <w:p w14:paraId="46DAFDBE" w14:textId="77777777" w:rsidR="00452C36" w:rsidRPr="00FC7485" w:rsidRDefault="00452C36" w:rsidP="00452C36">
      <w:pPr>
        <w:spacing w:line="360" w:lineRule="auto"/>
        <w:jc w:val="both"/>
        <w:rPr>
          <w:b/>
          <w:bCs/>
          <w:sz w:val="24"/>
          <w:szCs w:val="24"/>
        </w:rPr>
      </w:pPr>
      <w:r w:rsidRPr="00FC7485">
        <w:rPr>
          <w:b/>
          <w:bCs/>
          <w:sz w:val="24"/>
          <w:szCs w:val="24"/>
        </w:rPr>
        <w:t>Saran</w:t>
      </w:r>
    </w:p>
    <w:p w14:paraId="5A454A79" w14:textId="77777777" w:rsidR="00452C36" w:rsidRPr="00FC7485" w:rsidRDefault="00452C36" w:rsidP="00452C36">
      <w:pPr>
        <w:spacing w:line="360" w:lineRule="auto"/>
        <w:ind w:firstLine="720"/>
        <w:jc w:val="both"/>
        <w:rPr>
          <w:sz w:val="24"/>
          <w:szCs w:val="24"/>
        </w:rPr>
      </w:pPr>
      <w:r w:rsidRPr="00FC7485">
        <w:rPr>
          <w:sz w:val="24"/>
          <w:szCs w:val="24"/>
        </w:rPr>
        <w:t xml:space="preserve">Berdasarkan temuan penelitian, upaya pengentasan kemiskinan struktural di masyarakat pesisir Aceh perlu dilakukan secara integratif melalui peran tokoh agama, pemerintah, dan masyarakat. Tokoh agama didorong mengembangkan dakwah berorientasi keadilan sosial dengan menyeimbangkan ajaran sabar dan tawakal dengan nilai perlawanan terhadap ketimpangan struktural serta menjaga independensi dari elite ekonomi. Pemerintah daerah perlu menggeser kebijakan dari pendekatan karitatif menuju transformasi struktural melalui reformasi akses laut, pengawasan praktik ekonomi yang eksploitatif, dan penguatan koperasi nelayan berbasis syariah, disertai pelatihan tafsir kontekstual. Sementara itu, masyarakat nelayan perlu membangun kesadaran kritis, </w:t>
      </w:r>
      <w:r w:rsidRPr="00FC7485">
        <w:rPr>
          <w:sz w:val="24"/>
          <w:szCs w:val="24"/>
        </w:rPr>
        <w:lastRenderedPageBreak/>
        <w:t xml:space="preserve">memperkuat solidaritas ekonomi kolektif, serta berani mengontrol narasi keagamaan yang bias. Secara teoretis, penelitian ini menegaskan pentingnya pengembangan konsep “stratifikasi teologis” yang melihat agama sebagai arena hegemoni sekaligus resistensi, serta operasionalisasi konsep </w:t>
      </w:r>
      <w:r w:rsidRPr="00FC7485">
        <w:rPr>
          <w:i/>
          <w:iCs/>
          <w:sz w:val="24"/>
          <w:szCs w:val="24"/>
        </w:rPr>
        <w:t>mustad’afun</w:t>
      </w:r>
      <w:r w:rsidRPr="00FC7485">
        <w:rPr>
          <w:sz w:val="24"/>
          <w:szCs w:val="24"/>
        </w:rPr>
        <w:t xml:space="preserve"> sebagai kategori analisis sosial. Untuk pengembangan ke depan, diperlukan penelitian dengan cakupan wilayah yang lebih luas, pendekatan komparatif antar basis ekonomi pesisir, serta studi kolaboratif dan etnografis yang lebih mendalam, termasuk memberi perhatian khusus pada peran perempuan pesisir.</w:t>
      </w:r>
    </w:p>
    <w:p w14:paraId="4F234697" w14:textId="77777777" w:rsidR="00F2637F" w:rsidRDefault="00F2637F" w:rsidP="00D37F03">
      <w:pPr>
        <w:spacing w:after="240" w:line="276" w:lineRule="auto"/>
        <w:jc w:val="both"/>
        <w:rPr>
          <w:b/>
          <w:bCs/>
          <w:sz w:val="24"/>
          <w:szCs w:val="24"/>
        </w:rPr>
      </w:pPr>
    </w:p>
    <w:p w14:paraId="32D486CB" w14:textId="43AC96D5" w:rsidR="004F5BF7" w:rsidRPr="00FC7485" w:rsidRDefault="000D5699" w:rsidP="00D37F03">
      <w:pPr>
        <w:spacing w:after="240" w:line="276" w:lineRule="auto"/>
        <w:jc w:val="both"/>
        <w:rPr>
          <w:b/>
          <w:bCs/>
          <w:sz w:val="24"/>
          <w:szCs w:val="24"/>
        </w:rPr>
      </w:pPr>
      <w:r w:rsidRPr="00FC7485">
        <w:rPr>
          <w:b/>
          <w:bCs/>
          <w:sz w:val="24"/>
          <w:szCs w:val="24"/>
        </w:rPr>
        <w:t>DAFTAR PUSTAKA</w:t>
      </w:r>
    </w:p>
    <w:p w14:paraId="50BEC68F" w14:textId="72606F7F" w:rsidR="00317FAE" w:rsidRPr="00FC7485" w:rsidRDefault="004F5BF7" w:rsidP="00317FAE">
      <w:pPr>
        <w:adjustRightInd w:val="0"/>
        <w:ind w:left="480" w:hanging="480"/>
        <w:rPr>
          <w:sz w:val="24"/>
        </w:rPr>
      </w:pPr>
      <w:r w:rsidRPr="00FC7485">
        <w:rPr>
          <w:b/>
          <w:bCs/>
          <w:sz w:val="24"/>
          <w:szCs w:val="24"/>
        </w:rPr>
        <w:fldChar w:fldCharType="begin" w:fldLock="1"/>
      </w:r>
      <w:r w:rsidRPr="00FC7485">
        <w:rPr>
          <w:b/>
          <w:bCs/>
          <w:sz w:val="24"/>
          <w:szCs w:val="24"/>
        </w:rPr>
        <w:instrText xml:space="preserve">ADDIN Mendeley Bibliography CSL_BIBLIOGRAPHY </w:instrText>
      </w:r>
      <w:r w:rsidRPr="00FC7485">
        <w:rPr>
          <w:b/>
          <w:bCs/>
          <w:sz w:val="24"/>
          <w:szCs w:val="24"/>
        </w:rPr>
        <w:fldChar w:fldCharType="separate"/>
      </w:r>
      <w:r w:rsidR="00317FAE" w:rsidRPr="00FC7485">
        <w:rPr>
          <w:sz w:val="24"/>
        </w:rPr>
        <w:t>Abdillah, Muhammad Rafif. “Kontekstualisasi Makna Ta’awun Dalam Al-Qur’an (Kajian Tafsir Q.S Al-Maidah (5):2 Dalam Kitab Tafsir Al-Misbah).” Repository UIN Datokarama Palu, 2025. https://repository.uindatokarama.ac.id.</w:t>
      </w:r>
    </w:p>
    <w:p w14:paraId="41D444ED" w14:textId="77777777" w:rsidR="00317FAE" w:rsidRPr="00FC7485" w:rsidRDefault="00317FAE" w:rsidP="00317FAE">
      <w:pPr>
        <w:adjustRightInd w:val="0"/>
        <w:ind w:left="480" w:hanging="480"/>
        <w:rPr>
          <w:sz w:val="24"/>
        </w:rPr>
      </w:pPr>
      <w:r w:rsidRPr="00FC7485">
        <w:rPr>
          <w:sz w:val="24"/>
        </w:rPr>
        <w:t xml:space="preserve">Al-Qurthubi, Abu Abdullah Muhammad bin Ahmad al-Ansari. </w:t>
      </w:r>
      <w:r w:rsidRPr="00FC7485">
        <w:rPr>
          <w:i/>
          <w:iCs/>
          <w:sz w:val="24"/>
        </w:rPr>
        <w:t>TY - BOOK AU - Fakih, Mansour TI - Analisis Gender Dan Transformasi Sosial PY - 2013 PB - Pustaka Pelajar CY - Yogyakarta ER -TY - JOUR AU - Amin, Abd Rauf Muhammad TI - Opini: Tafsir Parsial Vs Tafsir Tematik: Perspektif Maqasid Based (12) JO - FSH UIN A</w:t>
      </w:r>
      <w:r w:rsidRPr="00FC7485">
        <w:rPr>
          <w:sz w:val="24"/>
        </w:rPr>
        <w:t>. Kairo: Dar al-Kutub al-Misriyyah, 1964.</w:t>
      </w:r>
    </w:p>
    <w:p w14:paraId="0764FDEF" w14:textId="77777777" w:rsidR="00317FAE" w:rsidRPr="00FC7485" w:rsidRDefault="00317FAE" w:rsidP="00317FAE">
      <w:pPr>
        <w:adjustRightInd w:val="0"/>
        <w:ind w:left="480" w:hanging="480"/>
        <w:rPr>
          <w:sz w:val="24"/>
        </w:rPr>
      </w:pPr>
      <w:r w:rsidRPr="00FC7485">
        <w:rPr>
          <w:sz w:val="24"/>
        </w:rPr>
        <w:t xml:space="preserve">Amin, Abd Rauf Muhammad. “Opini: Tafsir Parsial Vs Tafsir Tematik: Perspektif Maqasid Based (12).” </w:t>
      </w:r>
      <w:r w:rsidRPr="00FC7485">
        <w:rPr>
          <w:i/>
          <w:iCs/>
          <w:sz w:val="24"/>
        </w:rPr>
        <w:t>FSH UIN Alauddin</w:t>
      </w:r>
      <w:r w:rsidRPr="00FC7485">
        <w:rPr>
          <w:sz w:val="24"/>
        </w:rPr>
        <w:t>, n.d.</w:t>
      </w:r>
    </w:p>
    <w:p w14:paraId="486E7864" w14:textId="77777777" w:rsidR="00317FAE" w:rsidRPr="00FC7485" w:rsidRDefault="00317FAE" w:rsidP="00317FAE">
      <w:pPr>
        <w:adjustRightInd w:val="0"/>
        <w:ind w:left="480" w:hanging="480"/>
        <w:rPr>
          <w:sz w:val="24"/>
        </w:rPr>
      </w:pPr>
      <w:r w:rsidRPr="00FC7485">
        <w:rPr>
          <w:sz w:val="24"/>
        </w:rPr>
        <w:t>Ariyanti, Farhad Ghafouri Kesbi, Ali Rafiei Tari, Gunaria Siagian, Siti Jamilatun, Fernando G. Barroso, María José Sánchez-Muros, et al. “No Title</w:t>
      </w:r>
      <w:r w:rsidRPr="00FC7485">
        <w:rPr>
          <w:rFonts w:ascii="Leelawadee UI" w:hAnsi="Leelawadee UI" w:cs="Leelawadee UI"/>
          <w:sz w:val="24"/>
        </w:rPr>
        <w:t>การวิจัยเบื้องต้น</w:t>
      </w:r>
      <w:r w:rsidRPr="00FC7485">
        <w:rPr>
          <w:sz w:val="24"/>
        </w:rPr>
        <w:t xml:space="preserve">.” </w:t>
      </w:r>
      <w:r w:rsidRPr="00FC7485">
        <w:rPr>
          <w:i/>
          <w:iCs/>
          <w:sz w:val="24"/>
        </w:rPr>
        <w:t>Jurnal Aplikasi Teknologi Pangan</w:t>
      </w:r>
      <w:r w:rsidRPr="00FC7485">
        <w:rPr>
          <w:sz w:val="24"/>
        </w:rPr>
        <w:t xml:space="preserve"> 4, no. 1 (2021): 1–2. http://www.ejurnal.its.ac.id/index.php/sains_seni/article/view/10544%0Ahttps://scholar.google.com/scholar?hl=en&amp;as_sdt=0%2C5&amp;q=tawuran+antar+pelajar&amp;btnG=%0Ahttps://doi.org/10.1016/j.jfca.2019.103237.</w:t>
      </w:r>
    </w:p>
    <w:p w14:paraId="510D6181" w14:textId="77777777" w:rsidR="00317FAE" w:rsidRPr="00FC7485" w:rsidRDefault="00317FAE" w:rsidP="00317FAE">
      <w:pPr>
        <w:adjustRightInd w:val="0"/>
        <w:ind w:left="480" w:hanging="480"/>
        <w:rPr>
          <w:sz w:val="24"/>
        </w:rPr>
      </w:pPr>
      <w:r w:rsidRPr="00FC7485">
        <w:rPr>
          <w:sz w:val="24"/>
        </w:rPr>
        <w:t xml:space="preserve">Bourdieu, Pierre. </w:t>
      </w:r>
      <w:r w:rsidRPr="00FC7485">
        <w:rPr>
          <w:i/>
          <w:iCs/>
          <w:sz w:val="24"/>
        </w:rPr>
        <w:t>Outline of a Theory of Practice</w:t>
      </w:r>
      <w:r w:rsidRPr="00FC7485">
        <w:rPr>
          <w:sz w:val="24"/>
        </w:rPr>
        <w:t>. Cambridge: Cambridge University Press, 1977.</w:t>
      </w:r>
    </w:p>
    <w:p w14:paraId="09626F27" w14:textId="77777777" w:rsidR="00317FAE" w:rsidRPr="00FC7485" w:rsidRDefault="00317FAE" w:rsidP="00317FAE">
      <w:pPr>
        <w:adjustRightInd w:val="0"/>
        <w:ind w:left="480" w:hanging="480"/>
        <w:rPr>
          <w:sz w:val="24"/>
        </w:rPr>
      </w:pPr>
      <w:r w:rsidRPr="00FC7485">
        <w:rPr>
          <w:sz w:val="24"/>
        </w:rPr>
        <w:t xml:space="preserve">Creswell, John W. </w:t>
      </w:r>
      <w:r w:rsidRPr="00FC7485">
        <w:rPr>
          <w:i/>
          <w:iCs/>
          <w:sz w:val="24"/>
        </w:rPr>
        <w:t>Research Design: Qualitative, Quantitative, and Mixed Methods Approaches</w:t>
      </w:r>
      <w:r w:rsidRPr="00FC7485">
        <w:rPr>
          <w:sz w:val="24"/>
        </w:rPr>
        <w:t>. 4th ed. Thousand Oaks: Sage Publications, 2014.</w:t>
      </w:r>
    </w:p>
    <w:p w14:paraId="204EE41E" w14:textId="77777777" w:rsidR="00317FAE" w:rsidRPr="00FC7485" w:rsidRDefault="00317FAE" w:rsidP="00317FAE">
      <w:pPr>
        <w:adjustRightInd w:val="0"/>
        <w:ind w:left="480" w:hanging="480"/>
        <w:rPr>
          <w:sz w:val="24"/>
        </w:rPr>
      </w:pPr>
      <w:r w:rsidRPr="00FC7485">
        <w:rPr>
          <w:sz w:val="24"/>
        </w:rPr>
        <w:t>Diki, Irfan Rifaldi. “Konsep Keadilan Ekonomi Perspektif Sayyid Qutb (Studi Tafsir Fi Zhilalil Qur’an).” Diploma Thesis. UIN Raden Intan Lampung, 2024. https://repository.radenintan.ac.id/34523/.</w:t>
      </w:r>
    </w:p>
    <w:p w14:paraId="0D92082D" w14:textId="77777777" w:rsidR="00317FAE" w:rsidRPr="00FC7485" w:rsidRDefault="00317FAE" w:rsidP="00317FAE">
      <w:pPr>
        <w:adjustRightInd w:val="0"/>
        <w:ind w:left="480" w:hanging="480"/>
        <w:rPr>
          <w:sz w:val="24"/>
        </w:rPr>
      </w:pPr>
      <w:r w:rsidRPr="00FC7485">
        <w:rPr>
          <w:sz w:val="24"/>
        </w:rPr>
        <w:t xml:space="preserve">Fadli, N. “Tafsir Maudhu‘i Sebagai Pendekatan Integratif Dalam Studi Al-Qur’An.” </w:t>
      </w:r>
      <w:r w:rsidRPr="00FC7485">
        <w:rPr>
          <w:i/>
          <w:iCs/>
          <w:sz w:val="24"/>
        </w:rPr>
        <w:t>Jurnal Dayahsua</w:t>
      </w:r>
      <w:r w:rsidRPr="00FC7485">
        <w:rPr>
          <w:sz w:val="24"/>
        </w:rPr>
        <w:t>, 2025.</w:t>
      </w:r>
    </w:p>
    <w:p w14:paraId="36505F72" w14:textId="77777777" w:rsidR="00317FAE" w:rsidRPr="00FC7485" w:rsidRDefault="00317FAE" w:rsidP="00317FAE">
      <w:pPr>
        <w:adjustRightInd w:val="0"/>
        <w:ind w:left="480" w:hanging="480"/>
        <w:rPr>
          <w:sz w:val="24"/>
        </w:rPr>
      </w:pPr>
      <w:r w:rsidRPr="00FC7485">
        <w:rPr>
          <w:sz w:val="24"/>
        </w:rPr>
        <w:t xml:space="preserve">Hanafi, Hassan. </w:t>
      </w:r>
      <w:r w:rsidRPr="00FC7485">
        <w:rPr>
          <w:i/>
          <w:iCs/>
          <w:sz w:val="24"/>
        </w:rPr>
        <w:t>Religion, Ideology and Development</w:t>
      </w:r>
      <w:r w:rsidRPr="00FC7485">
        <w:rPr>
          <w:sz w:val="24"/>
        </w:rPr>
        <w:t>. Cairo: Dar Al-Tanwir, 1995.</w:t>
      </w:r>
    </w:p>
    <w:p w14:paraId="446A5BA0" w14:textId="77777777" w:rsidR="00317FAE" w:rsidRPr="00FC7485" w:rsidRDefault="00317FAE" w:rsidP="00317FAE">
      <w:pPr>
        <w:adjustRightInd w:val="0"/>
        <w:ind w:left="480" w:hanging="480"/>
        <w:rPr>
          <w:sz w:val="24"/>
        </w:rPr>
      </w:pPr>
      <w:r w:rsidRPr="00FC7485">
        <w:rPr>
          <w:sz w:val="24"/>
        </w:rPr>
        <w:t xml:space="preserve">Hefner, Robert W. </w:t>
      </w:r>
      <w:r w:rsidRPr="00FC7485">
        <w:rPr>
          <w:i/>
          <w:iCs/>
          <w:sz w:val="24"/>
        </w:rPr>
        <w:t>Islam and the Making of the Nation: Kartosuwiryo and Political Islam in 20th Century Indonesia</w:t>
      </w:r>
      <w:r w:rsidRPr="00FC7485">
        <w:rPr>
          <w:sz w:val="24"/>
        </w:rPr>
        <w:t>. Honolulu: University of Hawai‘i Press, 2001.</w:t>
      </w:r>
    </w:p>
    <w:p w14:paraId="3F49E058" w14:textId="77777777" w:rsidR="00317FAE" w:rsidRPr="00FC7485" w:rsidRDefault="00317FAE" w:rsidP="00317FAE">
      <w:pPr>
        <w:adjustRightInd w:val="0"/>
        <w:ind w:left="480" w:hanging="480"/>
        <w:rPr>
          <w:sz w:val="24"/>
        </w:rPr>
      </w:pPr>
      <w:r w:rsidRPr="00FC7485">
        <w:rPr>
          <w:sz w:val="24"/>
        </w:rPr>
        <w:t xml:space="preserve">Hidayat, A. “Hermeneutika Pembebasan Dalam Tafsir Al-Qur’an.” </w:t>
      </w:r>
      <w:r w:rsidRPr="00FC7485">
        <w:rPr>
          <w:i/>
          <w:iCs/>
          <w:sz w:val="24"/>
        </w:rPr>
        <w:t>Jurnal Ushuluddin</w:t>
      </w:r>
      <w:r w:rsidRPr="00FC7485">
        <w:rPr>
          <w:sz w:val="24"/>
        </w:rPr>
        <w:t xml:space="preserve"> 28, no. 2 (2020): 201–20.</w:t>
      </w:r>
    </w:p>
    <w:p w14:paraId="103053EF" w14:textId="77777777" w:rsidR="00317FAE" w:rsidRPr="00FC7485" w:rsidRDefault="00317FAE" w:rsidP="00317FAE">
      <w:pPr>
        <w:adjustRightInd w:val="0"/>
        <w:ind w:left="480" w:hanging="480"/>
        <w:rPr>
          <w:sz w:val="24"/>
        </w:rPr>
      </w:pPr>
      <w:r w:rsidRPr="00FC7485">
        <w:rPr>
          <w:sz w:val="24"/>
        </w:rPr>
        <w:t xml:space="preserve">Jamarudin, Ade. “Social Approach in Tafsir Al-Qur’an Perspective of Hasan Hanafi.” </w:t>
      </w:r>
      <w:r w:rsidRPr="00FC7485">
        <w:rPr>
          <w:i/>
          <w:iCs/>
          <w:sz w:val="24"/>
        </w:rPr>
        <w:t>Jurnal Ushuluddin</w:t>
      </w:r>
      <w:r w:rsidRPr="00FC7485">
        <w:rPr>
          <w:sz w:val="24"/>
        </w:rPr>
        <w:t>, 2015. https://www.semanticscholar.org/paper/Social-Approach-In-Tafsir-Al-Qur’an-Perspective-Of-Jamarudin-Ushuluddin/53dd1899691872089af9c679dd5595f0d5374ce8.</w:t>
      </w:r>
    </w:p>
    <w:p w14:paraId="2910A1A3" w14:textId="77777777" w:rsidR="00317FAE" w:rsidRPr="00FC7485" w:rsidRDefault="00317FAE" w:rsidP="00317FAE">
      <w:pPr>
        <w:adjustRightInd w:val="0"/>
        <w:ind w:left="480" w:hanging="480"/>
        <w:rPr>
          <w:sz w:val="24"/>
        </w:rPr>
      </w:pPr>
      <w:r w:rsidRPr="00FC7485">
        <w:rPr>
          <w:sz w:val="24"/>
        </w:rPr>
        <w:t xml:space="preserve">Khoiruddin, M F. “Etika Bisnis Islam: Pelajaran Dari QS. Al-Muthaffifin Ayat 1-3 </w:t>
      </w:r>
      <w:r w:rsidRPr="00FC7485">
        <w:rPr>
          <w:sz w:val="24"/>
        </w:rPr>
        <w:lastRenderedPageBreak/>
        <w:t xml:space="preserve">Tentang Kecurangan Dalam Jual Beli.” </w:t>
      </w:r>
      <w:r w:rsidRPr="00FC7485">
        <w:rPr>
          <w:i/>
          <w:iCs/>
          <w:sz w:val="24"/>
        </w:rPr>
        <w:t>JAHE: Jurnal Ayat Dan Hadits Ekonomi</w:t>
      </w:r>
      <w:r w:rsidRPr="00FC7485">
        <w:rPr>
          <w:sz w:val="24"/>
        </w:rPr>
        <w:t xml:space="preserve"> 2 (2025).</w:t>
      </w:r>
    </w:p>
    <w:p w14:paraId="7E15AB53" w14:textId="77777777" w:rsidR="00317FAE" w:rsidRPr="00FC7485" w:rsidRDefault="00317FAE" w:rsidP="00317FAE">
      <w:pPr>
        <w:adjustRightInd w:val="0"/>
        <w:ind w:left="480" w:hanging="480"/>
        <w:rPr>
          <w:sz w:val="24"/>
        </w:rPr>
      </w:pPr>
      <w:r w:rsidRPr="00FC7485">
        <w:rPr>
          <w:sz w:val="24"/>
        </w:rPr>
        <w:t xml:space="preserve">Kuntowijoyo. </w:t>
      </w:r>
      <w:r w:rsidRPr="00FC7485">
        <w:rPr>
          <w:i/>
          <w:iCs/>
          <w:sz w:val="24"/>
        </w:rPr>
        <w:t>Paradigma Islam: Interpretasi Untuk Aksi</w:t>
      </w:r>
      <w:r w:rsidRPr="00FC7485">
        <w:rPr>
          <w:sz w:val="24"/>
        </w:rPr>
        <w:t>. Bandung: Mizan, 2008.</w:t>
      </w:r>
    </w:p>
    <w:p w14:paraId="205A8970" w14:textId="77777777" w:rsidR="00317FAE" w:rsidRPr="00FC7485" w:rsidRDefault="00317FAE" w:rsidP="00317FAE">
      <w:pPr>
        <w:adjustRightInd w:val="0"/>
        <w:ind w:left="480" w:hanging="480"/>
        <w:rPr>
          <w:sz w:val="24"/>
        </w:rPr>
      </w:pPr>
      <w:r w:rsidRPr="00FC7485">
        <w:rPr>
          <w:sz w:val="24"/>
        </w:rPr>
        <w:t xml:space="preserve">Mardhatillah, Masyithah, Moh. Hafid Effendy, Kudrat Abdillah, Fahrurrozi Fahrurrozi, and Usman Usman. “Reinforcement of Social Stratification Through the Use of Speech Levels in Madurese Translation of Qur’anic Dialogue Verses.” </w:t>
      </w:r>
      <w:r w:rsidRPr="00FC7485">
        <w:rPr>
          <w:i/>
          <w:iCs/>
          <w:sz w:val="24"/>
        </w:rPr>
        <w:t>Journal of Indonesian Islam</w:t>
      </w:r>
      <w:r w:rsidRPr="00FC7485">
        <w:rPr>
          <w:sz w:val="24"/>
        </w:rPr>
        <w:t xml:space="preserve"> 17, no. 2 (2023). https://doi.org/10.15642/JIIS.2023.17.2.323-351.</w:t>
      </w:r>
    </w:p>
    <w:p w14:paraId="4C5751F2" w14:textId="77777777" w:rsidR="00317FAE" w:rsidRPr="00FC7485" w:rsidRDefault="00317FAE" w:rsidP="00317FAE">
      <w:pPr>
        <w:adjustRightInd w:val="0"/>
        <w:ind w:left="480" w:hanging="480"/>
        <w:rPr>
          <w:sz w:val="24"/>
        </w:rPr>
      </w:pPr>
      <w:r w:rsidRPr="00FC7485">
        <w:rPr>
          <w:sz w:val="24"/>
        </w:rPr>
        <w:t xml:space="preserve">Merriam, Sharan B, and Elizabeth J Tisdell. </w:t>
      </w:r>
      <w:r w:rsidRPr="00FC7485">
        <w:rPr>
          <w:i/>
          <w:iCs/>
          <w:sz w:val="24"/>
        </w:rPr>
        <w:t>Qualitative Research: A Guide to Design and Implementation</w:t>
      </w:r>
      <w:r w:rsidRPr="00FC7485">
        <w:rPr>
          <w:sz w:val="24"/>
        </w:rPr>
        <w:t>. 4th ed. San Francisco: Jossey-Bass, 2016.</w:t>
      </w:r>
    </w:p>
    <w:p w14:paraId="4CEF9CF6" w14:textId="77777777" w:rsidR="00317FAE" w:rsidRPr="00FC7485" w:rsidRDefault="00317FAE" w:rsidP="00317FAE">
      <w:pPr>
        <w:adjustRightInd w:val="0"/>
        <w:ind w:left="480" w:hanging="480"/>
        <w:rPr>
          <w:sz w:val="24"/>
        </w:rPr>
      </w:pPr>
      <w:r w:rsidRPr="00FC7485">
        <w:rPr>
          <w:sz w:val="24"/>
        </w:rPr>
        <w:t>Milenianews. “Konsep Keadilan Sosial Melawan Taghut Dan Elitisme: Tafsir Surat An-Nisa’ Ayat 60 Dalam Perspektif Tafsir Klasik Vs Tafsir Kontemporer,” 2025.</w:t>
      </w:r>
    </w:p>
    <w:p w14:paraId="1F65605C" w14:textId="77777777" w:rsidR="00317FAE" w:rsidRPr="00FC7485" w:rsidRDefault="00317FAE" w:rsidP="00317FAE">
      <w:pPr>
        <w:adjustRightInd w:val="0"/>
        <w:ind w:left="480" w:hanging="480"/>
        <w:rPr>
          <w:sz w:val="24"/>
        </w:rPr>
      </w:pPr>
      <w:r w:rsidRPr="00FC7485">
        <w:rPr>
          <w:sz w:val="24"/>
        </w:rPr>
        <w:t xml:space="preserve">Mustaqim, Abdul. </w:t>
      </w:r>
      <w:r w:rsidRPr="00FC7485">
        <w:rPr>
          <w:i/>
          <w:iCs/>
          <w:sz w:val="24"/>
        </w:rPr>
        <w:t>Metode Penelitian Al-Qur’an Dan Tafsir</w:t>
      </w:r>
      <w:r w:rsidRPr="00FC7485">
        <w:rPr>
          <w:sz w:val="24"/>
        </w:rPr>
        <w:t>. Yogyakarta: Idea Press, 2015.</w:t>
      </w:r>
    </w:p>
    <w:p w14:paraId="0F2E7ED8" w14:textId="77777777" w:rsidR="00317FAE" w:rsidRPr="00FC7485" w:rsidRDefault="00317FAE" w:rsidP="00317FAE">
      <w:pPr>
        <w:adjustRightInd w:val="0"/>
        <w:ind w:left="480" w:hanging="480"/>
        <w:rPr>
          <w:sz w:val="24"/>
        </w:rPr>
      </w:pPr>
      <w:r w:rsidRPr="00FC7485">
        <w:rPr>
          <w:sz w:val="24"/>
        </w:rPr>
        <w:t xml:space="preserve">Nadia, Zunly. “Pandangan Farid Esack Tentang Al-Qur’an, Tafsir Dan Hermeneutika.” </w:t>
      </w:r>
      <w:r w:rsidRPr="00FC7485">
        <w:rPr>
          <w:i/>
          <w:iCs/>
          <w:sz w:val="24"/>
        </w:rPr>
        <w:t>Jurnal Ilmu Al-Qur’an</w:t>
      </w:r>
      <w:r w:rsidRPr="00FC7485">
        <w:rPr>
          <w:sz w:val="24"/>
        </w:rPr>
        <w:t>, 2020. https://moraref.kemenag.go.id/document/article/103209731638239580.</w:t>
      </w:r>
    </w:p>
    <w:p w14:paraId="05C4DAA5" w14:textId="77777777" w:rsidR="00317FAE" w:rsidRPr="00FC7485" w:rsidRDefault="00317FAE" w:rsidP="00317FAE">
      <w:pPr>
        <w:adjustRightInd w:val="0"/>
        <w:ind w:left="480" w:hanging="480"/>
        <w:rPr>
          <w:sz w:val="24"/>
        </w:rPr>
      </w:pPr>
      <w:r w:rsidRPr="00FC7485">
        <w:rPr>
          <w:sz w:val="24"/>
        </w:rPr>
        <w:t xml:space="preserve">Nasution, M M N, S Wanto, and M N Siregar. “Ethics of Redistribution in Surah Al-Ma’un and At-Taubah as Interpreted by Quraish Shihab, alongside Marxist Thought.” </w:t>
      </w:r>
      <w:r w:rsidRPr="00FC7485">
        <w:rPr>
          <w:i/>
          <w:iCs/>
          <w:sz w:val="24"/>
        </w:rPr>
        <w:t>Fikroh: Jurnal Pemikiran Dan Pendidikan Islam</w:t>
      </w:r>
      <w:r w:rsidRPr="00FC7485">
        <w:rPr>
          <w:sz w:val="24"/>
        </w:rPr>
        <w:t xml:space="preserve"> 18, no. 2 (2025).</w:t>
      </w:r>
    </w:p>
    <w:p w14:paraId="6C04ABEE" w14:textId="77777777" w:rsidR="00317FAE" w:rsidRPr="00FC7485" w:rsidRDefault="00317FAE" w:rsidP="00317FAE">
      <w:pPr>
        <w:adjustRightInd w:val="0"/>
        <w:ind w:left="480" w:hanging="480"/>
        <w:rPr>
          <w:sz w:val="24"/>
        </w:rPr>
      </w:pPr>
      <w:r w:rsidRPr="00FC7485">
        <w:rPr>
          <w:sz w:val="24"/>
        </w:rPr>
        <w:t xml:space="preserve">Nurhasanah, A A, I A Fajri, M S Mariam, and Mualim. “Etika Muamalah Dalam Perspektif Al-Qur’an: Tafsir Keadilan Dan Kejujuran Pada QS. Al-An’am 152 Dan QS. Hud 85.” </w:t>
      </w:r>
      <w:r w:rsidRPr="00FC7485">
        <w:rPr>
          <w:i/>
          <w:iCs/>
          <w:sz w:val="24"/>
        </w:rPr>
        <w:t>NAAFI: JURNAL ILMIAH MAHASISWA</w:t>
      </w:r>
      <w:r w:rsidRPr="00FC7485">
        <w:rPr>
          <w:sz w:val="24"/>
        </w:rPr>
        <w:t xml:space="preserve"> 2, no. 2 (2026): 349–57.</w:t>
      </w:r>
    </w:p>
    <w:p w14:paraId="0A44A7F3" w14:textId="77777777" w:rsidR="00317FAE" w:rsidRPr="00FC7485" w:rsidRDefault="00317FAE" w:rsidP="00317FAE">
      <w:pPr>
        <w:adjustRightInd w:val="0"/>
        <w:ind w:left="480" w:hanging="480"/>
        <w:rPr>
          <w:sz w:val="24"/>
        </w:rPr>
      </w:pPr>
      <w:r w:rsidRPr="00FC7485">
        <w:rPr>
          <w:sz w:val="24"/>
        </w:rPr>
        <w:t xml:space="preserve">Nurjanah, Siti. “Struktur Sosial Dan Kemiskinan Nelayan Di Aceh.” </w:t>
      </w:r>
      <w:r w:rsidRPr="00FC7485">
        <w:rPr>
          <w:i/>
          <w:iCs/>
          <w:sz w:val="24"/>
        </w:rPr>
        <w:t>Jurnal Sosiologi Reflektif</w:t>
      </w:r>
      <w:r w:rsidRPr="00FC7485">
        <w:rPr>
          <w:sz w:val="24"/>
        </w:rPr>
        <w:t xml:space="preserve"> 15, no. 2 (2021): 233–50.</w:t>
      </w:r>
    </w:p>
    <w:p w14:paraId="06EBCAB4" w14:textId="77777777" w:rsidR="00317FAE" w:rsidRPr="00FC7485" w:rsidRDefault="00317FAE" w:rsidP="00317FAE">
      <w:pPr>
        <w:adjustRightInd w:val="0"/>
        <w:ind w:left="480" w:hanging="480"/>
        <w:rPr>
          <w:sz w:val="24"/>
        </w:rPr>
      </w:pPr>
      <w:r w:rsidRPr="00FC7485">
        <w:rPr>
          <w:sz w:val="24"/>
        </w:rPr>
        <w:t>Online, Qur’an Kemenag &amp; N U. “Surat An-Nisa’ Ayat 75: Arab, Latin, Terjemah Dan Tafsir Lengkap,” n.d. https://quran.nu.or.id/an-nisa/75.</w:t>
      </w:r>
    </w:p>
    <w:p w14:paraId="1ECC226D" w14:textId="77777777" w:rsidR="00317FAE" w:rsidRPr="00FC7485" w:rsidRDefault="00317FAE" w:rsidP="00317FAE">
      <w:pPr>
        <w:adjustRightInd w:val="0"/>
        <w:ind w:left="480" w:hanging="480"/>
        <w:rPr>
          <w:sz w:val="24"/>
        </w:rPr>
      </w:pPr>
      <w:r w:rsidRPr="00FC7485">
        <w:rPr>
          <w:sz w:val="24"/>
        </w:rPr>
        <w:t>Permana, Fuji E. “Tafsir Surat At Taghabun Ayat 11, Cara Mendapat Petunjuk Saat Tertimpa Musibah,” n.d.</w:t>
      </w:r>
    </w:p>
    <w:p w14:paraId="18516A92" w14:textId="77777777" w:rsidR="00317FAE" w:rsidRPr="00FC7485" w:rsidRDefault="00317FAE" w:rsidP="00317FAE">
      <w:pPr>
        <w:adjustRightInd w:val="0"/>
        <w:ind w:left="480" w:hanging="480"/>
        <w:rPr>
          <w:sz w:val="24"/>
        </w:rPr>
      </w:pPr>
      <w:r w:rsidRPr="00FC7485">
        <w:rPr>
          <w:sz w:val="24"/>
        </w:rPr>
        <w:t xml:space="preserve">Portes, Alejandro. “Social Capital: Its Origins and Applications in Modern Sociology.” </w:t>
      </w:r>
      <w:r w:rsidRPr="00FC7485">
        <w:rPr>
          <w:i/>
          <w:iCs/>
          <w:sz w:val="24"/>
        </w:rPr>
        <w:t>Annual Review of Sociology</w:t>
      </w:r>
      <w:r w:rsidRPr="00FC7485">
        <w:rPr>
          <w:sz w:val="24"/>
        </w:rPr>
        <w:t xml:space="preserve"> 24 (1998): 1–24.</w:t>
      </w:r>
    </w:p>
    <w:p w14:paraId="067214A5" w14:textId="77777777" w:rsidR="00317FAE" w:rsidRPr="00FC7485" w:rsidRDefault="00317FAE" w:rsidP="00317FAE">
      <w:pPr>
        <w:adjustRightInd w:val="0"/>
        <w:ind w:left="480" w:hanging="480"/>
        <w:rPr>
          <w:sz w:val="24"/>
        </w:rPr>
      </w:pPr>
      <w:r w:rsidRPr="00FC7485">
        <w:rPr>
          <w:sz w:val="24"/>
        </w:rPr>
        <w:t xml:space="preserve">Rahmawati, E S. “Spirit of Liberation and Justice in Farid Esack’s Hermeneutics of Qur’an.” </w:t>
      </w:r>
      <w:r w:rsidRPr="00FC7485">
        <w:rPr>
          <w:i/>
          <w:iCs/>
          <w:sz w:val="24"/>
        </w:rPr>
        <w:t>Ulumuna</w:t>
      </w:r>
      <w:r w:rsidRPr="00FC7485">
        <w:rPr>
          <w:sz w:val="24"/>
        </w:rPr>
        <w:t xml:space="preserve"> 20, no. 1 (2016): 119–46.</w:t>
      </w:r>
    </w:p>
    <w:p w14:paraId="618EBADB" w14:textId="77777777" w:rsidR="00317FAE" w:rsidRPr="00FC7485" w:rsidRDefault="00317FAE" w:rsidP="00317FAE">
      <w:pPr>
        <w:adjustRightInd w:val="0"/>
        <w:ind w:left="480" w:hanging="480"/>
        <w:rPr>
          <w:sz w:val="24"/>
        </w:rPr>
      </w:pPr>
      <w:r w:rsidRPr="00FC7485">
        <w:rPr>
          <w:sz w:val="24"/>
        </w:rPr>
        <w:t xml:space="preserve">Ramadhan, Z M, A M Iqbal, R Mutmainnah, and Y Nurdin. “Challenging Hegemony through a Quranic and Gramscian Perspective in the Tafsir of Sayyid Qutb on Social Class.” </w:t>
      </w:r>
      <w:r w:rsidRPr="00FC7485">
        <w:rPr>
          <w:i/>
          <w:iCs/>
          <w:sz w:val="24"/>
        </w:rPr>
        <w:t>JSAI</w:t>
      </w:r>
      <w:r w:rsidRPr="00FC7485">
        <w:rPr>
          <w:sz w:val="24"/>
        </w:rPr>
        <w:t xml:space="preserve"> 6, no. 2 (n.d.).</w:t>
      </w:r>
    </w:p>
    <w:p w14:paraId="3BA35740" w14:textId="77777777" w:rsidR="00317FAE" w:rsidRPr="00FC7485" w:rsidRDefault="00317FAE" w:rsidP="00317FAE">
      <w:pPr>
        <w:adjustRightInd w:val="0"/>
        <w:ind w:left="480" w:hanging="480"/>
        <w:rPr>
          <w:sz w:val="24"/>
        </w:rPr>
      </w:pPr>
      <w:r w:rsidRPr="00FC7485">
        <w:rPr>
          <w:sz w:val="24"/>
        </w:rPr>
        <w:t xml:space="preserve">Saeed, Abdullah. </w:t>
      </w:r>
      <w:r w:rsidRPr="00FC7485">
        <w:rPr>
          <w:i/>
          <w:iCs/>
          <w:sz w:val="24"/>
        </w:rPr>
        <w:t>Reading the Qur’an in the Twenty-First Century: A Contextualist Approach</w:t>
      </w:r>
      <w:r w:rsidRPr="00FC7485">
        <w:rPr>
          <w:sz w:val="24"/>
        </w:rPr>
        <w:t>. London: Routledge, 2014.</w:t>
      </w:r>
    </w:p>
    <w:p w14:paraId="0456F71D" w14:textId="77777777" w:rsidR="00317FAE" w:rsidRPr="00FC7485" w:rsidRDefault="00317FAE" w:rsidP="00317FAE">
      <w:pPr>
        <w:adjustRightInd w:val="0"/>
        <w:ind w:left="480" w:hanging="480"/>
        <w:rPr>
          <w:sz w:val="24"/>
        </w:rPr>
      </w:pPr>
      <w:r w:rsidRPr="00FC7485">
        <w:rPr>
          <w:sz w:val="24"/>
        </w:rPr>
        <w:t xml:space="preserve">Sardar, Ziauddin. </w:t>
      </w:r>
      <w:r w:rsidRPr="00FC7485">
        <w:rPr>
          <w:i/>
          <w:iCs/>
          <w:sz w:val="24"/>
        </w:rPr>
        <w:t>Reading the Qur’an: The Contemporary Relevance of the Sacred Text of Islam</w:t>
      </w:r>
      <w:r w:rsidRPr="00FC7485">
        <w:rPr>
          <w:sz w:val="24"/>
        </w:rPr>
        <w:t>. Oxford: Oxford University Press, 2011.</w:t>
      </w:r>
    </w:p>
    <w:p w14:paraId="1752C43E" w14:textId="77777777" w:rsidR="00317FAE" w:rsidRPr="00FC7485" w:rsidRDefault="00317FAE" w:rsidP="00317FAE">
      <w:pPr>
        <w:adjustRightInd w:val="0"/>
        <w:ind w:left="480" w:hanging="480"/>
        <w:rPr>
          <w:sz w:val="24"/>
        </w:rPr>
      </w:pPr>
      <w:r w:rsidRPr="00FC7485">
        <w:rPr>
          <w:sz w:val="24"/>
        </w:rPr>
        <w:t xml:space="preserve">Shihab, M Quraish. </w:t>
      </w:r>
      <w:r w:rsidRPr="00FC7485">
        <w:rPr>
          <w:i/>
          <w:iCs/>
          <w:sz w:val="24"/>
        </w:rPr>
        <w:t>Wawasan Al-Qur’an</w:t>
      </w:r>
      <w:r w:rsidRPr="00FC7485">
        <w:rPr>
          <w:sz w:val="24"/>
        </w:rPr>
        <w:t>. Jakarta: Lentera Hati, 2007.</w:t>
      </w:r>
    </w:p>
    <w:p w14:paraId="5D3F348C" w14:textId="77777777" w:rsidR="00317FAE" w:rsidRPr="00FC7485" w:rsidRDefault="00317FAE" w:rsidP="00317FAE">
      <w:pPr>
        <w:adjustRightInd w:val="0"/>
        <w:ind w:left="480" w:hanging="480"/>
        <w:rPr>
          <w:sz w:val="24"/>
        </w:rPr>
      </w:pPr>
      <w:r w:rsidRPr="00FC7485">
        <w:rPr>
          <w:sz w:val="24"/>
        </w:rPr>
        <w:t>Siddiq, Muhammad Fajar. “Keadilan Ekonomi Menurut Perspektif Al-Qur’an (Tafsir Tahlili QS. Al-Hasyr Ayat 7).” Fakultas Ushuluddin, PTIQ Jakarta, 2020.</w:t>
      </w:r>
    </w:p>
    <w:p w14:paraId="5CCFB746" w14:textId="77777777" w:rsidR="00317FAE" w:rsidRPr="00FC7485" w:rsidRDefault="00317FAE" w:rsidP="00317FAE">
      <w:pPr>
        <w:adjustRightInd w:val="0"/>
        <w:ind w:left="480" w:hanging="480"/>
        <w:rPr>
          <w:sz w:val="24"/>
        </w:rPr>
      </w:pPr>
      <w:r w:rsidRPr="00FC7485">
        <w:rPr>
          <w:sz w:val="24"/>
        </w:rPr>
        <w:t xml:space="preserve">Siregar, N S, and N A Simamora. “Qur’anic Perspectives on Mustadh‘Afin: Gendered Oppression and Women’s Empowerment in Contemporary Indonesia.” </w:t>
      </w:r>
      <w:r w:rsidRPr="00FC7485">
        <w:rPr>
          <w:i/>
          <w:iCs/>
          <w:sz w:val="24"/>
        </w:rPr>
        <w:t>Jurnal Perempuan Indonesia</w:t>
      </w:r>
      <w:r w:rsidRPr="00FC7485">
        <w:rPr>
          <w:sz w:val="24"/>
        </w:rPr>
        <w:t xml:space="preserve"> 5, no. 1 (2025).</w:t>
      </w:r>
    </w:p>
    <w:p w14:paraId="27B6DF28" w14:textId="77777777" w:rsidR="00317FAE" w:rsidRPr="00FC7485" w:rsidRDefault="00317FAE" w:rsidP="00317FAE">
      <w:pPr>
        <w:adjustRightInd w:val="0"/>
        <w:ind w:left="480" w:hanging="480"/>
        <w:rPr>
          <w:sz w:val="24"/>
        </w:rPr>
      </w:pPr>
      <w:r w:rsidRPr="00FC7485">
        <w:rPr>
          <w:sz w:val="24"/>
        </w:rPr>
        <w:t>Umbari, Abubakar, Siti Amanah, and M Darwin Syah Putra. “Karakteristik Kemiskinan Masyarakat Nelayan Di Kecamatan Syiah Kuala Banda Aceh.” IPB University, 2002. https://repository.ipb.ac.id/jspui/handle/123456789/151995.</w:t>
      </w:r>
    </w:p>
    <w:p w14:paraId="2D9BDC7F" w14:textId="77777777" w:rsidR="00317FAE" w:rsidRPr="00FC7485" w:rsidRDefault="00317FAE" w:rsidP="00317FAE">
      <w:pPr>
        <w:adjustRightInd w:val="0"/>
        <w:ind w:left="480" w:hanging="480"/>
        <w:rPr>
          <w:sz w:val="24"/>
        </w:rPr>
      </w:pPr>
      <w:r w:rsidRPr="00FC7485">
        <w:rPr>
          <w:sz w:val="24"/>
        </w:rPr>
        <w:lastRenderedPageBreak/>
        <w:t xml:space="preserve">Weber, Max. </w:t>
      </w:r>
      <w:r w:rsidRPr="00FC7485">
        <w:rPr>
          <w:i/>
          <w:iCs/>
          <w:sz w:val="24"/>
        </w:rPr>
        <w:t>Economy and Society: An Outline of Interpretive Sociology</w:t>
      </w:r>
      <w:r w:rsidRPr="00FC7485">
        <w:rPr>
          <w:sz w:val="24"/>
        </w:rPr>
        <w:t>. Berkeley: University of California Press, 1978.</w:t>
      </w:r>
    </w:p>
    <w:p w14:paraId="25A4D069" w14:textId="2CF61F42" w:rsidR="007F1655" w:rsidRPr="00FC7485" w:rsidRDefault="004F5BF7" w:rsidP="00D37F03">
      <w:pPr>
        <w:spacing w:line="276" w:lineRule="auto"/>
        <w:jc w:val="both"/>
        <w:rPr>
          <w:b/>
          <w:bCs/>
          <w:sz w:val="24"/>
          <w:szCs w:val="24"/>
        </w:rPr>
      </w:pPr>
      <w:r w:rsidRPr="00FC7485">
        <w:rPr>
          <w:b/>
          <w:bCs/>
          <w:sz w:val="24"/>
          <w:szCs w:val="24"/>
        </w:rPr>
        <w:fldChar w:fldCharType="end"/>
      </w:r>
      <w:bookmarkEnd w:id="0"/>
    </w:p>
    <w:p w14:paraId="3113A1FD" w14:textId="003E2247" w:rsidR="004A4AB1" w:rsidRPr="00FC7485" w:rsidRDefault="004A4AB1" w:rsidP="00C773C6">
      <w:pPr>
        <w:spacing w:line="276" w:lineRule="auto"/>
        <w:jc w:val="both"/>
        <w:rPr>
          <w:sz w:val="18"/>
          <w:szCs w:val="24"/>
        </w:rPr>
      </w:pPr>
      <w:r w:rsidRPr="00FC7485">
        <w:rPr>
          <w:sz w:val="24"/>
          <w:szCs w:val="24"/>
        </w:rPr>
        <w:t>(Writing style: Chicago Manual of Style 17th (Full note)  Times New Roman 12, Reguler, spasi 1.5, spacing before 6 pt, after 6 pt)</w:t>
      </w:r>
    </w:p>
    <w:sectPr w:rsidR="004A4AB1" w:rsidRPr="00FC7485" w:rsidSect="000254A6">
      <w:headerReference w:type="even" r:id="rId12"/>
      <w:headerReference w:type="default" r:id="rId13"/>
      <w:footerReference w:type="even" r:id="rId14"/>
      <w:footerReference w:type="default" r:id="rId15"/>
      <w:pgSz w:w="11910" w:h="16840" w:code="9"/>
      <w:pgMar w:top="1418" w:right="1701" w:bottom="1701" w:left="1701" w:header="431" w:footer="97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675D8" w14:textId="77777777" w:rsidR="00E62815" w:rsidRPr="00452C36" w:rsidRDefault="00E62815">
      <w:r w:rsidRPr="00452C36">
        <w:separator/>
      </w:r>
    </w:p>
  </w:endnote>
  <w:endnote w:type="continuationSeparator" w:id="0">
    <w:p w14:paraId="5DC974B4" w14:textId="77777777" w:rsidR="00E62815" w:rsidRPr="00452C36" w:rsidRDefault="00E62815">
      <w:r w:rsidRPr="00452C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eelawadee UI">
    <w:panose1 w:val="020B0502040204020203"/>
    <w:charset w:val="00"/>
    <w:family w:val="swiss"/>
    <w:pitch w:val="variable"/>
    <w:sig w:usb0="A3000003" w:usb1="00000000" w:usb2="00010000" w:usb3="00000000" w:csb0="00010101" w:csb1="00000000"/>
  </w:font>
  <w:font w:name="Traditional Arabic">
    <w:panose1 w:val="02010000000000000000"/>
    <w:charset w:val="00"/>
    <w:family w:val="roman"/>
    <w:pitch w:val="variable"/>
    <w:sig w:usb0="00002003" w:usb1="80000000" w:usb2="00000008" w:usb3="00000000" w:csb0="00000041" w:csb1="00000000"/>
  </w:font>
  <w:font w:name="Naskh">
    <w:altName w:val="Cambria"/>
    <w:panose1 w:val="00000000000000000000"/>
    <w:charset w:val="00"/>
    <w:family w:val="roman"/>
    <w:notTrueType/>
    <w:pitch w:val="default"/>
  </w:font>
  <w:font w:name="Alhambra">
    <w:altName w:val="Courier New"/>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014177"/>
      <w:docPartObj>
        <w:docPartGallery w:val="Page Numbers (Bottom of Page)"/>
        <w:docPartUnique/>
      </w:docPartObj>
    </w:sdtPr>
    <w:sdtEndPr>
      <w:rPr>
        <w:color w:val="7F7F7F" w:themeColor="background1" w:themeShade="7F"/>
        <w:spacing w:val="60"/>
      </w:rPr>
    </w:sdtEndPr>
    <w:sdtContent>
      <w:p w14:paraId="4E94A35E" w14:textId="19DC14AC" w:rsidR="003D12ED" w:rsidRPr="00452C36" w:rsidRDefault="00BD0467" w:rsidP="005750B1">
        <w:pPr>
          <w:pStyle w:val="Footer"/>
          <w:pBdr>
            <w:top w:val="single" w:sz="4" w:space="1" w:color="D9D9D9" w:themeColor="background1" w:themeShade="D9"/>
          </w:pBdr>
          <w:rPr>
            <w:b/>
            <w:bCs/>
          </w:rPr>
        </w:pPr>
        <w:r>
          <w:drawing>
            <wp:anchor distT="0" distB="0" distL="114300" distR="114300" simplePos="0" relativeHeight="251660288" behindDoc="0" locked="0" layoutInCell="1" allowOverlap="1" wp14:anchorId="4487A669" wp14:editId="2BBF3B59">
              <wp:simplePos x="0" y="0"/>
              <wp:positionH relativeFrom="column">
                <wp:posOffset>151765</wp:posOffset>
              </wp:positionH>
              <wp:positionV relativeFrom="paragraph">
                <wp:posOffset>56873</wp:posOffset>
              </wp:positionV>
              <wp:extent cx="679450" cy="119021"/>
              <wp:effectExtent l="0" t="0" r="6350" b="0"/>
              <wp:wrapNone/>
              <wp:docPr id="172185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0931" t="35163" r="49577" b="59932"/>
                      <a:stretch>
                        <a:fillRect/>
                      </a:stretch>
                    </pic:blipFill>
                    <pic:spPr bwMode="auto">
                      <a:xfrm>
                        <a:off x="0" y="0"/>
                        <a:ext cx="727446" cy="12742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750B1" w:rsidRPr="00452C36">
          <w:rPr>
            <w:b/>
            <w:bCs/>
            <w:sz w:val="24"/>
            <w:szCs w:val="24"/>
          </w:rPr>
          <w:fldChar w:fldCharType="begin"/>
        </w:r>
        <w:r w:rsidR="005750B1" w:rsidRPr="00452C36">
          <w:rPr>
            <w:b/>
            <w:bCs/>
            <w:sz w:val="24"/>
            <w:szCs w:val="24"/>
          </w:rPr>
          <w:instrText xml:space="preserve"> PAGE   \* MERGEFORMAT </w:instrText>
        </w:r>
        <w:r w:rsidR="005750B1" w:rsidRPr="00452C36">
          <w:rPr>
            <w:b/>
            <w:bCs/>
            <w:sz w:val="24"/>
            <w:szCs w:val="24"/>
          </w:rPr>
          <w:fldChar w:fldCharType="separate"/>
        </w:r>
        <w:r w:rsidR="005750B1" w:rsidRPr="00452C36">
          <w:rPr>
            <w:b/>
            <w:bCs/>
            <w:sz w:val="24"/>
            <w:szCs w:val="24"/>
          </w:rPr>
          <w:t>2</w:t>
        </w:r>
        <w:r w:rsidR="005750B1" w:rsidRPr="00452C36">
          <w:rPr>
            <w:b/>
            <w:bCs/>
            <w:sz w:val="24"/>
            <w:szCs w:val="24"/>
          </w:rPr>
          <w:fldChar w:fldCharType="end"/>
        </w:r>
        <w:r w:rsidR="005750B1" w:rsidRPr="00452C36">
          <w:rPr>
            <w:b/>
            <w:bCs/>
            <w:sz w:val="24"/>
            <w:szCs w:val="24"/>
          </w:rPr>
          <w:t xml:space="preserve"> |</w:t>
        </w:r>
        <w:r w:rsidR="005750B1" w:rsidRPr="00452C36">
          <w:rPr>
            <w:b/>
            <w:bCs/>
          </w:rPr>
          <w:t xml:space="preserve"> </w:t>
        </w:r>
        <w:r w:rsidR="005750B1" w:rsidRPr="00452C36">
          <w:rPr>
            <w:rFonts w:ascii="Alhambra" w:hAnsi="Alhambra"/>
            <w:b/>
            <w:bCs/>
          </w:rPr>
          <w:t>IBN ABBAS</w:t>
        </w:r>
        <w:r w:rsidR="005750B1" w:rsidRPr="00452C36">
          <w:rPr>
            <w:b/>
            <w:bCs/>
          </w:rPr>
          <w:t xml:space="preserve"> : </w:t>
        </w:r>
        <w:r w:rsidR="005750B1" w:rsidRPr="00452C36">
          <w:rPr>
            <w:sz w:val="20"/>
          </w:rPr>
          <w:t>Jurnal</w:t>
        </w:r>
        <w:r w:rsidR="005750B1" w:rsidRPr="00452C36">
          <w:rPr>
            <w:spacing w:val="-3"/>
            <w:sz w:val="20"/>
          </w:rPr>
          <w:t xml:space="preserve"> </w:t>
        </w:r>
        <w:r w:rsidR="005750B1" w:rsidRPr="00452C36">
          <w:rPr>
            <w:sz w:val="20"/>
          </w:rPr>
          <w:t>Ilmu</w:t>
        </w:r>
        <w:r w:rsidR="005750B1" w:rsidRPr="00452C36">
          <w:rPr>
            <w:spacing w:val="-3"/>
            <w:sz w:val="20"/>
          </w:rPr>
          <w:t xml:space="preserve"> </w:t>
        </w:r>
        <w:r w:rsidR="005750B1" w:rsidRPr="00452C36">
          <w:rPr>
            <w:sz w:val="20"/>
          </w:rPr>
          <w:t>Alquran</w:t>
        </w:r>
        <w:r w:rsidR="005750B1" w:rsidRPr="00452C36">
          <w:rPr>
            <w:spacing w:val="-3"/>
            <w:sz w:val="20"/>
          </w:rPr>
          <w:t xml:space="preserve"> </w:t>
        </w:r>
        <w:r w:rsidR="005750B1" w:rsidRPr="00452C36">
          <w:rPr>
            <w:sz w:val="20"/>
          </w:rPr>
          <w:t>dan</w:t>
        </w:r>
        <w:r w:rsidR="005750B1" w:rsidRPr="00452C36">
          <w:rPr>
            <w:spacing w:val="-3"/>
            <w:sz w:val="20"/>
          </w:rPr>
          <w:t xml:space="preserve"> </w:t>
        </w:r>
        <w:r w:rsidR="005750B1" w:rsidRPr="00452C36">
          <w:rPr>
            <w:spacing w:val="-2"/>
            <w:sz w:val="20"/>
          </w:rPr>
          <w:t>Tafsir</w:t>
        </w:r>
        <w:r w:rsidR="005750B1" w:rsidRPr="00452C36">
          <w:rPr>
            <w:sz w:val="20"/>
          </w:rPr>
          <w:t xml:space="preserve">  </w:t>
        </w:r>
        <w:r w:rsidR="0018367C" w:rsidRPr="00452C36">
          <w:rPr>
            <w:sz w:val="20"/>
          </w:rPr>
          <w:t>Vol</w:t>
        </w:r>
        <w:r w:rsidR="0018367C">
          <w:rPr>
            <w:sz w:val="20"/>
          </w:rPr>
          <w:t xml:space="preserve">.9 </w:t>
        </w:r>
        <w:r w:rsidR="0018367C" w:rsidRPr="00452C36">
          <w:rPr>
            <w:sz w:val="20"/>
          </w:rPr>
          <w:t>No</w:t>
        </w:r>
        <w:r w:rsidR="0018367C">
          <w:rPr>
            <w:sz w:val="20"/>
          </w:rPr>
          <w:t xml:space="preserve">. 1 </w:t>
        </w:r>
        <w:r w:rsidR="0018367C" w:rsidRPr="00452C36">
          <w:rPr>
            <w:spacing w:val="2"/>
            <w:sz w:val="20"/>
          </w:rPr>
          <w:t>Januari  – Juni 202</w:t>
        </w:r>
        <w:r w:rsidR="0018367C">
          <w:rPr>
            <w:spacing w:val="2"/>
            <w:sz w:val="20"/>
          </w:rPr>
          <w:t>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510942"/>
      <w:docPartObj>
        <w:docPartGallery w:val="Page Numbers (Bottom of Page)"/>
        <w:docPartUnique/>
      </w:docPartObj>
    </w:sdtPr>
    <w:sdtContent>
      <w:p w14:paraId="7DAD981E" w14:textId="42C76495" w:rsidR="00D37F03" w:rsidRPr="00452C36" w:rsidRDefault="0018367C" w:rsidP="005750B1">
        <w:pPr>
          <w:pStyle w:val="Footer"/>
          <w:jc w:val="right"/>
        </w:pPr>
        <w:r>
          <w:drawing>
            <wp:anchor distT="0" distB="0" distL="114300" distR="114300" simplePos="0" relativeHeight="251662336" behindDoc="0" locked="0" layoutInCell="1" allowOverlap="1" wp14:anchorId="2BB224F3" wp14:editId="4C703FEF">
              <wp:simplePos x="0" y="0"/>
              <wp:positionH relativeFrom="column">
                <wp:posOffset>1143000</wp:posOffset>
              </wp:positionH>
              <wp:positionV relativeFrom="paragraph">
                <wp:posOffset>25400</wp:posOffset>
              </wp:positionV>
              <wp:extent cx="679450" cy="119021"/>
              <wp:effectExtent l="0" t="0" r="6350" b="0"/>
              <wp:wrapNone/>
              <wp:docPr id="1324611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0931" t="35163" r="49577" b="59932"/>
                      <a:stretch>
                        <a:fillRect/>
                      </a:stretch>
                    </pic:blipFill>
                    <pic:spPr bwMode="auto">
                      <a:xfrm>
                        <a:off x="0" y="0"/>
                        <a:ext cx="679450" cy="11902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750B1" w:rsidRPr="00452C36">
          <w:rPr>
            <w:b/>
            <w:bCs/>
          </w:rPr>
          <w:t xml:space="preserve">: </w:t>
        </w:r>
        <w:r w:rsidR="005750B1" w:rsidRPr="00452C36">
          <w:rPr>
            <w:sz w:val="20"/>
          </w:rPr>
          <w:t>Jurnal</w:t>
        </w:r>
        <w:r w:rsidR="005750B1" w:rsidRPr="00452C36">
          <w:rPr>
            <w:spacing w:val="-3"/>
            <w:sz w:val="20"/>
          </w:rPr>
          <w:t xml:space="preserve"> </w:t>
        </w:r>
        <w:r w:rsidR="005750B1" w:rsidRPr="00452C36">
          <w:rPr>
            <w:sz w:val="20"/>
          </w:rPr>
          <w:t>Ilmu</w:t>
        </w:r>
        <w:r w:rsidR="005750B1" w:rsidRPr="00452C36">
          <w:rPr>
            <w:spacing w:val="-3"/>
            <w:sz w:val="20"/>
          </w:rPr>
          <w:t xml:space="preserve"> </w:t>
        </w:r>
        <w:r w:rsidR="005750B1" w:rsidRPr="00452C36">
          <w:rPr>
            <w:sz w:val="20"/>
          </w:rPr>
          <w:t>Alquran</w:t>
        </w:r>
        <w:r w:rsidR="005750B1" w:rsidRPr="00452C36">
          <w:rPr>
            <w:spacing w:val="-3"/>
            <w:sz w:val="20"/>
          </w:rPr>
          <w:t xml:space="preserve"> </w:t>
        </w:r>
        <w:r w:rsidR="005750B1" w:rsidRPr="00452C36">
          <w:rPr>
            <w:sz w:val="20"/>
          </w:rPr>
          <w:t>dan</w:t>
        </w:r>
        <w:r w:rsidR="005750B1" w:rsidRPr="00452C36">
          <w:rPr>
            <w:spacing w:val="-3"/>
            <w:sz w:val="20"/>
          </w:rPr>
          <w:t xml:space="preserve"> </w:t>
        </w:r>
        <w:r w:rsidR="005750B1" w:rsidRPr="00452C36">
          <w:rPr>
            <w:spacing w:val="-2"/>
            <w:sz w:val="20"/>
          </w:rPr>
          <w:t>Tafsir</w:t>
        </w:r>
        <w:r w:rsidR="005750B1" w:rsidRPr="00452C36">
          <w:rPr>
            <w:sz w:val="20"/>
          </w:rPr>
          <w:t xml:space="preserve">  Vol</w:t>
        </w:r>
        <w:r w:rsidR="00BD0467">
          <w:rPr>
            <w:sz w:val="20"/>
          </w:rPr>
          <w:t xml:space="preserve">.9 </w:t>
        </w:r>
        <w:r w:rsidR="005750B1" w:rsidRPr="00452C36">
          <w:rPr>
            <w:sz w:val="20"/>
          </w:rPr>
          <w:t>No</w:t>
        </w:r>
        <w:r w:rsidR="00BD0467">
          <w:rPr>
            <w:sz w:val="20"/>
          </w:rPr>
          <w:t xml:space="preserve">. 1 </w:t>
        </w:r>
        <w:r w:rsidR="005750B1" w:rsidRPr="00452C36">
          <w:rPr>
            <w:spacing w:val="2"/>
            <w:sz w:val="20"/>
          </w:rPr>
          <w:t>Januari</w:t>
        </w:r>
        <w:r>
          <w:rPr>
            <w:spacing w:val="2"/>
            <w:sz w:val="20"/>
          </w:rPr>
          <w:t xml:space="preserve"> </w:t>
        </w:r>
        <w:r w:rsidR="005750B1" w:rsidRPr="00452C36">
          <w:rPr>
            <w:spacing w:val="2"/>
            <w:sz w:val="20"/>
          </w:rPr>
          <w:t>– Juni 202</w:t>
        </w:r>
        <w:r w:rsidR="00F2637F">
          <w:rPr>
            <w:spacing w:val="2"/>
            <w:sz w:val="20"/>
          </w:rPr>
          <w:t>6</w:t>
        </w:r>
        <w:r w:rsidR="005750B1" w:rsidRPr="00452C36">
          <w:t xml:space="preserve"> </w:t>
        </w:r>
        <w:r w:rsidR="005750B1" w:rsidRPr="00452C36">
          <w:rPr>
            <w:b/>
            <w:bCs/>
            <w:sz w:val="24"/>
            <w:szCs w:val="24"/>
          </w:rPr>
          <w:t xml:space="preserve">| </w:t>
        </w:r>
        <w:r w:rsidR="005750B1" w:rsidRPr="00452C36">
          <w:rPr>
            <w:b/>
            <w:bCs/>
            <w:sz w:val="24"/>
            <w:szCs w:val="24"/>
          </w:rPr>
          <w:fldChar w:fldCharType="begin"/>
        </w:r>
        <w:r w:rsidR="005750B1" w:rsidRPr="00452C36">
          <w:rPr>
            <w:b/>
            <w:bCs/>
            <w:sz w:val="24"/>
            <w:szCs w:val="24"/>
          </w:rPr>
          <w:instrText xml:space="preserve"> PAGE   \* MERGEFORMAT </w:instrText>
        </w:r>
        <w:r w:rsidR="005750B1" w:rsidRPr="00452C36">
          <w:rPr>
            <w:b/>
            <w:bCs/>
            <w:sz w:val="24"/>
            <w:szCs w:val="24"/>
          </w:rPr>
          <w:fldChar w:fldCharType="separate"/>
        </w:r>
        <w:r w:rsidR="005750B1" w:rsidRPr="00452C36">
          <w:rPr>
            <w:b/>
            <w:bCs/>
            <w:sz w:val="24"/>
            <w:szCs w:val="24"/>
          </w:rPr>
          <w:t>2</w:t>
        </w:r>
        <w:r w:rsidR="005750B1" w:rsidRPr="00452C36">
          <w:rPr>
            <w:b/>
            <w:bCs/>
            <w:sz w:val="24"/>
            <w:szCs w:val="24"/>
          </w:rPr>
          <w:fldChar w:fldCharType="end"/>
        </w:r>
        <w:r w:rsidR="005750B1" w:rsidRPr="00452C36">
          <w:rPr>
            <w:b/>
            <w:bCs/>
            <w:sz w:val="24"/>
            <w:szCs w:val="24"/>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AD50A" w14:textId="77777777" w:rsidR="00E62815" w:rsidRPr="00452C36" w:rsidRDefault="00E62815">
      <w:r w:rsidRPr="00452C36">
        <w:separator/>
      </w:r>
    </w:p>
  </w:footnote>
  <w:footnote w:type="continuationSeparator" w:id="0">
    <w:p w14:paraId="57A069C0" w14:textId="77777777" w:rsidR="00E62815" w:rsidRPr="00452C36" w:rsidRDefault="00E62815">
      <w:r w:rsidRPr="00452C36">
        <w:continuationSeparator/>
      </w:r>
    </w:p>
  </w:footnote>
  <w:footnote w:id="1">
    <w:p w14:paraId="63BEDFD2" w14:textId="4E1FD1ED" w:rsidR="007D660A" w:rsidRPr="00BD0467" w:rsidRDefault="007D660A" w:rsidP="00B15C17">
      <w:pPr>
        <w:pStyle w:val="FootnoteText"/>
        <w:ind w:firstLine="720"/>
        <w:jc w:val="both"/>
        <w:rPr>
          <w:rFonts w:ascii="Times New Roman" w:hAnsi="Times New Roman" w:cs="Times New Roman"/>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{"citationItems":[{"id":"ITEM-1","itemData":{"ISBN":"9786022823933","ISSN":"2549-1490","PMID":"20484407","abstract":"In general, combustion of solid material consists of several steps including heating, drying, de-volatilization and burning of the charcoal. The factors that determine combustion characteristics of briquettes are the rate of combustion, heating value, density and amount of pollutants or volatile compounds produced. The present work aimed at determining combustion characteristics of various kinds of briquettes from biomass, wood charcoal and coal including the rate of combustion, duration of briquettes burn to ashes, the initial ignition, amount of smoke or volatile compounds produced, heating value and duration for boiling one liter of water. The experimental work was performed by burning 250 grams of each briquette. The results showed that coconut shell had the longest combustion duration (116 minutes) with a combustion rate of 126.6 grams/second. In comparison with other biomass briquettes and wood choarcoal, coconut shell had the highest heating values of 5,779.11 cal/gram which was close to heating value of coal briquette (6,058 cal/gram). All briquettes studied in the present work showed a reasonable duration and needed about 5 – 7 minutes to boil one litter of water","author":[{"dropping-particle":"","family":"Ariyanti","given":"","non-dropping-particle":"","parse-names":false,"suffix":""},{"dropping-particle":"","family":"Kesbi","given":"Farhad Ghafouri","non-dropping-particle":"","parse-names":false,"suffix":""},{"dropping-particle":"","family":"Tari","given":"Ali Rafiei","non-dropping-particle":"","parse-names":false,"suffix":""},{"dropping-particle":"","family":"Siagian","given":"Gunaria","non-dropping-particle":"","parse-names":false,"suffix":""},{"dropping-particle":"","family":"Jamilatun","given":"Siti","non-dropping-particle":"","parse-names":false,"suffix":""},{"dropping-particle":"","family":"Barroso","given":"Fernando G.","non-dropping-particle":"","parse-names":false,"suffix":""},{"dropping-particle":"","family":"Sánchez-Muros","given":"María José","non-dropping-particle":"","parse-names":false,"suffix":""},{"dropping-particle":"","family":"Rincón","given":"Miguel Ángel","non-dropping-particle":"","parse-names":false,"suffix":""},{"dropping-particle":"","family":"Rodriguez-Rodriguez","given":"María","non-dropping-particle":"","parse-names":false,"suffix":""},{"dropping-particle":"","family":"Fabrikov","given":"Dmitri","non-dropping-particle":"","parse-names":false,"suffix":""},{"dropping-particle":"","family":"Morote","given":"Elvira","non-dropping-particle":"","parse-names":false,"suffix":""},{"dropping-particle":"","family":"Guil-Guerrero","given":"José Luis","non-dropping-particle":"","parse-names":false,"suffix":""},{"dropping-particle":"","family":"Henry","given":"M.","non-dropping-particle":"","parse-names":false,"suffix":""},{"dropping-particle":"","family":"Gasco","given":"L.","non-dropping-particle":"","parse-names":false,"suffix":""},{"dropping-particle":"","family":"Piccolo","given":"G.","non-dropping-particle":"","parse-names":false,"suffix":""},{"dropping-particle":"","family":"Fountoulaki","given":"E.","non-dropping-particle":"","parse-names":false,"suffix":""},{"dropping-particle":"","family":"Omasaki","given":"S. K.","non-dropping-particle":"","parse-names":false,"suffix":""},{"dropping-particle":"","family":"Janssen","given":"K.","non-dropping-particle":"","parse-names":false,"suffix":""},{"dropping-particle":"","family":"Besson","given":"M.","non-dropping-particle":"","parse-names":false,"suffix":""},{"dropping-particle":"","family":"Komen","given":"H.","non-dropping-particle":"","parse-names":false,"suffix":""},{"dropping-particle":"","family":"Process","given":"Organic Composter","non-dropping-particle":"","parse-names":false,"suffix":""},{"dropping-particle":"","family":"Garsetiasih","given":"R","non-dropping-particle":"","parse-names":false,"suffix":""},{"dropping-particle":"","family":"Heriyanto","given":"N.","non-dropping-particle":"","parse-names":false,"suffix":""},{"dropping-particle":"","family":"Atmaja","given":"Jaya","non-dropping-particle":"","parse-names":false,"suffix":""},{"dropping-particle":"","family":"Kuliah","given":"Mata","non-dropping-particle":"","parse-names":false,"suffix":""},{"dropping-particle":"","family":"Subagio","given":"Bambang Sugeng","non-dropping-particle":"","parse-names":false,"suffix":""},{"dropping-particle":"","family":"R","given":"Cibe Muhammad Thariq","non-dropping-particle":"","parse-names":false,"suffix":""},{"dropping-particle":"","family":"Armand","given":"Gregorius Marco","non-dropping-particle":"","parse-names":false,"suffix":""},{"dropping-particle":"","family":"Joshua","given":"Levi","non-dropping-particle":"","parse-names":false,"suffix":""},{"dropping-particle":"","family":"Tanjung","given":"Christopher","non-dropping-particle":"","parse-names":false,"suffix":""},{"dropping-particle":"","family":"Ybs","given":"Koord Dosen","non-dropping-particle":"","parse-names":false,"suffix":""},{"dropping-particle":"","family":"Chandra","given":"Leo","non-dropping-particle":"","parse-names":false,"suffix":""},{"dropping-particle":"","family":"Lukito","given":"Dede Budiman","non-dropping-particle":"","parse-names":false,"suffix":""},{"dropping-particle":"","family":"Kemajuan","given":"Laporan","non-dropping-particle":"","parse-names":false,"suffix":""},{"dropping-particle":"","family":"Pengusul","given":"T I M","non-dropping-particle":"","parse-names":false,"suffix":""},{"dropping-particle":"","family":"Chanos","given":"Jurnal","non-dropping-particle":"","parse-names":false,"suffix":""},{"dropping-particle":"","family":"Eksekutif","given":"Badan","non-dropping-particle":"","parse-names":false,"suffix":""},{"dropping-particle":"","family":"Fakultas","given":"Mahasiswa","non-dropping-particle":"","parse-names":false,"suffix":""},{"dropping-particle":"","family":"Industri","given":"Teknologi","non-dropping-particle":"","parse-names":false,"suffix":""},{"dropping-particle":"","family":"Materi","given":"Rangkuman","non-dropping-particle":"","parse-names":false,"suffix":""},{"dropping-particle":"","family":"Aljabar","given":"Limit","non-dropping-particle":"","parse-names":false,"suffix":""},{"dropping-particle":"","family":"Tak","given":"Bentuk","non-dropping-particle":"","parse-names":false,"suffix":""},{"dropping-particle":"","family":"Barat","given":"Palmerah Jakarta","non-dropping-particle":"","parse-names":false,"suffix":""},{"dropping-particle":"","family":"Pandangan","given":"Satu","non-dropping-particle":"","parse-names":false,"suffix":""},{"dropping-particle":"","family":"Dan","given":"Memperbaiki","non-dropping-particle":"","parse-names":false,"suffix":""},{"dropping-particle":"","family":"Sarana","given":"Meningkatkan","non-dropping-particle":"","parse-names":false,"suffix":""},{"dropping-particle":"","family":"Tinjauan","given":"Suatu","non-dropping-particle":"","parse-names":false,"suffix":""},{"dropping-particle":"","family":"Nahwiyyah","given":"Uslub","non-dropping-particle":"","parse-names":false,"suffix":""},{"dropping-particle":"","family":"Ash-Shalabi","given":"Ali Muhammad","non-dropping-particle":"","parse-names":false,"suffix":""},{"dropping-particle":"","family":"</w:instrText>
      </w:r>
      <w:r w:rsidRPr="00FC7485">
        <w:rPr>
          <w:rFonts w:ascii="Leelawadee UI" w:hAnsi="Leelawadee UI" w:cs="Leelawadee UI"/>
        </w:rPr>
        <w:instrText>บุญชม</w:instrText>
      </w:r>
      <w:r w:rsidRPr="00FC7485">
        <w:rPr>
          <w:rFonts w:ascii="Times New Roman" w:hAnsi="Times New Roman" w:cs="Times New Roman"/>
        </w:rPr>
        <w:instrText xml:space="preserve"> </w:instrText>
      </w:r>
      <w:r w:rsidRPr="00FC7485">
        <w:rPr>
          <w:rFonts w:ascii="Leelawadee UI" w:hAnsi="Leelawadee UI" w:cs="Leelawadee UI"/>
        </w:rPr>
        <w:instrText>ศรีสะอาด</w:instrText>
      </w:r>
      <w:r w:rsidRPr="00FC7485">
        <w:rPr>
          <w:rFonts w:ascii="Times New Roman" w:hAnsi="Times New Roman" w:cs="Times New Roman"/>
        </w:rPr>
        <w:instrText>","given":"","non-dropping-particle":"","parse-names":false,"suffix":""},{"dropping-particle":"","family":"Bentuk","given":"Limit","non-dropping-particle":"","parse-names":false,"suffix":""},{"dropping-particle":"","family":"Tentu","given":"T A K","non-dropping-particle":"","parse-names":false,"suffix":""},{"dropping-particle":"","family":"Sindo News","given":"","non-dropping-particle":"","parse-names":false,"suffix":""},{"dropping-particle":"","family":"Budaya","given":"Seni","non-dropping-particle":"","parse-names":false,"suffix":""},{"dropping-particle":"","family":"Rohmat","given":"Ilham Wira","non-dropping-particle":"","parse-names":false,"suffix":""},{"dropping-particle":"","family":"Shapefiles","given":"Creating","non-dropping-particle":"","parse-names":false,"suffix":""},{"dropping-particle":"","family":"</w:instrText>
      </w:r>
      <w:r w:rsidRPr="00FC7485">
        <w:rPr>
          <w:rFonts w:ascii="Leelawadee UI" w:hAnsi="Leelawadee UI" w:cs="Leelawadee UI"/>
        </w:rPr>
        <w:instrText>บุญชม</w:instrText>
      </w:r>
      <w:r w:rsidRPr="00FC7485">
        <w:rPr>
          <w:rFonts w:ascii="Times New Roman" w:hAnsi="Times New Roman" w:cs="Times New Roman"/>
        </w:rPr>
        <w:instrText xml:space="preserve"> </w:instrText>
      </w:r>
      <w:r w:rsidRPr="00FC7485">
        <w:rPr>
          <w:rFonts w:ascii="Leelawadee UI" w:hAnsi="Leelawadee UI" w:cs="Leelawadee UI"/>
        </w:rPr>
        <w:instrText>ศรีสะอาด</w:instrText>
      </w:r>
      <w:r w:rsidRPr="00FC7485">
        <w:rPr>
          <w:rFonts w:ascii="Times New Roman" w:hAnsi="Times New Roman" w:cs="Times New Roman"/>
        </w:rPr>
        <w:instrText>","given":"","non-dropping-particle":"","parse-names":false,"suffix":""},{"dropping-particle":"","family":"Here","given":"Extract","non-dropping-particle":"","parse-names":false,"suffix":""},{"dropping-particle":"","family":"Keuangan","given":"Direktorat","non-dropping-particle":"","parse-names":false,"suffix":""},{"dropping-particle":"","family":"Bni","given":"Bank","non-dropping-particle":"","parse-names":false,"suffix":""},{"dropping-particle":"","family":"Bri","given":"Bank","non-dropping-particle":"","parse-names":false,"suffix":""},{"dropping-particle":"","family":"Btn","given":"Bank","non-dropping-particle":"","parse-names":false,"suffix":""},{"dropping-particle":"","family":"Niaga","given":"Bank Cimb","non-dropping-particle":"","parse-names":false,"suffix":""},{"dropping-particle":"","family":"Bca","given":"Bank","non-dropping-particle":"","parse-names":false,"suffix":""},{"dropping-particle":"","family":"Bjb","given":"Bank","non-dropping-particle":"","parse-names":false,"suffix":""},{"dropping-particle":"","family":"Bri","given":"Bank","non-dropping-particle":"","parse-names":false,"suffix":""},{"dropping-particle":"","family":"Btn","given":"Bank","non-dropping-particle":"","parse-names":false,"suffix":""},{"dropping-particle":"","family":"Niaga","given":"Bank Cimb","non-dropping-particle":"","parse-names":false,"suffix":""},{"dropping-particle":"","family":"Bca","given":"Bank","non-dropping-particle":"","parse-names":false,"suffix":""},{"dropping-particle":"","family":"Bjb","given":"Bank","non-dropping-particle":"","parse-names":false,"suffix":""},{"dropping-particle":"","family":"Chu","given":"Michael","non-dropping-particle":"","parse-names":false,"suffix":""},{"dropping-particle":"","family":"Seltzer","given":"Terry F.","non-dropping-particle":"","parse-names":false,"suffix":""},{"dropping-particle":"","family":"Umum","given":"A Informasi","non-dropping-particle":"","parse-names":false,"suffix":""},{"dropping-particle":"","family":"Howlett","given":"Chris","non-dropping-particle":"","parse-names":false,"suffix":""},{"dropping-particle":"","family":"Keuangan","given":"Direktorat","non-dropping-particle":"","parse-names":false,"suffix":""},{"dropping-particle":"","family":"Bri","given":"Bank","non-dropping-particle":"","parse-names":false,"suffix":""},{"dropping-particle":"","family":"Btn","given":"Bank","non-dropping-particle":"","parse-names":false,"suffix":""},{"dropping-particle":"","family":"Niaga","given":"Bank Cimb","non-dropping-particle":"","parse-names":false,"suffix":""},{"dropping-particle":"","family":"Bca","given":"Bank","non-dropping-particle":"","parse-names":false,"suffix":""},{"dropping-particle":"","family":"Bjb","given":"Bank","non-dropping-particle":"","parse-names":false,"suffix":""},{"dropping-particle":"","family":"Bukopin","given":"Bank","non-dropping-particle":"","parse-names":false,"suffix":""},{"dropping-particle":"","family":"Bri","given":"Bank","non-dropping-particle":"","parse-names":false,"suffix":""},{"dropping-particle":"","family":"Btn","given":"Bank","non-dropping-particle":"","parse-names":false,"suffix":""},{"dropping-particle":"","family":"Bca","given":"Bank","non-dropping-particle":"","parse-names":false,"suffix":""},{"dropping-particle":"","family":"Bjb","given":"Bank","non-dropping-particle":"","parse-names":false,"suffix":""},{"dropping-particle":"","family":"Dw","given":"Tabel Durbin- Watson","non-dropping-particle":"","parse-names":false,"suffix":""},{"dropping-particle":"","family":"Reproduksi","given":"Catatan-catatan","non-dropping-particle":"","parse-names":false,"suffix":""},{"dropping-particle":"","family":"Membaca","given":"Cara","non-dropping-particle":"","parse-names":false,"suffix":""},{"dropping-particle":"","family":"Firdhani","given":"Yunaz","non-dropping-particle":"","parse-names":false,"suffix":""},{"dropping-particle":"","family":"Ulama","given":"Brodjol Sutijo Suprih","non-dropping-particle":"","parse-names":false,"suffix":""},{"dropping-particle":"","family":"Hadipernata","given":"M.","non-dropping-particle":"","parse-names":false,"suffix":""},{"dropping-particle":"","family":"Supartono","given":"W.","non-dropping-particle":"","parse-names":false,"suffix":""},{"dropping-particle":"","family":"A.F. Falah","given":"M.","non-dropping-particle":"","parse-names":false,"suffix":""}],"container-title":"Jurnal Aplikasi Teknologi Pangan","id":"ITEM-1","issue":"1","issued":{"date-parts":[["2021"]]},"page":"1-2","title":"No Title</w:instrText>
      </w:r>
      <w:r w:rsidRPr="00FC7485">
        <w:rPr>
          <w:rFonts w:ascii="Leelawadee UI" w:hAnsi="Leelawadee UI" w:cs="Leelawadee UI"/>
        </w:rPr>
        <w:instrText>การวิจัยเบื้องต้น</w:instrText>
      </w:r>
      <w:r w:rsidRPr="00FC7485">
        <w:rPr>
          <w:rFonts w:ascii="Times New Roman" w:hAnsi="Times New Roman" w:cs="Times New Roman"/>
        </w:rPr>
        <w:instrText>","type":"article-journal","volume":"4"},"uris":["http://www.mendeley.com/documents/?uuid=c7685bba-04e5-46da-8ec9-c3f066177fc3"]}],"mendeley":{"formattedCitation":"Ariyanti et al., “No Title</w:instrText>
      </w:r>
      <w:r w:rsidRPr="00FC7485">
        <w:rPr>
          <w:rFonts w:ascii="Leelawadee UI" w:hAnsi="Leelawadee UI" w:cs="Leelawadee UI"/>
        </w:rPr>
        <w:instrText>การวิจัยเบื้องต้น</w:instrText>
      </w:r>
      <w:r w:rsidRPr="00FC7485">
        <w:rPr>
          <w:rFonts w:ascii="Times New Roman" w:hAnsi="Times New Roman" w:cs="Times New Roman"/>
        </w:rPr>
        <w:instrText>,” &lt;i&gt;Jurnal Aplikasi Teknologi Pangan&lt;/i&gt; 4, no. 1 (2021): 1–2, http://www.ejurnal.its.ac.id/index.php/sains_seni/article/view/10544%0Ahttps://scholar.google.com/scholar?hl=en&amp;as_sdt=0%2C5&amp;q=tawuran+antar+pelajar&amp;btnG=%0Ahttps://doi.org/10.1016/j.jfca.2019.103237.","plainTextFormattedCitation":"Ariyanti et al., “No Title</w:instrText>
      </w:r>
      <w:r w:rsidRPr="00FC7485">
        <w:rPr>
          <w:rFonts w:ascii="Leelawadee UI" w:hAnsi="Leelawadee UI" w:cs="Leelawadee UI"/>
        </w:rPr>
        <w:instrText>การวิจัยเบื้องต้น</w:instrText>
      </w:r>
      <w:r w:rsidRPr="00FC7485">
        <w:rPr>
          <w:rFonts w:ascii="Times New Roman" w:hAnsi="Times New Roman" w:cs="Times New Roman"/>
        </w:rPr>
        <w:instrText>,” Jurnal Aplikasi Teknologi Pangan 4, no. 1 (2021): 1–2, http://www.ejurnal.its.ac.id/index.php/sains_seni/article/view/10544%0Ahttps://scholar.google.com/scholar?hl=en&amp;as_sdt=0%2C5&amp;q=tawuran+antar+pelajar&amp;btnG=%0Ahttps://doi.org/10.1016/j.jfca.2019.103237.","previouslyFormattedCitation":"Ariyanti et al., “No Title</w:instrText>
      </w:r>
      <w:r w:rsidRPr="00FC7485">
        <w:rPr>
          <w:rFonts w:ascii="Leelawadee UI" w:hAnsi="Leelawadee UI" w:cs="Leelawadee UI"/>
        </w:rPr>
        <w:instrText>การวิจัยเบื้องต้น</w:instrText>
      </w:r>
      <w:r w:rsidRPr="00FC7485">
        <w:rPr>
          <w:rFonts w:ascii="Times New Roman" w:hAnsi="Times New Roman" w:cs="Times New Roman"/>
        </w:rPr>
        <w:instrText>,” &lt;i&gt;Jurnal Aplikasi Teknologi Pangan&lt;/i&gt; 4, no. 1 (2021): 1–2, http://www.ejurnal.its.ac.id/index.php/sains_seni/article/view/10544%0Ahttps://scholar.google.com/scholar?hl=en&amp;as_sdt=0%2C5&amp;q=tawuran+antar+pelajar&amp;btnG=%0Ahttps://doi.org/10.1016/j.jfca.2019.103237."},"properties":{"noteIndex":1},"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Ariyanti et al., “No Title</w:t>
      </w:r>
      <w:r w:rsidRPr="00FC7485">
        <w:rPr>
          <w:rFonts w:ascii="Leelawadee UI" w:hAnsi="Leelawadee UI" w:cs="Leelawadee UI"/>
        </w:rPr>
        <w:t>การวิจัยเบื้องต้น</w:t>
      </w:r>
      <w:r w:rsidRPr="00FC7485">
        <w:rPr>
          <w:rFonts w:ascii="Times New Roman" w:hAnsi="Times New Roman" w:cs="Times New Roman"/>
        </w:rPr>
        <w:t xml:space="preserve">,” </w:t>
      </w:r>
      <w:r w:rsidRPr="00FC7485">
        <w:rPr>
          <w:rFonts w:ascii="Times New Roman" w:hAnsi="Times New Roman" w:cs="Times New Roman"/>
          <w:i/>
        </w:rPr>
        <w:t>Jurnal Aplikasi Teknologi Pangan</w:t>
      </w:r>
      <w:r w:rsidRPr="00FC7485">
        <w:rPr>
          <w:rFonts w:ascii="Times New Roman" w:hAnsi="Times New Roman" w:cs="Times New Roman"/>
        </w:rPr>
        <w:t xml:space="preserve"> 4, no. 1 (2021): 1–2,http://www.ejurnal.its.ac.id/index.php/sains_seni/article/view/10544%0Ahttps://scholar.google.com/scholar?hl=en&amp;as_sdt=0%2C5&amp;q=tawuran+antar+pelajar&amp;btnG=%0Ahttps://doi.org/10.1016/j.jfca.2019.103237.</w:t>
      </w:r>
      <w:r w:rsidRPr="00FC7485">
        <w:rPr>
          <w:rFonts w:ascii="Times New Roman" w:hAnsi="Times New Roman" w:cs="Times New Roman"/>
        </w:rPr>
        <w:fldChar w:fldCharType="end"/>
      </w:r>
    </w:p>
  </w:footnote>
  <w:footnote w:id="2">
    <w:p w14:paraId="472E3E87" w14:textId="6AEA591B" w:rsidR="007D660A" w:rsidRPr="00FC7485" w:rsidRDefault="007D660A"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{"citationItems":[{"id":"ITEM-1","itemData":{"author":[{"dropping-particle":"","family":"Portes","given":"Alejandro","non-dropping-particle":"","parse-names":false,"suffix":""}],"container-title":"Annual Review of Sociology","id":"ITEM-1","issued":{"date-parts":[["1998"]]},"page":"1-24","title":"Social Capital: Its Origins and Applications in Modern Sociology","type":"article-journal","volume":"24"},"uris":["http://www.mendeley.com/documents/?uuid=6b616c7c-3d9f-4495-9ec4-d15cabbc5c11"]}],"mendeley":{"formattedCitation":"Alejandro Portes, “Social Capital: Its Origins and Applications in Modern Sociology,” &lt;i&gt;Annual Review of Sociology&lt;/i&gt; 24 (1998): 1–24.","plainTextFormattedCitation":"Alejandro Portes, “Social Capital: Its Origins and Applications in Modern Sociology,” Annual Review of Sociology 24 (1998): 1–24.","previouslyFormattedCitation":"Alejandro Portes, “Social Capital: Its Origins and Applications in Modern Sociology,” &lt;i&gt;Annual Review of Sociology&lt;/i&gt; 24 (1998): 1–24."},"properties":{"noteIndex":2},"schema":"https://github.com/citation-style-language/schema/raw/master/csl-citation.json"}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Alejandro Portes, “Social Capital: Its Origins and Applications in Modern Sociology,” </w:t>
      </w:r>
      <w:r w:rsidRPr="00FC7485">
        <w:rPr>
          <w:rFonts w:ascii="Times New Roman" w:hAnsi="Times New Roman" w:cs="Times New Roman"/>
          <w:i/>
        </w:rPr>
        <w:t>Annual Review of Sociology</w:t>
      </w:r>
      <w:r w:rsidRPr="00FC7485">
        <w:rPr>
          <w:rFonts w:ascii="Times New Roman" w:hAnsi="Times New Roman" w:cs="Times New Roman"/>
        </w:rPr>
        <w:t xml:space="preserve"> 24 (1998): 1–24.</w:t>
      </w:r>
      <w:r w:rsidRPr="00FC7485">
        <w:rPr>
          <w:rFonts w:ascii="Times New Roman" w:hAnsi="Times New Roman" w:cs="Times New Roman"/>
        </w:rPr>
        <w:fldChar w:fldCharType="end"/>
      </w:r>
    </w:p>
  </w:footnote>
  <w:footnote w:id="3">
    <w:p w14:paraId="103F5294" w14:textId="5C254F52" w:rsidR="007D660A" w:rsidRPr="00FC7485" w:rsidRDefault="007D660A"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{"citationItems":[{"id":"ITEM-1","itemData":{"author":[{"dropping-particle":"","family":"Hefner","given":"Robert W","non-dropping-particle":"","parse-names":false,"suffix":""}],"id":"ITEM-1","issued":{"date-parts":[["2001"]]},"publisher":"University of Hawai‘i Press","publisher-place":"Honolulu","title":"Islam and the Making of the Nation: Kartosuwiryo and Political Islam in 20th Century Indonesia","type":"book"},"uris":["http://www.mendeley.com/documents/?uuid=c2aea235-c8e1-49db-92ec-d7945ce97032"]}],"mendeley":{"formattedCitation":"Robert W Hefner, &lt;i&gt;Islam and the Making of the Nation: Kartosuwiryo and Political Islam in 20th Century Indonesia&lt;/i&gt; (Honolulu: University of Hawai‘i Press, 2001).","plainTextFormattedCitation":"Robert W Hefner, Islam and the Making of the Nation: Kartosuwiryo and Political Islam in 20th Century Indonesia (Honolulu: University of Hawai‘i Press, 2001).","previouslyFormattedCitation":"Robert W Hefner, &lt;i&gt;Islam and the Making of the Nation: Kartosuwiryo and Political Islam in 20th Century Indonesia&lt;/i&gt; (Honolulu: University of Hawai‘i Press, 2001)."},"properties":{"noteIndex":3},"schema":"https://github.com/citation-style-language/schema/raw/master/csl-citation.json"}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Robert W Hefner, </w:t>
      </w:r>
      <w:r w:rsidRPr="00FC7485">
        <w:rPr>
          <w:rFonts w:ascii="Times New Roman" w:hAnsi="Times New Roman" w:cs="Times New Roman"/>
          <w:i/>
        </w:rPr>
        <w:t>Islam and the Making of the Nation: Kartosuwiryo and Political Islam in 20th Century Indonesia</w:t>
      </w:r>
      <w:r w:rsidRPr="00FC7485">
        <w:rPr>
          <w:rFonts w:ascii="Times New Roman" w:hAnsi="Times New Roman" w:cs="Times New Roman"/>
        </w:rPr>
        <w:t xml:space="preserve"> (Honolulu: University of Hawai‘i Press, 2001).</w:t>
      </w:r>
      <w:r w:rsidRPr="00FC7485">
        <w:rPr>
          <w:rFonts w:ascii="Times New Roman" w:hAnsi="Times New Roman" w:cs="Times New Roman"/>
        </w:rPr>
        <w:fldChar w:fldCharType="end"/>
      </w:r>
    </w:p>
  </w:footnote>
  <w:footnote w:id="4">
    <w:p w14:paraId="02160DAD" w14:textId="34C3CCB4" w:rsidR="007D660A" w:rsidRPr="00FC7485" w:rsidRDefault="007D660A"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{"citationItems":[{"id":"ITEM-1","itemData":{"author":[{"dropping-particle":"","family":"Rahmawati","given":"E S","non-dropping-particle":"","parse-names":false,"suffix":""}],"container-title":"Ulumuna","id":"ITEM-1","issue":"1","issued":{"date-parts":[["2016"]]},"page":"119-146","title":"Spirit of liberation and justice in Farid Esack's hermeneutics of Qur'an","type":"article-journal","volume":"20"},"uris":["http://www.mendeley.com/documents/?uuid=f2d43adb-dbb3-48ae-a68f-93c4cd510714"]}],"mendeley":{"formattedCitation":"E S Rahmawati, “Spirit of Liberation and Justice in Farid Esack’s Hermeneutics of Qur’an,” &lt;i&gt;Ulumuna&lt;/i&gt; 20, no. 1 (2016): 119–46.","plainTextFormattedCitation":"E S Rahmawati, “Spirit of Liberation and Justice in Farid Esack’s Hermeneutics of Qur’an,” Ulumuna 20, no. 1 (2016): 119–46.","previouslyFormattedCitation":"E S Rahmawati, “Spirit of Liberation and Justice in Farid Esack’s Hermeneutics of Qur’an,” &lt;i&gt;Ulumuna&lt;/i&gt; 20, no. 1 (2016): 119–46."},"properties":{"noteIndex":4},"schema":"https://github.com/citation-style-language/schema/raw/master/csl-citation.json"}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E S Rahmawati, “Spirit of Liberation and Justice in Farid Esack’s Hermeneutics of Qur’an,” </w:t>
      </w:r>
      <w:r w:rsidRPr="00FC7485">
        <w:rPr>
          <w:rFonts w:ascii="Times New Roman" w:hAnsi="Times New Roman" w:cs="Times New Roman"/>
          <w:i/>
        </w:rPr>
        <w:t>Ulumuna</w:t>
      </w:r>
      <w:r w:rsidRPr="00FC7485">
        <w:rPr>
          <w:rFonts w:ascii="Times New Roman" w:hAnsi="Times New Roman" w:cs="Times New Roman"/>
        </w:rPr>
        <w:t xml:space="preserve"> 20, no. 1 (2016): 119–46.</w:t>
      </w:r>
      <w:r w:rsidRPr="00FC7485">
        <w:rPr>
          <w:rFonts w:ascii="Times New Roman" w:hAnsi="Times New Roman" w:cs="Times New Roman"/>
        </w:rPr>
        <w:fldChar w:fldCharType="end"/>
      </w:r>
    </w:p>
  </w:footnote>
  <w:footnote w:id="5">
    <w:p w14:paraId="3265866F" w14:textId="4FB6B8E0" w:rsidR="007D660A" w:rsidRPr="00FC7485" w:rsidRDefault="007D660A"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Kuntowijoyo","given":"","non-dropping-particle":"","parse-names":false,"suffix":""}],"id":"ITEM-1","issued":{"date-parts":[["2008"]]},"number-of-pages":"289-305","publisher":"Mizan","publisher-place":"Bandung","title":"Paradigma Islam: Interpretasi Untuk Aksi","type":"book"},"uris":["http://www.mendeley.com/documents/?uuid=5429a4ac-5b41-4da2-a686-5ed4132b128c"]}],"mendeley":{"formattedCitation":"Kuntowijoyo, &lt;i&gt;Paradigma Islam: Interpretasi Untuk Aksi&lt;/i&gt; (Bandung: Mizan, 2008).","plainTextFormattedCitation":"Kuntowijoyo, Paradigma Islam: Interpretasi Untuk Aksi (Bandung: Mizan, 2008).","previouslyFormattedCitation":"Kuntowijoyo, &lt;i&gt;Paradigma Islam: Interpretasi Untuk Aksi&lt;/i&gt; (Bandung: Mizan, 2008)."},"properties":{"noteIndex":5},"schema":"https://github.com/citation-style-language/schema/raw/master/csl-citation.json"}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Kuntowijoyo, </w:t>
      </w:r>
      <w:r w:rsidRPr="00FC7485">
        <w:rPr>
          <w:rFonts w:ascii="Times New Roman" w:hAnsi="Times New Roman" w:cs="Times New Roman"/>
          <w:i/>
        </w:rPr>
        <w:t>Paradigma Islam: Interpretasi Untuk Aksi</w:t>
      </w:r>
      <w:r w:rsidRPr="00FC7485">
        <w:rPr>
          <w:rFonts w:ascii="Times New Roman" w:hAnsi="Times New Roman" w:cs="Times New Roman"/>
        </w:rPr>
        <w:t xml:space="preserve"> (Bandung: Mizan, 2008).</w:t>
      </w:r>
      <w:r w:rsidRPr="00FC7485">
        <w:rPr>
          <w:rFonts w:ascii="Times New Roman" w:hAnsi="Times New Roman" w:cs="Times New Roman"/>
        </w:rPr>
        <w:fldChar w:fldCharType="end"/>
      </w:r>
    </w:p>
  </w:footnote>
  <w:footnote w:id="6">
    <w:p w14:paraId="204AAE09" w14:textId="4579FE2F" w:rsidR="007D660A" w:rsidRPr="00FC7485" w:rsidRDefault="007D660A"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{"citationItems":[{"id":"ITEM-1","itemData":{"author":[{"dropping-particle":"","family":"Shihab","given":"M Quraish","non-dropping-particle":"","parse-names":false,"suffix":""}],"id":"ITEM-1","issued":{"date-parts":[["2007"]]},"number-of-pages":"412-430","publisher":"Lentera Hati","publisher-place":"Jakarta","title":"Wawasan Al-Qur’an","type":"book"},"uris":["http://www.mendeley.com/documents/?uuid=050b3095-6c95-44e6-a7e5-72351898adbd"]}],"mendeley":{"formattedCitation":"M Quraish Shihab, &lt;i&gt;Wawasan Al-Qur’an&lt;/i&gt; (Jakarta: Lentera Hati, 2007).","plainTextFormattedCitation":"M Quraish Shihab, Wawasan Al-Qur’an (Jakarta: Lentera Hati, 2007).","previouslyFormattedCitation":"M Quraish Shihab, &lt;i&gt;Wawasan Al-Qur’an&lt;/i&gt; (Jakarta: Lentera Hati, 2007)."},"properties":{"noteIndex":6},"schema":"https://github.com/citation-style-language/schema/raw/master/csl-citation.json"}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M Quraish Shihab, </w:t>
      </w:r>
      <w:r w:rsidRPr="00FC7485">
        <w:rPr>
          <w:rFonts w:ascii="Times New Roman" w:hAnsi="Times New Roman" w:cs="Times New Roman"/>
          <w:i/>
        </w:rPr>
        <w:t>Wawasan Al-Qur’an</w:t>
      </w:r>
      <w:r w:rsidRPr="00FC7485">
        <w:rPr>
          <w:rFonts w:ascii="Times New Roman" w:hAnsi="Times New Roman" w:cs="Times New Roman"/>
        </w:rPr>
        <w:t xml:space="preserve"> (Jakarta: Lentera Hati, 2007).</w:t>
      </w:r>
      <w:r w:rsidRPr="00FC7485">
        <w:rPr>
          <w:rFonts w:ascii="Times New Roman" w:hAnsi="Times New Roman" w:cs="Times New Roman"/>
        </w:rPr>
        <w:fldChar w:fldCharType="end"/>
      </w:r>
    </w:p>
  </w:footnote>
  <w:footnote w:id="7">
    <w:p w14:paraId="03A0E767" w14:textId="2738F24F" w:rsidR="007D660A" w:rsidRPr="00FC7485" w:rsidRDefault="007D660A"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{"citationItems":[{"id":"ITEM-1","itemData":{"author":[{"dropping-particle":"","family":"Sardar","given":"Ziauddin","non-dropping-particle":"","parse-names":false,"suffix":""}],"id":"ITEM-1","issued":{"date-parts":[["2011"]]},"number-of-pages":"134-150","publisher":"Oxford University Press","publisher-place":"Oxford","title":"Reading the Qur’an: The Contemporary Relevance of the Sacred Text of Islam","type":"book"},"uris":["http://www.mendeley.com/documents/?uuid=ac25f69e-a355-4885-820b-4f3eb2e2f0c0"]}],"mendeley":{"formattedCitation":"Ziauddin Sardar, &lt;i&gt;Reading the Qur’an: The Contemporary Relevance of the Sacred Text of Islam&lt;/i&gt; (Oxford: Oxford University Press, 2011).","plainTextFormattedCitation":"Ziauddin Sardar, Reading the Qur’an: The Contemporary Relevance of the Sacred Text of Islam (Oxford: Oxford University Press, 2011).","previouslyFormattedCitation":"Ziauddin Sardar, &lt;i&gt;Reading the Qur’an: The Contemporary Relevance of the Sacred Text of Islam&lt;/i&gt; (Oxford: Oxford University Press, 2011)."},"properties":{"noteIndex":7},"schema":"https://github.com/citation-style-language/schema/raw/master/csl-citation.json"}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Ziauddin Sardar, </w:t>
      </w:r>
      <w:r w:rsidRPr="00FC7485">
        <w:rPr>
          <w:rFonts w:ascii="Times New Roman" w:hAnsi="Times New Roman" w:cs="Times New Roman"/>
          <w:i/>
        </w:rPr>
        <w:t>Reading the Qur’an: The Contemporary Relevance of the Sacred Text of Islam</w:t>
      </w:r>
      <w:r w:rsidRPr="00FC7485">
        <w:rPr>
          <w:rFonts w:ascii="Times New Roman" w:hAnsi="Times New Roman" w:cs="Times New Roman"/>
        </w:rPr>
        <w:t xml:space="preserve"> (Oxford: Oxford University Press, 2011).</w:t>
      </w:r>
      <w:r w:rsidRPr="00FC7485">
        <w:rPr>
          <w:rFonts w:ascii="Times New Roman" w:hAnsi="Times New Roman" w:cs="Times New Roman"/>
        </w:rPr>
        <w:fldChar w:fldCharType="end"/>
      </w:r>
    </w:p>
  </w:footnote>
  <w:footnote w:id="8">
    <w:p w14:paraId="6FC36D3E" w14:textId="2B0653FD" w:rsidR="007D660A" w:rsidRPr="00FC7485" w:rsidRDefault="007D660A"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{"citationItems":[{"id":"ITEM-1","itemData":{"author":[{"dropping-particle":"","family":"Nurjanah","given":"Siti","non-dropping-particle":"","parse-names":false,"suffix":""}],"container-title":"Jurnal Sosiologi Reflektif","id":"ITEM-1","issue":"2","issued":{"date-parts":[["2021"]]},"page":"233-250","title":"Struktur Sosial dan Kemiskinan Nelayan di Aceh","type":"article-journal","volume":"15"},"uris":["http://www.mendeley.com/documents/?uuid=8f52baca-8297-4172-a12f-dfa163362d00"]}],"mendeley":{"formattedCitation":"Siti Nurjanah, “Struktur Sosial Dan Kemiskinan Nelayan Di Aceh,” &lt;i&gt;Jurnal Sosiologi Reflektif&lt;/i&gt; 15, no. 2 (2021): 233–50.","plainTextFormattedCitation":"Siti Nurjanah, “Struktur Sosial Dan Kemiskinan Nelayan Di Aceh,” Jurnal Sosiologi Reflektif 15, no. 2 (2021): 233–50.","previouslyFormattedCitation":"Siti Nurjanah, “Struktur Sosial Dan Kemiskinan Nelayan Di Aceh,” &lt;i&gt;Jurnal Sosiologi Reflektif&lt;/i&gt; 15, no. 2 (2021): 233–50."},"properties":{"noteIndex":8},"schema":"https://github.com/citation-style-language/schema/raw/master/csl-citation.json"}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Siti Nurjanah, “Struktur Sosial Dan Kemiskinan Nelayan Di Aceh,” </w:t>
      </w:r>
      <w:r w:rsidRPr="00FC7485">
        <w:rPr>
          <w:rFonts w:ascii="Times New Roman" w:hAnsi="Times New Roman" w:cs="Times New Roman"/>
          <w:i/>
        </w:rPr>
        <w:t>Jurnal Sosiologi Reflektif</w:t>
      </w:r>
      <w:r w:rsidRPr="00FC7485">
        <w:rPr>
          <w:rFonts w:ascii="Times New Roman" w:hAnsi="Times New Roman" w:cs="Times New Roman"/>
        </w:rPr>
        <w:t xml:space="preserve"> 15, no. 2 (2021): 233–50.</w:t>
      </w:r>
      <w:r w:rsidRPr="00FC7485">
        <w:rPr>
          <w:rFonts w:ascii="Times New Roman" w:hAnsi="Times New Roman" w:cs="Times New Roman"/>
        </w:rPr>
        <w:fldChar w:fldCharType="end"/>
      </w:r>
    </w:p>
  </w:footnote>
  <w:footnote w:id="9">
    <w:p w14:paraId="43692B0F" w14:textId="260F7587" w:rsidR="007D660A" w:rsidRPr="00FC7485" w:rsidRDefault="007D660A"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00510684" w:rsidRPr="00FC7485">
        <w:rPr>
          <w:rFonts w:ascii="Times New Roman" w:hAnsi="Times New Roman" w:cs="Times New Roman"/>
        </w:rPr>
        <w:instrText>ADDIN CSL_CITATION {"citationItems":[{"id":"ITEM-1","itemData":{"author":[{"dropping-particle":"","family":"Hidayat","given":"A","non-dropping-particle":"","parse-names":false,"suffix":""}],"container-title":"Jurnal Ushuluddin","id":"ITEM-1","issue":"2","issued":{"date-parts":[["2020"]]},"page":"201-220","title":"Hermeneutika Pembebasan Dalam Tafsir Al-Qur’an","type":"article-journal","volume":"28"},"uris":["http://www.mendeley.com/documents/?uuid=aa57c82e-6857-49b5-bb2b-51e88bc4c163"]}],"mendeley":{"formattedCitation":"A Hidayat, “Hermeneutika Pembebasan Dalam Tafsir Al-Qur’an,” &lt;i&gt;Jurnal Ushuluddin&lt;/i&gt; 28, no. 2 (2020): 201–20.","plainTextFormattedCitation":"A Hidayat, “Hermeneutika Pembebasan Dalam Tafsir Al-Qur’an,” Jurnal Ushuluddin 28, no. 2 (2020): 201–20.","previouslyFormattedCitation":"A Hidayat, “Hermeneutika Pembebasan Dalam Tafsir Al-Qur’an,” &lt;i&gt;Jurnal Ushuluddin&lt;/i&gt; 28, no. 2 (2020): 201–20."},"properties":{"noteIndex":9},"schema":"https://github.com/citation-style-language/schema/raw/master/csl-citation.json"}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A Hidayat, “Hermeneutika Pembebasan Dalam Tafsir Al-Qur’an,” </w:t>
      </w:r>
      <w:r w:rsidRPr="00FC7485">
        <w:rPr>
          <w:rFonts w:ascii="Times New Roman" w:hAnsi="Times New Roman" w:cs="Times New Roman"/>
          <w:i/>
        </w:rPr>
        <w:t>Jurnal Ushuluddin</w:t>
      </w:r>
      <w:r w:rsidRPr="00FC7485">
        <w:rPr>
          <w:rFonts w:ascii="Times New Roman" w:hAnsi="Times New Roman" w:cs="Times New Roman"/>
        </w:rPr>
        <w:t xml:space="preserve"> 28, no. 2 (2020): 201–20.</w:t>
      </w:r>
      <w:r w:rsidRPr="00FC7485">
        <w:rPr>
          <w:rFonts w:ascii="Times New Roman" w:hAnsi="Times New Roman" w:cs="Times New Roman"/>
        </w:rPr>
        <w:fldChar w:fldCharType="end"/>
      </w:r>
    </w:p>
  </w:footnote>
  <w:footnote w:id="10">
    <w:p w14:paraId="7A46738B" w14:textId="58D048C9" w:rsidR="00510684" w:rsidRPr="00FC7485" w:rsidRDefault="00510684"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{"citationItems":[{"id":"ITEM-1","itemData":{"author":[{"dropping-particle":"","family":"Creswell","given":"John W","non-dropping-particle":"","parse-names":false,"suffix":""}],"edition":"4","id":"ITEM-1","issued":{"date-parts":[["2014"]]},"number-of-pages":"183-205","publisher":"Sage Publications","publisher-place":"Thousand Oaks","title":"Research Design: Qualitative, Quantitative, and Mixed Methods Approaches","type":"book"},"uris":["http://www.mendeley.com/documents/?uuid=ad389bbb-511b-49ae-91f6-b834736607e1"]}],"mendeley":{"formattedCitation":"John W Creswell, &lt;i&gt;Research Design: Qualitative, Quantitative, and Mixed Methods Approaches&lt;/i&gt;, 4th ed. (Thousand Oaks: Sage Publications, 2014).","plainTextFormattedCitation":"John W Creswell, Research Design: Qualitative, Quantitative, and Mixed Methods Approaches, 4th ed. (Thousand Oaks: Sage Publications, 2014).","previouslyFormattedCitation":"John W Creswell, &lt;i&gt;Research Design: Qualitative, Quantitative, and Mixed Methods Approaches&lt;/i&gt;, 4th ed. (Thousand Oaks: Sage Publications, 2014)."},"properties":{"noteIndex":10},"schema":"https://github.com/citation-style-language/schema/raw/master/csl-citation.json"}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John W Creswell, </w:t>
      </w:r>
      <w:r w:rsidRPr="00FC7485">
        <w:rPr>
          <w:rFonts w:ascii="Times New Roman" w:hAnsi="Times New Roman" w:cs="Times New Roman"/>
          <w:i/>
        </w:rPr>
        <w:t>Research Design: Qualitative, Quantitative, and Mixed Methods Approaches</w:t>
      </w:r>
      <w:r w:rsidRPr="00FC7485">
        <w:rPr>
          <w:rFonts w:ascii="Times New Roman" w:hAnsi="Times New Roman" w:cs="Times New Roman"/>
        </w:rPr>
        <w:t>, 4th ed. (Thousand Oaks: Sage Publications, 2014).</w:t>
      </w:r>
      <w:r w:rsidRPr="00FC7485">
        <w:rPr>
          <w:rFonts w:ascii="Times New Roman" w:hAnsi="Times New Roman" w:cs="Times New Roman"/>
        </w:rPr>
        <w:fldChar w:fldCharType="end"/>
      </w:r>
    </w:p>
  </w:footnote>
  <w:footnote w:id="11">
    <w:p w14:paraId="7AAA0175" w14:textId="4924B540" w:rsidR="00510684" w:rsidRPr="00FC7485" w:rsidRDefault="00510684"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{"citationItems":[{"id":"ITEM-1","itemData":{"author":[{"dropping-particle":"","family":"Mustaqim","given":"Abdul","non-dropping-particle":"","parse-names":false,"suffix":""}],"id":"ITEM-1","issued":{"date-parts":[["2015"]]},"number-of-pages":"89-112","publisher":"Idea Press","publisher-place":"Yogyakarta","title":"Metode Penelitian Al-Qur’an dan Tafsir","type":"book"},"uris":["http://www.mendeley.com/documents/?uuid=6d235ecb-8ba9-4f90-8cde-835402456b31"]}],"mendeley":{"formattedCitation":"Abdul Mustaqim, &lt;i&gt;Metode Penelitian Al-Qur’an Dan Tafsir&lt;/i&gt; (Yogyakarta: Idea Press, 2015).","plainTextFormattedCitation":"Abdul Mustaqim, Metode Penelitian Al-Qur’an Dan Tafsir (Yogyakarta: Idea Press, 2015).","previouslyFormattedCitation":"Abdul Mustaqim, &lt;i&gt;Metode Penelitian Al-Qur’an Dan Tafsir&lt;/i&gt; (Yogyakarta: Idea Press, 2015)."},"properties":{"noteIndex":11},"schema":"https://github.com/citation-style-language/schema/raw/master/csl-citation.json"}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Abdul Mustaqim, </w:t>
      </w:r>
      <w:r w:rsidRPr="00FC7485">
        <w:rPr>
          <w:rFonts w:ascii="Times New Roman" w:hAnsi="Times New Roman" w:cs="Times New Roman"/>
          <w:i/>
        </w:rPr>
        <w:t>Metode Penelitian Al-Qur’an Dan Tafsir</w:t>
      </w:r>
      <w:r w:rsidRPr="00FC7485">
        <w:rPr>
          <w:rFonts w:ascii="Times New Roman" w:hAnsi="Times New Roman" w:cs="Times New Roman"/>
        </w:rPr>
        <w:t xml:space="preserve"> (Yogyakarta: Idea Press, 2015).</w:t>
      </w:r>
      <w:r w:rsidRPr="00FC7485">
        <w:rPr>
          <w:rFonts w:ascii="Times New Roman" w:hAnsi="Times New Roman" w:cs="Times New Roman"/>
        </w:rPr>
        <w:fldChar w:fldCharType="end"/>
      </w:r>
    </w:p>
  </w:footnote>
  <w:footnote w:id="12">
    <w:p w14:paraId="049DBD46" w14:textId="762739F6" w:rsidR="00510684" w:rsidRPr="00FC7485" w:rsidRDefault="00510684"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{"citationItems":[{"id":"ITEM-1","itemData":{"author":[{"dropping-particle":"","family":"Merriam","given":"Sharan B","non-dropping-particle":"","parse-names":false,"suffix":""},{"dropping-particle":"","family":"Tisdell","given":"Elizabeth J","non-dropping-particle":"","parse-names":false,"suffix":""}],"edition":"4","id":"ITEM-1","issued":{"date-parts":[["2016"]]},"number-of-pages":"237-250","publisher":"Jossey-Bass","publisher-place":"San Francisco","title":"Qualitative Research: A Guide to Design and Implementation","type":"book"},"uris":["http://www.mendeley.com/documents/?uuid=c73669a6-ac47-46cf-8c30-cb10de1df4c4"]}],"mendeley":{"formattedCitation":"Sharan B Merriam and Elizabeth J Tisdell, &lt;i&gt;Qualitative Research: A Guide to Design and Implementation&lt;/i&gt;, 4th ed. (San Francisco: Jossey-Bass, 2016).","plainTextFormattedCitation":"Sharan B Merriam and Elizabeth J Tisdell, Qualitative Research: A Guide to Design and Implementation, 4th ed. (San Francisco: Jossey-Bass, 2016).","previouslyFormattedCitation":"Sharan B Merriam and Elizabeth J Tisdell, &lt;i&gt;Qualitative Research: A Guide to Design and Implementation&lt;/i&gt;, 4th ed. (San Francisco: Jossey-Bass, 2016)."},"properties":{"noteIndex":12},"schema":"https://github.com/citation-style-language/schema/raw/master/csl-citation.json"}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Sharan B Merriam and Elizabeth J Tisdell, </w:t>
      </w:r>
      <w:r w:rsidRPr="00FC7485">
        <w:rPr>
          <w:rFonts w:ascii="Times New Roman" w:hAnsi="Times New Roman" w:cs="Times New Roman"/>
          <w:i/>
        </w:rPr>
        <w:t>Qualitative Research: A Guide to Design and Implementation</w:t>
      </w:r>
      <w:r w:rsidRPr="00FC7485">
        <w:rPr>
          <w:rFonts w:ascii="Times New Roman" w:hAnsi="Times New Roman" w:cs="Times New Roman"/>
        </w:rPr>
        <w:t>, 4th ed. (San Francisco: Jossey-Bass, 2016).</w:t>
      </w:r>
      <w:r w:rsidRPr="00FC7485">
        <w:rPr>
          <w:rFonts w:ascii="Times New Roman" w:hAnsi="Times New Roman" w:cs="Times New Roman"/>
        </w:rPr>
        <w:fldChar w:fldCharType="end"/>
      </w:r>
    </w:p>
  </w:footnote>
  <w:footnote w:id="13">
    <w:p w14:paraId="02CA3E71" w14:textId="2F624A8F" w:rsidR="00510684" w:rsidRPr="00FC7485" w:rsidRDefault="00510684"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{"citationItems":[{"id":"ITEM-1","itemData":{"author":[{"dropping-particle":"","family":"Weber","given":"Max","non-dropping-particle":"","parse-names":false,"suffix":""}],"id":"ITEM-1","issued":{"date-parts":[["1978"]]},"note":"Original work published 1922","number-of-pages":"302-305","publisher":"University of California Press","publisher-place":"Berkeley","title":"Economy and Society: An Outline of Interpretive Sociology","type":"book"},"uris":["http://www.mendeley.com/documents/?uuid=bec58d96-81f0-4af0-a97f-bef1876a2254"]}],"mendeley":{"formattedCitation":"Max Weber, &lt;i&gt;Economy and Society: An Outline of Interpretive Sociology&lt;/i&gt; (Berkeley: University of California Press, 1978).","plainTextFormattedCitation":"Max Weber, Economy and Society: An Outline of Interpretive Sociology (Berkeley: University of California Press, 1978).","previouslyFormattedCitation":"Max Weber, &lt;i&gt;Economy and Society: An Outline of Interpretive Sociology&lt;/i&gt; (Berkeley: University of California Press, 1978)."},"properties":{"noteIndex":13},"schema":"https://github.com/citation-style-language/schema/raw/master/csl-citation.json"}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Max Weber, </w:t>
      </w:r>
      <w:r w:rsidRPr="00FC7485">
        <w:rPr>
          <w:rFonts w:ascii="Times New Roman" w:hAnsi="Times New Roman" w:cs="Times New Roman"/>
          <w:i/>
        </w:rPr>
        <w:t>Economy and Society: An Outline of Interpretive Sociology</w:t>
      </w:r>
      <w:r w:rsidRPr="00FC7485">
        <w:rPr>
          <w:rFonts w:ascii="Times New Roman" w:hAnsi="Times New Roman" w:cs="Times New Roman"/>
        </w:rPr>
        <w:t xml:space="preserve"> (Berkeley: University of California Press, 1978).</w:t>
      </w:r>
      <w:r w:rsidRPr="00FC7485">
        <w:rPr>
          <w:rFonts w:ascii="Times New Roman" w:hAnsi="Times New Roman" w:cs="Times New Roman"/>
        </w:rPr>
        <w:fldChar w:fldCharType="end"/>
      </w:r>
    </w:p>
  </w:footnote>
  <w:footnote w:id="14">
    <w:p w14:paraId="0E33F8BB" w14:textId="6C39BD34" w:rsidR="00510684" w:rsidRPr="00FC7485" w:rsidRDefault="00510684"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00AD0A95" w:rsidRPr="00FC7485">
        <w:rPr>
          <w:rFonts w:ascii="Times New Roman" w:hAnsi="Times New Roman" w:cs="Times New Roman"/>
        </w:rPr>
        <w:instrText>ADDIN CSL_CITATION {"citationItems":[{"id":"ITEM-1","itemData":{"author":[{"dropping-particle":"","family":"Bourdieu","given":"Pierre","non-dropping-particle":"","parse-names":false,"suffix":""}],"id":"ITEM-1","issued":{"date-parts":[["1977"]]},"number-of-pages":"72-95","publisher":"Cambridge University Press","publisher-place":"Cambridge","title":"Outline of a Theory of Practice","type":"book"},"uris":["http://www.mendeley.com/documents/?uuid=0f41564a-fb7f-4f78-ab33-3d5560ec193e"]}],"mendeley":{"formattedCitation":"Pierre Bourdieu, &lt;i&gt;Outline of a Theory of Practice&lt;/i&gt; (Cambridge: Cambridge University Press, 1977).","plainTextFormattedCitation":"Pierre Bourdieu, Outline of a Theory of Practice (Cambridge: Cambridge University Press, 1977).","previouslyFormattedCitation":"Pierre Bourdieu, &lt;i&gt;Outline of a Theory of Practice&lt;/i&gt; (Cambridge: Cambridge University Press, 1977)."},"properties":{"noteIndex":14},"schema":"https://github.com/citation-style-language/schema/raw/master/csl-citation.json"}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Pierre Bourdieu, </w:t>
      </w:r>
      <w:r w:rsidRPr="00FC7485">
        <w:rPr>
          <w:rFonts w:ascii="Times New Roman" w:hAnsi="Times New Roman" w:cs="Times New Roman"/>
          <w:i/>
        </w:rPr>
        <w:t>Outline of a Theory of Practice</w:t>
      </w:r>
      <w:r w:rsidRPr="00FC7485">
        <w:rPr>
          <w:rFonts w:ascii="Times New Roman" w:hAnsi="Times New Roman" w:cs="Times New Roman"/>
        </w:rPr>
        <w:t xml:space="preserve"> (Cambridge: Cambridge University Press, 1977).</w:t>
      </w:r>
      <w:r w:rsidRPr="00FC7485">
        <w:rPr>
          <w:rFonts w:ascii="Times New Roman" w:hAnsi="Times New Roman" w:cs="Times New Roman"/>
        </w:rPr>
        <w:fldChar w:fldCharType="end"/>
      </w:r>
    </w:p>
  </w:footnote>
  <w:footnote w:id="15">
    <w:p w14:paraId="1D297763" w14:textId="7079BFE6" w:rsidR="00AD0A95" w:rsidRPr="00FC7485" w:rsidRDefault="00AD0A95"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Saeed","given":"Abdullah","non-dropping-particle":"","parse-names":false,"suffix":""}],"id":"ITEM-1","issued":{"date-parts":[["2014"]]},"number-of-pages":"55-78","publisher":"Routledge","publisher-place":"London","title":"Reading the Qur’an in the Twenty-First Century: A Contextualist Approach","type":"book"},"uris":["http://www.mendeley.com/documents/?uuid=262d0199-6aee-4aeb-bf03-72c928a50fa8"]}],"mendeley":{"formattedCitation":"Abdullah Saeed, &lt;i&gt;Reading the Qur’an in the Twenty-First Century: A Contextualist Approach&lt;/i&gt; (London: Routledge, 2014).","plainTextFormattedCitation":"Abdullah Saeed, Reading the Qur’an in the Twenty-First Century: A Contextualist Approach (London: Routledge, 2014).","previouslyFormattedCitation":"Abdullah Saeed, &lt;i&gt;Reading the Qur’an in the Twenty-First Century: A Contextualist Approach&lt;/i&gt; (London: Routledge, 2014)."},"properties":{"noteIndex":15},"schema":"https://github.com/citation-style-language/schema/raw/master/csl-citation.json"}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Abdullah Saeed, </w:t>
      </w:r>
      <w:r w:rsidRPr="00FC7485">
        <w:rPr>
          <w:rFonts w:ascii="Times New Roman" w:hAnsi="Times New Roman" w:cs="Times New Roman"/>
          <w:i/>
        </w:rPr>
        <w:t>Reading the Qur’an in the Twenty-First Century: A Contextualist Approach</w:t>
      </w:r>
      <w:r w:rsidRPr="00FC7485">
        <w:rPr>
          <w:rFonts w:ascii="Times New Roman" w:hAnsi="Times New Roman" w:cs="Times New Roman"/>
        </w:rPr>
        <w:t xml:space="preserve"> (London: Routledge, 2014).</w:t>
      </w:r>
      <w:r w:rsidRPr="00FC7485">
        <w:rPr>
          <w:rFonts w:ascii="Times New Roman" w:hAnsi="Times New Roman" w:cs="Times New Roman"/>
        </w:rPr>
        <w:fldChar w:fldCharType="end"/>
      </w:r>
    </w:p>
  </w:footnote>
  <w:footnote w:id="16">
    <w:p w14:paraId="43693008" w14:textId="71AA8211" w:rsidR="00AD0A95" w:rsidRPr="00FC7485" w:rsidRDefault="00AD0A95"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{"citationItems":[{"id":"ITEM-1","itemData":{"author":[{"dropping-particle":"","family":"Rahmawati","given":"E S","non-dropping-particle":"","parse-names":false,"suffix":""}],"container-title":"Ulumuna","id":"ITEM-1","issue":"1","issued":{"date-parts":[["2016"]]},"page":"119-146","title":"Spirit of liberation and justice in Farid Esack's hermeneutics of Qur'an","type":"article-journal","volume":"20"},"uris":["http://www.mendeley.com/documents/?uuid=f2d43adb-dbb3-48ae-a68f-93c4cd510714"]}],"mendeley":{"formattedCitation":"Rahmawati, “Spirit of Liberation and Justice in Farid Esack’s Hermeneutics of Qur’an.”","plainTextFormattedCitation":"Rahmawati, “Spirit of Liberation and Justice in Farid Esack’s Hermeneutics of Qur’an.”","previouslyFormattedCitation":"Rahmawati, “Spirit of Liberation and Justice in Farid Esack’s Hermeneutics of Qur’an.”"},"properties":{"noteIndex":16},"schema":"https://github.com/citation-style-language/schema/raw/master/csl-citation.json"}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Rahmawati, “Spirit of Liberation and Justice in Farid Esack’s Hermeneutics of Qur’an.”</w:t>
      </w:r>
      <w:r w:rsidRPr="00FC7485">
        <w:rPr>
          <w:rFonts w:ascii="Times New Roman" w:hAnsi="Times New Roman" w:cs="Times New Roman"/>
        </w:rPr>
        <w:fldChar w:fldCharType="end"/>
      </w:r>
    </w:p>
  </w:footnote>
  <w:footnote w:id="17">
    <w:p w14:paraId="580AF8CD" w14:textId="671C1203" w:rsidR="00AD0A95" w:rsidRPr="00FC7485" w:rsidRDefault="00AD0A95"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00204188" w:rsidRPr="00FC7485">
        <w:rPr>
          <w:rFonts w:ascii="Times New Roman" w:hAnsi="Times New Roman" w:cs="Times New Roman"/>
        </w:rPr>
        <w:instrText>ADDIN CSL_CITATION {"citationItems":[{"id":"ITEM-1","itemData":{"author":[{"dropping-particle":"","family":"Hanafi","given":"Hassan","non-dropping-particle":"","parse-names":false,"suffix":""}],"id":"ITEM-1","issued":{"date-parts":[["1995"]]},"number-of-pages":"56-72","publisher":"Dar Al-Tanwir","publisher-place":"Cairo","title":"Religion, Ideology and Development","type":"book"},"uris":["http://www.mendeley.com/documents/?uuid=fd15cff1-d45e-403e-b65a-96b4db0e291f"]}],"mendeley":{"formattedCitation":"Hassan Hanafi, &lt;i&gt;Religion, Ideology and Development&lt;/i&gt; (Cairo: Dar Al-Tanwir, 1995).","plainTextFormattedCitation":"Hassan Hanafi, Religion, Ideology and Development (Cairo: Dar Al-Tanwir, 1995).","previouslyFormattedCitation":"Hassan Hanafi, &lt;i&gt;Religion, Ideology and Development&lt;/i&gt; (Cairo: Dar Al-Tanwir, 1995)."},"properties":{"noteIndex":17},"schema":"https://github.com/citation-style-language/schema/raw/master/csl-citation.json"}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Hassan Hanafi, </w:t>
      </w:r>
      <w:r w:rsidRPr="00FC7485">
        <w:rPr>
          <w:rFonts w:ascii="Times New Roman" w:hAnsi="Times New Roman" w:cs="Times New Roman"/>
          <w:i/>
        </w:rPr>
        <w:t>Religion, Ideology and Development</w:t>
      </w:r>
      <w:r w:rsidRPr="00FC7485">
        <w:rPr>
          <w:rFonts w:ascii="Times New Roman" w:hAnsi="Times New Roman" w:cs="Times New Roman"/>
        </w:rPr>
        <w:t xml:space="preserve"> (Cairo: Dar Al-Tanwir, 1995).</w:t>
      </w:r>
      <w:r w:rsidRPr="00FC7485">
        <w:rPr>
          <w:rFonts w:ascii="Times New Roman" w:hAnsi="Times New Roman" w:cs="Times New Roman"/>
        </w:rPr>
        <w:fldChar w:fldCharType="end"/>
      </w:r>
    </w:p>
  </w:footnote>
  <w:footnote w:id="18">
    <w:p w14:paraId="23BC75D7" w14:textId="77777777" w:rsidR="00452C36" w:rsidRPr="00FC7485" w:rsidRDefault="00452C36" w:rsidP="00B15C17">
      <w:pPr>
        <w:pStyle w:val="FootnoteText"/>
        <w:ind w:firstLine="720"/>
        <w:jc w:val="both"/>
        <w:rPr>
          <w:rFonts w:ascii="Times New Roman" w:hAnsi="Times New Roman" w:cs="Times New Roman"/>
          <w:lang w:val="en-ID"/>
        </w:rPr>
      </w:pPr>
      <w:r w:rsidRPr="00FC7485">
        <w:rPr>
          <w:rStyle w:val="FootnoteReference"/>
          <w:rFonts w:ascii="Times New Roman" w:hAnsi="Times New Roman" w:cs="Times New Roman"/>
        </w:rPr>
        <w:footnoteRef/>
      </w:r>
      <w:r w:rsidRPr="00FC7485">
        <w:rPr>
          <w:rFonts w:ascii="Times New Roman" w:hAnsi="Times New Roman" w:cs="Times New Roman"/>
          <w:lang w:val="en-ID"/>
        </w:rPr>
        <w:t xml:space="preserve"> Nasr Hamid Abu Zayd, </w:t>
      </w:r>
      <w:r w:rsidRPr="00FC7485">
        <w:rPr>
          <w:rFonts w:ascii="Times New Roman" w:hAnsi="Times New Roman" w:cs="Times New Roman"/>
          <w:i/>
          <w:iCs/>
          <w:lang w:val="en-ID"/>
        </w:rPr>
        <w:t>Reformation Of Islamic Thought</w:t>
      </w:r>
      <w:r w:rsidRPr="00FC7485">
        <w:rPr>
          <w:rFonts w:ascii="Times New Roman" w:hAnsi="Times New Roman" w:cs="Times New Roman"/>
          <w:lang w:val="en-ID"/>
        </w:rPr>
        <w:t xml:space="preserve"> (Amsterdam: Amsterdam University Press, 2006), 95–120.</w:t>
      </w:r>
    </w:p>
  </w:footnote>
  <w:footnote w:id="19">
    <w:p w14:paraId="19151FD5" w14:textId="6088C54A" w:rsidR="00204188" w:rsidRPr="00FC7485" w:rsidRDefault="00204188"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0001459C" w:rsidRPr="00FC7485">
        <w:rPr>
          <w:rFonts w:ascii="Times New Roman" w:hAnsi="Times New Roman" w:cs="Times New Roman"/>
        </w:rPr>
        <w:instrText>ADDIN CSL_CITATION {"citationItems":[{"id":"ITEM-1","itemData":{"author":[{"dropping-particle":"","family":"Sardar","given":"Ziauddin","non-dropping-particle":"","parse-names":false,"suffix":""}],"id":"ITEM-1","issued":{"date-parts":[["2011"]]},"number-of-pages":"134-150","publisher":"Oxford University Press","publisher-place":"Oxford","title":"Reading the Qur’an: The Contemporary Relevance of the Sacred Text of Islam","type":"book"},"uris":["http://www.mendeley.com/documents/?uuid=ac25f69e-a355-4885-820b-4f3eb2e2f0c0"]}],"mendeley":{"formattedCitation":"Sardar, &lt;i&gt;Reading the Qur’an: The Contemporary Relevance of the Sacred Text of Islam&lt;/i&gt;.","plainTextFormattedCitation":"Sardar, Reading the Qur’an: The Contemporary Relevance of the Sacred Text of Islam.","previouslyFormattedCitation":"Sardar, &lt;i&gt;Reading the Qur’an: The Contemporary Relevance of the Sacred Text of Islam&lt;/i&gt;."},"properties":{"noteIndex":19},"schema":"https://github.com/citation-style-language/schema/raw/master/csl-citation.json"}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Sardar, </w:t>
      </w:r>
      <w:r w:rsidRPr="00FC7485">
        <w:rPr>
          <w:rFonts w:ascii="Times New Roman" w:hAnsi="Times New Roman" w:cs="Times New Roman"/>
          <w:i/>
        </w:rPr>
        <w:t>Reading the Qur’an: The Contemporary Relevance of the Sacred Text of Islam</w:t>
      </w:r>
      <w:r w:rsidRPr="00FC7485">
        <w:rPr>
          <w:rFonts w:ascii="Times New Roman" w:hAnsi="Times New Roman" w:cs="Times New Roman"/>
        </w:rPr>
        <w:t>.</w:t>
      </w:r>
      <w:r w:rsidRPr="00FC7485">
        <w:rPr>
          <w:rFonts w:ascii="Times New Roman" w:hAnsi="Times New Roman" w:cs="Times New Roman"/>
        </w:rPr>
        <w:fldChar w:fldCharType="end"/>
      </w:r>
    </w:p>
  </w:footnote>
  <w:footnote w:id="20">
    <w:p w14:paraId="1A667060" w14:textId="70AD3FD9" w:rsidR="0001459C" w:rsidRPr="00FC7485" w:rsidRDefault="0001459C"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{"citationItems":[{"id":"ITEM-1","itemData":{"author":[{"dropping-particle":"","family":"Al-Qurthubi","given":"Abu Abdullah Muhammad bin Ahmad al-Ansari","non-dropping-particle":"","parse-names":false,"suffix":""}],"id":"ITEM-1","issued":{"date-parts":[["1964"]]},"publisher":"Dar al-Kutub al-Misriyyah","publisher-place":"Kairo","title":"TY - BOOK AU - Fakih, Mansour TI - Analisis Gender dan Transformasi Sosial PY - 2013 PB - Pustaka Pelajar CY - Yogyakarta ER -TY - JOUR AU - Amin, Abd Rauf Muhammad TI - Opini: Tafsir Parsial Vs Tafsir Tematik: Perspektif Maqasid Based (12) JO - FSH UIN A","type":"book"},"uris":["http://www.mendeley.com/documents/?uuid=cd274f9b-538e-4c85-a242-b82c8955dc71"]}],"mendeley":{"formattedCitation":"Abu Abdullah Muhammad bin Ahmad al-Ansari Al-Qurthubi, &lt;i&gt;TY - BOOK AU - Fakih, Mansour TI - Analisis Gender Dan Transformasi Sosial PY - 2013 PB - Pustaka Pelajar CY - Yogyakarta ER -TY - JOUR AU - Amin, Abd Rauf Muhammad TI - Opini: Tafsir Parsial Vs Tafsir Tematik: Perspektif Maqasid Based (12) JO - FSH UIN A&lt;/i&gt; (Kairo: Dar al-Kutub al-Misriyyah, 1964).","plainTextFormattedCitation":"Abu Abdullah Muhammad bin Ahmad al-Ansari Al-Qurthubi, TY - BOOK AU - Fakih, Mansour TI - Analisis Gender Dan Transformasi Sosial PY - 2013 PB - Pustaka Pelajar CY - Yogyakarta ER -TY - JOUR AU - Amin, Abd Rauf Muhammad TI - Opini: Tafsir Parsial Vs Tafsir Tematik: Perspektif Maqasid Based (12) JO - FSH UIN A (Kairo: Dar al-Kutub al-Misriyyah, 1964).","previouslyFormattedCitation":"Abu Abdullah Muhammad bin Ahmad al-Ansari Al-Qurthubi, &lt;i&gt;TY - BOOK AU - Fakih, Mansour TI - Analisis Gender Dan Transformasi Sosial PY - 2013 PB - Pustaka Pelajar CY - Yogyakarta ER -TY - JOUR AU - Amin, Abd Rauf Muhammad TI - Opini: Tafsir Parsial Vs Tafsir Tematik: Perspektif Maqasid Based (12) JO - FSH UIN A&lt;/i&gt; (Kairo: Dar al-Kutub al-Misriyyah, 1964)."},"properties":{"noteIndex":20},"schema":"https://github.com/citation-style-language/schema/raw/master/csl-citation.json"}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Abu Abdullah Muhammad bin Ahmad al-Ansari Al-Qurthubi, </w:t>
      </w:r>
      <w:r w:rsidRPr="00FC7485">
        <w:rPr>
          <w:rFonts w:ascii="Times New Roman" w:hAnsi="Times New Roman" w:cs="Times New Roman"/>
          <w:i/>
        </w:rPr>
        <w:t>TY - BOOK AU - Fakih, Mansour TI - Analisis Gender Dan Transformasi Sosial PY - 2013 PB - Pustaka Pelajar CY - Yogyakarta ER -TY - JOUR AU - Amin, Abd Rauf Muhammad TI - Opini: Tafsir Parsial Vs Tafsir Tematik: Perspektif Maqasid Based (12) JO - FSH UIN A</w:t>
      </w:r>
      <w:r w:rsidRPr="00FC7485">
        <w:rPr>
          <w:rFonts w:ascii="Times New Roman" w:hAnsi="Times New Roman" w:cs="Times New Roman"/>
        </w:rPr>
        <w:t xml:space="preserve"> (Kairo: Dar al-Kutub al-Misriyyah, 1964).</w:t>
      </w:r>
      <w:r w:rsidRPr="00FC7485">
        <w:rPr>
          <w:rFonts w:ascii="Times New Roman" w:hAnsi="Times New Roman" w:cs="Times New Roman"/>
        </w:rPr>
        <w:fldChar w:fldCharType="end"/>
      </w:r>
    </w:p>
  </w:footnote>
  <w:footnote w:id="21">
    <w:p w14:paraId="1CB13663" w14:textId="0CD68E0C" w:rsidR="0001459C" w:rsidRPr="00FC7485" w:rsidRDefault="0001459C"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{"citationItems":[{"id":"ITEM-1","itemData":{"author":[{"dropping-particle":"","family":"Amin","given":"Abd Rauf Muhammad","non-dropping-particle":"","parse-names":false,"suffix":""}],"container-title":"FSH UIN Alauddin","id":"ITEM-1","issued":{"date-parts":[["0"]]},"title":"Opini: Tafsir Parsial Vs Tafsir Tematik: Perspektif Maqasid Based (12)","type":"article-journal"},"uris":["http://www.mendeley.com/documents/?uuid=653595a1-63d1-4cfc-97e4-5f909b352c0f"]}],"mendeley":{"formattedCitation":"Abd Rauf Muhammad Amin, “Opini: Tafsir Parsial Vs Tafsir Tematik: Perspektif Maqasid Based (12),” &lt;i&gt;FSH UIN Alauddin&lt;/i&gt;, n.d.","plainTextFormattedCitation":"Abd Rauf Muhammad Amin, “Opini: Tafsir Parsial Vs Tafsir Tematik: Perspektif Maqasid Based (12),” FSH UIN Alauddin, n.d.","previouslyFormattedCitation":"Abd Rauf Muhammad Amin, “Opini: Tafsir Parsial Vs Tafsir Tematik: Perspektif Maqasid Based (12),” &lt;i&gt;FSH UIN Alauddin&lt;/i&gt;, n.d."},"properties":{"noteIndex":21},"schema":"https://github.com/citation-style-language/schema/raw/master/csl-citation.json"}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Abd Rauf Muhammad Amin, “Opini: Tafsir Parsial Vs Tafsir Tematik: Perspektif Maqasid Based (12),” </w:t>
      </w:r>
      <w:r w:rsidRPr="00FC7485">
        <w:rPr>
          <w:rFonts w:ascii="Times New Roman" w:hAnsi="Times New Roman" w:cs="Times New Roman"/>
          <w:i/>
        </w:rPr>
        <w:t>FSH UIN Alauddin</w:t>
      </w:r>
      <w:r w:rsidRPr="00FC7485">
        <w:rPr>
          <w:rFonts w:ascii="Times New Roman" w:hAnsi="Times New Roman" w:cs="Times New Roman"/>
        </w:rPr>
        <w:t>, n.d.</w:t>
      </w:r>
      <w:r w:rsidRPr="00FC7485">
        <w:rPr>
          <w:rFonts w:ascii="Times New Roman" w:hAnsi="Times New Roman" w:cs="Times New Roman"/>
        </w:rPr>
        <w:fldChar w:fldCharType="end"/>
      </w:r>
    </w:p>
  </w:footnote>
  <w:footnote w:id="22">
    <w:p w14:paraId="117A358F" w14:textId="219F17A1" w:rsidR="0001459C" w:rsidRPr="00FC7485" w:rsidRDefault="0001459C"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{"citationItems":[{"id":"ITEM-1","itemData":{"author":[{"dropping-particle":"","family":"Fadli","given":"N","non-dropping-particle":"","parse-names":false,"suffix":""}],"container-title":"Jurnal Dayahsua","id":"ITEM-1","issued":{"date-parts":[["2025"]]},"title":"Tafsir Maudhu‘i sebagai pendekatan integratif dalam studi Al-Qur’an","type":"article-journal"},"uris":["http://www.mendeley.com/documents/?uuid=83ee4d76-c86a-4e82-8b2c-b97867f3bdfb"]}],"mendeley":{"formattedCitation":"N Fadli, “Tafsir Maudhu‘i Sebagai Pendekatan Integratif Dalam Studi Al-Qur’An,” &lt;i&gt;Jurnal Dayahsua&lt;/i&gt;, 2025.","plainTextFormattedCitation":"N Fadli, “Tafsir Maudhu‘i Sebagai Pendekatan Integratif Dalam Studi Al-Qur’An,” Jurnal Dayahsua, 2025.","previouslyFormattedCitation":"N Fadli, “Tafsir Maudhu‘i Sebagai Pendekatan Integratif Dalam Studi Al-Qur’An,” &lt;i&gt;Jurnal Dayahsua&lt;/i&gt;, 2025."},"properties":{"noteIndex":22},"schema":"https://github.com/citation-style-language/schema/raw/master/csl-citation.json"}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N Fadli, “Tafsir Maudhu‘i Sebagai Pendekatan Integratif Dalam Studi Al-Qur’An,” </w:t>
      </w:r>
      <w:r w:rsidRPr="00FC7485">
        <w:rPr>
          <w:rFonts w:ascii="Times New Roman" w:hAnsi="Times New Roman" w:cs="Times New Roman"/>
          <w:i/>
        </w:rPr>
        <w:t>Jurnal Dayahsua</w:t>
      </w:r>
      <w:r w:rsidRPr="00FC7485">
        <w:rPr>
          <w:rFonts w:ascii="Times New Roman" w:hAnsi="Times New Roman" w:cs="Times New Roman"/>
        </w:rPr>
        <w:t>, 2025.</w:t>
      </w:r>
      <w:r w:rsidRPr="00FC7485">
        <w:rPr>
          <w:rFonts w:ascii="Times New Roman" w:hAnsi="Times New Roman" w:cs="Times New Roman"/>
        </w:rPr>
        <w:fldChar w:fldCharType="end"/>
      </w:r>
    </w:p>
  </w:footnote>
  <w:footnote w:id="23">
    <w:p w14:paraId="555AED9B" w14:textId="2AD65E61" w:rsidR="0001459C" w:rsidRPr="00FC7485" w:rsidRDefault="0001459C"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{"citationItems":[{"id":"ITEM-1","itemData":{"author":[{"dropping-particle":"","family":"Permana","given":"Fuji E","non-dropping-particle":"","parse-names":false,"suffix":""}],"id":"ITEM-1","issued":{"date-parts":[["0"]]},"title":"Tafsir Surat At Taghabun Ayat 11, Cara Mendapat Petunjuk Saat Tertimpa Musibah","type":"article"},"uris":["http://www.mendeley.com/documents/?uuid=4472dea7-8e56-4966-a495-4231cb91bb0f"]}],"mendeley":{"formattedCitation":"Fuji E Permana, “Tafsir Surat At Taghabun Ayat 11, Cara Mendapat Petunjuk Saat Tertimpa Musibah,” n.d.","plainTextFormattedCitation":"Fuji E Permana, “Tafsir Surat At Taghabun Ayat 11, Cara Mendapat Petunjuk Saat Tertimpa Musibah,” n.d.","previouslyFormattedCitation":"Fuji E Permana, “Tafsir Surat At Taghabun Ayat 11, Cara Mendapat Petunjuk Saat Tertimpa Musibah,” n.d."},"properties":{"noteIndex":23},"schema":"https://github.com/citation-style-language/schema/raw/master/csl-citation.json"}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Fuji E Permana, “Tafsir Surat At Taghabun Ayat 11, Cara Mendapat Petunjuk Saat Tertimpa Musibah,” n.d.</w:t>
      </w:r>
      <w:r w:rsidRPr="00FC7485">
        <w:rPr>
          <w:rFonts w:ascii="Times New Roman" w:hAnsi="Times New Roman" w:cs="Times New Roman"/>
        </w:rPr>
        <w:fldChar w:fldCharType="end"/>
      </w:r>
    </w:p>
  </w:footnote>
  <w:footnote w:id="24">
    <w:p w14:paraId="74F0DA61" w14:textId="237A1D98" w:rsidR="0001459C" w:rsidRPr="00FC7485" w:rsidRDefault="0001459C"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{"citationItems":[{"id":"ITEM-1","itemData":{"author":[{"dropping-particle":"","family":"Siddiq","given":"Muhammad Fajar","non-dropping-particle":"","parse-names":false,"suffix":""}],"id":"ITEM-1","issued":{"date-parts":[["2020"]]},"publisher":"Fakultas Ushuluddin, PTIQ Jakarta","publisher-place":"Jakarta","title":"Keadilan Ekonomi Menurut Perspektif Al-Qur’an (Tafsir Tahlili QS. Al-Hasyr ayat 7)","type":"thesis"},"uris":["http://www.mendeley.com/documents/?uuid=c8d522c1-f7cf-444b-8edf-8ea6ba9125fc"]}],"mendeley":{"formattedCitation":"Muhammad Fajar Siddiq, “Keadilan Ekonomi Menurut Perspektif Al-Qur’an (Tafsir Tahlili QS. Al-Hasyr Ayat 7)” (Fakultas Ushuluddin, PTIQ Jakarta, 2020).","plainTextFormattedCitation":"Muhammad Fajar Siddiq, “Keadilan Ekonomi Menurut Perspektif Al-Qur’an (Tafsir Tahlili QS. Al-Hasyr Ayat 7)” (Fakultas Ushuluddin, PTIQ Jakarta, 2020).","previouslyFormattedCitation":"Muhammad Fajar Siddiq, “Keadilan Ekonomi Menurut Perspektif Al-Qur’an (Tafsir Tahlili QS. Al-Hasyr Ayat 7)” (Fakultas Ushuluddin, PTIQ Jakarta, 2020)."},"properties":{"noteIndex":24},"schema":"https://github.com/citation-style-language/schema/raw/master/csl-citation.json"}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Muhammad Fajar Siddiq, “Keadilan Ekonomi Menurut Perspektif Al-Qur’an (Tafsir Tahlili QS. Al-Hasyr Ayat 7)” (Fakultas Ushuluddin, PTIQ Jakarta, 2020).</w:t>
      </w:r>
      <w:r w:rsidRPr="00FC7485">
        <w:rPr>
          <w:rFonts w:ascii="Times New Roman" w:hAnsi="Times New Roman" w:cs="Times New Roman"/>
        </w:rPr>
        <w:fldChar w:fldCharType="end"/>
      </w:r>
    </w:p>
  </w:footnote>
  <w:footnote w:id="25">
    <w:p w14:paraId="5C86F4A1" w14:textId="3C18B0F7" w:rsidR="0001459C" w:rsidRPr="00FC7485" w:rsidRDefault="0001459C"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009E14B2" w:rsidRPr="00FC7485">
        <w:rPr>
          <w:rFonts w:ascii="Times New Roman" w:hAnsi="Times New Roman" w:cs="Times New Roman"/>
        </w:rPr>
        <w:instrText>ADDIN CSL_CITATION {"citationItems":[{"id":"ITEM-1","itemData":{"author":[{"dropping-particle":"","family":"Milenianews","given":"","non-dropping-particle":"","parse-names":false,"suffix":""}],"id":"ITEM-1","issued":{"date-parts":[["2025"]]},"title":"Konsep Keadilan Sosial Melawan Taghut Dan Elitisme: Tafsir Surat An-Nisa' Ayat 60 Dalam Perspektif Tafsir Klasik Vs Tafsir Kontemporer","type":"article"},"uris":["http://www.mendeley.com/documents/?uuid=25433319-cff4-46dd-98d6-c69212d92a48"]}],"mendeley":{"formattedCitation":"Milenianews, “Konsep Keadilan Sosial Melawan Taghut Dan Elitisme: Tafsir Surat An-Nisa’ Ayat 60 Dalam Perspektif Tafsir Klasik Vs Tafsir Kontemporer,” 2025.","plainTextFormattedCitation":"Milenianews, “Konsep Keadilan Sosial Melawan Taghut Dan Elitisme: Tafsir Surat An-Nisa’ Ayat 60 Dalam Perspektif Tafsir Klasik Vs Tafsir Kontemporer,” 2025.","previouslyFormattedCitation":"Milenianews, “Konsep Keadilan Sosial Melawan Taghut Dan Elitisme: Tafsir Surat An-Nisa’ Ayat 60 Dalam Perspektif Tafsir Klasik Vs Tafsir Kontemporer,” 2025."},"properties":{"noteIndex":25},"schema":"https://github.com/citation-style-language/schema/raw/master/csl-citation.json"}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Milenianews, “Konsep Keadilan Sosial Melawan Taghut Dan Elitisme: Tafsir Surat An-Nisa’ Ayat 60 Dalam Perspektif Tafsir Klasik Vs Tafsir Kontemporer,” 2025.</w:t>
      </w:r>
      <w:r w:rsidRPr="00FC7485">
        <w:rPr>
          <w:rFonts w:ascii="Times New Roman" w:hAnsi="Times New Roman" w:cs="Times New Roman"/>
        </w:rPr>
        <w:fldChar w:fldCharType="end"/>
      </w:r>
    </w:p>
  </w:footnote>
  <w:footnote w:id="26">
    <w:p w14:paraId="42216205" w14:textId="3F2D76D3" w:rsidR="009E14B2" w:rsidRPr="00FC7485" w:rsidRDefault="009E14B2"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{"citationItems":[{"id":"ITEM-1","itemData":{"author":[{"dropping-particle":"","family":"Siregar","given":"N S","non-dropping-particle":"","parse-names":false,"suffix":""},{"dropping-particle":"","family":"Simamora","given":"N A","non-dropping-particle":"","parse-names":false,"suffix":""}],"container-title":"Jurnal Perempuan Indonesia","id":"ITEM-1","issue":"1","issued":{"date-parts":[["2025"]]},"title":"Qur’anic perspectives on Mustadh‘afin: Gendered oppression and women’s empowerment in contemporary Indonesia","type":"article-journal","volume":"5"},"uris":["http://www.mendeley.com/documents/?uuid=abaf9a03-e113-444b-855b-cc0062b7491f"]}],"mendeley":{"formattedCitation":"N S Siregar and N A Simamora, “Qur’anic Perspectives on Mustadh‘Afin: Gendered Oppression and Women’s Empowerment in Contemporary Indonesia,” &lt;i&gt;Jurnal Perempuan Indonesia&lt;/i&gt; 5, no. 1 (2025).","plainTextFormattedCitation":"N S Siregar and N A Simamora, “Qur’anic Perspectives on Mustadh‘Afin: Gendered Oppression and Women’s Empowerment in Contemporary Indonesia,” Jurnal Perempuan Indonesia 5, no. 1 (2025).","previouslyFormattedCitation":"N S Siregar and N A Simamora, “Qur’anic Perspectives on Mustadh‘Afin: Gendered Oppression and Women’s Empowerment in Contemporary Indonesia,” &lt;i&gt;Jurnal Perempuan Indonesia&lt;/i&gt; 5, no. 1 (2025)."},"properties":{"noteIndex":26},"schema":"https://github.com/citation-style-language/schema/raw/master/csl-citation.json"}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N S Siregar and N A Simamora, “Qur’anic Perspectives on Mustadh‘Afin: Gendered Oppression and Women’s Empowerment in Contemporary Indonesia,” </w:t>
      </w:r>
      <w:r w:rsidRPr="00FC7485">
        <w:rPr>
          <w:rFonts w:ascii="Times New Roman" w:hAnsi="Times New Roman" w:cs="Times New Roman"/>
          <w:i/>
        </w:rPr>
        <w:t>Jurnal Perempuan Indonesia</w:t>
      </w:r>
      <w:r w:rsidRPr="00FC7485">
        <w:rPr>
          <w:rFonts w:ascii="Times New Roman" w:hAnsi="Times New Roman" w:cs="Times New Roman"/>
        </w:rPr>
        <w:t xml:space="preserve"> 5, no. 1 (2025).</w:t>
      </w:r>
      <w:r w:rsidRPr="00FC7485">
        <w:rPr>
          <w:rFonts w:ascii="Times New Roman" w:hAnsi="Times New Roman" w:cs="Times New Roman"/>
        </w:rPr>
        <w:fldChar w:fldCharType="end"/>
      </w:r>
    </w:p>
  </w:footnote>
  <w:footnote w:id="27">
    <w:p w14:paraId="4EBB8964" w14:textId="1F18EAD8" w:rsidR="009E14B2" w:rsidRPr="00FC7485" w:rsidRDefault="009E14B2"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{"citationItems":[{"id":"ITEM-1","itemData":{"author":[{"dropping-particle":"","family":"Online","given":"Qur'an Kemenag &amp; N U","non-dropping-particle":"","parse-names":false,"suffix":""}],"id":"ITEM-1","issued":{"date-parts":[["0"]]},"title":"Surat An-Nisa' Ayat 75: Arab, Latin, Terjemah dan Tafsir Lengkap","type":"article"},"uris":["http://www.mendeley.com/documents/?uuid=d3c486e2-89fa-4469-b463-10688093f6de"]}],"mendeley":{"formattedCitation":"Qur’an Kemenag &amp; N U Online, “Surat An-Nisa’ Ayat 75: Arab, Latin, Terjemah Dan Tafsir Lengkap,” n.d., https://quran.nu.or.id/an-nisa/75.","plainTextFormattedCitation":"Qur’an Kemenag &amp; N U Online, “Surat An-Nisa’ Ayat 75: Arab, Latin, Terjemah Dan Tafsir Lengkap,” n.d., https://quran.nu.or.id/an-nisa/75.","previouslyFormattedCitation":"Qur’an Kemenag &amp; N U Online, “Surat An-Nisa’ Ayat 75: Arab, Latin, Terjemah Dan Tafsir Lengkap,” n.d., https://quran.nu.or.id/an-nisa/75."},"properties":{"noteIndex":27},"schema":"https://github.com/citation-style-language/schema/raw/master/csl-citation.json"}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Qur’an Kemenag &amp; N U Online, “Surat An-Nisa’ Ayat 75: Arab, Latin, Terjemah Dan Tafsir Lengkap,” n.d., https://quran.nu.or.id/an-nisa/75.</w:t>
      </w:r>
      <w:r w:rsidRPr="00FC7485">
        <w:rPr>
          <w:rFonts w:ascii="Times New Roman" w:hAnsi="Times New Roman" w:cs="Times New Roman"/>
        </w:rPr>
        <w:fldChar w:fldCharType="end"/>
      </w:r>
    </w:p>
  </w:footnote>
  <w:footnote w:id="28">
    <w:p w14:paraId="56FB50BC" w14:textId="58CA4187" w:rsidR="009E14B2" w:rsidRPr="00FC7485" w:rsidRDefault="009E14B2"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{"citationItems":[{"id":"ITEM-1","itemData":{"author":[{"dropping-particle":"","family":"Ramadhan","given":"Z M","non-dropping-particle":"","parse-names":false,"suffix":""},{"dropping-particle":"","family":"Iqbal","given":"A M","non-dropping-particle":"","parse-names":false,"suffix":""},{"dropping-particle":"","family":"Mutmainnah","given":"R","non-dropping-particle":"","parse-names":false,"suffix":""},{"dropping-particle":"","family":"Nurdin","given":"Y","non-dropping-particle":"","parse-names":false,"suffix":""}],"container-title":"JSAI","id":"ITEM-1","issue":"2","issued":{"date-parts":[["0"]]},"title":"Challenging hegemony through a Quranic and Gramscian perspective in the tafsir of Sayyid Qutb on social class","type":"article-journal","volume":"6"},"uris":["http://www.mendeley.com/documents/?uuid=572d81a8-5294-456b-989f-815da5957748"]}],"mendeley":{"formattedCitation":"Z M Ramadhan et al., “Challenging Hegemony through a Quranic and Gramscian Perspective in the Tafsir of Sayyid Qutb on Social Class,” &lt;i&gt;JSAI&lt;/i&gt; 6, no. 2 (n.d.).","plainTextFormattedCitation":"Z M Ramadhan et al., “Challenging Hegemony through a Quranic and Gramscian Perspective in the Tafsir of Sayyid Qutb on Social Class,” JSAI 6, no. 2 (n.d.).","previouslyFormattedCitation":"Z M Ramadhan et al., “Challenging Hegemony through a Quranic and Gramscian Perspective in the Tafsir of Sayyid Qutb on Social Class,” &lt;i&gt;JSAI&lt;/i&gt; 6, no. 2 (n.d.)."},"properties":{"noteIndex":28},"schema":"https://github.com/citation-style-language/schema/raw/master/csl-citation.json"}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Z M Ramadhan et al., “Challenging Hegemony through a Quranic and Gramscian Perspective in the Tafsir of Sayyid Qutb on Social Class,” </w:t>
      </w:r>
      <w:r w:rsidRPr="00FC7485">
        <w:rPr>
          <w:rFonts w:ascii="Times New Roman" w:hAnsi="Times New Roman" w:cs="Times New Roman"/>
          <w:i/>
        </w:rPr>
        <w:t>JSAI</w:t>
      </w:r>
      <w:r w:rsidRPr="00FC7485">
        <w:rPr>
          <w:rFonts w:ascii="Times New Roman" w:hAnsi="Times New Roman" w:cs="Times New Roman"/>
        </w:rPr>
        <w:t xml:space="preserve"> 6, no. 2 (n.d.).</w:t>
      </w:r>
      <w:r w:rsidRPr="00FC7485">
        <w:rPr>
          <w:rFonts w:ascii="Times New Roman" w:hAnsi="Times New Roman" w:cs="Times New Roman"/>
        </w:rPr>
        <w:fldChar w:fldCharType="end"/>
      </w:r>
    </w:p>
  </w:footnote>
  <w:footnote w:id="29">
    <w:p w14:paraId="19C23AEC" w14:textId="77777777" w:rsidR="00452C36" w:rsidRPr="00FC7485" w:rsidRDefault="00452C36" w:rsidP="00B15C17">
      <w:pPr>
        <w:pStyle w:val="FootnoteText"/>
        <w:ind w:firstLine="720"/>
        <w:jc w:val="both"/>
        <w:rPr>
          <w:rFonts w:ascii="Times New Roman" w:hAnsi="Times New Roman" w:cs="Times New Roman"/>
          <w:lang w:val="en-ID"/>
        </w:rPr>
      </w:pPr>
      <w:r w:rsidRPr="00FC7485">
        <w:rPr>
          <w:rStyle w:val="FootnoteReference"/>
          <w:rFonts w:ascii="Times New Roman" w:hAnsi="Times New Roman" w:cs="Times New Roman"/>
        </w:rPr>
        <w:footnoteRef/>
      </w:r>
      <w:r w:rsidRPr="00FC7485">
        <w:rPr>
          <w:rFonts w:ascii="Times New Roman" w:hAnsi="Times New Roman" w:cs="Times New Roman"/>
          <w:lang w:val="en-ID"/>
        </w:rPr>
        <w:t xml:space="preserve"> Mubadalah.Id. Ketika Teks Bukan Segalanya: Kritik Nasr Hamid Abu Zayd Terhadap Tafsir Konservatif. Https://Mubadalah.Id/Ketika-Teks-Bukan-Segalanya-Kritik-Nasr-Hamid-Abu-Zayd-Terhadap-Tafsir-Konservatif/</w:t>
      </w:r>
    </w:p>
  </w:footnote>
  <w:footnote w:id="30">
    <w:p w14:paraId="7FDEEEE0" w14:textId="2332E0EF" w:rsidR="009E14B2" w:rsidRPr="00FC7485" w:rsidRDefault="009E14B2"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{"citationItems":[{"id":"ITEM-1","itemData":{"author":[{"dropping-particle":"","family":"Jamarudin","given":"Ade","non-dropping-particle":"","parse-names":false,"suffix":""}],"container-title":"Jurnal Ushuluddin","id":"ITEM-1","issued":{"date-parts":[["2015"]]},"publisher":"Universitas Islam Negeri Sultan Syarif Kasim Riau","title":"Social Approach in Tafsir Al-Qur’an Perspective of Hasan Hanafi","type":"article-journal"},"uris":["http://www.mendeley.com/documents/?uuid=ce375ba9-2a69-44fa-85fa-e8d328a92d64"]}],"mendeley":{"formattedCitation":"Ade Jamarudin, “Social Approach in Tafsir Al-Qur’an Perspective of Hasan Hanafi,” &lt;i&gt;Jurnal Ushuluddin&lt;/i&gt;, 2015, https://www.semanticscholar.org/paper/Social-Approach-In-Tafsir-Al-Qur’an-Perspective-Of-Jamarudin-Ushuluddin/53dd1899691872089af9c679dd5595f0d5374ce8.","plainTextFormattedCitation":"Ade Jamarudin, “Social Approach in Tafsir Al-Qur’an Perspective of Hasan Hanafi,” Jurnal Ushuluddin, 2015, https://www.semanticscholar.org/paper/Social-Approach-In-Tafsir-Al-Qur’an-Perspective-Of-Jamarudin-Ushuluddin/53dd1899691872089af9c679dd5595f0d5374ce8.","previouslyFormattedCitation":"Ade Jamarudin, “Social Approach in Tafsir Al-Qur’an Perspective of Hasan Hanafi,” &lt;i&gt;Jurnal Ushuluddin&lt;/i&gt;, 2015, https://www.semanticscholar.org/paper/Social-Approach-In-Tafsir-Al-Qur’an-Perspective-Of-Jamarudin-Ushuluddin/53dd1899691872089af9c679dd5595f0d5374ce8."},"properties":{"noteIndex":30},"schema":"https://github.com/citation-style-language/schema/raw/master/csl-citation.json"}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Ade Jamarudin, “Social Approach in Tafsir Al-Qur’an Perspective of Hasan Hanafi,” </w:t>
      </w:r>
      <w:r w:rsidRPr="00FC7485">
        <w:rPr>
          <w:rFonts w:ascii="Times New Roman" w:hAnsi="Times New Roman" w:cs="Times New Roman"/>
          <w:i/>
        </w:rPr>
        <w:t>Jurnal Ushuluddin</w:t>
      </w:r>
      <w:r w:rsidRPr="00FC7485">
        <w:rPr>
          <w:rFonts w:ascii="Times New Roman" w:hAnsi="Times New Roman" w:cs="Times New Roman"/>
        </w:rPr>
        <w:t>, 2015, https://www.semanticscholar.org/paper/Social-Approach-In-Tafsir-Al-Qur’an-Perspective-Of-Jamarudin-Ushuluddin/53dd1899691872089af9c679dd5595f0d5374ce8.</w:t>
      </w:r>
      <w:r w:rsidRPr="00FC7485">
        <w:rPr>
          <w:rFonts w:ascii="Times New Roman" w:hAnsi="Times New Roman" w:cs="Times New Roman"/>
        </w:rPr>
        <w:fldChar w:fldCharType="end"/>
      </w:r>
    </w:p>
  </w:footnote>
  <w:footnote w:id="31">
    <w:p w14:paraId="3C3B8E3A" w14:textId="7497E169" w:rsidR="009E14B2" w:rsidRPr="00FC7485" w:rsidRDefault="009E14B2"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00D73516" w:rsidRPr="00FC7485">
        <w:rPr>
          <w:rFonts w:ascii="Times New Roman" w:hAnsi="Times New Roman" w:cs="Times New Roman"/>
        </w:rPr>
        <w:instrText>ADDIN CSL_CITATION {"citationItems":[{"id":"ITEM-1","itemData":{"author":[{"dropping-particle":"","family":"Diki","given":"Irfan Rifaldi","non-dropping-particle":"","parse-names":false,"suffix":""}],"collection-title":"Diploma Thesis","id":"ITEM-1","issued":{"date-parts":[["2024"]]},"publisher":"UIN Raden Intan Lampung","title":"Konsep Keadilan Ekonomi Perspektif Sayyid Qutb (Studi Tafsir Fi Zhilalil Qur’an)","type":"thesis"},"uris":["http://www.mendeley.com/documents/?uuid=08c30b0d-3371-4110-8620-d2e1891a327e"]}],"mendeley":{"formattedCitation":"Irfan Rifaldi Diki, “Konsep Keadilan Ekonomi Perspektif Sayyid Qutb (Studi Tafsir Fi Zhilalil Qur’an),” Diploma Thesis (UIN Raden Intan Lampung, 2024), https://repository.radenintan.ac.id/34523/.","plainTextFormattedCitation":"Irfan Rifaldi Diki, “Konsep Keadilan Ekonomi Perspektif Sayyid Qutb (Studi Tafsir Fi Zhilalil Qur’an),” Diploma Thesis (UIN Raden Intan Lampung, 2024), https://repository.radenintan.ac.id/34523/.","previouslyFormattedCitation":"Irfan Rifaldi Diki, “Konsep Keadilan Ekonomi Perspektif Sayyid Qutb (Studi Tafsir Fi Zhilalil Qur’an),” Diploma Thesis (UIN Raden Intan Lampung, 2024), https://repository.radenintan.ac.id/34523/."},"properties":{"noteIndex":31},"schema":"https://github.com/citation-style-language/schema/raw/master/csl-citation.json"}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Irfan Rifaldi Diki, “Konsep Keadilan Ekonomi Perspektif Sayyid Qutb (Studi Tafsir Fi Zhilalil Qur’an),” Diploma Thesis (UIN Raden Intan Lampung, 2024), https://repository.radenintan.ac.id/34523/.</w:t>
      </w:r>
      <w:r w:rsidRPr="00FC7485">
        <w:rPr>
          <w:rFonts w:ascii="Times New Roman" w:hAnsi="Times New Roman" w:cs="Times New Roman"/>
        </w:rPr>
        <w:fldChar w:fldCharType="end"/>
      </w:r>
    </w:p>
  </w:footnote>
  <w:footnote w:id="32">
    <w:p w14:paraId="711A753C" w14:textId="1525379D" w:rsidR="00D73516" w:rsidRPr="00FC7485" w:rsidRDefault="00D73516"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Umbari","given":"Abubakar","non-dropping-particle":"","parse-names":false,"suffix":""},{"dropping-particle":"","family":"Amanah","given":"Siti","non-dropping-particle":"","parse-names":false,"suffix":""},{"dropping-particle":"","family":"Putra","given":"M Darwin Syah","non-dropping-particle":"","parse-names":false,"suffix":""}],"id":"ITEM-1","issued":{"date-parts":[["2002"]]},"publisher":"IPB University","title":"Karakteristik Kemiskinan Masyarakat Nelayan di Kecamatan Syiah Kuala Banda Aceh","type":"thesis"},"uris":["http://www.mendeley.com/documents/?uuid=1f38653f-8457-46d3-a7f5-c5d3c5bac4d6"]}],"mendeley":{"formattedCitation":"Abubakar Umbari, Siti Amanah, and M Darwin Syah Putra, “Karakteristik Kemiskinan Masyarakat Nelayan Di Kecamatan Syiah Kuala Banda Aceh” (IPB University, 2002), https://repository.ipb.ac.id/jspui/handle/123456789/151995.","plainTextFormattedCitation":"Abubakar Umbari, Siti Amanah, and M Darwin Syah Putra, “Karakteristik Kemiskinan Masyarakat Nelayan Di Kecamatan Syiah Kuala Banda Aceh” (IPB University, 2002), https://repository.ipb.ac.id/jspui/handle/123456789/151995.","previouslyFormattedCitation":"Abubakar Umbari, Siti Amanah, and M Darwin Syah Putra, “Karakteristik Kemiskinan Masyarakat Nelayan Di Kecamatan Syiah Kuala Banda Aceh” (IPB University, 2002), https://repository.ipb.ac.id/jspui/handle/123456789/151995."},"properties":{"noteIndex":32},"schema":"https://github.com/citation-style-language/schema/raw/master/csl-citation.json"}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Abubakar Umbari, Siti Amanah, and M Darwin Syah Putra, “Karakteristik Kemiskinan Masyarakat Nelayan Di Kecamatan Syiah Kuala Banda Aceh” (IPB University, 2002), https://repository.ipb.ac.id/jspui/handle/123456789/151995.</w:t>
      </w:r>
      <w:r w:rsidRPr="00FC7485">
        <w:rPr>
          <w:rFonts w:ascii="Times New Roman" w:hAnsi="Times New Roman" w:cs="Times New Roman"/>
        </w:rPr>
        <w:fldChar w:fldCharType="end"/>
      </w:r>
    </w:p>
  </w:footnote>
  <w:footnote w:id="33">
    <w:p w14:paraId="79DAE5DB" w14:textId="0C4A28F7" w:rsidR="00D73516" w:rsidRPr="00FC7485" w:rsidRDefault="00D73516"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00273F1A" w:rsidRPr="00FC7485">
        <w:rPr>
          <w:rFonts w:ascii="Times New Roman" w:hAnsi="Times New Roman" w:cs="Times New Roman"/>
        </w:rPr>
        <w:instrText>ADDIN CSL_CITATION {"citationItems":[{"id":"ITEM-1","itemData":{"author":[{"dropping-particle":"","family":"Abdillah","given":"Muhammad Rafif","non-dropping-particle":"","parse-names":false,"suffix":""}],"id":"ITEM-1","issued":{"date-parts":[["2025"]]},"publisher":"Repository UIN Datokarama Palu","title":"Kontekstualisasi Makna Ta'awun Dalam Al-Qur'an (Kajian Tafsir Q.S Al-Maidah (5):2 Dalam Kitab Tafsir Al-Misbah)","type":"article"},"uris":["http://www.mendeley.com/documents/?uuid=082432ce-eb4b-44e5-a50e-e49dac0d0343"]}],"mendeley":{"formattedCitation":"Muhammad Rafif Abdillah, “Kontekstualisasi Makna Ta’awun Dalam Al-Qur’an (Kajian Tafsir Q.S Al-Maidah (5):2 Dalam Kitab Tafsir Al-Misbah)” (Repository UIN Datokarama Palu, 2025), https://repository.uindatokarama.ac.id.","plainTextFormattedCitation":"Muhammad Rafif Abdillah, “Kontekstualisasi Makna Ta’awun Dalam Al-Qur’an (Kajian Tafsir Q.S Al-Maidah (5):2 Dalam Kitab Tafsir Al-Misbah)” (Repository UIN Datokarama Palu, 2025), https://repository.uindatokarama.ac.id.","previouslyFormattedCitation":"Muhammad Rafif Abdillah, “Kontekstualisasi Makna Ta’awun Dalam Al-Qur’an (Kajian Tafsir Q.S Al-Maidah (5):2 Dalam Kitab Tafsir Al-Misbah)” (Repository UIN Datokarama Palu, 2025), https://repository.uindatokarama.ac.id."},"properties":{"noteIndex":33},"schema":"https://github.com/citation-style-language/schema/raw/master/csl-citation.json"}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Muhammad Rafif Abdillah, “Kontekstualisasi Makna Ta’awun Dalam Al-Qur’an (Kajian Tafsir Q.S Al-Maidah (5):2 Dalam Kitab Tafsir Al-Misbah)” (Repository UIN Datokarama Palu, 2025), https://repository.uindatokarama.ac.id.</w:t>
      </w:r>
      <w:r w:rsidRPr="00FC7485">
        <w:rPr>
          <w:rFonts w:ascii="Times New Roman" w:hAnsi="Times New Roman" w:cs="Times New Roman"/>
        </w:rPr>
        <w:fldChar w:fldCharType="end"/>
      </w:r>
    </w:p>
  </w:footnote>
  <w:footnote w:id="34">
    <w:p w14:paraId="2DDD9299" w14:textId="77777777" w:rsidR="00452C36" w:rsidRPr="00FC7485" w:rsidRDefault="00452C36" w:rsidP="00B15C17">
      <w:pPr>
        <w:pStyle w:val="FootnoteText"/>
        <w:ind w:firstLine="720"/>
        <w:jc w:val="both"/>
        <w:rPr>
          <w:rFonts w:ascii="Times New Roman" w:hAnsi="Times New Roman" w:cs="Times New Roman"/>
          <w:lang w:val="en-ID"/>
        </w:rPr>
      </w:pPr>
      <w:r w:rsidRPr="00FC7485">
        <w:rPr>
          <w:rStyle w:val="FootnoteReference"/>
          <w:rFonts w:ascii="Times New Roman" w:hAnsi="Times New Roman" w:cs="Times New Roman"/>
        </w:rPr>
        <w:footnoteRef/>
      </w:r>
      <w:r w:rsidRPr="00FC7485">
        <w:rPr>
          <w:rFonts w:ascii="Times New Roman" w:hAnsi="Times New Roman" w:cs="Times New Roman"/>
          <w:lang w:val="en-ID"/>
        </w:rPr>
        <w:t xml:space="preserve"> Rahemtulla, Shadaab. Qur'an Of The Oppressed: Liberation Theology And Gender Justice In Islam. Oxford: Oxford University Press, 2017.</w:t>
      </w:r>
    </w:p>
  </w:footnote>
  <w:footnote w:id="35">
    <w:p w14:paraId="69269E01" w14:textId="79B5F5DC" w:rsidR="00273F1A" w:rsidRPr="00FC7485" w:rsidRDefault="00273F1A"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{"citationItems":[{"id":"ITEM-1","itemData":{"author":[{"dropping-particle":"","family":"Nadia","given":"Zunly","non-dropping-particle":"","parse-names":false,"suffix":""}],"container-title":"Jurnal Ilmu Al-Qur'an","id":"ITEM-1","issued":{"date-parts":[["2020"]]},"publisher":"IIQ An Nur Yogyakarta","title":"Pandangan Farid Esack Tentang Al-Qur'an, Tafsir dan Hermeneutika","type":"article-journal"},"uris":["http://www.mendeley.com/documents/?uuid=1675a4f4-add3-499b-93c9-841a11bf7c51"]}],"mendeley":{"formattedCitation":"Zunly Nadia, “Pandangan Farid Esack Tentang Al-Qur’an, Tafsir Dan Hermeneutika,” &lt;i&gt;Jurnal Ilmu Al-Qur’an&lt;/i&gt;, 2020, https://moraref.kemenag.go.id/document/article/103209731638239580.","plainTextFormattedCitation":"Zunly Nadia, “Pandangan Farid Esack Tentang Al-Qur’an, Tafsir Dan Hermeneutika,” Jurnal Ilmu Al-Qur’an, 2020, https://moraref.kemenag.go.id/document/article/103209731638239580.","previouslyFormattedCitation":"Zunly Nadia, “Pandangan Farid Esack Tentang Al-Qur’an, Tafsir Dan Hermeneutika,” &lt;i&gt;Jurnal Ilmu Al-Qur’an&lt;/i&gt;, 2020, https://moraref.kemenag.go.id/document/article/103209731638239580."},"properties":{"noteIndex":35},"schema":"https://github.com/citation-style-language/schema/raw/master/csl-citation.json"}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Zunly Nadia, “Pandangan Farid Esack Tentang Al-Qur’an, Tafsir Dan Hermeneutika,” </w:t>
      </w:r>
      <w:r w:rsidRPr="00FC7485">
        <w:rPr>
          <w:rFonts w:ascii="Times New Roman" w:hAnsi="Times New Roman" w:cs="Times New Roman"/>
          <w:i/>
        </w:rPr>
        <w:t>Jurnal Ilmu Al-Qur’an</w:t>
      </w:r>
      <w:r w:rsidRPr="00FC7485">
        <w:rPr>
          <w:rFonts w:ascii="Times New Roman" w:hAnsi="Times New Roman" w:cs="Times New Roman"/>
        </w:rPr>
        <w:t>, 2020, https://moraref.kemenag.go.id/document/article/103209731638239580.</w:t>
      </w:r>
      <w:r w:rsidRPr="00FC7485">
        <w:rPr>
          <w:rFonts w:ascii="Times New Roman" w:hAnsi="Times New Roman" w:cs="Times New Roman"/>
        </w:rPr>
        <w:fldChar w:fldCharType="end"/>
      </w:r>
    </w:p>
  </w:footnote>
  <w:footnote w:id="36">
    <w:p w14:paraId="64CF964A" w14:textId="4DFCB6AF" w:rsidR="00273F1A" w:rsidRPr="00FC7485" w:rsidRDefault="00273F1A"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00317FAE" w:rsidRPr="00FC7485">
        <w:rPr>
          <w:rFonts w:ascii="Times New Roman" w:hAnsi="Times New Roman" w:cs="Times New Roman"/>
        </w:rPr>
        <w:instrText>ADDIN CSL_CITATION {"citationItems":[{"id":"ITEM-1","itemData":{"author":[{"dropping-particle":"","family":"Mardhatillah","given":"Masyithah","non-dropping-particle":"","parse-names":false,"suffix":""},{"dropping-particle":"","family":"Effendy","given":"Moh. Hafid","non-dropping-particle":"","parse-names":false,"suffix":""},{"dropping-particle":"","family":"Abdillah","given":"Kudrat","non-dropping-particle":"","parse-names":false,"suffix":""},{"dropping-particle":"","family":"Fahrurrozi","given":"Fahrurrozi","non-dropping-particle":"","parse-names":false,"suffix":""},{"dropping-particle":"","family":"Usman","given":"Usman","non-dropping-particle":"","parse-names":false,"suffix":""}],"container-title":"Journal of Indonesian Islam","id":"ITEM-1","issue":"2","issued":{"date-parts":[["2023"]]},"title":"Reinforcement of Social Stratification Through the Use of Speech Levels in Madurese Translation of Qur’anic Dialogue Verses","type":"article-journal","volume":"17"},"uris":["http://www.mendeley.com/documents/?uuid=4b36c98b-581e-4373-b4b0-3efceeaf7a11"]}],"mendeley":{"formattedCitation":"Masyithah Mardhatillah et al., “Reinforcement of Social Stratification Through the Use of Speech Levels in Madurese Translation of Qur’anic Dialogue Verses,” &lt;i&gt;Journal of Indonesian Islam&lt;/i&gt; 17, no. 2 (2023), https://doi.org/10.15642/JIIS.2023.17.2.323-351.","plainTextFormattedCitation":"Masyithah Mardhatillah et al., “Reinforcement of Social Stratification Through the Use of Speech Levels in Madurese Translation of Qur’anic Dialogue Verses,” Journal of Indonesian Islam 17, no. 2 (2023), https://doi.org/10.15642/JIIS.2023.17.2.323-351.","previouslyFormattedCitation":"Masyithah Mardhatillah et al., “Reinforcement of Social Stratification Through the Use of Speech Levels in Madurese Translation of Qur’anic Dialogue Verses,” &lt;i&gt;Journal of Indonesian Islam&lt;/i&gt; 17, no. 2 (2023), https://doi.org/10.15642/JIIS.2023.17.2.323-351."},"properties":{"noteIndex":36},"schema":"https://github.com/citation-style-language/schema/raw/master/csl-citation.json"}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Masyithah Mardhatillah et al., “Reinforcement of Social Stratification Through the Use of Speech Levels in Madurese Translation of Qur’anic Dialogue Verses,” </w:t>
      </w:r>
      <w:r w:rsidRPr="00FC7485">
        <w:rPr>
          <w:rFonts w:ascii="Times New Roman" w:hAnsi="Times New Roman" w:cs="Times New Roman"/>
          <w:i/>
        </w:rPr>
        <w:t>Journal of Indonesian Islam</w:t>
      </w:r>
      <w:r w:rsidRPr="00FC7485">
        <w:rPr>
          <w:rFonts w:ascii="Times New Roman" w:hAnsi="Times New Roman" w:cs="Times New Roman"/>
        </w:rPr>
        <w:t xml:space="preserve"> 17, no. 2 (2023), https://doi.org/10.15642/JIIS.2023.17.2.323-351.</w:t>
      </w:r>
      <w:r w:rsidRPr="00FC7485">
        <w:rPr>
          <w:rFonts w:ascii="Times New Roman" w:hAnsi="Times New Roman" w:cs="Times New Roman"/>
        </w:rPr>
        <w:fldChar w:fldCharType="end"/>
      </w:r>
    </w:p>
  </w:footnote>
  <w:footnote w:id="37">
    <w:p w14:paraId="2F37056C" w14:textId="769434BE" w:rsidR="00317FAE" w:rsidRPr="00FC7485" w:rsidRDefault="00317FAE"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{"citationItems":[{"id":"ITEM-1","itemData":{"author":[{"dropping-particle":"","family":"Nasution","given":"M M N","non-dropping-particle":"","parse-names":false,"suffix":""},{"dropping-particle":"","family":"Wanto","given":"S","non-dropping-particle":"","parse-names":false,"suffix":""},{"dropping-particle":"","family":"Siregar","given":"M N","non-dropping-particle":"","parse-names":false,"suffix":""}],"container-title":"Fikroh: Jurnal Pemikiran dan Pendidikan Islam","id":"ITEM-1","issue":"2","issued":{"date-parts":[["2025"]]},"title":"Ethics of redistribution in Surah Al-Ma’un and At-Taubah as interpreted by Quraish Shihab, alongside Marxist thought","type":"article-journal","volume":"18"},"uris":["http://www.mendeley.com/documents/?uuid=d1231204-11bc-4c7e-82ec-d330981caf20"]}],"mendeley":{"formattedCitation":"M M N Nasution, S Wanto, and M N Siregar, “Ethics of Redistribution in Surah Al-Ma’un and At-Taubah as Interpreted by Quraish Shihab, alongside Marxist Thought,” &lt;i&gt;Fikroh: Jurnal Pemikiran Dan Pendidikan Islam&lt;/i&gt; 18, no. 2 (2025).","plainTextFormattedCitation":"M M N Nasution, S Wanto, and M N Siregar, “Ethics of Redistribution in Surah Al-Ma’un and At-Taubah as Interpreted by Quraish Shihab, alongside Marxist Thought,” Fikroh: Jurnal Pemikiran Dan Pendidikan Islam 18, no. 2 (2025).","previouslyFormattedCitation":"M M N Nasution, S Wanto, and M N Siregar, “Ethics of Redistribution in Surah Al-Ma’un and At-Taubah as Interpreted by Quraish Shihab, alongside Marxist Thought,” &lt;i&gt;Fikroh: Jurnal Pemikiran Dan Pendidikan Islam&lt;/i&gt; 18, no. 2 (2025)."},"properties":{"noteIndex":37},"schema":"https://github.com/citation-style-language/schema/raw/master/csl-citation.json"}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M M N Nasution, S Wanto, and M N Siregar, “Ethics of Redistribution in Surah Al-Ma’un and At-Taubah as Interpreted by Quraish Shihab, alongside Marxist Thought,” </w:t>
      </w:r>
      <w:r w:rsidRPr="00FC7485">
        <w:rPr>
          <w:rFonts w:ascii="Times New Roman" w:hAnsi="Times New Roman" w:cs="Times New Roman"/>
          <w:i/>
        </w:rPr>
        <w:t>Fikroh: Jurnal Pemikiran Dan Pendidikan Islam</w:t>
      </w:r>
      <w:r w:rsidRPr="00FC7485">
        <w:rPr>
          <w:rFonts w:ascii="Times New Roman" w:hAnsi="Times New Roman" w:cs="Times New Roman"/>
        </w:rPr>
        <w:t xml:space="preserve"> 18, no. 2 (2025).</w:t>
      </w:r>
      <w:r w:rsidRPr="00FC7485">
        <w:rPr>
          <w:rFonts w:ascii="Times New Roman" w:hAnsi="Times New Roman" w:cs="Times New Roman"/>
        </w:rPr>
        <w:fldChar w:fldCharType="end"/>
      </w:r>
    </w:p>
  </w:footnote>
  <w:footnote w:id="38">
    <w:p w14:paraId="38B551E1" w14:textId="0548B67E" w:rsidR="00317FAE" w:rsidRPr="00FC7485" w:rsidRDefault="00317FAE"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{"citationItems":[{"id":"ITEM-1","itemData":{"author":[{"dropping-particle":"","family":"Khoiruddin","given":"M F","non-dropping-particle":"","parse-names":false,"suffix":""}],"container-title":"JAHE: Jurnal Ayat dan Hadits Ekonomi","id":"ITEM-1","issued":{"date-parts":[["2025"]]},"title":"Etika bisnis Islam: Pelajaran dari QS. Al-Muthaffifin ayat 1-3 tentang kecurangan dalam jual beli","type":"article-journal","volume":"2"},"uris":["http://www.mendeley.com/documents/?uuid=002017fe-e19e-41b4-9221-f60e21e68e40"]}],"mendeley":{"formattedCitation":"M F Khoiruddin, “Etika Bisnis Islam: Pelajaran Dari QS. Al-Muthaffifin Ayat 1-3 Tentang Kecurangan Dalam Jual Beli,” &lt;i&gt;JAHE: Jurnal Ayat Dan Hadits Ekonomi&lt;/i&gt; 2 (2025).","plainTextFormattedCitation":"M F Khoiruddin, “Etika Bisnis Islam: Pelajaran Dari QS. Al-Muthaffifin Ayat 1-3 Tentang Kecurangan Dalam Jual Beli,” JAHE: Jurnal Ayat Dan Hadits Ekonomi 2 (2025).","previouslyFormattedCitation":"M F Khoiruddin, “Etika Bisnis Islam: Pelajaran Dari QS. Al-Muthaffifin Ayat 1-3 Tentang Kecurangan Dalam Jual Beli,” &lt;i&gt;JAHE: Jurnal Ayat Dan Hadits Ekonomi&lt;/i&gt; 2 (2025)."},"properties":{"noteIndex":38},"schema":"https://github.com/citation-style-language/schema/raw/master/csl-citation.json"}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M F Khoiruddin, “Etika Bisnis Islam: Pelajaran Dari QS. Al-Muthaffifin Ayat 1-3 Tentang Kecurangan Dalam Jual Beli,” </w:t>
      </w:r>
      <w:r w:rsidRPr="00FC7485">
        <w:rPr>
          <w:rFonts w:ascii="Times New Roman" w:hAnsi="Times New Roman" w:cs="Times New Roman"/>
          <w:i/>
        </w:rPr>
        <w:t>JAHE: Jurnal Ayat Dan Hadits Ekonomi</w:t>
      </w:r>
      <w:r w:rsidRPr="00FC7485">
        <w:rPr>
          <w:rFonts w:ascii="Times New Roman" w:hAnsi="Times New Roman" w:cs="Times New Roman"/>
        </w:rPr>
        <w:t xml:space="preserve"> 2 (2025).</w:t>
      </w:r>
      <w:r w:rsidRPr="00FC7485">
        <w:rPr>
          <w:rFonts w:ascii="Times New Roman" w:hAnsi="Times New Roman" w:cs="Times New Roman"/>
        </w:rPr>
        <w:fldChar w:fldCharType="end"/>
      </w:r>
    </w:p>
  </w:footnote>
  <w:footnote w:id="39">
    <w:p w14:paraId="67CD68CE" w14:textId="457F7B70" w:rsidR="00317FAE" w:rsidRPr="00FC7485" w:rsidRDefault="00317FAE"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{"citationItems":[{"id":"ITEM-1","itemData":{"author":[{"dropping-particle":"","family":"Khoiruddin","given":"M F","non-dropping-particle":"","parse-names":false,"suffix":""}],"container-title":"JAHE: Jurnal Ayat dan Hadits Ekonomi","id":"ITEM-1","issued":{"date-parts":[["2025"]]},"title":"Etika bisnis Islam: Pelajaran dari QS. Al-Muthaffifin ayat 1-3 tentang kecurangan dalam jual beli","type":"article-journal","volume":"2"},"uris":["http://www.mendeley.com/documents/?uuid=002017fe-e19e-41b4-9221-f60e21e68e40"]}],"mendeley":{"formattedCitation":"Khoiruddin.","plainTextFormattedCitation":"Khoiruddin.","previouslyFormattedCitation":"Khoiruddin."},"properties":{"noteIndex":39},"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Khoiruddin.</w:t>
      </w:r>
      <w:r w:rsidRPr="00FC7485">
        <w:rPr>
          <w:rFonts w:ascii="Times New Roman" w:hAnsi="Times New Roman" w:cs="Times New Roman"/>
        </w:rPr>
        <w:fldChar w:fldCharType="end"/>
      </w:r>
    </w:p>
  </w:footnote>
  <w:footnote w:id="40">
    <w:p w14:paraId="311B3410" w14:textId="78C3B0E9" w:rsidR="00317FAE" w:rsidRPr="00FC7485" w:rsidRDefault="00317FAE" w:rsidP="00B15C17">
      <w:pPr>
        <w:pStyle w:val="FootnoteText"/>
        <w:ind w:firstLine="720"/>
        <w:jc w:val="both"/>
        <w:rPr>
          <w:rFonts w:ascii="Times New Roman" w:hAnsi="Times New Roman" w:cs="Times New Roman"/>
          <w:lang w:val="en-US"/>
        </w:rPr>
      </w:pPr>
      <w:r w:rsidRPr="00FC7485">
        <w:rPr>
          <w:rStyle w:val="FootnoteReference"/>
          <w:rFonts w:ascii="Times New Roman" w:hAnsi="Times New Roman" w:cs="Times New Roman"/>
        </w:rPr>
        <w:footnoteRef/>
      </w:r>
      <w:r w:rsidRPr="00FC7485">
        <w:rPr>
          <w:rFonts w:ascii="Times New Roman" w:hAnsi="Times New Roman" w:cs="Times New Roman"/>
        </w:rPr>
        <w:t xml:space="preserve"> </w:t>
      </w:r>
      <w:r w:rsidRPr="00FC7485">
        <w:rPr>
          <w:rFonts w:ascii="Times New Roman" w:hAnsi="Times New Roman" w:cs="Times New Roman"/>
        </w:rPr>
        <w:fldChar w:fldCharType="begin" w:fldLock="1"/>
      </w:r>
      <w:r w:rsidRPr="00FC7485">
        <w:rPr>
          <w:rFonts w:ascii="Times New Roman" w:hAnsi="Times New Roman" w:cs="Times New Roman"/>
        </w:rPr>
        <w:instrText>ADDIN CSL_CITATION {"citationItems":[{"id":"ITEM-1","itemData":{"author":[{"dropping-particle":"","family":"Nurhasanah","given":"A A","non-dropping-particle":"","parse-names":false,"suffix":""},{"dropping-particle":"","family":"Fajri","given":"I A","non-dropping-particle":"","parse-names":false,"suffix":""},{"dropping-particle":"","family":"Mariam","given":"M S","non-dropping-particle":"","parse-names":false,"suffix":""},{"dropping-particle":"","family":"Mualim","given":"","non-dropping-particle":"","parse-names":false,"suffix":""}],"container-title":"NAAFI: JURNAL ILMIAH MAHASISWA","id":"ITEM-1","issue":"2","issued":{"date-parts":[["2026"]]},"page":"349-357","title":"Etika muamalah dalam perspektif Al-Qur’an: Tafsir keadilan dan kejujuran pada QS. Al-An’am 152 dan QS. Hud 85","type":"article-journal","volume":"2"},"uris":["http://www.mendeley.com/documents/?uuid=310ee8c1-f54c-417c-b6c3-4f0d977cf5da"]}],"mendeley":{"formattedCitation":"A A Nurhasanah et al., “Etika Muamalah Dalam Perspektif Al-Qur’an: Tafsir Keadilan Dan Kejujuran Pada QS. Al-An’am 152 Dan QS. Hud 85,” &lt;i&gt;NAAFI: JURNAL ILMIAH MAHASISWA&lt;/i&gt; 2, no. 2 (2026): 349–57.","plainTextFormattedCitation":"A A Nurhasanah et al., “Etika Muamalah Dalam Perspektif Al-Qur’an: Tafsir Keadilan Dan Kejujuran Pada QS. Al-An’am 152 Dan QS. Hud 85,” NAAFI: JURNAL ILMIAH MAHASISWA 2, no. 2 (2026): 349–57."},"properties":{"noteIndex":40},"schema":"https://github.com/citation-style-language/schema/raw/master/csl-citation.json"}</w:instrText>
      </w:r>
      <w:r w:rsidRPr="00FC7485">
        <w:rPr>
          <w:rFonts w:ascii="Times New Roman" w:hAnsi="Times New Roman" w:cs="Times New Roman"/>
        </w:rPr>
        <w:fldChar w:fldCharType="separate"/>
      </w:r>
      <w:r w:rsidRPr="00FC7485">
        <w:rPr>
          <w:rFonts w:ascii="Times New Roman" w:hAnsi="Times New Roman" w:cs="Times New Roman"/>
        </w:rPr>
        <w:t xml:space="preserve">A A Nurhasanah et al., “Etika Muamalah Dalam Perspektif Al-Qur’an: Tafsir Keadilan Dan Kejujuran Pada QS. Al-An’am 152 Dan QS. Hud 85,” </w:t>
      </w:r>
      <w:r w:rsidRPr="00FC7485">
        <w:rPr>
          <w:rFonts w:ascii="Times New Roman" w:hAnsi="Times New Roman" w:cs="Times New Roman"/>
          <w:i/>
        </w:rPr>
        <w:t>NAAFI: JURNAL ILMIAH MAHASISWA</w:t>
      </w:r>
      <w:r w:rsidRPr="00FC7485">
        <w:rPr>
          <w:rFonts w:ascii="Times New Roman" w:hAnsi="Times New Roman" w:cs="Times New Roman"/>
        </w:rPr>
        <w:t xml:space="preserve"> 2, no. 2 (2026): 349–57.</w:t>
      </w:r>
      <w:r w:rsidRPr="00FC7485">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4551834"/>
      <w:docPartObj>
        <w:docPartGallery w:val="Page Numbers (Top of Page)"/>
        <w:docPartUnique/>
      </w:docPartObj>
    </w:sdtPr>
    <w:sdtContent>
      <w:p w14:paraId="127909F4" w14:textId="13D984C9" w:rsidR="003D12ED" w:rsidRPr="00452C36" w:rsidRDefault="00000000">
        <w:pPr>
          <w:pStyle w:val="Header"/>
          <w:jc w:val="right"/>
        </w:pPr>
      </w:p>
    </w:sdtContent>
  </w:sdt>
  <w:p w14:paraId="0E26F0F5" w14:textId="77777777" w:rsidR="003D12ED" w:rsidRPr="00452C36" w:rsidRDefault="003D12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567DE" w14:textId="30FCCA61" w:rsidR="000D5699" w:rsidRPr="00452C36" w:rsidRDefault="000D5699" w:rsidP="00B77361">
    <w:pPr>
      <w:pStyle w:val="BodyText"/>
      <w:spacing w:line="14" w:lineRule="auto"/>
      <w:rPr>
        <w:sz w:val="20"/>
      </w:rPr>
    </w:pPr>
    <w:bookmarkStart w:id="1" w:name="_Hlk162085018"/>
    <w:bookmarkStart w:id="2" w:name="_Hlk162085019"/>
    <w:bookmarkStart w:id="3" w:name="_Hlk162087322"/>
    <w:bookmarkStart w:id="4" w:name="_Hlk162087323"/>
  </w:p>
  <w:bookmarkEnd w:id="1"/>
  <w:bookmarkEnd w:id="2"/>
  <w:bookmarkEnd w:id="3"/>
  <w:bookmarkEnd w:id="4"/>
  <w:p w14:paraId="646E9493" w14:textId="77777777" w:rsidR="000D5699" w:rsidRPr="00452C36" w:rsidRDefault="000D569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B42077"/>
    <w:multiLevelType w:val="multilevel"/>
    <w:tmpl w:val="3820A07A"/>
    <w:lvl w:ilvl="0">
      <w:numFmt w:val="bullet"/>
      <w:lvlText w:val="●"/>
      <w:lvlJc w:val="left"/>
      <w:pPr>
        <w:ind w:left="498" w:hanging="358"/>
      </w:pPr>
      <w:rPr>
        <w:rFonts w:ascii="Noto Sans Symbols" w:eastAsia="Noto Sans Symbols" w:hAnsi="Noto Sans Symbols" w:cs="Noto Sans Symbols"/>
        <w:sz w:val="24"/>
        <w:szCs w:val="24"/>
      </w:rPr>
    </w:lvl>
    <w:lvl w:ilvl="1">
      <w:numFmt w:val="bullet"/>
      <w:lvlText w:val="•"/>
      <w:lvlJc w:val="left"/>
      <w:pPr>
        <w:ind w:left="1380" w:hanging="358"/>
      </w:pPr>
    </w:lvl>
    <w:lvl w:ilvl="2">
      <w:numFmt w:val="bullet"/>
      <w:lvlText w:val="•"/>
      <w:lvlJc w:val="left"/>
      <w:pPr>
        <w:ind w:left="2261" w:hanging="358"/>
      </w:pPr>
    </w:lvl>
    <w:lvl w:ilvl="3">
      <w:numFmt w:val="bullet"/>
      <w:lvlText w:val="•"/>
      <w:lvlJc w:val="left"/>
      <w:pPr>
        <w:ind w:left="3142" w:hanging="358"/>
      </w:pPr>
    </w:lvl>
    <w:lvl w:ilvl="4">
      <w:numFmt w:val="bullet"/>
      <w:lvlText w:val="•"/>
      <w:lvlJc w:val="left"/>
      <w:pPr>
        <w:ind w:left="4023" w:hanging="358"/>
      </w:pPr>
    </w:lvl>
    <w:lvl w:ilvl="5">
      <w:numFmt w:val="bullet"/>
      <w:lvlText w:val="•"/>
      <w:lvlJc w:val="left"/>
      <w:pPr>
        <w:ind w:left="4904" w:hanging="358"/>
      </w:pPr>
    </w:lvl>
    <w:lvl w:ilvl="6">
      <w:numFmt w:val="bullet"/>
      <w:lvlText w:val="•"/>
      <w:lvlJc w:val="left"/>
      <w:pPr>
        <w:ind w:left="5785" w:hanging="358"/>
      </w:pPr>
    </w:lvl>
    <w:lvl w:ilvl="7">
      <w:numFmt w:val="bullet"/>
      <w:lvlText w:val="•"/>
      <w:lvlJc w:val="left"/>
      <w:pPr>
        <w:ind w:left="6666" w:hanging="357"/>
      </w:pPr>
    </w:lvl>
    <w:lvl w:ilvl="8">
      <w:numFmt w:val="bullet"/>
      <w:lvlText w:val="•"/>
      <w:lvlJc w:val="left"/>
      <w:pPr>
        <w:ind w:left="7547" w:hanging="357"/>
      </w:pPr>
    </w:lvl>
  </w:abstractNum>
  <w:abstractNum w:abstractNumId="1" w15:restartNumberingAfterBreak="0">
    <w:nsid w:val="67DB0859"/>
    <w:multiLevelType w:val="hybridMultilevel"/>
    <w:tmpl w:val="E480A21E"/>
    <w:lvl w:ilvl="0" w:tplc="CC9AA422">
      <w:numFmt w:val="bullet"/>
      <w:lvlText w:val=""/>
      <w:lvlJc w:val="left"/>
      <w:pPr>
        <w:ind w:left="498" w:hanging="358"/>
      </w:pPr>
      <w:rPr>
        <w:rFonts w:ascii="Symbol" w:eastAsia="Symbol" w:hAnsi="Symbol" w:cs="Symbol" w:hint="default"/>
        <w:w w:val="100"/>
        <w:sz w:val="24"/>
        <w:szCs w:val="24"/>
        <w:lang w:val="id" w:eastAsia="en-US" w:bidi="ar-SA"/>
      </w:rPr>
    </w:lvl>
    <w:lvl w:ilvl="1" w:tplc="1B76D812">
      <w:numFmt w:val="bullet"/>
      <w:lvlText w:val="•"/>
      <w:lvlJc w:val="left"/>
      <w:pPr>
        <w:ind w:left="1380" w:hanging="358"/>
      </w:pPr>
      <w:rPr>
        <w:rFonts w:hint="default"/>
        <w:lang w:val="id" w:eastAsia="en-US" w:bidi="ar-SA"/>
      </w:rPr>
    </w:lvl>
    <w:lvl w:ilvl="2" w:tplc="AA8099D2">
      <w:numFmt w:val="bullet"/>
      <w:lvlText w:val="•"/>
      <w:lvlJc w:val="left"/>
      <w:pPr>
        <w:ind w:left="2261" w:hanging="358"/>
      </w:pPr>
      <w:rPr>
        <w:rFonts w:hint="default"/>
        <w:lang w:val="id" w:eastAsia="en-US" w:bidi="ar-SA"/>
      </w:rPr>
    </w:lvl>
    <w:lvl w:ilvl="3" w:tplc="8D266BAE">
      <w:numFmt w:val="bullet"/>
      <w:lvlText w:val="•"/>
      <w:lvlJc w:val="left"/>
      <w:pPr>
        <w:ind w:left="3142" w:hanging="358"/>
      </w:pPr>
      <w:rPr>
        <w:rFonts w:hint="default"/>
        <w:lang w:val="id" w:eastAsia="en-US" w:bidi="ar-SA"/>
      </w:rPr>
    </w:lvl>
    <w:lvl w:ilvl="4" w:tplc="499A246A">
      <w:numFmt w:val="bullet"/>
      <w:lvlText w:val="•"/>
      <w:lvlJc w:val="left"/>
      <w:pPr>
        <w:ind w:left="4023" w:hanging="358"/>
      </w:pPr>
      <w:rPr>
        <w:rFonts w:hint="default"/>
        <w:lang w:val="id" w:eastAsia="en-US" w:bidi="ar-SA"/>
      </w:rPr>
    </w:lvl>
    <w:lvl w:ilvl="5" w:tplc="5ABEB75E">
      <w:numFmt w:val="bullet"/>
      <w:lvlText w:val="•"/>
      <w:lvlJc w:val="left"/>
      <w:pPr>
        <w:ind w:left="4904" w:hanging="358"/>
      </w:pPr>
      <w:rPr>
        <w:rFonts w:hint="default"/>
        <w:lang w:val="id" w:eastAsia="en-US" w:bidi="ar-SA"/>
      </w:rPr>
    </w:lvl>
    <w:lvl w:ilvl="6" w:tplc="04463902">
      <w:numFmt w:val="bullet"/>
      <w:lvlText w:val="•"/>
      <w:lvlJc w:val="left"/>
      <w:pPr>
        <w:ind w:left="5785" w:hanging="358"/>
      </w:pPr>
      <w:rPr>
        <w:rFonts w:hint="default"/>
        <w:lang w:val="id" w:eastAsia="en-US" w:bidi="ar-SA"/>
      </w:rPr>
    </w:lvl>
    <w:lvl w:ilvl="7" w:tplc="5250473C">
      <w:numFmt w:val="bullet"/>
      <w:lvlText w:val="•"/>
      <w:lvlJc w:val="left"/>
      <w:pPr>
        <w:ind w:left="6666" w:hanging="358"/>
      </w:pPr>
      <w:rPr>
        <w:rFonts w:hint="default"/>
        <w:lang w:val="id" w:eastAsia="en-US" w:bidi="ar-SA"/>
      </w:rPr>
    </w:lvl>
    <w:lvl w:ilvl="8" w:tplc="281E81F6">
      <w:numFmt w:val="bullet"/>
      <w:lvlText w:val="•"/>
      <w:lvlJc w:val="left"/>
      <w:pPr>
        <w:ind w:left="7547" w:hanging="358"/>
      </w:pPr>
      <w:rPr>
        <w:rFonts w:hint="default"/>
        <w:lang w:val="id" w:eastAsia="en-US" w:bidi="ar-SA"/>
      </w:rPr>
    </w:lvl>
  </w:abstractNum>
  <w:abstractNum w:abstractNumId="2" w15:restartNumberingAfterBreak="0">
    <w:nsid w:val="7CAA47E4"/>
    <w:multiLevelType w:val="hybridMultilevel"/>
    <w:tmpl w:val="0840E69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899831694">
    <w:abstractNumId w:val="1"/>
  </w:num>
  <w:num w:numId="2" w16cid:durableId="44840708">
    <w:abstractNumId w:val="0"/>
  </w:num>
  <w:num w:numId="3" w16cid:durableId="7736692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127"/>
    <w:rsid w:val="00000BE1"/>
    <w:rsid w:val="000015E9"/>
    <w:rsid w:val="0001459C"/>
    <w:rsid w:val="000254A6"/>
    <w:rsid w:val="00036266"/>
    <w:rsid w:val="0004116B"/>
    <w:rsid w:val="000438C7"/>
    <w:rsid w:val="0006056C"/>
    <w:rsid w:val="00067C7E"/>
    <w:rsid w:val="000835FA"/>
    <w:rsid w:val="000865AA"/>
    <w:rsid w:val="000C41A7"/>
    <w:rsid w:val="000D5699"/>
    <w:rsid w:val="000F5B76"/>
    <w:rsid w:val="0016347D"/>
    <w:rsid w:val="001673C2"/>
    <w:rsid w:val="0018367C"/>
    <w:rsid w:val="001E05C7"/>
    <w:rsid w:val="001F5300"/>
    <w:rsid w:val="00200C39"/>
    <w:rsid w:val="00204188"/>
    <w:rsid w:val="00204EB4"/>
    <w:rsid w:val="00251894"/>
    <w:rsid w:val="00251D6A"/>
    <w:rsid w:val="00273F1A"/>
    <w:rsid w:val="0027661F"/>
    <w:rsid w:val="00282AE9"/>
    <w:rsid w:val="00304A6D"/>
    <w:rsid w:val="00317FAE"/>
    <w:rsid w:val="00347FBC"/>
    <w:rsid w:val="003640A6"/>
    <w:rsid w:val="003D12ED"/>
    <w:rsid w:val="003F299C"/>
    <w:rsid w:val="00412168"/>
    <w:rsid w:val="00451B61"/>
    <w:rsid w:val="00452C36"/>
    <w:rsid w:val="00455162"/>
    <w:rsid w:val="004A00C5"/>
    <w:rsid w:val="004A4AB1"/>
    <w:rsid w:val="004A6042"/>
    <w:rsid w:val="004F5BF7"/>
    <w:rsid w:val="00510684"/>
    <w:rsid w:val="00540BD7"/>
    <w:rsid w:val="00565971"/>
    <w:rsid w:val="005750B1"/>
    <w:rsid w:val="00585483"/>
    <w:rsid w:val="00593EAC"/>
    <w:rsid w:val="00596DD4"/>
    <w:rsid w:val="00597158"/>
    <w:rsid w:val="005A4E5C"/>
    <w:rsid w:val="005D3122"/>
    <w:rsid w:val="005E725A"/>
    <w:rsid w:val="00606B08"/>
    <w:rsid w:val="006318E8"/>
    <w:rsid w:val="0066413B"/>
    <w:rsid w:val="00683896"/>
    <w:rsid w:val="006B3271"/>
    <w:rsid w:val="006B676B"/>
    <w:rsid w:val="006F26C2"/>
    <w:rsid w:val="00700275"/>
    <w:rsid w:val="00752DE3"/>
    <w:rsid w:val="00756BEE"/>
    <w:rsid w:val="007A14DB"/>
    <w:rsid w:val="007B5483"/>
    <w:rsid w:val="007C0071"/>
    <w:rsid w:val="007C41F9"/>
    <w:rsid w:val="007D660A"/>
    <w:rsid w:val="007E4AA8"/>
    <w:rsid w:val="007E653D"/>
    <w:rsid w:val="007F1655"/>
    <w:rsid w:val="007F2144"/>
    <w:rsid w:val="0080108C"/>
    <w:rsid w:val="0082009D"/>
    <w:rsid w:val="00871BC2"/>
    <w:rsid w:val="0089236C"/>
    <w:rsid w:val="00895D99"/>
    <w:rsid w:val="008A243B"/>
    <w:rsid w:val="008B5B48"/>
    <w:rsid w:val="008D6B81"/>
    <w:rsid w:val="008F40F3"/>
    <w:rsid w:val="00932C10"/>
    <w:rsid w:val="00991640"/>
    <w:rsid w:val="009E14B2"/>
    <w:rsid w:val="00A0070B"/>
    <w:rsid w:val="00A110DC"/>
    <w:rsid w:val="00A14B00"/>
    <w:rsid w:val="00A323E6"/>
    <w:rsid w:val="00A72127"/>
    <w:rsid w:val="00A77B4F"/>
    <w:rsid w:val="00A93AED"/>
    <w:rsid w:val="00AB46C5"/>
    <w:rsid w:val="00AB473D"/>
    <w:rsid w:val="00AC40A5"/>
    <w:rsid w:val="00AD0A95"/>
    <w:rsid w:val="00AE5776"/>
    <w:rsid w:val="00B1177B"/>
    <w:rsid w:val="00B15C17"/>
    <w:rsid w:val="00B166BD"/>
    <w:rsid w:val="00B5604C"/>
    <w:rsid w:val="00B6198B"/>
    <w:rsid w:val="00B77361"/>
    <w:rsid w:val="00B922FB"/>
    <w:rsid w:val="00BA21BB"/>
    <w:rsid w:val="00BB71B4"/>
    <w:rsid w:val="00BC4BC1"/>
    <w:rsid w:val="00BC76A5"/>
    <w:rsid w:val="00BC7C1A"/>
    <w:rsid w:val="00BD0467"/>
    <w:rsid w:val="00BD2456"/>
    <w:rsid w:val="00BE1F59"/>
    <w:rsid w:val="00C14040"/>
    <w:rsid w:val="00C1584D"/>
    <w:rsid w:val="00C46E6C"/>
    <w:rsid w:val="00C668AC"/>
    <w:rsid w:val="00C73B1E"/>
    <w:rsid w:val="00C773C6"/>
    <w:rsid w:val="00C86005"/>
    <w:rsid w:val="00C942B3"/>
    <w:rsid w:val="00CE4A22"/>
    <w:rsid w:val="00CE74CF"/>
    <w:rsid w:val="00D07128"/>
    <w:rsid w:val="00D32083"/>
    <w:rsid w:val="00D34F45"/>
    <w:rsid w:val="00D37F03"/>
    <w:rsid w:val="00D73516"/>
    <w:rsid w:val="00D861DA"/>
    <w:rsid w:val="00D97A0A"/>
    <w:rsid w:val="00DB7507"/>
    <w:rsid w:val="00DD2C6B"/>
    <w:rsid w:val="00E2550C"/>
    <w:rsid w:val="00E27F01"/>
    <w:rsid w:val="00E62815"/>
    <w:rsid w:val="00E73CAC"/>
    <w:rsid w:val="00EB5022"/>
    <w:rsid w:val="00EE6082"/>
    <w:rsid w:val="00F10B1A"/>
    <w:rsid w:val="00F2637F"/>
    <w:rsid w:val="00F310AF"/>
    <w:rsid w:val="00F807F5"/>
    <w:rsid w:val="00F8177A"/>
    <w:rsid w:val="00FC7485"/>
    <w:rsid w:val="00FF713F"/>
  </w:rsids>
  <m:mathPr>
    <m:mathFont m:val="Cambria Math"/>
    <m:brkBin m:val="before"/>
    <m:brkBinSub m:val="--"/>
    <m:smallFrac m:val="0"/>
    <m:dispDef/>
    <m:lMargin m:val="0"/>
    <m:rMargin m:val="0"/>
    <m:defJc m:val="centerGroup"/>
    <m:wrapIndent m:val="1440"/>
    <m:intLim m:val="subSup"/>
    <m:naryLim m:val="undOvr"/>
  </m:mathPr>
  <w:themeFontLang w:val="en-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59724"/>
  <w15:docId w15:val="{0990C26F-BE78-465A-9D13-A05728CCC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noProof/>
      <w:lang w:val="en-ID"/>
    </w:rPr>
  </w:style>
  <w:style w:type="paragraph" w:styleId="Heading1">
    <w:name w:val="heading 1"/>
    <w:basedOn w:val="Normal"/>
    <w:uiPriority w:val="9"/>
    <w:qFormat/>
    <w:pPr>
      <w:ind w:left="1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3"/>
      <w:ind w:left="498" w:right="135" w:hanging="358"/>
    </w:pPr>
  </w:style>
  <w:style w:type="paragraph" w:customStyle="1" w:styleId="TableParagraph">
    <w:name w:val="Table Paragraph"/>
    <w:basedOn w:val="Normal"/>
    <w:uiPriority w:val="1"/>
    <w:qFormat/>
    <w:pPr>
      <w:spacing w:line="276" w:lineRule="exact"/>
      <w:ind w:left="110"/>
    </w:pPr>
  </w:style>
  <w:style w:type="paragraph" w:styleId="Header">
    <w:name w:val="header"/>
    <w:basedOn w:val="Normal"/>
    <w:link w:val="HeaderChar"/>
    <w:uiPriority w:val="99"/>
    <w:unhideWhenUsed/>
    <w:rsid w:val="00B77361"/>
    <w:pPr>
      <w:tabs>
        <w:tab w:val="center" w:pos="4513"/>
        <w:tab w:val="right" w:pos="9026"/>
      </w:tabs>
    </w:pPr>
  </w:style>
  <w:style w:type="character" w:customStyle="1" w:styleId="HeaderChar">
    <w:name w:val="Header Char"/>
    <w:basedOn w:val="DefaultParagraphFont"/>
    <w:link w:val="Header"/>
    <w:uiPriority w:val="99"/>
    <w:rsid w:val="00B77361"/>
    <w:rPr>
      <w:rFonts w:ascii="Times New Roman" w:eastAsia="Times New Roman" w:hAnsi="Times New Roman" w:cs="Times New Roman"/>
      <w:lang w:val="id"/>
    </w:rPr>
  </w:style>
  <w:style w:type="paragraph" w:styleId="Footer">
    <w:name w:val="footer"/>
    <w:basedOn w:val="Normal"/>
    <w:link w:val="FooterChar"/>
    <w:uiPriority w:val="99"/>
    <w:unhideWhenUsed/>
    <w:rsid w:val="00B77361"/>
    <w:pPr>
      <w:tabs>
        <w:tab w:val="center" w:pos="4513"/>
        <w:tab w:val="right" w:pos="9026"/>
      </w:tabs>
    </w:pPr>
  </w:style>
  <w:style w:type="character" w:customStyle="1" w:styleId="FooterChar">
    <w:name w:val="Footer Char"/>
    <w:basedOn w:val="DefaultParagraphFont"/>
    <w:link w:val="Footer"/>
    <w:uiPriority w:val="99"/>
    <w:rsid w:val="00B77361"/>
    <w:rPr>
      <w:rFonts w:ascii="Times New Roman" w:eastAsia="Times New Roman" w:hAnsi="Times New Roman" w:cs="Times New Roman"/>
      <w:lang w:val="id"/>
    </w:rPr>
  </w:style>
  <w:style w:type="table" w:styleId="TableGrid">
    <w:name w:val="Table Grid"/>
    <w:basedOn w:val="TableNormal"/>
    <w:uiPriority w:val="39"/>
    <w:rsid w:val="00B922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835FA"/>
    <w:rPr>
      <w:color w:val="0000FF" w:themeColor="hyperlink"/>
      <w:u w:val="single"/>
    </w:rPr>
  </w:style>
  <w:style w:type="character" w:styleId="UnresolvedMention">
    <w:name w:val="Unresolved Mention"/>
    <w:basedOn w:val="DefaultParagraphFont"/>
    <w:uiPriority w:val="99"/>
    <w:semiHidden/>
    <w:unhideWhenUsed/>
    <w:rsid w:val="000835FA"/>
    <w:rPr>
      <w:color w:val="605E5C"/>
      <w:shd w:val="clear" w:color="auto" w:fill="E1DFDD"/>
    </w:rPr>
  </w:style>
  <w:style w:type="character" w:styleId="FollowedHyperlink">
    <w:name w:val="FollowedHyperlink"/>
    <w:basedOn w:val="DefaultParagraphFont"/>
    <w:uiPriority w:val="99"/>
    <w:semiHidden/>
    <w:unhideWhenUsed/>
    <w:rsid w:val="007F1655"/>
    <w:rPr>
      <w:color w:val="800080" w:themeColor="followedHyperlink"/>
      <w:u w:val="single"/>
    </w:rPr>
  </w:style>
  <w:style w:type="paragraph" w:styleId="FootnoteText">
    <w:name w:val="footnote text"/>
    <w:basedOn w:val="Normal"/>
    <w:link w:val="FootnoteTextChar"/>
    <w:uiPriority w:val="99"/>
    <w:semiHidden/>
    <w:unhideWhenUsed/>
    <w:rsid w:val="001F5300"/>
    <w:pPr>
      <w:widowControl/>
      <w:autoSpaceDE/>
      <w:autoSpaceDN/>
    </w:pPr>
    <w:rPr>
      <w:rFonts w:asciiTheme="minorHAnsi" w:eastAsiaTheme="minorHAnsi" w:hAnsiTheme="minorHAnsi" w:cstheme="minorBidi"/>
      <w:sz w:val="20"/>
      <w:szCs w:val="20"/>
      <w:lang w:val="id-ID"/>
    </w:rPr>
  </w:style>
  <w:style w:type="character" w:customStyle="1" w:styleId="FootnoteTextChar">
    <w:name w:val="Footnote Text Char"/>
    <w:basedOn w:val="DefaultParagraphFont"/>
    <w:link w:val="FootnoteText"/>
    <w:uiPriority w:val="99"/>
    <w:semiHidden/>
    <w:rsid w:val="001F5300"/>
    <w:rPr>
      <w:sz w:val="20"/>
      <w:szCs w:val="20"/>
      <w:lang w:val="id-ID"/>
    </w:rPr>
  </w:style>
  <w:style w:type="character" w:styleId="FootnoteReference">
    <w:name w:val="footnote reference"/>
    <w:basedOn w:val="DefaultParagraphFont"/>
    <w:uiPriority w:val="99"/>
    <w:semiHidden/>
    <w:unhideWhenUsed/>
    <w:rsid w:val="001F5300"/>
    <w:rPr>
      <w:vertAlign w:val="superscript"/>
    </w:rPr>
  </w:style>
  <w:style w:type="character" w:styleId="EndnoteReference">
    <w:name w:val="endnote reference"/>
    <w:basedOn w:val="DefaultParagraphFont"/>
    <w:uiPriority w:val="99"/>
    <w:semiHidden/>
    <w:unhideWhenUsed/>
    <w:rsid w:val="00593E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uinsu.ac.id/index.php/ibnabba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nirtaq@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uhammad_roni@iainlangsa.ac.id"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665F6-BE91-4483-A548-F6EFC7A39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4863</Words>
  <Characters>27723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Penggalan Judul Artikel (10 point)</vt:lpstr>
    </vt:vector>
  </TitlesOfParts>
  <Company/>
  <LinksUpToDate>false</LinksUpToDate>
  <CharactersWithSpaces>32521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Penggalan Judul Artikel (10 point)</dc:title>
  <dc:creator>hp</dc:creator>
  <cp:keywords>template;panduan;jurnal</cp:keywords>
  <cp:lastModifiedBy>Nur Fadhillah</cp:lastModifiedBy>
  <cp:revision>2</cp:revision>
  <cp:lastPrinted>2026-05-31T12:51:00Z</cp:lastPrinted>
  <dcterms:created xsi:type="dcterms:W3CDTF">2026-06-06T08:54:00Z</dcterms:created>
  <dcterms:modified xsi:type="dcterms:W3CDTF">2026-06-06T08:54:00Z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2019-08-08T00:00:00Z</vt:filetime>
  </property>
  <property fmtid="{D5CDD505-2E9C-101B-9397-08002B2CF9AE}" pid="3" name="Creator">
    <vt:lpwstr>Microsoft® Word 2016</vt:lpwstr>
  </property>
  <property fmtid="{D5CDD505-2E9C-101B-9397-08002B2CF9AE}" pid="4" name="LastSaved">
    <vt:filetime>2024-12-11T00:00:00Z</vt:filetime>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 edition</vt:lpwstr>
  </property>
  <property fmtid="{D5CDD505-2E9C-101B-9397-08002B2CF9AE}" pid="9" name="Mendeley Recent Style Id 2_1">
    <vt:lpwstr>http://www.zotero.org/styles/chicago-notes-bibliography-16th-edition</vt:lpwstr>
  </property>
  <property fmtid="{D5CDD505-2E9C-101B-9397-08002B2CF9AE}" pid="10" name="Mendeley Recent Style Name 2_1">
    <vt:lpwstr>Chicago Manual of Style 16th edition (notes and bibliography)</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Mendeley Document_1">
    <vt:lpwstr>True</vt:lpwstr>
  </property>
  <property fmtid="{D5CDD505-2E9C-101B-9397-08002B2CF9AE}" pid="26" name="Mendeley Unique User Id_1">
    <vt:lpwstr>cf198a88-ecc7-3687-8888-331e720b3a91</vt:lpwstr>
  </property>
  <property fmtid="{D5CDD505-2E9C-101B-9397-08002B2CF9AE}" pid="27" name="Mendeley Citation Style_1">
    <vt:lpwstr>http://www.zotero.org/styles/chicago-fullnote-bibliography</vt:lpwstr>
  </property>
</Properties>
</file>