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1FBAC" w14:textId="77777777" w:rsidR="00CC3434" w:rsidRPr="00BB18FE" w:rsidRDefault="00CC3434" w:rsidP="00CC3434">
      <w:pPr>
        <w:spacing w:after="0" w:line="240" w:lineRule="auto"/>
        <w:jc w:val="center"/>
        <w:rPr>
          <w:rFonts w:asciiTheme="majorBidi" w:hAnsiTheme="majorBidi" w:cstheme="majorBidi"/>
          <w:b/>
          <w:sz w:val="28"/>
          <w:szCs w:val="28"/>
        </w:rPr>
      </w:pPr>
      <w:r w:rsidRPr="00BB18FE">
        <w:rPr>
          <w:rFonts w:asciiTheme="majorBidi" w:hAnsiTheme="majorBidi" w:cstheme="majorBidi"/>
          <w:b/>
          <w:sz w:val="28"/>
          <w:szCs w:val="28"/>
        </w:rPr>
        <w:t>Ihya Al-Arabiyah; Jurnal Pendidikan Bahasa dan Sastra Arab</w:t>
      </w:r>
    </w:p>
    <w:p w14:paraId="37E0B7DE" w14:textId="77777777" w:rsidR="00CC3434" w:rsidRPr="00FC29E3" w:rsidRDefault="00CC3434" w:rsidP="00CC3434">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Vol. 3 No. 1 April 202</w:t>
      </w:r>
      <w:r w:rsidRPr="00FC29E3">
        <w:rPr>
          <w:rFonts w:asciiTheme="majorBidi" w:hAnsiTheme="majorBidi" w:cstheme="majorBidi"/>
          <w:bCs/>
          <w:sz w:val="24"/>
          <w:szCs w:val="24"/>
          <w:lang w:val="id-ID"/>
        </w:rPr>
        <w:t>5</w:t>
      </w:r>
    </w:p>
    <w:p w14:paraId="42FA8F51" w14:textId="77777777" w:rsidR="00CC3434" w:rsidRPr="00FC29E3" w:rsidRDefault="00CC3434" w:rsidP="00CC3434">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1295BC1C" w14:textId="1685771C" w:rsidR="008D263B" w:rsidRPr="00C12593" w:rsidRDefault="00CC3434" w:rsidP="00C1259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lang w:val="id-ID"/>
        </w:rPr>
        <w:t>DOI</w:t>
      </w:r>
      <w:r w:rsidRPr="00FC29E3">
        <w:rPr>
          <w:rFonts w:asciiTheme="majorBidi" w:hAnsiTheme="majorBidi" w:cstheme="majorBidi"/>
          <w:bCs/>
          <w:sz w:val="24"/>
          <w:szCs w:val="24"/>
        </w:rPr>
        <w:t xml:space="preserve">: </w:t>
      </w:r>
      <w:r>
        <w:rPr>
          <w:rFonts w:asciiTheme="majorBidi" w:hAnsiTheme="majorBidi" w:cstheme="majorBidi"/>
          <w:sz w:val="24"/>
          <w:szCs w:val="24"/>
        </w:rPr>
        <w:t>https://doi.org/xxxx-xxxx</w:t>
      </w:r>
    </w:p>
    <w:p w14:paraId="155E46DB" w14:textId="77777777" w:rsidR="008D263B" w:rsidRPr="00FD7516" w:rsidRDefault="008D263B" w:rsidP="008D263B">
      <w:pPr>
        <w:spacing w:after="0" w:line="240" w:lineRule="auto"/>
        <w:jc w:val="center"/>
        <w:rPr>
          <w:rFonts w:ascii="Garamond" w:hAnsi="Garamond" w:cs="Times New Roman"/>
          <w:b/>
          <w:sz w:val="24"/>
          <w:szCs w:val="24"/>
        </w:rPr>
      </w:pPr>
    </w:p>
    <w:p w14:paraId="5CD0FA60" w14:textId="77777777" w:rsidR="008D263B" w:rsidRPr="00CC3434" w:rsidRDefault="008D263B" w:rsidP="008D263B">
      <w:pPr>
        <w:spacing w:after="0" w:line="240" w:lineRule="auto"/>
        <w:jc w:val="center"/>
        <w:rPr>
          <w:rStyle w:val="y2iqfc"/>
          <w:rFonts w:ascii="Garamond" w:hAnsi="Garamond" w:cs="Times New Roman"/>
          <w:b/>
          <w:bCs/>
          <w:color w:val="1F1F1F"/>
          <w:sz w:val="28"/>
          <w:szCs w:val="28"/>
          <w:lang w:val="en" w:eastAsia="en-ID"/>
        </w:rPr>
      </w:pPr>
      <w:r w:rsidRPr="00CC3434">
        <w:rPr>
          <w:rStyle w:val="y2iqfc"/>
          <w:rFonts w:ascii="Garamond" w:hAnsi="Garamond" w:cs="Times New Roman"/>
          <w:b/>
          <w:bCs/>
          <w:color w:val="1F1F1F"/>
          <w:sz w:val="28"/>
          <w:szCs w:val="28"/>
          <w:lang w:val="en" w:eastAsia="en-ID"/>
        </w:rPr>
        <w:t>ANALYSIS OF MAHARAH QIRA’AH ABILITY OF GRADE IX MTS ALI IMRON NON-ARABICS LEARNING</w:t>
      </w:r>
    </w:p>
    <w:p w14:paraId="58222544" w14:textId="77777777" w:rsidR="008D263B" w:rsidRPr="00B9191E" w:rsidRDefault="008D263B" w:rsidP="008D263B">
      <w:pPr>
        <w:spacing w:after="0" w:line="240" w:lineRule="auto"/>
        <w:jc w:val="center"/>
        <w:rPr>
          <w:rFonts w:ascii="Garamond" w:hAnsi="Garamond" w:cs="Times New Roman"/>
          <w:sz w:val="24"/>
          <w:szCs w:val="24"/>
          <w:lang w:val="en-ID"/>
        </w:rPr>
      </w:pPr>
    </w:p>
    <w:p w14:paraId="30FC8D3A" w14:textId="77777777" w:rsidR="008D263B" w:rsidRPr="004A37DF" w:rsidRDefault="008D263B" w:rsidP="008D263B">
      <w:pPr>
        <w:spacing w:after="0" w:line="240" w:lineRule="auto"/>
        <w:jc w:val="center"/>
        <w:rPr>
          <w:rFonts w:ascii="Garamond" w:hAnsi="Garamond"/>
          <w:sz w:val="24"/>
          <w:szCs w:val="24"/>
          <w:lang w:val="id-ID"/>
        </w:rPr>
      </w:pPr>
      <w:r w:rsidRPr="004A37DF">
        <w:rPr>
          <w:rFonts w:ascii="Garamond" w:hAnsi="Garamond" w:cs="Times New Roman"/>
          <w:b/>
          <w:bCs/>
          <w:sz w:val="24"/>
          <w:szCs w:val="24"/>
          <w:lang w:val="id-ID"/>
        </w:rPr>
        <w:t>Zulfahri Pranata Damanik, Sahkholid Nasution</w:t>
      </w:r>
    </w:p>
    <w:p w14:paraId="3E12212A" w14:textId="77777777" w:rsidR="00A4126C" w:rsidRPr="00E346BE" w:rsidRDefault="00A4126C" w:rsidP="00A4126C">
      <w:pPr>
        <w:spacing w:after="0" w:line="240" w:lineRule="auto"/>
        <w:jc w:val="center"/>
        <w:rPr>
          <w:rFonts w:asciiTheme="majorBidi" w:eastAsiaTheme="majorEastAsia" w:hAnsiTheme="majorBidi" w:cstheme="majorBidi"/>
          <w:bCs/>
          <w:i/>
          <w:iCs/>
          <w:sz w:val="24"/>
          <w:szCs w:val="24"/>
        </w:rPr>
      </w:pPr>
      <w:r w:rsidRPr="007B2F90">
        <w:rPr>
          <w:rFonts w:asciiTheme="majorBidi" w:hAnsiTheme="majorBidi" w:cstheme="majorBidi"/>
          <w:i/>
          <w:iCs/>
          <w:sz w:val="24"/>
          <w:szCs w:val="24"/>
        </w:rPr>
        <w:t>State Islamic University of North Sumatra, Medan, Indonesia</w:t>
      </w:r>
      <w:r>
        <w:rPr>
          <w:rFonts w:ascii="Garamond" w:hAnsi="Garamond" w:cs="Times New Roman"/>
          <w:sz w:val="24"/>
          <w:szCs w:val="24"/>
        </w:rPr>
        <w:tab/>
      </w:r>
    </w:p>
    <w:p w14:paraId="5CF6B635" w14:textId="588F23D2" w:rsidR="00CC3434" w:rsidRPr="00C12593" w:rsidRDefault="00A4126C" w:rsidP="00A4126C">
      <w:pPr>
        <w:spacing w:after="0" w:line="240" w:lineRule="auto"/>
        <w:jc w:val="center"/>
        <w:rPr>
          <w:rFonts w:ascii="Garamond" w:hAnsi="Garamond" w:cs="Times New Roman"/>
          <w:i/>
          <w:iCs/>
          <w:color w:val="0563C1"/>
          <w:sz w:val="24"/>
          <w:szCs w:val="24"/>
          <w:u w:val="single"/>
          <w:lang w:val="id-ID"/>
        </w:rPr>
      </w:pPr>
      <w:r w:rsidRPr="00FC29E3">
        <w:rPr>
          <w:rFonts w:asciiTheme="majorBidi" w:eastAsiaTheme="majorEastAsia" w:hAnsiTheme="majorBidi" w:cstheme="majorBidi"/>
          <w:i/>
          <w:iCs/>
          <w:sz w:val="24"/>
          <w:szCs w:val="24"/>
        </w:rPr>
        <w:t xml:space="preserve">Corresponding </w:t>
      </w:r>
      <w:proofErr w:type="gramStart"/>
      <w:r w:rsidRPr="00FC29E3">
        <w:rPr>
          <w:rFonts w:asciiTheme="majorBidi" w:eastAsiaTheme="majorEastAsia" w:hAnsiTheme="majorBidi" w:cstheme="majorBidi"/>
          <w:i/>
          <w:iCs/>
          <w:sz w:val="24"/>
          <w:szCs w:val="24"/>
        </w:rPr>
        <w:t>E-mail</w:t>
      </w:r>
      <w:r w:rsidRPr="004A37DF">
        <w:rPr>
          <w:rFonts w:ascii="Garamond" w:hAnsi="Garamond" w:cs="Times New Roman"/>
          <w:i/>
          <w:iCs/>
          <w:sz w:val="24"/>
          <w:szCs w:val="24"/>
          <w:lang w:val="id-ID"/>
        </w:rPr>
        <w:t xml:space="preserve"> :</w:t>
      </w:r>
      <w:proofErr w:type="gramEnd"/>
      <w:r w:rsidRPr="004A37DF">
        <w:rPr>
          <w:rFonts w:ascii="Garamond" w:hAnsi="Garamond" w:cs="Times New Roman"/>
          <w:i/>
          <w:iCs/>
          <w:sz w:val="24"/>
          <w:szCs w:val="24"/>
          <w:lang w:val="id-ID"/>
        </w:rPr>
        <w:t xml:space="preserve"> </w:t>
      </w:r>
      <w:hyperlink r:id="rId8" w:history="1">
        <w:r w:rsidRPr="00DF7305">
          <w:rPr>
            <w:rStyle w:val="Hyperlink"/>
            <w:rFonts w:ascii="Garamond" w:hAnsi="Garamond"/>
            <w:i/>
            <w:iCs/>
            <w:sz w:val="24"/>
            <w:szCs w:val="24"/>
            <w:lang w:val="id-ID"/>
          </w:rPr>
          <w:t>zulfahri0302203056@uinsu.ac.id</w:t>
        </w:r>
      </w:hyperlink>
    </w:p>
    <w:tbl>
      <w:tblPr>
        <w:tblW w:w="9576"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CC3434" w:rsidRPr="00FC29E3" w14:paraId="7509816C" w14:textId="77777777" w:rsidTr="00CC3434">
        <w:trPr>
          <w:cantSplit/>
          <w:tblHeader/>
        </w:trPr>
        <w:tc>
          <w:tcPr>
            <w:tcW w:w="9576" w:type="dxa"/>
            <w:tcBorders>
              <w:top w:val="single" w:sz="18" w:space="0" w:color="000000"/>
              <w:bottom w:val="single" w:sz="12" w:space="0" w:color="000000"/>
            </w:tcBorders>
          </w:tcPr>
          <w:p w14:paraId="7FB8F12E" w14:textId="77777777" w:rsidR="00CC3434" w:rsidRPr="0050246D" w:rsidRDefault="00CC3434" w:rsidP="00FD45C5">
            <w:pPr>
              <w:pStyle w:val="Heading1"/>
              <w:spacing w:before="0" w:line="240" w:lineRule="auto"/>
              <w:rPr>
                <w:rFonts w:asciiTheme="majorBidi" w:hAnsiTheme="majorBidi"/>
                <w:b/>
                <w:bCs/>
                <w:color w:val="auto"/>
                <w:sz w:val="24"/>
                <w:szCs w:val="24"/>
              </w:rPr>
            </w:pPr>
            <w:r w:rsidRPr="0050246D">
              <w:rPr>
                <w:rFonts w:asciiTheme="majorBidi" w:hAnsiTheme="majorBidi"/>
                <w:b/>
                <w:bCs/>
                <w:color w:val="auto"/>
                <w:sz w:val="24"/>
                <w:szCs w:val="24"/>
              </w:rPr>
              <w:t>ABSTRACT</w:t>
            </w:r>
          </w:p>
        </w:tc>
      </w:tr>
      <w:tr w:rsidR="00CC3434" w:rsidRPr="00FC29E3" w14:paraId="6D0CA490" w14:textId="77777777" w:rsidTr="00CC3434">
        <w:trPr>
          <w:cantSplit/>
          <w:tblHeader/>
        </w:trPr>
        <w:tc>
          <w:tcPr>
            <w:tcW w:w="9576" w:type="dxa"/>
            <w:tcBorders>
              <w:top w:val="single" w:sz="18" w:space="0" w:color="000000"/>
              <w:bottom w:val="single" w:sz="12" w:space="0" w:color="000000"/>
            </w:tcBorders>
          </w:tcPr>
          <w:p w14:paraId="337F1BF5" w14:textId="1AF1D2AC" w:rsidR="00A4126C" w:rsidRDefault="00A4126C" w:rsidP="00A4126C">
            <w:pPr>
              <w:spacing w:after="0" w:line="240" w:lineRule="auto"/>
              <w:jc w:val="both"/>
              <w:rPr>
                <w:rFonts w:asciiTheme="majorBidi" w:hAnsiTheme="majorBidi" w:cstheme="majorBidi"/>
                <w:sz w:val="24"/>
                <w:szCs w:val="24"/>
              </w:rPr>
            </w:pPr>
            <w:r w:rsidRPr="007E561B">
              <w:rPr>
                <w:rFonts w:asciiTheme="majorBidi" w:hAnsiTheme="majorBidi" w:cstheme="majorBidi"/>
                <w:sz w:val="24"/>
                <w:szCs w:val="24"/>
              </w:rPr>
              <w:t>This study aims to analyze the maharah qira’ah (Arabic reading skills) of ninth-grade students at MTs Ali Imron from the perspective of Arabic language teaching theories for non-native speakers. The research is motivated by the low level of students’ reading competence, particularly in reading fluency, comprehension of sentence structures, and vocabulary mastery. This study employs a descriptive qualitative approach, with data collected through classroom observations, in-depth interviews with teachers and students, and documentation of learning activities and assessment results. The findings indicate that most students’ maharah qira’ah abilities remain at a low to lower-intermediate level. Students experience difficulties in accurate pronunciation, understanding grammatical structures, and interpreting the meaning of Arabic texts contextually.</w:t>
            </w:r>
            <w:r>
              <w:rPr>
                <w:rFonts w:asciiTheme="majorBidi" w:hAnsiTheme="majorBidi" w:cstheme="majorBidi"/>
                <w:sz w:val="24"/>
                <w:szCs w:val="24"/>
                <w:lang w:val="id-ID"/>
              </w:rPr>
              <w:t xml:space="preserve"> </w:t>
            </w:r>
            <w:r w:rsidRPr="007E561B">
              <w:rPr>
                <w:rFonts w:asciiTheme="majorBidi" w:hAnsiTheme="majorBidi" w:cstheme="majorBidi"/>
                <w:sz w:val="24"/>
                <w:szCs w:val="24"/>
              </w:rPr>
              <w:t>These challenges are influenced by several factors, including teacher-centered instructional methods, limited opportunities for intensive reading practice, low learning motivation, and minimal exposure to authentic Arabic texts. The study concludes that the implementation of communicative, contextual, and student-centered teaching strategies is essential to improve students’ reading competence. Integrating varied learning media and providing meaningful reading activities can enhance students’ motivation and effectiveness in learning maharah qira’ah for non-native Arabic learners.</w:t>
            </w:r>
          </w:p>
          <w:p w14:paraId="39C31CC9" w14:textId="77777777" w:rsidR="0050246D" w:rsidRPr="0050246D" w:rsidRDefault="0050246D" w:rsidP="00C12593">
            <w:pPr>
              <w:spacing w:after="0" w:line="240" w:lineRule="auto"/>
              <w:jc w:val="both"/>
              <w:rPr>
                <w:rFonts w:asciiTheme="majorBidi" w:hAnsiTheme="majorBidi" w:cstheme="majorBidi"/>
                <w:color w:val="000000"/>
                <w:sz w:val="28"/>
                <w:szCs w:val="28"/>
              </w:rPr>
            </w:pPr>
          </w:p>
          <w:p w14:paraId="637DD2CB" w14:textId="716389BB" w:rsidR="00C12593" w:rsidRPr="0050246D" w:rsidRDefault="00CC3434" w:rsidP="000C4459">
            <w:pPr>
              <w:spacing w:line="240" w:lineRule="auto"/>
              <w:jc w:val="both"/>
              <w:rPr>
                <w:rFonts w:ascii="Garamond" w:hAnsi="Garamond"/>
                <w:i/>
                <w:iCs/>
                <w:sz w:val="24"/>
                <w:szCs w:val="24"/>
                <w:lang w:val="id-ID"/>
              </w:rPr>
            </w:pPr>
            <w:r w:rsidRPr="00C12593">
              <w:rPr>
                <w:rFonts w:asciiTheme="majorBidi" w:hAnsiTheme="majorBidi" w:cstheme="majorBidi"/>
                <w:color w:val="000000"/>
                <w:sz w:val="24"/>
                <w:szCs w:val="24"/>
              </w:rPr>
              <w:t xml:space="preserve">Keywords: </w:t>
            </w:r>
            <w:r w:rsidR="0050246D" w:rsidRPr="007A456F">
              <w:rPr>
                <w:rFonts w:asciiTheme="majorBidi" w:hAnsiTheme="majorBidi" w:cstheme="majorBidi"/>
                <w:i/>
                <w:iCs/>
                <w:sz w:val="24"/>
                <w:szCs w:val="24"/>
              </w:rPr>
              <w:t>Arabic Language Teaching</w:t>
            </w:r>
            <w:r w:rsidR="0050246D" w:rsidRPr="007A456F">
              <w:rPr>
                <w:rFonts w:asciiTheme="majorBidi" w:hAnsiTheme="majorBidi" w:cstheme="majorBidi"/>
                <w:i/>
                <w:iCs/>
                <w:sz w:val="24"/>
                <w:szCs w:val="24"/>
                <w:lang w:val="id-ID"/>
              </w:rPr>
              <w:t xml:space="preserve">, </w:t>
            </w:r>
            <w:r w:rsidR="00C12593" w:rsidRPr="007A456F">
              <w:rPr>
                <w:rFonts w:asciiTheme="majorBidi" w:hAnsiTheme="majorBidi" w:cstheme="majorBidi"/>
                <w:i/>
                <w:iCs/>
                <w:sz w:val="24"/>
                <w:szCs w:val="24"/>
              </w:rPr>
              <w:t>Maharah Qira’ah,</w:t>
            </w:r>
            <w:r w:rsidR="0050246D" w:rsidRPr="007A456F">
              <w:rPr>
                <w:rFonts w:asciiTheme="majorBidi" w:hAnsiTheme="majorBidi" w:cstheme="majorBidi"/>
                <w:i/>
                <w:iCs/>
                <w:sz w:val="24"/>
                <w:szCs w:val="24"/>
                <w:lang w:val="id-ID"/>
              </w:rPr>
              <w:t xml:space="preserve"> Non-Native Speaker, Reading Skill, Teaching Strategies.</w:t>
            </w:r>
          </w:p>
        </w:tc>
      </w:tr>
      <w:tr w:rsidR="00CC3434" w:rsidRPr="00FC29E3" w14:paraId="66A0D92E" w14:textId="77777777" w:rsidTr="00CC3434">
        <w:trPr>
          <w:cantSplit/>
          <w:tblHeader/>
        </w:trPr>
        <w:tc>
          <w:tcPr>
            <w:tcW w:w="9576" w:type="dxa"/>
            <w:tcBorders>
              <w:top w:val="single" w:sz="12" w:space="0" w:color="000000"/>
              <w:bottom w:val="single" w:sz="18" w:space="0" w:color="000000"/>
            </w:tcBorders>
            <w:vAlign w:val="center"/>
          </w:tcPr>
          <w:p w14:paraId="19121AF5" w14:textId="77777777" w:rsidR="00CC3434" w:rsidRPr="00FC29E3" w:rsidRDefault="00CC3434" w:rsidP="00FD45C5">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59264" behindDoc="1" locked="0" layoutInCell="1" allowOverlap="1" wp14:anchorId="43B8B20C" wp14:editId="1F934543">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544203734"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Pr="00FC29E3">
              <w:rPr>
                <w:rFonts w:asciiTheme="majorBidi" w:hAnsiTheme="majorBidi" w:cstheme="majorBidi"/>
                <w:highlight w:val="white"/>
              </w:rPr>
              <w:t>This work is licensed under Creative Commons Attribution License 4.0 CC-BY International license</w:t>
            </w:r>
            <w:r w:rsidRPr="00FC29E3">
              <w:rPr>
                <w:rFonts w:asciiTheme="majorBidi" w:hAnsiTheme="majorBidi" w:cstheme="majorBidi"/>
              </w:rPr>
              <w:t xml:space="preserve"> E- ISSN</w:t>
            </w:r>
            <w:r w:rsidRPr="00FC29E3">
              <w:rPr>
                <w:rFonts w:asciiTheme="majorBidi" w:hAnsiTheme="majorBidi" w:cstheme="majorBidi"/>
                <w:lang w:val="id-ID"/>
              </w:rPr>
              <w:t>:</w:t>
            </w:r>
            <w:r w:rsidRPr="00FC29E3">
              <w:rPr>
                <w:rFonts w:asciiTheme="majorBidi" w:hAnsiTheme="majorBidi" w:cstheme="majorBidi"/>
              </w:rPr>
              <w:t xml:space="preserve"> 2</w:t>
            </w:r>
            <w:r w:rsidRPr="00FC29E3">
              <w:rPr>
                <w:rFonts w:asciiTheme="majorBidi" w:hAnsiTheme="majorBidi" w:cstheme="majorBidi"/>
                <w:lang w:val="id-ID"/>
              </w:rPr>
              <w:t>987</w:t>
            </w:r>
            <w:r w:rsidRPr="00FC29E3">
              <w:rPr>
                <w:rFonts w:asciiTheme="majorBidi" w:hAnsiTheme="majorBidi" w:cstheme="majorBidi"/>
              </w:rPr>
              <w:t>-</w:t>
            </w:r>
            <w:r w:rsidRPr="00FC29E3">
              <w:rPr>
                <w:rFonts w:asciiTheme="majorBidi" w:hAnsiTheme="majorBidi" w:cstheme="majorBidi"/>
                <w:lang w:val="id-ID"/>
              </w:rPr>
              <w:t>0909</w:t>
            </w:r>
            <w:r w:rsidRPr="00FC29E3">
              <w:rPr>
                <w:rFonts w:asciiTheme="majorBidi" w:hAnsiTheme="majorBidi" w:cstheme="majorBidi"/>
              </w:rPr>
              <w:t>, DOI: 10.</w:t>
            </w:r>
            <w:r w:rsidRPr="00FC29E3">
              <w:rPr>
                <w:rFonts w:asciiTheme="majorBidi" w:hAnsiTheme="majorBidi" w:cstheme="majorBidi"/>
                <w:lang w:val="id-ID"/>
              </w:rPr>
              <w:t>59548</w:t>
            </w:r>
            <w:r w:rsidRPr="00FC29E3">
              <w:rPr>
                <w:rFonts w:asciiTheme="majorBidi" w:hAnsiTheme="majorBidi" w:cstheme="majorBidi"/>
              </w:rPr>
              <w:t>/</w:t>
            </w:r>
            <w:proofErr w:type="gramStart"/>
            <w:r w:rsidRPr="00FC29E3">
              <w:rPr>
                <w:rFonts w:asciiTheme="majorBidi" w:hAnsiTheme="majorBidi" w:cstheme="majorBidi"/>
                <w:lang w:val="id-ID"/>
              </w:rPr>
              <w:t>je.</w:t>
            </w:r>
            <w:r w:rsidRPr="00FC29E3">
              <w:rPr>
                <w:rFonts w:asciiTheme="majorBidi" w:hAnsiTheme="majorBidi" w:cstheme="majorBidi"/>
              </w:rPr>
              <w:t>v</w:t>
            </w:r>
            <w:r w:rsidRPr="00FC29E3">
              <w:rPr>
                <w:rFonts w:asciiTheme="majorBidi" w:hAnsiTheme="majorBidi" w:cstheme="majorBidi"/>
                <w:lang w:val="id-ID"/>
              </w:rPr>
              <w:t>3i1.xx</w:t>
            </w:r>
            <w:proofErr w:type="gramEnd"/>
          </w:p>
        </w:tc>
      </w:tr>
    </w:tbl>
    <w:p w14:paraId="4E9DA83F" w14:textId="77777777" w:rsidR="008D263B" w:rsidRPr="00AD5960" w:rsidRDefault="008D263B" w:rsidP="008D263B">
      <w:pPr>
        <w:bidi/>
        <w:spacing w:after="0" w:line="240" w:lineRule="auto"/>
        <w:jc w:val="both"/>
        <w:rPr>
          <w:rFonts w:ascii="Traditional Arabic" w:hAnsi="Traditional Arabic" w:cs="Traditional Arabic"/>
        </w:rPr>
      </w:pPr>
    </w:p>
    <w:p w14:paraId="1FCFC795" w14:textId="77777777" w:rsidR="007A456F" w:rsidRDefault="007A456F" w:rsidP="00274849">
      <w:pPr>
        <w:bidi/>
        <w:spacing w:after="0" w:line="276" w:lineRule="auto"/>
        <w:rPr>
          <w:rFonts w:ascii="Traditional Arabic" w:hAnsi="Traditional Arabic" w:cs="Traditional Arabic"/>
          <w:bCs/>
          <w:sz w:val="36"/>
          <w:szCs w:val="36"/>
          <w:lang w:val="en-ID"/>
        </w:rPr>
      </w:pPr>
    </w:p>
    <w:p w14:paraId="076B02A4" w14:textId="77777777" w:rsidR="007A456F" w:rsidRDefault="007A456F" w:rsidP="007A456F">
      <w:pPr>
        <w:bidi/>
        <w:spacing w:after="0" w:line="276" w:lineRule="auto"/>
        <w:rPr>
          <w:rFonts w:ascii="Traditional Arabic" w:hAnsi="Traditional Arabic" w:cs="Traditional Arabic"/>
          <w:bCs/>
          <w:sz w:val="36"/>
          <w:szCs w:val="36"/>
          <w:lang w:val="en-ID"/>
        </w:rPr>
      </w:pPr>
    </w:p>
    <w:p w14:paraId="53995CA0" w14:textId="77777777" w:rsidR="007A456F" w:rsidRDefault="007A456F" w:rsidP="007A456F">
      <w:pPr>
        <w:bidi/>
        <w:spacing w:after="0" w:line="276" w:lineRule="auto"/>
        <w:rPr>
          <w:rFonts w:ascii="Traditional Arabic" w:hAnsi="Traditional Arabic" w:cs="Traditional Arabic"/>
          <w:bCs/>
          <w:sz w:val="36"/>
          <w:szCs w:val="36"/>
          <w:lang w:val="en-ID"/>
        </w:rPr>
      </w:pPr>
    </w:p>
    <w:p w14:paraId="72828289" w14:textId="77777777" w:rsidR="007A456F" w:rsidRDefault="007A456F" w:rsidP="007A456F">
      <w:pPr>
        <w:bidi/>
        <w:spacing w:after="0" w:line="276" w:lineRule="auto"/>
        <w:rPr>
          <w:rFonts w:ascii="Traditional Arabic" w:hAnsi="Traditional Arabic" w:cs="Traditional Arabic"/>
          <w:bCs/>
          <w:sz w:val="36"/>
          <w:szCs w:val="36"/>
          <w:lang w:val="en-ID"/>
        </w:rPr>
      </w:pPr>
    </w:p>
    <w:p w14:paraId="2DD9E1DD" w14:textId="77777777" w:rsidR="007A456F" w:rsidRDefault="007A456F" w:rsidP="007A456F">
      <w:pPr>
        <w:bidi/>
        <w:spacing w:after="0" w:line="276" w:lineRule="auto"/>
        <w:rPr>
          <w:rFonts w:ascii="Traditional Arabic" w:hAnsi="Traditional Arabic" w:cs="Traditional Arabic"/>
          <w:bCs/>
          <w:sz w:val="36"/>
          <w:szCs w:val="36"/>
          <w:lang w:val="en-ID"/>
        </w:rPr>
      </w:pPr>
    </w:p>
    <w:p w14:paraId="30DCB9A6" w14:textId="77777777" w:rsidR="007A456F" w:rsidRDefault="007A456F" w:rsidP="007A456F">
      <w:pPr>
        <w:bidi/>
        <w:spacing w:after="0" w:line="276" w:lineRule="auto"/>
        <w:rPr>
          <w:rFonts w:ascii="Traditional Arabic" w:hAnsi="Traditional Arabic" w:cs="Traditional Arabic"/>
          <w:bCs/>
          <w:sz w:val="36"/>
          <w:szCs w:val="36"/>
          <w:lang w:val="en-ID"/>
        </w:rPr>
      </w:pPr>
    </w:p>
    <w:p w14:paraId="662EDF30" w14:textId="77777777" w:rsidR="007A456F" w:rsidRDefault="007A456F" w:rsidP="007A456F">
      <w:pPr>
        <w:bidi/>
        <w:spacing w:after="0" w:line="276" w:lineRule="auto"/>
        <w:rPr>
          <w:rFonts w:ascii="Traditional Arabic" w:hAnsi="Traditional Arabic" w:cs="Traditional Arabic"/>
          <w:bCs/>
          <w:sz w:val="36"/>
          <w:szCs w:val="36"/>
          <w:lang w:val="en-ID"/>
        </w:rPr>
      </w:pPr>
    </w:p>
    <w:p w14:paraId="7090E3AF" w14:textId="47B9004F" w:rsidR="000C4459" w:rsidRPr="00274849" w:rsidRDefault="000C4459" w:rsidP="00C94BFB">
      <w:pPr>
        <w:bidi/>
        <w:spacing w:after="0" w:line="276" w:lineRule="auto"/>
        <w:rPr>
          <w:rFonts w:ascii="Traditional Arabic" w:hAnsi="Traditional Arabic" w:cs="Traditional Arabic"/>
          <w:bCs/>
          <w:sz w:val="36"/>
          <w:szCs w:val="36"/>
          <w:lang w:val="en-ID"/>
        </w:rPr>
      </w:pPr>
      <w:r w:rsidRPr="00274849">
        <w:rPr>
          <w:rFonts w:ascii="Traditional Arabic" w:hAnsi="Traditional Arabic" w:cs="Traditional Arabic"/>
          <w:bCs/>
          <w:sz w:val="36"/>
          <w:szCs w:val="36"/>
          <w:rtl/>
          <w:lang w:val="en-ID"/>
        </w:rPr>
        <w:lastRenderedPageBreak/>
        <w:t>المقدمة</w:t>
      </w:r>
    </w:p>
    <w:p w14:paraId="6869F098" w14:textId="7C9BC803" w:rsidR="008D263B" w:rsidRPr="00274849" w:rsidRDefault="008D263B" w:rsidP="00274849">
      <w:pPr>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تُعَدُّ اللغة العربية إحدى اللغات الأجنبية التي تُدرَّس في المدارس. ويتلقّى التلاميذ في مرحلة مدرسة المتوسطة الإسلامية دروس اللغة العربية منذ سنٍّ مبكر، رغم أنّ التركيز في البداية يكون على مهارتي القراءة والكتابة فقط، وذلك لأنّ معظمهم قد تعلّموا قراءة الحروف العربية وكتابتها في المرحلة الابتدائية الإسلامية أو في المدرسة الدينية التكميلية التمهيدية. ومن المشكلات الشائعة في تعليم اللغة العربية هي كيفية تحسين جودة التعليم ليكون أكثر فاعلية وجاذبية، حيث يرى بعض الطلاب أنّ اللغة العربية مادة صعبة بل يخشون منها. ومن ثمّ، ينبغي على المعلّم أن يبذل جهدا في تبسيط المادة التعليمية وجعلها ممتعة وسهلة للفهم بالنسبة</w:t>
      </w:r>
      <w:r w:rsidR="001146EF" w:rsidRPr="00274849">
        <w:rPr>
          <w:rStyle w:val="FootnoteReference"/>
          <w:rFonts w:asciiTheme="majorBidi" w:hAnsiTheme="majorBidi" w:cstheme="majorBidi"/>
          <w:sz w:val="24"/>
          <w:szCs w:val="24"/>
          <w:rtl/>
        </w:rPr>
        <w:fldChar w:fldCharType="begin" w:fldLock="1"/>
      </w:r>
      <w:r w:rsidR="00F5247D" w:rsidRPr="00274849">
        <w:rPr>
          <w:rFonts w:asciiTheme="majorBidi" w:hAnsiTheme="majorBidi" w:cstheme="majorBidi"/>
          <w:sz w:val="24"/>
          <w:szCs w:val="24"/>
        </w:rPr>
        <w:instrText>ADDIN CSL_CITATION {"citationItems":[{"id":"ITEM-1","itemData":{"DOI":"10.62825/revorma.v3i1.35","ISSN":"2808-6880","abstract":"Maharah Qira’ah (Keterampilan Membaca) merupakan salah satu dari 4 keterampilan dalam pembelajaran bahasa Arab. Maharah Qira’ah bertujuan agar pelajar mampu membaca bahasa  Arab dengan fashih sesuai dengan  makharijul huruf. Dalam pembelajaran maharah Qira’ah Pengajar diwajibkan memilih metode pembelajaran yang tepat dan efektif, dikarenakan pemilihan metode sangat berperan penting untuk mempermudah pengajar  dan juga memudahkan pelajar dalam proses belajar mengajar. Penelitian ini menggunakan metode penelitian Kualitatif  Library Research. Teknik pengumpulan data yang digunakan dalam penelitian ini teknik membaca dan mencatat. Teknik analisis data pada penelitian ini melalui tiga tahapan yaitu reduksi data, penyajian data, dan penarikan kesimpulan.  Sumber data dalam penelitian ini adalah buku-buku dan jurnal-jurnal ilmiah. Dan tulisan ini juga bertujuan untuk mendeskripsikan penggunaan metode contextual teaching and learning dalam pembelajaran maharah qira’ah, dan juga mempermudah pengajar dalam mencari metode pembelajaran pada pembelajaran maharah qira’ah yang tepat dan efektif. Dari hasil penelitian, ditemukan bahwa metode ini mampu meningkatkan kemampuan membaca bagi pelajar dalam pembelajaran maharah qira’ah.","author":[{"dropping-particle":"","family":"Diah","given":"Halimatus","non-dropping-particle":"","parse-names":false,"suffix":""},{"dropping-particle":"","family":"Ni'mah","given":"Melvi Azizatun","non-dropping-particle":"","parse-names":false,"suffix":""}],"container-title":"Revorma: Jurnal Pendidikan dan Pemikiran","id":"ITEM-1","issue":"1","issued":{"date-parts":[["2023"]]},"page":"26-41","title":"Metode Contextual Teaching And Learning Dalam Pembelajaran Maharah Qira’ah","type":"article-journal","volume":"3"},"uris":["http://www.mendeley.com/documents/?uuid=d4cadb5b-4fee-4062-b1f6-f5520a32a8e7"]}],"mendeley":{"formattedCitation":"(Diah &amp; Ni’mah, 2023)","plainTextFormattedCitation":"(Diah &amp; Ni’mah, 2023)","previouslyFormattedCitation":"(Diah &amp; Ni’mah, 2023)"},"properties":{"noteIndex":0},"schema":"https://github.com/citation-style-language/schema/raw/master/csl-citation.json"}</w:instrText>
      </w:r>
      <w:r w:rsidR="001146EF" w:rsidRPr="00274849">
        <w:rPr>
          <w:rStyle w:val="FootnoteReference"/>
          <w:rFonts w:asciiTheme="majorBidi" w:hAnsiTheme="majorBidi" w:cstheme="majorBidi"/>
          <w:sz w:val="24"/>
          <w:szCs w:val="24"/>
          <w:rtl/>
        </w:rPr>
        <w:fldChar w:fldCharType="separate"/>
      </w:r>
      <w:r w:rsidR="001146EF" w:rsidRPr="00274849">
        <w:rPr>
          <w:rFonts w:asciiTheme="majorBidi" w:hAnsiTheme="majorBidi" w:cstheme="majorBidi"/>
          <w:bCs/>
          <w:noProof/>
          <w:sz w:val="24"/>
          <w:szCs w:val="24"/>
          <w:lang w:val="id-ID"/>
        </w:rPr>
        <w:t>(Diah &amp; Ni’mah, 2023)</w:t>
      </w:r>
      <w:r w:rsidR="001146EF" w:rsidRPr="00274849">
        <w:rPr>
          <w:rStyle w:val="FootnoteReference"/>
          <w:rFonts w:asciiTheme="majorBidi" w:hAnsiTheme="majorBidi" w:cstheme="majorBidi"/>
          <w:sz w:val="24"/>
          <w:szCs w:val="24"/>
          <w:rtl/>
        </w:rPr>
        <w:fldChar w:fldCharType="end"/>
      </w:r>
    </w:p>
    <w:p w14:paraId="433FDF98" w14:textId="386DD47A" w:rsidR="008D263B" w:rsidRPr="00274849" w:rsidRDefault="008D263B" w:rsidP="00274849">
      <w:pPr>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يختلف تعليم اللغات الأجنبية، وخاصة اللغة العربية، عن تعليم المواد الدراسية الأخرى مثل الدراسات الاجتماعية والتاريخية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التي تركز أكثر على الفهم والتحليل والتفكير المنطقي. أما تعليم اللغة فيرتكز على عدة مهارات لغوية، منها ما هو شفهي وكتابي، ومنها ما هو استقبالي كمهارتي الاستماع والقراءة، ومنها ما هو إنتاجي كمهارتي التحدث والكتابة</w:t>
      </w:r>
      <w:r w:rsidRPr="00274849">
        <w:rPr>
          <w:rFonts w:ascii="Traditional Arabic" w:hAnsi="Traditional Arabic" w:cs="Traditional Arabic"/>
          <w:sz w:val="36"/>
          <w:szCs w:val="36"/>
        </w:rPr>
        <w:t xml:space="preserve"> </w:t>
      </w:r>
      <w:r w:rsidRPr="00274849">
        <w:rPr>
          <w:rFonts w:asciiTheme="majorBidi" w:hAnsiTheme="majorBidi" w:cstheme="majorBidi"/>
          <w:sz w:val="24"/>
          <w:szCs w:val="24"/>
        </w:rPr>
        <w:t xml:space="preserve"> </w:t>
      </w:r>
      <w:r w:rsidR="00F5247D" w:rsidRPr="00274849">
        <w:rPr>
          <w:rFonts w:asciiTheme="majorBidi" w:hAnsiTheme="majorBidi" w:cstheme="majorBidi"/>
          <w:sz w:val="24"/>
          <w:szCs w:val="24"/>
        </w:rPr>
        <w:fldChar w:fldCharType="begin" w:fldLock="1"/>
      </w:r>
      <w:r w:rsidR="008B5209" w:rsidRPr="00274849">
        <w:rPr>
          <w:rFonts w:asciiTheme="majorBidi" w:hAnsiTheme="majorBidi" w:cstheme="majorBidi"/>
          <w:sz w:val="24"/>
          <w:szCs w:val="24"/>
        </w:rPr>
        <w:instrText>ADDIN CSL_CITATION {"citationItems":[{"id":"ITEM-1","itemData":{"abstract":"Keterampilan berbicara dianggap salah satu kemahiran berbahasa yang paling penting dalam belajar bahasa arab khususnya bagi pembelajar bahasa arab. Karena berbicara merupakan tujuan dari pembelajaran bahasa arab baik bahasa kedua maupun sebagai bahasa asing, keterampilan berbicara memilki hubungan yang sanagat erat dengan keterampilan berbahasa lainnya (mendengar, berbicara, membaca,menulis). Namun kenyatan menunjukkan bahwa banyak diantara guru-guru bahasa arab yang belum mampu mengaplikasikan methode pembelajaran berbicara dengan benar, hal ini disebabkan banyak diantara mereka yang tidak menguasai methode pembelajaran yang memadai.","author":[{"dropping-particle":"","family":"Rahmaini","given":"Rahmaini","non-dropping-particle":"","parse-names":false,"suffix":""}],"container-title":"Ihya Al Arabiyah","id":"ITEM-1","issue":"2","issued":{"date-parts":[["2015"]]},"page":"227-233","title":"Strategi Pembelajaran Maharah Kalam Bagi Non Arab","type":"article-journal","volume":"1"},"uris":["http://www.mendeley.com/documents/?uuid=8bbff6ba-df72-407a-b276-f2bddcc42e64"]}],"mendeley":{"formattedCitation":"(Rahmaini, 2015)","plainTextFormattedCitation":"(Rahmaini, 2015)","previouslyFormattedCitation":"(Rahmaini, 2015)"},"properties":{"noteIndex":0},"schema":"https://github.com/citation-style-language/schema/raw/master/csl-citation.json"}</w:instrText>
      </w:r>
      <w:r w:rsidR="00F5247D" w:rsidRPr="00274849">
        <w:rPr>
          <w:rFonts w:asciiTheme="majorBidi" w:hAnsiTheme="majorBidi" w:cstheme="majorBidi"/>
          <w:sz w:val="24"/>
          <w:szCs w:val="24"/>
        </w:rPr>
        <w:fldChar w:fldCharType="separate"/>
      </w:r>
      <w:r w:rsidR="00F5247D" w:rsidRPr="00274849">
        <w:rPr>
          <w:rFonts w:asciiTheme="majorBidi" w:hAnsiTheme="majorBidi" w:cstheme="majorBidi"/>
          <w:noProof/>
          <w:sz w:val="24"/>
          <w:szCs w:val="24"/>
        </w:rPr>
        <w:t>(Rahmaini, 2015)</w:t>
      </w:r>
      <w:r w:rsidR="00F5247D" w:rsidRPr="00274849">
        <w:rPr>
          <w:rFonts w:asciiTheme="majorBidi" w:hAnsiTheme="majorBidi" w:cstheme="majorBidi"/>
          <w:sz w:val="24"/>
          <w:szCs w:val="24"/>
        </w:rPr>
        <w:fldChar w:fldCharType="end"/>
      </w:r>
    </w:p>
    <w:p w14:paraId="0471A509" w14:textId="4B8EB03F" w:rsidR="008D263B" w:rsidRPr="00274849" w:rsidRDefault="008D263B" w:rsidP="00274849">
      <w:pPr>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ومن بين هذه المهارات الأربع، فإنّ لكلٍّ منها جوانب داعمة وأخرى معيقة في تعلمها لدى غير الناطقين باللغة العربية مثل الطلاب في إندونيسيا</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 </w:t>
      </w:r>
      <w:r w:rsidR="001146EF" w:rsidRPr="00274849">
        <w:rPr>
          <w:rStyle w:val="FootnoteReference"/>
          <w:rFonts w:asciiTheme="majorBidi" w:hAnsiTheme="majorBidi" w:cstheme="majorBidi"/>
          <w:sz w:val="24"/>
          <w:szCs w:val="24"/>
          <w:rtl/>
        </w:rPr>
        <w:fldChar w:fldCharType="begin" w:fldLock="1"/>
      </w:r>
      <w:r w:rsidR="008B5209" w:rsidRPr="00274849">
        <w:rPr>
          <w:rFonts w:asciiTheme="majorBidi" w:hAnsiTheme="majorBidi" w:cstheme="majorBidi"/>
          <w:sz w:val="24"/>
          <w:szCs w:val="24"/>
        </w:rPr>
        <w:instrText>ADDIN CSL_CITATION {"citationItems":[{"id":"ITEM-1","itemData":{"DOI":"https://doi.org/10.15408/a.v6i2.XXXX","author":[{"dropping-particle":"","family":"Sahkholid Nasution, Asari","given":"Al-Rasyid","non-dropping-particle":"","parse-names":false,"suffix":""}],"container-title":"jurnal arabiyat","id":"ITEM-1","issued":{"date-parts":[["2024"]]},"title":"Penguatan Strategi Pembelajaran Bahasa Arab bagi Non-Arab","type":"article-journal","volume":"Vol.6 No.2"},"uris":["http://www.mendeley.com/documents/?uuid=7a56ea2e-f0be-4c2f-a68e-8ccb8af5a786","http://www.mendeley.com/documents/?uuid=ced5b306-1a27-4ca1-913e-ec195642355e"]}],"mendeley":{"formattedCitation":"(Sahkholid Nasution, Asari, 2024)","plainTextFormattedCitation":"(Sahkholid Nasution, Asari, 2024)","previouslyFormattedCitation":"(Sahkholid Nasution, Asari, 2024)"},"properties":{"noteIndex":0},"schema":"https://github.com/citation-style-language/schema/raw/master/csl-citation.json"}</w:instrText>
      </w:r>
      <w:r w:rsidR="001146EF" w:rsidRPr="00274849">
        <w:rPr>
          <w:rStyle w:val="FootnoteReference"/>
          <w:rFonts w:asciiTheme="majorBidi" w:hAnsiTheme="majorBidi" w:cstheme="majorBidi"/>
          <w:sz w:val="24"/>
          <w:szCs w:val="24"/>
          <w:rtl/>
        </w:rPr>
        <w:fldChar w:fldCharType="separate"/>
      </w:r>
      <w:r w:rsidR="008B5209" w:rsidRPr="00274849">
        <w:rPr>
          <w:rFonts w:asciiTheme="majorBidi" w:hAnsiTheme="majorBidi" w:cstheme="majorBidi"/>
          <w:noProof/>
          <w:sz w:val="24"/>
          <w:szCs w:val="24"/>
        </w:rPr>
        <w:t>(Sahkholid Nasution, Asari, 2024)</w:t>
      </w:r>
      <w:r w:rsidR="001146EF" w:rsidRPr="00274849">
        <w:rPr>
          <w:rStyle w:val="FootnoteReference"/>
          <w:rFonts w:asciiTheme="majorBidi" w:hAnsiTheme="majorBidi" w:cstheme="majorBidi"/>
          <w:sz w:val="24"/>
          <w:szCs w:val="24"/>
          <w:rtl/>
        </w:rPr>
        <w:fldChar w:fldCharType="end"/>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xml:space="preserve">وتركز هذه الدراسة على مهارة </w:t>
      </w:r>
      <w:proofErr w:type="gramStart"/>
      <w:r w:rsidRPr="00274849">
        <w:rPr>
          <w:rFonts w:ascii="Traditional Arabic" w:hAnsi="Traditional Arabic" w:cs="Traditional Arabic"/>
          <w:sz w:val="36"/>
          <w:szCs w:val="36"/>
          <w:rtl/>
        </w:rPr>
        <w:t>القراءة  لدى</w:t>
      </w:r>
      <w:proofErr w:type="gramEnd"/>
      <w:r w:rsidRPr="00274849">
        <w:rPr>
          <w:rFonts w:ascii="Traditional Arabic" w:hAnsi="Traditional Arabic" w:cs="Traditional Arabic"/>
          <w:sz w:val="36"/>
          <w:szCs w:val="36"/>
          <w:rtl/>
        </w:rPr>
        <w:t xml:space="preserve"> غير الناطقين بالعربية، لما لها من أهمية كبيرة؛ إذ إنّ القراءة تُعَدُّ من أهم المهارات اللغوية، وبدونها تبقى حياة الفرد راكدة وغير متطورة. وتكمن أهمية مهارة القراءة في كونها تدرب على الجوانب غير اللفظية من خلال الرموز المكتوبة</w:t>
      </w:r>
      <w:r w:rsidRPr="00274849">
        <w:rPr>
          <w:rFonts w:ascii="Traditional Arabic" w:hAnsi="Traditional Arabic" w:cs="Traditional Arabic"/>
          <w:sz w:val="36"/>
          <w:szCs w:val="36"/>
          <w:lang w:val="id-ID"/>
        </w:rPr>
        <w:t xml:space="preserve"> </w:t>
      </w:r>
      <w:r w:rsidRPr="00274849">
        <w:rPr>
          <w:rFonts w:asciiTheme="majorBidi" w:hAnsiTheme="majorBidi" w:cstheme="majorBidi"/>
          <w:sz w:val="24"/>
          <w:szCs w:val="24"/>
          <w:lang w:val="id-ID"/>
        </w:rPr>
        <w:t>.</w:t>
      </w:r>
      <w:r w:rsidR="008B5209" w:rsidRPr="00274849">
        <w:rPr>
          <w:rFonts w:asciiTheme="majorBidi" w:hAnsiTheme="majorBidi" w:cstheme="majorBidi"/>
          <w:sz w:val="24"/>
          <w:szCs w:val="24"/>
          <w:lang w:val="id-ID"/>
        </w:rPr>
        <w:fldChar w:fldCharType="begin" w:fldLock="1"/>
      </w:r>
      <w:r w:rsidR="008B5209" w:rsidRPr="00274849">
        <w:rPr>
          <w:rFonts w:asciiTheme="majorBidi" w:hAnsiTheme="majorBidi" w:cstheme="majorBidi"/>
          <w:sz w:val="24"/>
          <w:szCs w:val="24"/>
          <w:lang w:val="id-ID"/>
        </w:rPr>
        <w:instrText>ADDIN CSL_CITATION {"citationItems":[{"id":"ITEM-1","itemData":{"ISSN":"2622-9501","abstract":"Abstrak Metode qira’ah merupakan salah satu metode yang sangat membantu dalam meningkatkan kemahiran membaca. Pada penelitian ini dijelaskan tentang pengaruh metode qira’ah dalam meningkatkan kemampuan membaca bagi para santri khususnya dalam membaca serta memahami kitab kuning. Metode penelitian yang digunakan adalah Penelitian deskriptif Kualitatif yang meliputi wawancara, observasi dan dokumentasi. Hasil penelitian menunjukkan bahwa metode pengajaran qira'ah ini memberikan dampak positif pada kemampuan membaca santri, tidak hanya dalam hal teknis, tetapi juga pemahaman dalam pembelajaran bahasa Arab khususnya kitab kuning. Implmentasi metode qira’ah yang dilaksanakan di Madrasah Hidayatul Mubtadi’in dimulai denagan beberapa tahapan seperti persiapan, pelaksanaan dan evaluasi. Ada bebrapa strategi umum metode qira’ah yang diterapkan di Madrasah Hidayatul Mubtadiin Lirboyo Kediri yaitu meliputi Empety Outline, analysis, snaw bolling, broken square/text,dan sorogan","author":[{"dropping-particle":"","family":"Huda","given":"Moh Nurul","non-dropping-particle":"","parse-names":false,"suffix":""},{"dropping-particle":"","family":"Nurrosyid","given":"Ahmad Faiz","non-dropping-particle":"","parse-names":false,"suffix":""},{"dropping-particle":"","family":"Aji","given":"Akhmad Bayu","non-dropping-particle":"","parse-names":false,"suffix":""}],"container-title":"Alfakkaar: Jurnal Pendidikan Bahasa Arab","id":"ITEM-1","issue":"1","issued":{"date-parts":[["2024"]]},"page":"79-93","title":"Implementasi Metode Qira'ah dalam Pembelajaran Bahasa Arab di Madrasah Hidayatul Mubtadiin Lirboyo Kediri","type":"article-journal","volume":"5"},"uris":["http://www.mendeley.com/documents/?uuid=c3594c93-4675-49c2-89dd-63f27d094b77"]}],"mendeley":{"formattedCitation":"(Huda et al., 2024)","plainTextFormattedCitation":"(Huda et al., 2024)","previouslyFormattedCitation":"(Huda et al., 2024)"},"properties":{"noteIndex":0},"schema":"https://github.com/citation-style-language/schema/raw/master/csl-citation.json"}</w:instrText>
      </w:r>
      <w:r w:rsidR="008B5209" w:rsidRPr="00274849">
        <w:rPr>
          <w:rFonts w:asciiTheme="majorBidi" w:hAnsiTheme="majorBidi" w:cstheme="majorBidi"/>
          <w:sz w:val="24"/>
          <w:szCs w:val="24"/>
          <w:lang w:val="id-ID"/>
        </w:rPr>
        <w:fldChar w:fldCharType="separate"/>
      </w:r>
      <w:r w:rsidR="008B5209" w:rsidRPr="00274849">
        <w:rPr>
          <w:rFonts w:asciiTheme="majorBidi" w:hAnsiTheme="majorBidi" w:cstheme="majorBidi"/>
          <w:noProof/>
          <w:sz w:val="24"/>
          <w:szCs w:val="24"/>
          <w:lang w:val="id-ID"/>
        </w:rPr>
        <w:t>(Huda et al., 2024)</w:t>
      </w:r>
      <w:r w:rsidR="008B5209" w:rsidRPr="00274849">
        <w:rPr>
          <w:rFonts w:asciiTheme="majorBidi" w:hAnsiTheme="majorBidi" w:cstheme="majorBidi"/>
          <w:sz w:val="24"/>
          <w:szCs w:val="24"/>
          <w:lang w:val="id-ID"/>
        </w:rPr>
        <w:fldChar w:fldCharType="end"/>
      </w:r>
    </w:p>
    <w:p w14:paraId="16D50371" w14:textId="7279233A" w:rsidR="008D263B" w:rsidRPr="00274849" w:rsidRDefault="008D263B" w:rsidP="00274849">
      <w:pPr>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الهدف من تعليم اللغة العربية لغير الناطقين بها هو تنمية دافعية التلاميذ نحو تعلم اللغة، حتى يتمكنوا من اكتساب المهارات اللغوية باللغة العربية بشكل متوازن، لأنّ الدافعية القوية تُعَدُّ من العوامل الأساسية لنجاح عملية تعليم اللغة العربية في </w:t>
      </w:r>
      <w:r w:rsidR="00965B9E">
        <w:rPr>
          <w:rFonts w:ascii="Traditional Arabic" w:hAnsi="Traditional Arabic" w:cs="Traditional Arabic"/>
          <w:sz w:val="36"/>
          <w:szCs w:val="36"/>
        </w:rPr>
        <w:t>s</w:t>
      </w:r>
      <w:r w:rsidRPr="00274849">
        <w:rPr>
          <w:rFonts w:ascii="Traditional Arabic" w:hAnsi="Traditional Arabic" w:cs="Traditional Arabic"/>
          <w:sz w:val="36"/>
          <w:szCs w:val="36"/>
          <w:rtl/>
        </w:rPr>
        <w:t>إندونيسيا</w:t>
      </w:r>
      <w:r w:rsidRPr="00274849">
        <w:rPr>
          <w:rFonts w:ascii="Traditional Arabic" w:hAnsi="Traditional Arabic" w:cs="Traditional Arabic"/>
          <w:sz w:val="36"/>
          <w:szCs w:val="36"/>
        </w:rPr>
        <w:t xml:space="preserve"> </w:t>
      </w:r>
      <w:r w:rsidR="008B5209" w:rsidRPr="00274849">
        <w:rPr>
          <w:rFonts w:asciiTheme="majorBidi" w:hAnsiTheme="majorBidi" w:cstheme="majorBidi"/>
          <w:sz w:val="24"/>
          <w:szCs w:val="24"/>
        </w:rPr>
        <w:fldChar w:fldCharType="begin" w:fldLock="1"/>
      </w:r>
      <w:r w:rsidR="00081B95" w:rsidRPr="00274849">
        <w:rPr>
          <w:rFonts w:asciiTheme="majorBidi" w:hAnsiTheme="majorBidi" w:cstheme="majorBidi"/>
          <w:sz w:val="24"/>
          <w:szCs w:val="24"/>
        </w:rPr>
        <w:instrText>ADDIN CSL_CITATION {"citationItems":[{"id":"ITEM-1","itemData":{"author":[{"dropping-particle":"","family":"Nasution","given":"Sahkholid","non-dropping-particle":"","parse-names":false,"suffix":""},{"dropping-particle":"","family":"Islam","given":"Universitas","non-dropping-particle":"","parse-names":false,"suffix":""},{"dropping-particle":"","family":"Sumatera","given":"Negeri","non-dropping-particle":"","parse-names":false,"suffix":""}],"id":"ITEM-1","issue":"January","issued":{"date-parts":[["2024"]]},"title":"</w:instrText>
      </w:r>
      <w:r w:rsidR="00081B95" w:rsidRPr="00274849">
        <w:rPr>
          <w:rFonts w:asciiTheme="majorBidi" w:hAnsiTheme="majorBidi" w:cstheme="majorBidi"/>
          <w:sz w:val="24"/>
          <w:szCs w:val="24"/>
          <w:rtl/>
        </w:rPr>
        <w:instrText>ةمدقم ليلق ددع رعشي لاو . ةيزيلجنلإا ةغللا دعب ةيناثلا ةجردلا نم ةغل نلآا ةيبرعلا ةغللا ربتعت يه ملسملل ملأا ةغللا نأ نيح يف . ةيبرعلا ةغللا نم رثكأ ةيزيلجنلإا ةغللاب ملكت رخفلاب نيملسلما نم بتكل ةمدقمك ةيبرعلا ةغللا مادختسا مت ، ي ضالما يف تاقرافلما نمو</w:instrText>
      </w:r>
      <w:r w:rsidR="00081B95" w:rsidRPr="00274849">
        <w:rPr>
          <w:rFonts w:asciiTheme="majorBidi" w:hAnsiTheme="majorBidi" w:cstheme="majorBidi"/>
          <w:sz w:val="24"/>
          <w:szCs w:val="24"/>
        </w:rPr>
        <w:instrText xml:space="preserve"> ","type":"article-journal"},"uris":["http://www.mendeley.com/documents/?uuid=cd5ee20f-548b-488d-9bb7-e5b474e31a3e"]}],"mendeley":{"formattedCitation":"(Nasution, Islam, et al., 2024)","plainTextFormattedCitation":"(Nasution, Islam, et al., 2024)","previouslyFormattedCitation":"(Nasution, Islam, et al., 2024)"},"properties":{"noteIndex":0},"schema":"https://github.com/citation-style-language/schema/raw/master/csl-citation.json"}</w:instrText>
      </w:r>
      <w:r w:rsidR="008B5209" w:rsidRPr="00274849">
        <w:rPr>
          <w:rFonts w:asciiTheme="majorBidi" w:hAnsiTheme="majorBidi" w:cstheme="majorBidi"/>
          <w:sz w:val="24"/>
          <w:szCs w:val="24"/>
        </w:rPr>
        <w:fldChar w:fldCharType="separate"/>
      </w:r>
      <w:r w:rsidR="008B5209" w:rsidRPr="00274849">
        <w:rPr>
          <w:rFonts w:asciiTheme="majorBidi" w:hAnsiTheme="majorBidi" w:cstheme="majorBidi"/>
          <w:noProof/>
          <w:sz w:val="24"/>
          <w:szCs w:val="24"/>
        </w:rPr>
        <w:t>(Nasution, et al., 2024)</w:t>
      </w:r>
      <w:r w:rsidR="008B5209" w:rsidRPr="00274849">
        <w:rPr>
          <w:rFonts w:asciiTheme="majorBidi" w:hAnsiTheme="majorBidi" w:cstheme="majorBidi"/>
          <w:sz w:val="24"/>
          <w:szCs w:val="24"/>
        </w:rPr>
        <w:fldChar w:fldCharType="end"/>
      </w:r>
      <w:r w:rsidR="008B5209"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ووفقًا لناصوتيون، فإنّ الأهداف الخاصة لتعليم مهارة القراءة تتمثل فيما يلي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xml:space="preserve">(أ) قراءة النصوص العربية بسهولة وسرعة وبدقة، (ب) استخراج الفكرة الرئيسية من النص المقروء، (ج) استخراج الأفكار الفرعية من النص المقروء، (د) معرفة المعاني المختلفة للكلمة الواحدة (المرادفات)، (هـ) معرفة المعاني الجديدة للكلمة (المرادفات)، (و) تحليل النصوص المقروءة إلى </w:t>
      </w:r>
      <w:r w:rsidRPr="00274849">
        <w:rPr>
          <w:rFonts w:ascii="Traditional Arabic" w:hAnsi="Traditional Arabic" w:cs="Traditional Arabic"/>
          <w:sz w:val="36"/>
          <w:szCs w:val="36"/>
          <w:rtl/>
        </w:rPr>
        <w:lastRenderedPageBreak/>
        <w:t>حدٍّ معين، (ز) تحديد موضوع النص، (ح) استنتاج المعاني المتضمنة في النص، (ط) استنتاج مقصد الكاتب، (ي) التمييز بين الحقيقة والرأي والنظرية، (ك) استخدام القاموس العربي بشكل صحيح</w:t>
      </w:r>
      <w:r w:rsidRPr="00274849">
        <w:rPr>
          <w:rFonts w:ascii="Traditional Arabic" w:hAnsi="Traditional Arabic" w:cs="Traditional Arabic"/>
          <w:sz w:val="36"/>
          <w:szCs w:val="36"/>
          <w:lang w:val="id-ID"/>
        </w:rPr>
        <w:t>.</w:t>
      </w:r>
    </w:p>
    <w:p w14:paraId="04F1D03C" w14:textId="2968A94B" w:rsidR="008D263B" w:rsidRPr="00274849" w:rsidRDefault="008D263B" w:rsidP="00274849">
      <w:pPr>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القراءة هي القدرة على التعرف على المحتوى المكتوب وفهمه، سواء بالنطق أو بالتفكير فيه في القلب. كما تُعَدُّ القراءة عملية تواصل بين القارئ والكاتب من خلال النص الذي كتبه</w:t>
      </w:r>
      <w:r w:rsidR="008B5209" w:rsidRPr="00274849">
        <w:rPr>
          <w:rFonts w:ascii="Traditional Arabic" w:hAnsi="Traditional Arabic" w:cs="Traditional Arabic"/>
          <w:sz w:val="36"/>
          <w:szCs w:val="36"/>
          <w:rtl/>
        </w:rPr>
        <w:fldChar w:fldCharType="begin" w:fldLock="1"/>
      </w:r>
      <w:r w:rsidR="008B5209" w:rsidRPr="00274849">
        <w:rPr>
          <w:rFonts w:ascii="Traditional Arabic" w:hAnsi="Traditional Arabic" w:cs="Traditional Arabic"/>
          <w:sz w:val="36"/>
          <w:szCs w:val="36"/>
        </w:rPr>
        <w:instrText>ADDIN CSL_CITATION {"citationItems":[{"id":"ITEM-1","itemData":{"DOI":"10.31538/nzh.v7i1.4222","ISSN":"26148013","abstract":"This research aims to analyze traditional Islamic boarding school leaders' perceptions of technology, models of learning Arabic sciences in traditional Islamic boarding schools, forms of using technology in learning Arabic language sciences in traditional Islamic boarding schools, and foundation support for using technology in learning sciences.-Arabic language knowledge in traditional Islamic boarding schools. The type of research used is qualitative-descriptive. Research data was obtained using observation methods, in-depth interviews, and documentation. The instruments used are observation lists, interview lists, and documentation lists. Data were analyzed using ATLAS—ti9 software. The research results show that (1). traditional Islamic boarding school leaders' perception of technology is very positive, and there is no rejection of the presence of technology; (2). The model of learning Arabic language sciences in traditional Islamic boarding schools is still preserved, such as using the yellow book with the bandongan, sorogan, and wetonan methods (3). Using technology in learning Arabic language sciences in traditional Islamic boarding schools by operating computers, laptops, focus, and cell phones with the help of the internet (4). The foundation supports the use of technology in learning Arabic language sciences in traditional Islamic boarding schools by disbursing sufficient funds to procure learning technology tools or by building collaborations with other parties. This research aims to increase the use of learning technology in traditional Islamic boarding schools to create effective and efficient learning but remain resistant to Islamic boarding school values and traditions.","author":[{"dropping-particle":"","family":"Nasution","given":"Sahkholid","non-dropping-particle":"","parse-names":false,"suffix":""},{"dropping-particle":"","family":"Asari","given":"Hasan","non-dropping-particle":"","parse-names":false,"suffix":""},{"dropping-particle":"","family":"Al-Rasyid","given":"Harun","non-dropping-particle":"","parse-names":false,"suffix":""},{"dropping-particle":"","family":"Dalimunthe","given":"Rasyid Anwar","non-dropping-particle":"","parse-names":false,"suffix":""},{"dropping-particle":"","family":"Rahman","given":"Aulia","non-dropping-particle":"","parse-names":false,"suffix":""}],"container-title":"Nazhruna: Jurnal Pendidikan Islam","id":"ITEM-1","issue":"1","issued":{"date-parts":[["2024"]]},"page":"77-102","title":"Learning Arabic Language Sciences Based on Technology in Traditional Islamic Boarding Schools in Indonesia","type":"article-journal","volume":"7"},"uris":["http://www.mendeley.com/documents/?uuid=631304bf-13bb-4782-9284-e28711cf97a1"]}],"mendeley":{"formattedCitation":"(Nasution, Asari, et al., 2024)","plainTextFormattedCitation":"(Nasution, Asari, et al., 2024)","previouslyFormattedCitation":"(Nasution, Asari, et al., 2024)"},"properties":{"noteIndex":0},"schema":"https://github.com/citation-style-language/schema/raw/master/csl-citation.json"}</w:instrText>
      </w:r>
      <w:r w:rsidR="008B5209" w:rsidRPr="00274849">
        <w:rPr>
          <w:rFonts w:ascii="Traditional Arabic" w:hAnsi="Traditional Arabic" w:cs="Traditional Arabic"/>
          <w:sz w:val="36"/>
          <w:szCs w:val="36"/>
          <w:rtl/>
        </w:rPr>
        <w:fldChar w:fldCharType="separate"/>
      </w:r>
      <w:r w:rsidR="008B5209" w:rsidRPr="00274849">
        <w:rPr>
          <w:rFonts w:asciiTheme="majorBidi" w:hAnsiTheme="majorBidi" w:cstheme="majorBidi"/>
          <w:noProof/>
          <w:sz w:val="24"/>
          <w:szCs w:val="24"/>
        </w:rPr>
        <w:t>(Nasution, Asari, et al</w:t>
      </w:r>
      <w:r w:rsidR="008B5209" w:rsidRPr="00274849">
        <w:rPr>
          <w:rFonts w:ascii="Traditional Arabic" w:hAnsi="Traditional Arabic" w:cs="Traditional Arabic"/>
          <w:noProof/>
          <w:sz w:val="36"/>
          <w:szCs w:val="36"/>
        </w:rPr>
        <w:t xml:space="preserve">., </w:t>
      </w:r>
      <w:r w:rsidR="008B5209" w:rsidRPr="00274849">
        <w:rPr>
          <w:rFonts w:ascii="Traditional Arabic" w:hAnsi="Traditional Arabic" w:cs="Traditional Arabic"/>
          <w:noProof/>
          <w:sz w:val="24"/>
          <w:szCs w:val="24"/>
        </w:rPr>
        <w:t>2024)</w:t>
      </w:r>
      <w:r w:rsidR="008B5209" w:rsidRPr="00274849">
        <w:rPr>
          <w:rFonts w:ascii="Traditional Arabic" w:hAnsi="Traditional Arabic" w:cs="Traditional Arabic"/>
          <w:sz w:val="36"/>
          <w:szCs w:val="36"/>
          <w:rtl/>
        </w:rPr>
        <w:fldChar w:fldCharType="end"/>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 ومن ثم، فإنّ هناك علاقة معرفية مباشرة بين اللغة المنطوقة والمكتوبة. والقراءة نشاط يهدف إلى استنباط المعنى مما هو موجود في النص. وتشمل مهارة القراءة جانبين: التعرف على الرموز المكتوبة وفهم مضمونها</w:t>
      </w:r>
      <w:r w:rsidR="008B5209" w:rsidRPr="00274849">
        <w:rPr>
          <w:rFonts w:asciiTheme="majorBidi" w:hAnsiTheme="majorBidi" w:cstheme="majorBidi"/>
          <w:sz w:val="24"/>
          <w:szCs w:val="24"/>
          <w:rtl/>
        </w:rPr>
        <w:fldChar w:fldCharType="begin" w:fldLock="1"/>
      </w:r>
      <w:r w:rsidR="008B5209" w:rsidRPr="00274849">
        <w:rPr>
          <w:rFonts w:asciiTheme="majorBidi" w:hAnsiTheme="majorBidi" w:cstheme="majorBidi"/>
          <w:sz w:val="24"/>
          <w:szCs w:val="24"/>
        </w:rPr>
        <w:instrText>ADDIN CSL_CITATION {"citationItems":[{"id":"ITEM-1","itemData":{"DOI":"10.32332/an-nabighoh.v24i1.4818","ISSN":"1907-1183","abstract":"This article is a systematic review of literature that describes the approach as a component in learning, especially in Arabic learning activities. There are two approaches used in the learning process, namely the learning approach with a teacher centered strategy and the learning approach with a student centered strategy. The accuracy of the approach used in learning determines the achievement of the Arabic language learning objectives that have been set in the lesson plan. The learning steps are carried out in accordance with the learning approach used. This article also explains various things related to the Arabic language learning approach as well as the weaknesses and strengths of the teacher centered and student centered learning approaches.","author":[{"dropping-particle":"","family":"Ekawati","given":"Dian","non-dropping-particle":"","parse-names":false,"suffix":""},{"dropping-particle":"","family":"Arifin","given":"Ahmad","non-dropping-particle":"","parse-names":false,"suffix":""}],"container-title":"An Nabighoh","id":"ITEM-1","issue":"1","issued":{"date-parts":[["2022"]]},"page":"111","title":"Pendekatan dalam Pembelajaran Bahasa Arab: Teori, Konsep, dan Implementasi","type":"article-journal","volume":"24"},"uris":["http://www.mendeley.com/documents/?uuid=e069d784-68a1-4b5d-ac82-d7bcbec27aec"]}],"mendeley":{"formattedCitation":"(Ekawati &amp; Arifin, 2022)","plainTextFormattedCitation":"(Ekawati &amp; Arifin, 2022)","previouslyFormattedCitation":"(Ekawati &amp; Arifin, 2022)"},"properties":{"noteIndex":0},"schema":"https://github.com/citation-style-language/schema/raw/master/csl-citation.json"}</w:instrText>
      </w:r>
      <w:r w:rsidR="008B5209" w:rsidRPr="00274849">
        <w:rPr>
          <w:rFonts w:asciiTheme="majorBidi" w:hAnsiTheme="majorBidi" w:cstheme="majorBidi"/>
          <w:sz w:val="24"/>
          <w:szCs w:val="24"/>
          <w:rtl/>
        </w:rPr>
        <w:fldChar w:fldCharType="separate"/>
      </w:r>
      <w:r w:rsidR="008B5209" w:rsidRPr="00274849">
        <w:rPr>
          <w:rFonts w:asciiTheme="majorBidi" w:hAnsiTheme="majorBidi" w:cstheme="majorBidi"/>
          <w:noProof/>
          <w:sz w:val="24"/>
          <w:szCs w:val="24"/>
        </w:rPr>
        <w:t>(Ekawati &amp; Arifin, 2022)</w:t>
      </w:r>
      <w:r w:rsidR="008B5209" w:rsidRPr="00274849">
        <w:rPr>
          <w:rFonts w:asciiTheme="majorBidi" w:hAnsiTheme="majorBidi" w:cstheme="majorBidi"/>
          <w:sz w:val="24"/>
          <w:szCs w:val="24"/>
          <w:rtl/>
        </w:rPr>
        <w:fldChar w:fldCharType="end"/>
      </w:r>
      <w:r w:rsidRPr="00274849">
        <w:rPr>
          <w:rFonts w:ascii="Traditional Arabic" w:hAnsi="Traditional Arabic" w:cs="Traditional Arabic"/>
          <w:sz w:val="36"/>
          <w:szCs w:val="36"/>
        </w:rPr>
        <w:t xml:space="preserve"> </w:t>
      </w:r>
    </w:p>
    <w:p w14:paraId="4BCE3A87" w14:textId="700E3474" w:rsidR="008D263B" w:rsidRPr="00274849" w:rsidRDefault="008D263B" w:rsidP="00274849">
      <w:pPr>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وفي مؤشرات تحقيق الكفاءة في مادة اللغة العربية لطلاب الصف التاسع بمرحلة التعليم المتوسط الإسلامي</w:t>
      </w:r>
      <w:r w:rsidRPr="00274849">
        <w:rPr>
          <w:rFonts w:ascii="Traditional Arabic" w:hAnsi="Traditional Arabic" w:cs="Traditional Arabic"/>
          <w:sz w:val="36"/>
          <w:szCs w:val="36"/>
        </w:rPr>
        <w:t xml:space="preserve"> (MTs)</w:t>
      </w:r>
      <w:r w:rsidRPr="00274849">
        <w:rPr>
          <w:rFonts w:ascii="Traditional Arabic" w:hAnsi="Traditional Arabic" w:cs="Traditional Arabic"/>
          <w:sz w:val="36"/>
          <w:szCs w:val="36"/>
          <w:rtl/>
        </w:rPr>
        <w:t xml:space="preserve">، يتم التأكيد في كل وحدة دراسية على قراءة النصوص، وترجمتها، وتحليل التراكيب النحوية (التراكيب). ووفقًا لـ </w:t>
      </w:r>
      <w:r w:rsidR="001146EF" w:rsidRPr="00274849">
        <w:rPr>
          <w:rStyle w:val="FootnoteReference"/>
          <w:rFonts w:asciiTheme="majorBidi" w:hAnsiTheme="majorBidi" w:cstheme="majorBidi"/>
          <w:sz w:val="24"/>
          <w:szCs w:val="24"/>
          <w:rtl/>
        </w:rPr>
        <w:fldChar w:fldCharType="begin" w:fldLock="1"/>
      </w:r>
      <w:r w:rsidR="00F5247D" w:rsidRPr="00274849">
        <w:rPr>
          <w:rFonts w:asciiTheme="majorBidi" w:hAnsiTheme="majorBidi" w:cstheme="majorBidi"/>
          <w:sz w:val="24"/>
          <w:szCs w:val="24"/>
        </w:rPr>
        <w:instrText>ADDIN CSL_CITATION {"citationItems":[{"id":"ITEM-1","itemData":{"author":[{"dropping-particle":"","family":"Mustofa","given":"","non-dropping-particle":"","parse-names":false,"suffix":""}],"id":"ITEM-1","issued":{"date-parts":[["2011"]]},"publisher":"Direktorat Pendidikan Madrasah, Kementrian Agama RI","publisher-place":"Jakarta","title":"Model Pembelajaran Bahasa Arab untuk Madrasah Tsanawiyah","type":"book"},"uris":["http://www.mendeley.com/documents/?uuid=4726ba4a-0809-4fdc-ab6a-ffd0d9761b73","http://www.mendeley.com/documents/?uuid=b7da9465-319f-442f-8ff8-7a963e45a5e9"]}],"mendeley":{"formattedCitation":"(Mustofa, 2011)","plainTextFormattedCitation":"(Mustofa, 2011)","previouslyFormattedCitation":"(Mustofa, 2011)"},"properties":{"noteIndex":0},"schema":"https://github.com/citation-style-language/schema/raw/master/csl-citation.json"}</w:instrText>
      </w:r>
      <w:r w:rsidR="001146EF" w:rsidRPr="00274849">
        <w:rPr>
          <w:rStyle w:val="FootnoteReference"/>
          <w:rFonts w:asciiTheme="majorBidi" w:hAnsiTheme="majorBidi" w:cstheme="majorBidi"/>
          <w:sz w:val="24"/>
          <w:szCs w:val="24"/>
          <w:rtl/>
        </w:rPr>
        <w:fldChar w:fldCharType="separate"/>
      </w:r>
      <w:r w:rsidR="001146EF" w:rsidRPr="00274849">
        <w:rPr>
          <w:rFonts w:asciiTheme="majorBidi" w:hAnsiTheme="majorBidi" w:cstheme="majorBidi"/>
          <w:noProof/>
          <w:sz w:val="24"/>
          <w:szCs w:val="24"/>
        </w:rPr>
        <w:t>(Mustofa, 2011)</w:t>
      </w:r>
      <w:r w:rsidR="001146EF" w:rsidRPr="00274849">
        <w:rPr>
          <w:rStyle w:val="FootnoteReference"/>
          <w:rFonts w:asciiTheme="majorBidi" w:hAnsiTheme="majorBidi" w:cstheme="majorBidi"/>
          <w:sz w:val="24"/>
          <w:szCs w:val="24"/>
          <w:rtl/>
        </w:rPr>
        <w:fldChar w:fldCharType="end"/>
      </w:r>
      <w:r w:rsidRPr="00274849">
        <w:rPr>
          <w:rFonts w:ascii="Traditional Arabic" w:hAnsi="Traditional Arabic" w:cs="Traditional Arabic"/>
          <w:sz w:val="36"/>
          <w:szCs w:val="36"/>
          <w:rtl/>
        </w:rPr>
        <w:t>، فإنّ مؤشرات تعلم مهارة القراءة (مهارة القراءة) هي كما يلي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(١) أن يكون الطالب قادرًا على قراءة النص العربي بشكل صحيح، (٢) أن يكون قادرًا على فهم النص بشكل صحيح، (٣) أن يكون قادرًا على ترجمة النص بشكل صحيح، (٤) أن يعرف موقع كل كلمة في الجملة، وأن يكون قادرًا على إعادة سرد النص بلغته الخاصة</w:t>
      </w:r>
      <w:r w:rsidRPr="00274849">
        <w:rPr>
          <w:rFonts w:ascii="Traditional Arabic" w:hAnsi="Traditional Arabic" w:cs="Traditional Arabic"/>
          <w:sz w:val="36"/>
          <w:szCs w:val="36"/>
          <w:lang w:val="id-ID"/>
        </w:rPr>
        <w:t>.</w:t>
      </w:r>
    </w:p>
    <w:p w14:paraId="41A837BE" w14:textId="6363B576" w:rsidR="008D263B" w:rsidRPr="00274849" w:rsidRDefault="008D263B" w:rsidP="00274849">
      <w:pPr>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ومع ذلك، فإنّ الواقع الميداني يُظهِر أنّ هناك مشكلات متعدّدة في قدرة طلاب الصف التاسع بمدرسة متوسطة </w:t>
      </w:r>
      <w:bookmarkStart w:id="0" w:name="_Hlk201991655"/>
      <w:r w:rsidRPr="00274849">
        <w:rPr>
          <w:rFonts w:ascii="Traditional Arabic" w:hAnsi="Traditional Arabic" w:cs="Traditional Arabic"/>
          <w:color w:val="000000"/>
          <w:sz w:val="36"/>
          <w:szCs w:val="36"/>
          <w:rtl/>
          <w:lang w:val="id-ID"/>
        </w:rPr>
        <w:t>آل</w:t>
      </w:r>
      <w:bookmarkEnd w:id="0"/>
      <w:r w:rsidRPr="00274849">
        <w:rPr>
          <w:rFonts w:ascii="Traditional Arabic" w:hAnsi="Traditional Arabic" w:cs="Traditional Arabic"/>
          <w:sz w:val="36"/>
          <w:szCs w:val="36"/>
          <w:rtl/>
        </w:rPr>
        <w:t xml:space="preserve"> عمران الإسلامية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على قراءة النصوص العربية. فقد تم التوصّل إلى هذه النتيجة من خلال الملاحظة المباشرة لعملية التعلم داخل الصف، بالإضافة إلى المقابلات التي أُجريت مع معلمي اللغة العربية في شهر أكتوبر سنة ٢٠٢٤م، حيث تبيّن أن غالبية الطلاب لا يزالون غير متمكنين من قراءة النصوص العربية بطلاقة. ولا يستطيع فهم النصوص فهماً صحيحاً إلا عدد قليل من الطلاب، وهناك عدد أقلّ منهم يستطيع ترجمة النصوص العربية إلى اللغة الإندونيسية وفهم مواضع الكلمات ومعانيها في سياق النص. وتشير هذه النتائج إلى وجود ضعف في امتلاك مهارة القراءة، الأمر الذي يتطلب تعزيزها من خلال اعتماد أساليب تعليمية أكثر دقة وفاعلية</w:t>
      </w:r>
      <w:r w:rsidRPr="00274849">
        <w:rPr>
          <w:rFonts w:ascii="Traditional Arabic" w:hAnsi="Traditional Arabic" w:cs="Traditional Arabic"/>
          <w:sz w:val="36"/>
          <w:szCs w:val="36"/>
        </w:rPr>
        <w:t>.</w:t>
      </w:r>
    </w:p>
    <w:p w14:paraId="6D6F40AC" w14:textId="53500968" w:rsidR="008D263B" w:rsidRPr="00274849" w:rsidRDefault="008D263B" w:rsidP="00274849">
      <w:pPr>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lastRenderedPageBreak/>
        <w:tab/>
      </w:r>
      <w:r w:rsidRPr="00274849">
        <w:rPr>
          <w:rFonts w:ascii="Traditional Arabic" w:hAnsi="Traditional Arabic" w:cs="Traditional Arabic"/>
          <w:sz w:val="36"/>
          <w:szCs w:val="36"/>
          <w:rtl/>
        </w:rPr>
        <w:t>يرى الباحث أنّ من أوجه القصور في عملية تعلّم اللغة العربية وتعليمها ضعف اهتمام الطلاب الذين يرون أنّ اللغة العربية لغة صعبة، إضافة إلى وجود مشاكل في الانضباط، ونقص في الموارد، وعدم تناسب مستوى الصعوبة مع قدرات الطلاب، وعدم قدرة المعلم على تحفيزهم، وضيق الوقت المخصص للتعلم، وكذلك عدم مناسبة طريقة التدريس. لذلك، أصبح من الضروري إيجاد وعي جديد لدى المعلّمين، يتمثّل في ضرورة التركيز على دور المتعلّم بوصفه الطرف الأكثر فاعلية في العملية التعليمية، من خلال اعتماد طرق متنوعة تُسهم في زيادة حماس الطلاب لتعلّم مهارة القراءة ، وجعل مادة اللغة العربية أكثر سهولة ومتعة</w:t>
      </w:r>
      <w:r w:rsidRPr="00274849">
        <w:rPr>
          <w:rFonts w:ascii="Traditional Arabic" w:hAnsi="Traditional Arabic" w:cs="Traditional Arabic"/>
          <w:sz w:val="36"/>
          <w:szCs w:val="36"/>
        </w:rPr>
        <w:t>.</w:t>
      </w:r>
    </w:p>
    <w:p w14:paraId="6B1F7FB8" w14:textId="77777777" w:rsidR="00557B0A" w:rsidRDefault="008D263B" w:rsidP="00557B0A">
      <w:pPr>
        <w:bidi/>
        <w:spacing w:after="0" w:line="276" w:lineRule="auto"/>
        <w:jc w:val="both"/>
        <w:rPr>
          <w:rFonts w:asciiTheme="majorBidi" w:hAnsiTheme="majorBidi" w:cstheme="majorBidi"/>
          <w:sz w:val="24"/>
          <w:szCs w:val="24"/>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للطلاب أيضًا </w:t>
      </w:r>
      <w:r w:rsidR="00F44D52" w:rsidRPr="00F44D52">
        <w:rPr>
          <w:rFonts w:hint="cs"/>
          <w:rtl/>
        </w:rPr>
        <w:t xml:space="preserve"> </w:t>
      </w:r>
      <w:r w:rsidR="00F44D52" w:rsidRPr="00F44D52">
        <w:rPr>
          <w:rFonts w:ascii="Traditional Arabic" w:hAnsi="Traditional Arabic" w:cs="Traditional Arabic"/>
          <w:sz w:val="36"/>
          <w:szCs w:val="36"/>
          <w:rtl/>
        </w:rPr>
        <w:t>دورٌ مهمٌ</w:t>
      </w:r>
      <w:r w:rsidRPr="00274849">
        <w:rPr>
          <w:rFonts w:ascii="Traditional Arabic" w:hAnsi="Traditional Arabic" w:cs="Traditional Arabic"/>
          <w:sz w:val="36"/>
          <w:szCs w:val="36"/>
          <w:rtl/>
        </w:rPr>
        <w:t xml:space="preserve"> في تحقيق نجاح العملية التعليمية. ولذلك، يُطلب من المعلم أن يمتلك الكفاءة التربوية، بما في ذلك إتقان الأساليب التعليمية الفعّالة، ولا سيما في سياق تعليم الطلاب غير الناطقين باللغة العربية. إن استخدام الطريقة المناسبة يُسهّل على الطلاب فهمَ المادة الدراسية ويزيد من مشاركتهم في الأنشطة التعليمية</w:t>
      </w:r>
      <w:r w:rsidR="00274849" w:rsidRPr="00274849">
        <w:rPr>
          <w:rFonts w:asciiTheme="majorBidi" w:hAnsiTheme="majorBidi" w:cstheme="majorBidi"/>
          <w:sz w:val="24"/>
          <w:szCs w:val="24"/>
        </w:rPr>
        <w:t xml:space="preserve"> </w:t>
      </w:r>
      <w:r w:rsidR="00274849" w:rsidRPr="00274849">
        <w:rPr>
          <w:rFonts w:asciiTheme="majorBidi" w:hAnsiTheme="majorBidi" w:cstheme="majorBidi"/>
          <w:sz w:val="24"/>
          <w:szCs w:val="24"/>
        </w:rPr>
        <w:fldChar w:fldCharType="begin" w:fldLock="1"/>
      </w:r>
      <w:r w:rsidR="00274849" w:rsidRPr="00274849">
        <w:rPr>
          <w:rFonts w:asciiTheme="majorBidi" w:hAnsiTheme="majorBidi" w:cstheme="majorBidi"/>
          <w:sz w:val="24"/>
          <w:szCs w:val="24"/>
        </w:rPr>
        <w:instrText>ADDIN CSL_CITATION {"citationItems":[{"id":"ITEM-1","itemData":{"author":[{"dropping-particle":"","family":"Hermawan","given":"A.","non-dropping-particle":"","parse-names":false,"suffix":""}],"edition":"PT Remaja ","id":"ITEM-1","issued":{"date-parts":[["2011"]]},"publisher-place":"bandung","title":"Metodologi Pembelajaran Bahasa Arab. Bandung","type":"book"},"uris":["http://www.mendeley.com/documents/?uuid=6d09cab2-036d-4b9a-ba6e-9ca28f971612"]}],"mendeley":{"formattedCitation":"(Hermawan, 2011)","plainTextFormattedCitation":"(Hermawan, 2011)"},"properties":{"noteIndex":0},"schema":"https://github.com/citation-style-language/schema/raw/master/csl-citation.json"}</w:instrText>
      </w:r>
      <w:r w:rsidR="00274849" w:rsidRPr="00274849">
        <w:rPr>
          <w:rFonts w:asciiTheme="majorBidi" w:hAnsiTheme="majorBidi" w:cstheme="majorBidi"/>
          <w:sz w:val="24"/>
          <w:szCs w:val="24"/>
        </w:rPr>
        <w:fldChar w:fldCharType="separate"/>
      </w:r>
      <w:r w:rsidR="00274849" w:rsidRPr="00274849">
        <w:rPr>
          <w:rFonts w:asciiTheme="majorBidi" w:hAnsiTheme="majorBidi" w:cstheme="majorBidi"/>
          <w:noProof/>
          <w:sz w:val="24"/>
          <w:szCs w:val="24"/>
        </w:rPr>
        <w:t>(Hermawan, 2011)</w:t>
      </w:r>
      <w:r w:rsidR="00274849" w:rsidRPr="00274849">
        <w:rPr>
          <w:rFonts w:asciiTheme="majorBidi" w:hAnsiTheme="majorBidi" w:cstheme="majorBidi"/>
          <w:sz w:val="24"/>
          <w:szCs w:val="24"/>
        </w:rPr>
        <w:fldChar w:fldCharType="end"/>
      </w:r>
    </w:p>
    <w:p w14:paraId="32E404F9" w14:textId="11A7BD8D" w:rsidR="008D263B" w:rsidRPr="00557B0A" w:rsidRDefault="008D263B" w:rsidP="00557B0A">
      <w:pPr>
        <w:bidi/>
        <w:spacing w:after="0" w:line="276" w:lineRule="auto"/>
        <w:ind w:firstLine="720"/>
        <w:jc w:val="both"/>
        <w:rPr>
          <w:rFonts w:ascii="Traditional Arabic" w:hAnsi="Traditional Arabic" w:cs="Traditional Arabic"/>
          <w:sz w:val="36"/>
          <w:szCs w:val="36"/>
        </w:rPr>
      </w:pPr>
      <w:r w:rsidRPr="00274849">
        <w:rPr>
          <w:rFonts w:ascii="Traditional Arabic" w:hAnsi="Traditional Arabic" w:cs="Traditional Arabic"/>
          <w:sz w:val="36"/>
          <w:szCs w:val="36"/>
          <w:rtl/>
          <w:lang w:val="en-ID" w:eastAsia="en-ID"/>
        </w:rPr>
        <w:t>وتُعدّ طريقة التدريس عاملًا أساسيًا في تحديد نتائج تعلم الطلاب، لأن تحقيق الكفاءة التعليمية يتأثر بدرجة كبيرة بمدى توافق الطريقة مع أهداف التعلم</w:t>
      </w:r>
      <w:r w:rsidRPr="00274849">
        <w:rPr>
          <w:rFonts w:asciiTheme="majorBidi" w:hAnsiTheme="majorBidi" w:cstheme="majorBidi"/>
          <w:lang w:val="id-ID" w:eastAsia="en-ID"/>
        </w:rPr>
        <w:t xml:space="preserve"> </w:t>
      </w:r>
      <w:r w:rsidR="001146EF" w:rsidRPr="00274849">
        <w:rPr>
          <w:rStyle w:val="FootnoteReference"/>
          <w:rFonts w:asciiTheme="majorBidi" w:hAnsiTheme="majorBidi" w:cstheme="majorBidi"/>
          <w:rtl/>
          <w:lang w:val="en-ID" w:eastAsia="en-ID"/>
        </w:rPr>
        <w:fldChar w:fldCharType="begin" w:fldLock="1"/>
      </w:r>
      <w:r w:rsidR="00F5247D" w:rsidRPr="00274849">
        <w:rPr>
          <w:rFonts w:asciiTheme="majorBidi" w:hAnsiTheme="majorBidi" w:cstheme="majorBidi"/>
          <w:lang w:val="en-ID" w:eastAsia="en-ID"/>
        </w:rPr>
        <w:instrText>ADDIN CSL_CITATION {"citationItems":[{"id":"ITEM-1","itemData":{"author":[{"dropping-particle":"","family":"Saharuddin","given":"","non-dropping-particle":"","parse-names":false,"suffix":""}],"container-title":"Al Maraji': Jurnal Pendidikan Bahasa Arab","id":"ITEM-1","issued":{"date-parts":[["2024"]]},"title":"Strategi Pembelajaran Bahasa Arab Berbasis Literasi","type":"article-journal","volume":"Vol.3 No.1"},"uris":["http://www.mendeley.com/documents/?uuid=75d4acb6-f5c9-431a-bd9e-6eb278bb5d3e","http://www.mendeley.com/documents/?uuid=5f551f2a-594e-4447-9515-e1260d4b6735"]}],"mendeley":{"formattedCitation":"(Saharuddin, 2024)","plainTextFormattedCitation":"(Saharuddin, 2024)","previouslyFormattedCitation":"(Saharuddin, 2024)"},"properties":{"noteIndex":0},"schema":"https://github.com/citation-style-language/schema/raw/master/csl-citation.json"}</w:instrText>
      </w:r>
      <w:r w:rsidR="001146EF" w:rsidRPr="00274849">
        <w:rPr>
          <w:rStyle w:val="FootnoteReference"/>
          <w:rFonts w:asciiTheme="majorBidi" w:hAnsiTheme="majorBidi" w:cstheme="majorBidi"/>
          <w:rtl/>
          <w:lang w:val="en-ID" w:eastAsia="en-ID"/>
        </w:rPr>
        <w:fldChar w:fldCharType="separate"/>
      </w:r>
      <w:r w:rsidR="001146EF" w:rsidRPr="00274849">
        <w:rPr>
          <w:rFonts w:asciiTheme="majorBidi" w:hAnsiTheme="majorBidi" w:cstheme="majorBidi"/>
          <w:noProof/>
          <w:lang w:val="en-ID" w:eastAsia="en-ID"/>
        </w:rPr>
        <w:t>(Saharuddin, 2024)</w:t>
      </w:r>
      <w:r w:rsidR="001146EF" w:rsidRPr="00274849">
        <w:rPr>
          <w:rStyle w:val="FootnoteReference"/>
          <w:rFonts w:asciiTheme="majorBidi" w:hAnsiTheme="majorBidi" w:cstheme="majorBidi"/>
          <w:rtl/>
          <w:lang w:val="en-ID" w:eastAsia="en-ID"/>
        </w:rPr>
        <w:fldChar w:fldCharType="end"/>
      </w:r>
      <w:r w:rsidRPr="00274849">
        <w:rPr>
          <w:rFonts w:ascii="Traditional Arabic" w:hAnsi="Traditional Arabic" w:cs="Traditional Arabic"/>
          <w:sz w:val="36"/>
          <w:szCs w:val="36"/>
          <w:lang w:val="en-ID" w:eastAsia="en-ID"/>
        </w:rPr>
        <w:t xml:space="preserve">. </w:t>
      </w:r>
      <w:r w:rsidRPr="00274849">
        <w:rPr>
          <w:rFonts w:ascii="Traditional Arabic" w:hAnsi="Traditional Arabic" w:cs="Traditional Arabic"/>
          <w:sz w:val="36"/>
          <w:szCs w:val="36"/>
          <w:rtl/>
          <w:lang w:val="en-ID" w:eastAsia="en-ID"/>
        </w:rPr>
        <w:t>كما أن تعليم اللغة العربية لغير الناطقين بها يُعتبر تحدّيًا خاصًا للمعلم، الذي يُتوقّع منه أن يجعل هذه اللغة محبوبة ومفهومة لدى الطلا</w:t>
      </w:r>
      <w:r w:rsidR="008B5209" w:rsidRPr="00274849">
        <w:rPr>
          <w:rFonts w:asciiTheme="majorBidi" w:hAnsiTheme="majorBidi" w:cstheme="majorBidi"/>
          <w:rtl/>
          <w:lang w:val="en-ID" w:eastAsia="en-ID"/>
        </w:rPr>
        <w:fldChar w:fldCharType="begin" w:fldLock="1"/>
      </w:r>
      <w:r w:rsidR="008B5209" w:rsidRPr="00274849">
        <w:rPr>
          <w:rFonts w:asciiTheme="majorBidi" w:hAnsiTheme="majorBidi" w:cstheme="majorBidi"/>
          <w:lang w:val="en-ID" w:eastAsia="en-ID"/>
        </w:rPr>
        <w:instrText>ADDIN CSL_CITATION {"citationItems":[{"id":"ITEM-1","itemData":{"DOI":"10.36915/la.v1i2.15","ISSN":"2722-1180","abstract":"Writing skill (maharah al-kitabah) is the highest skill of the four language skills. Writing is an activity that has a relationship with thought processes and expression skills in the form of writing. Judging from the aspect of Arabic proficiency, writing can be said to be a very complex activity, because it requires the ability to organize and organize ideas coherently and logically, as well as the ability to present writing in a variety of written languages and different writing rules. This writing activity is difficult for students, because it requires several skills, namely skills in forming letters and mastering spelling and the skills to generate thoughts and feelings in the form of Arabic writing. Therefore, it is necessary to understand the objectives and principles of learning writing skills and writing skills learning techniques to help students understand the material and achieve the goals of learning writing skills (Maharah al-kitabah). This paper tries to explain the theory of learning writing skills scientifically which includes the understanding of writing skills (maharah al-kitabah), the objectives of learning writing skills (maharah al-kitabah), the principles of learning writing skills (maharah al-kitabah) and skills learning techniques. write (maharah al-kitabah) in Arabic.","author":[{"dropping-particle":"","family":"Munawarah","given":"Munawarah","non-dropping-particle":"","parse-names":false,"suffix":""},{"dropping-particle":"","family":"Zulkiflih","given":"Zulkiflih","non-dropping-particle":"","parse-names":false,"suffix":""}],"container-title":"Loghat Arabi : Jurnal Bahasa Arab dan Pendidikan Bahasa Arab","id":"ITEM-1","issue":"2","issued":{"date-parts":[["2021"]]},"page":"22","title":"Pembelajaran Keterampilan Menulis (Maharah al-Kitabah) dalam Bahasa Arab","type":"article-journal","volume":"1"},"uris":["http://www.mendeley.com/documents/?uuid=43551c70-4365-4061-85ae-9c769149a43e"]}],"mendeley":{"formattedCitation":"(Munawarah &amp; Zulkiflih, 2021)","plainTextFormattedCitation":"(Munawarah &amp; Zulkiflih, 2021)","previouslyFormattedCitation":"(Munawarah &amp; Zulkiflih, 2021)"},"properties":{"noteIndex":0},"schema":"https://github.com/citation-style-language/schema/raw/master/csl-citation.json"}</w:instrText>
      </w:r>
      <w:r w:rsidR="008B5209" w:rsidRPr="00274849">
        <w:rPr>
          <w:rFonts w:asciiTheme="majorBidi" w:hAnsiTheme="majorBidi" w:cstheme="majorBidi"/>
          <w:rtl/>
          <w:lang w:val="en-ID" w:eastAsia="en-ID"/>
        </w:rPr>
        <w:fldChar w:fldCharType="separate"/>
      </w:r>
      <w:r w:rsidR="008B5209" w:rsidRPr="00274849">
        <w:rPr>
          <w:rFonts w:asciiTheme="majorBidi" w:hAnsiTheme="majorBidi" w:cstheme="majorBidi"/>
          <w:noProof/>
          <w:lang w:val="en-ID" w:eastAsia="en-ID"/>
        </w:rPr>
        <w:t>(Munawarah &amp; Zulkiflih, 2021)</w:t>
      </w:r>
      <w:r w:rsidR="008B5209" w:rsidRPr="00274849">
        <w:rPr>
          <w:rFonts w:asciiTheme="majorBidi" w:hAnsiTheme="majorBidi" w:cstheme="majorBidi"/>
          <w:rtl/>
          <w:lang w:val="en-ID" w:eastAsia="en-ID"/>
        </w:rPr>
        <w:fldChar w:fldCharType="end"/>
      </w:r>
    </w:p>
    <w:p w14:paraId="709F8DF6" w14:textId="77777777" w:rsidR="008D263B" w:rsidRPr="00274849" w:rsidRDefault="008D263B" w:rsidP="00274849">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وتكمن أهمية هذا البحث في وجود المشكلات المذكورة أعلاه، والتي تستدعي تحليلاً عميقًا للأسباب التي تجعل الطلاب ينظرون إلى اللغة العربية على أنها لغة صعبة، كما تتطلّب جهودًا جدّية لتحفيز طلاب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w:t>
      </w:r>
      <w:r w:rsidRPr="00274849">
        <w:rPr>
          <w:rFonts w:ascii="Traditional Arabic" w:hAnsi="Traditional Arabic" w:cs="Traditional Arabic"/>
          <w:sz w:val="36"/>
          <w:szCs w:val="36"/>
        </w:rPr>
        <w:t xml:space="preserve"> </w:t>
      </w:r>
      <w:r w:rsidRPr="00274849">
        <w:rPr>
          <w:rFonts w:asciiTheme="majorBidi" w:hAnsiTheme="majorBidi" w:cstheme="majorBidi"/>
        </w:rPr>
        <w:t>(MTs Ali Imron)</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على تعلّم اللغة العربية بحماسة عالية. وللاستفادة القصوى من إمكانيات طلاب هذه المدرسة في فهم اللغة العربية، خاصة في مهارة القراءة، يرى الباحث أنه إذا امتلك الطلاب الرغبة الصادقة والدافع الحقيقي لتعلّم اللغة العربية، فإنّ ذلك سيحفّزهم على فهم النصوص العربية، ويُسهم في تحسين قدرتهم في مهارة القراءة. كما يأمل الباحث أن يتمكّن من خلال هذا البحث من تقديم توصيات حول أنجع الطرق التي تجعل الطلاب مهتمين بفهم النصوص العربية، مما سيؤدي تلقائيًا إلى تحسين مهاراتهم في مهارة القراءة</w:t>
      </w:r>
      <w:r w:rsidRPr="00274849">
        <w:rPr>
          <w:rFonts w:ascii="Traditional Arabic" w:hAnsi="Traditional Arabic" w:cs="Traditional Arabic"/>
          <w:sz w:val="36"/>
          <w:szCs w:val="36"/>
        </w:rPr>
        <w:t>.</w:t>
      </w:r>
    </w:p>
    <w:p w14:paraId="3415F77A" w14:textId="77777777" w:rsidR="008D263B" w:rsidRPr="00274849" w:rsidRDefault="008D263B" w:rsidP="00274849">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من بين الدراسات السابقة التي تناولت مهارة القراءة والتي لها صلة وثيقة بموضوع البحث الحالي، ما يلي</w:t>
      </w:r>
      <w:r w:rsidRPr="00274849">
        <w:rPr>
          <w:rFonts w:ascii="Traditional Arabic" w:hAnsi="Traditional Arabic" w:cs="Traditional Arabic"/>
          <w:sz w:val="36"/>
          <w:szCs w:val="36"/>
        </w:rPr>
        <w:t>:</w:t>
      </w:r>
    </w:p>
    <w:p w14:paraId="49C3C662" w14:textId="5465A2D7" w:rsidR="008D263B" w:rsidRPr="00274849" w:rsidRDefault="008D263B" w:rsidP="00274849">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١</w:t>
      </w:r>
      <w:r w:rsidR="008B5209" w:rsidRPr="00274849">
        <w:rPr>
          <w:rFonts w:asciiTheme="majorBidi" w:hAnsiTheme="majorBidi" w:cstheme="majorBidi"/>
          <w:rtl/>
        </w:rPr>
        <w:fldChar w:fldCharType="begin" w:fldLock="1"/>
      </w:r>
      <w:r w:rsidR="008F7A81" w:rsidRPr="00274849">
        <w:rPr>
          <w:rFonts w:asciiTheme="majorBidi" w:hAnsiTheme="majorBidi" w:cstheme="majorBidi"/>
        </w:rPr>
        <w:instrText>ADDIN CSL_CITATION {"citationItems":[{"id":"ITEM-1","itemData":{"author":[{"dropping-particle":"","family":"Adhi Kusumastuti","given":"Ahmad Mustamil Khoiron","non-dropping-particle":"","parse-names":false,"suffix":""}],"container-title":"Universitas Negeri Semarang","id":"ITEM-1","issued":{"date-parts":[["2020"]]},"title":"Merancang Penelitian Kualitatif: Dasar, Deskriptif dan Studi Kasus","type":"article-newspaper"},"uris":["http://www.mendeley.com/documents/?uuid=e731db39-7e08-45f2-8a6c-7c95e10a4a1b"]}],"mendeley":{"formattedCitation":"(Adhi Kusumastuti, 2020)","plainTextFormattedCitation":"(Adhi Kusumastuti, 2020)","previouslyFormattedCitation":"(Adhi Kusumastuti, 2020)"},"properties":{"noteIndex":0},"schema":"https://github.com/citation-style-language/schema/raw/master/csl-citation.json"}</w:instrText>
      </w:r>
      <w:r w:rsidR="008B5209" w:rsidRPr="00274849">
        <w:rPr>
          <w:rFonts w:asciiTheme="majorBidi" w:hAnsiTheme="majorBidi" w:cstheme="majorBidi"/>
          <w:rtl/>
        </w:rPr>
        <w:fldChar w:fldCharType="separate"/>
      </w:r>
      <w:r w:rsidR="008B5209" w:rsidRPr="00274849">
        <w:rPr>
          <w:rFonts w:asciiTheme="majorBidi" w:hAnsiTheme="majorBidi" w:cstheme="majorBidi"/>
          <w:noProof/>
        </w:rPr>
        <w:t>(Adhi Kusumastuti, 2020)</w:t>
      </w:r>
      <w:r w:rsidR="008B5209" w:rsidRPr="00274849">
        <w:rPr>
          <w:rFonts w:asciiTheme="majorBidi" w:hAnsiTheme="majorBidi" w:cstheme="majorBidi"/>
          <w:rtl/>
        </w:rPr>
        <w:fldChar w:fldCharType="end"/>
      </w:r>
      <w:r w:rsidRPr="00274849">
        <w:rPr>
          <w:rFonts w:ascii="Traditional Arabic" w:hAnsi="Traditional Arabic" w:cs="Traditional Arabic"/>
          <w:sz w:val="36"/>
          <w:szCs w:val="36"/>
          <w:rtl/>
        </w:rPr>
        <w:t>رسالة ماجستير، قسم تعليم اللغة العربية بجامعة سونان كاليجاغا الإسلامية الحكومية يوجياكرتا، بعنوان: طريقة تعليم القراءة في الصف التاسع بمدرسة محمدية الثانية يوجياكرتا من منظور ألبرت باندورا. توصلت هذه الدراسة إلى أن المفاهيم الأربعة في نظرية التعلم بالملاحظة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النظرية المعرفية الاجتماعية لـ</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تشمل: الانتباه، والاحتفاظ، والإنتاج، والتحفيز. أما تطبيقها على طريقة تعليم القراءة في الصف التاسع "ب" فهو كما يلي</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أ) الاهتمام، وهو عملية تركيز انتباه طلاب الصف التاسع "ب" في مدرسة المحمدية الثانية بيوجياكرتا على تعلم مهارة القراءة، وذلك من خلال تحريك الجسد، وإلقاء التحية، وطرح الأسئلة، وإجراء اختبار تمهيدي، وتغيير أماكن الجلوس، وتهيئة جوٍّ صفيٍّ مريح</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ب) الاحتفاظ، وهو عملية نقل المعرفة إلى طلاب الصف باستخدام أساليب التكرار، والتفصيل، وتقديم الأمثلة، وربط المعلومات الجديدة بالقديمة، وإتاحة الفرصة لطرح الأسئلة، وتدوين الملاحظات، واستخدام المفردات البسيطة، والخرائط المفهومية، وتنظيم المفردات، والكلمات المفتاحية</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ج) الإنتاج، وهو عملية قياس مدى تحقق الأهداف ونجاح التعلم من خلال التغذية الراجعة باستخدام التدريبات الكتابية والشفوية والعملية، والأنشطة الجماعية، والوظائف المنزلية، والإشارات</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د) الدافعية، وهي عملية التعزيز التي تُستخدم في بداية التعلم أو أثناءه أو في نهايته، وتشمل المكافآت، والمقارنات الاجتماعية، وتحمل المسؤولية، والعقوبة، والإنصات الجيد، والمدح، واستخدام طرائق تدريس متنوعة</w:t>
      </w:r>
      <w:r w:rsidRPr="00274849">
        <w:rPr>
          <w:rFonts w:ascii="Traditional Arabic" w:hAnsi="Traditional Arabic" w:cs="Traditional Arabic"/>
          <w:sz w:val="36"/>
          <w:szCs w:val="36"/>
        </w:rPr>
        <w:t>.</w:t>
      </w:r>
    </w:p>
    <w:p w14:paraId="16F809F1" w14:textId="491E4760" w:rsidR="0021407A" w:rsidRPr="008B2740" w:rsidRDefault="008D263B" w:rsidP="008B2740">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الفرق بين البحث الذي أجرته</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والبحث الحالي يتمثل في منظور التحليل؛ إذ اعتمدت الباحثة الأولى على نظرية ألبرت باندورا، بينما اعتمد الباحث الحالي على نظرية تعليم اللغة العربية لغير الناطقين بها. كما يختلف موضع البحث، حيث أُجري البحث الأول في مدرسة متوسطة، في حين أُجري البحث الحالي في مدرسة متوسطة إسلامية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إضافةً إلى ذلك، فإن اختلاف مؤشرات الإنجاز أدّى إلى تباين في مراحل التحليل ونتائجه</w:t>
      </w:r>
      <w:r w:rsidRPr="00274849">
        <w:rPr>
          <w:rFonts w:ascii="Traditional Arabic" w:hAnsi="Traditional Arabic" w:cs="Traditional Arabic"/>
          <w:sz w:val="36"/>
          <w:szCs w:val="36"/>
        </w:rPr>
        <w:t>.</w:t>
      </w:r>
    </w:p>
    <w:p w14:paraId="35DDB84E" w14:textId="7DC85449" w:rsidR="008D263B" w:rsidRPr="00274849" w:rsidRDefault="008D263B" w:rsidP="00274849">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٢‏</w:t>
      </w:r>
      <w:r w:rsidR="008F7A81" w:rsidRPr="00274849">
        <w:rPr>
          <w:rFonts w:asciiTheme="majorBidi" w:hAnsiTheme="majorBidi" w:cstheme="majorBidi"/>
          <w:rtl/>
        </w:rPr>
        <w:fldChar w:fldCharType="begin" w:fldLock="1"/>
      </w:r>
      <w:r w:rsidR="00081B95" w:rsidRPr="00274849">
        <w:rPr>
          <w:rFonts w:asciiTheme="majorBidi" w:hAnsiTheme="majorBidi" w:cstheme="majorBidi"/>
        </w:rPr>
        <w:instrText>ADDIN CSL_CITATION {"citationItems":[{"id":"ITEM-1","itemData":{"author":[{"dropping-particle":"","family":"Motivasi","given":"Jurnal","non-dropping-particle":"","parse-names":false,"suffix":""},{"dropping-particle":"","family":"Khotimah","given":"Husnul","non-dropping-particle":"","parse-names":false,"suffix":""},{"dropping-particle":"","family":"Sofa","given":"Ainur Rofiq","non-dropping-particle":"","parse-names":false,"suffix":""},{"dropping-particle":"","family":"Timur","given":"Jawa","non-dropping-particle":"","parse-names":false,"suffix":""}],"id":"ITEM-1","issued":{"date-parts":[["2025"]]},"title":"Strategi Analisis Maharah Qira ’ ah untuk Pemahaman Bahasa Arab di Madrasah Aliyah Al-Masduqiyah Progran Studi Pendidikan Bahasa Arab Fakultas Tarbiyah , Universitas Islam Zainul Hasan pembelajaran Maharah Qira ’ ah yang menuntut siswa untuk tidak hanya m","type":"article-journal","volume":"3"},"uris":["http://www.mendeley.com/documents/?uuid=9927bbc4-e57a-43d3-abaa-99a3cbf153f5"]}],"mendeley":{"formattedCitation":"(Motivasi et al., 2025)","plainTextFormattedCitation":"(Motivasi et al., 2025)","previouslyFormattedCitation":"(Motivasi et al., 2025)"},"properties":{"noteIndex":0},"schema":"https://github.com/citation-style-language/schema/raw/master/csl-citation.json"}</w:instrText>
      </w:r>
      <w:r w:rsidR="008F7A81" w:rsidRPr="00274849">
        <w:rPr>
          <w:rFonts w:asciiTheme="majorBidi" w:hAnsiTheme="majorBidi" w:cstheme="majorBidi"/>
          <w:rtl/>
        </w:rPr>
        <w:fldChar w:fldCharType="separate"/>
      </w:r>
      <w:r w:rsidR="008F7A81" w:rsidRPr="00274849">
        <w:rPr>
          <w:rFonts w:asciiTheme="majorBidi" w:hAnsiTheme="majorBidi" w:cstheme="majorBidi"/>
          <w:noProof/>
        </w:rPr>
        <w:t>(Motivasi et al., 2025)</w:t>
      </w:r>
      <w:r w:rsidR="008F7A81" w:rsidRPr="00274849">
        <w:rPr>
          <w:rFonts w:asciiTheme="majorBidi" w:hAnsiTheme="majorBidi" w:cstheme="majorBidi"/>
          <w:rtl/>
        </w:rPr>
        <w:fldChar w:fldCharType="end"/>
      </w:r>
      <w:r w:rsidRPr="00274849">
        <w:rPr>
          <w:rFonts w:ascii="Traditional Arabic" w:hAnsi="Traditional Arabic" w:cs="Traditional Arabic"/>
          <w:sz w:val="36"/>
          <w:szCs w:val="36"/>
          <w:rtl/>
        </w:rPr>
        <w:t xml:space="preserve">مجلة علمية، جامعة سيدي علي رحمة الله الإسلامية الحكومية تولونغاغونغ، بعنوان: تطبيق وسيلة القصص المصورة (الكوميكس) لتعزيز رغبة طلاب معهد سروج الطلابين في تولونغاغونغ في قراءة </w:t>
      </w:r>
      <w:r w:rsidRPr="00274849">
        <w:rPr>
          <w:rFonts w:ascii="Traditional Arabic" w:hAnsi="Traditional Arabic" w:cs="Traditional Arabic"/>
          <w:sz w:val="36"/>
          <w:szCs w:val="36"/>
          <w:rtl/>
        </w:rPr>
        <w:lastRenderedPageBreak/>
        <w:t xml:space="preserve">النصوص </w:t>
      </w:r>
      <w:proofErr w:type="gramStart"/>
      <w:r w:rsidRPr="00274849">
        <w:rPr>
          <w:rFonts w:ascii="Traditional Arabic" w:hAnsi="Traditional Arabic" w:cs="Traditional Arabic"/>
          <w:sz w:val="36"/>
          <w:szCs w:val="36"/>
          <w:rtl/>
        </w:rPr>
        <w:t>العربية</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هدف</w:t>
      </w:r>
      <w:proofErr w:type="gramEnd"/>
      <w:r w:rsidRPr="00274849">
        <w:rPr>
          <w:rFonts w:ascii="Traditional Arabic" w:hAnsi="Traditional Arabic" w:cs="Traditional Arabic"/>
          <w:sz w:val="36"/>
          <w:szCs w:val="36"/>
          <w:rtl/>
        </w:rPr>
        <w:t xml:space="preserve"> هذا البحث إلى تطبيق الكتاب المصور (الكوميكس) كوسيلة تعليمية لتعزيز رغبة القراءة ومهارة القراءة لدى طلاب معهد سروج الطلابين في تولونغاغونغ. وقد أظهرت نتائج البحث أن الكوميكس باللغة العربية ساهم بشكل ملحوظ في تنمية مهارات القراءة لدى الطلاب، وخلق بيئة تعليمية ممتعة، وتنمية الاهتمام بالأدب العربي. وأثبت الكوميكس كوسيلة تعليمية أنه يتماشى مع ميول الطلاب، مما جعل العملية التعليمية أكثر فاعلية وتفاعلاً وعمقًا. وتؤكد هذه النتائج أهمية الابتكار في طرق التعليم لمواجهة التحديات في تعليم اللغة العربية بين الطلاب</w:t>
      </w:r>
      <w:r w:rsidRPr="00274849">
        <w:rPr>
          <w:rFonts w:ascii="Traditional Arabic" w:hAnsi="Traditional Arabic" w:cs="Traditional Arabic"/>
          <w:sz w:val="36"/>
          <w:szCs w:val="36"/>
        </w:rPr>
        <w:t>.</w:t>
      </w:r>
    </w:p>
    <w:p w14:paraId="27C8D1EA" w14:textId="0F4FF0D6" w:rsidR="00F477E9" w:rsidRPr="008B2740" w:rsidRDefault="008D263B" w:rsidP="008B2740">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الفرق بين هذا البحث وبين البحث الحالي فيكمن في أن</w:t>
      </w:r>
      <w:r w:rsidR="008F7A81" w:rsidRPr="00096173">
        <w:rPr>
          <w:rFonts w:asciiTheme="majorBidi" w:hAnsiTheme="majorBidi" w:cstheme="majorBidi"/>
        </w:rPr>
        <w:t xml:space="preserve"> </w:t>
      </w:r>
      <w:r w:rsidR="008F7A81" w:rsidRPr="00096173">
        <w:rPr>
          <w:rFonts w:asciiTheme="majorBidi" w:hAnsiTheme="majorBidi" w:cstheme="majorBidi"/>
        </w:rPr>
        <w:fldChar w:fldCharType="begin" w:fldLock="1"/>
      </w:r>
      <w:r w:rsidR="008F7A81" w:rsidRPr="00096173">
        <w:rPr>
          <w:rFonts w:asciiTheme="majorBidi" w:hAnsiTheme="majorBidi" w:cstheme="majorBidi"/>
        </w:rPr>
        <w:instrText>ADDIN CSL_CITATION {"citationItems":[{"id":"ITEM-1","itemData":{"author":[{"dropping-particle":"","family":"Fatkurrohima","given":"Ann Farid","non-dropping-particle":"","parse-names":false,"suffix":""},{"dropping-particle":"","family":"Alwi","given":"Itsnaini Muslimati","non-dropping-particle":"","parse-names":false,"suffix":""}],"container-title":"Yasin","id":"ITEM-1","issued":{"date-parts":[["2025"]]},"page":"1849-1863","title":"Learning Strategy for Arabic Language (Maharah Qira’ah) at MTs 05 Kalikuning","type":"article-journal","volume":"5"},"uris":["http://www.mendeley.com/documents/?uuid=320c4688-9756-4ea6-a88f-f039114b9165"]}],"mendeley":{"formattedCitation":"(Fatkurrohima &amp; Alwi, 2025)","plainTextFormattedCitation":"(Fatkurrohima &amp; Alwi, 2025)","previouslyFormattedCitation":"(Fatkurrohima &amp; Alwi, 2025)"},"properties":{"noteIndex":0},"schema":"https://github.com/citation-style-language/schema/raw/master/csl-citation.json"}</w:instrText>
      </w:r>
      <w:r w:rsidR="008F7A81" w:rsidRPr="00096173">
        <w:rPr>
          <w:rFonts w:asciiTheme="majorBidi" w:hAnsiTheme="majorBidi" w:cstheme="majorBidi"/>
        </w:rPr>
        <w:fldChar w:fldCharType="separate"/>
      </w:r>
      <w:r w:rsidR="008F7A81" w:rsidRPr="00096173">
        <w:rPr>
          <w:rFonts w:asciiTheme="majorBidi" w:hAnsiTheme="majorBidi" w:cstheme="majorBidi"/>
          <w:noProof/>
        </w:rPr>
        <w:t>(Fatkurrohima &amp; Alwi, 2025)</w:t>
      </w:r>
      <w:r w:rsidR="008F7A81" w:rsidRPr="00096173">
        <w:rPr>
          <w:rFonts w:asciiTheme="majorBidi" w:hAnsiTheme="majorBidi" w:cstheme="majorBidi"/>
        </w:rPr>
        <w:fldChar w:fldCharType="end"/>
      </w:r>
      <w:r w:rsidR="008F7A81"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ركّز بشكل خاص على وسيلة تعليمية متمثلة في الكتاب المصور، وكان الهدف الأساسي هو تنمية رغبة الطلاب في قراءة النصوص العربية، بينما ركز الباحث الحالي على تحليل قدرة الطلاب في مهارة القراءة. كما أن موضع البحث يختلف، حيث أُجري البحث في بيئة معهد داخلي (البيئة الدينية) التي تتميز بثقافة تعتمد على الممارسة اليومية للنصوص العربية، في حين أُجري البحث الحالي في مدرسة متوسطة إسلامية</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حيث يتعلم الطلاب مهارة القراءة ضمن الجدول الدراسي الرسمي فقط، مما يعكس اختلافًا ثقافيًا وتعليميًا واضحًا بين البيئتين</w:t>
      </w:r>
      <w:r w:rsidRPr="00274849">
        <w:rPr>
          <w:rFonts w:ascii="Traditional Arabic" w:hAnsi="Traditional Arabic" w:cs="Traditional Arabic"/>
          <w:sz w:val="36"/>
          <w:szCs w:val="36"/>
        </w:rPr>
        <w:t>.</w:t>
      </w:r>
    </w:p>
    <w:p w14:paraId="59DA7BDD" w14:textId="1F8A3D17" w:rsidR="008D263B" w:rsidRPr="00274849" w:rsidRDefault="008D263B" w:rsidP="00274849">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٣</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w:t>
      </w:r>
      <w:r w:rsidR="008F7A81" w:rsidRPr="00274849">
        <w:rPr>
          <w:rFonts w:ascii="Traditional Arabic" w:hAnsi="Traditional Arabic" w:cs="Traditional Arabic"/>
          <w:color w:val="000000"/>
          <w:sz w:val="36"/>
          <w:szCs w:val="36"/>
          <w:lang w:val="id-ID"/>
        </w:rPr>
        <w:t xml:space="preserve"> </w:t>
      </w:r>
      <w:r w:rsidR="008F7A81" w:rsidRPr="00096173">
        <w:rPr>
          <w:rFonts w:asciiTheme="majorBidi" w:hAnsiTheme="majorBidi" w:cstheme="majorBidi"/>
          <w:color w:val="000000"/>
          <w:lang w:val="id-ID"/>
        </w:rPr>
        <w:fldChar w:fldCharType="begin" w:fldLock="1"/>
      </w:r>
      <w:r w:rsidR="008F7A81" w:rsidRPr="00096173">
        <w:rPr>
          <w:rFonts w:asciiTheme="majorBidi" w:hAnsiTheme="majorBidi" w:cstheme="majorBidi"/>
          <w:color w:val="000000"/>
          <w:lang w:val="id-ID"/>
        </w:rPr>
        <w:instrText>ADDIN CSL_CITATION {"citationItems":[{"id":"ITEM-1","itemData":{"author":[{"dropping-particle":"","family":"Syihabul","given":"Muhammad","non-dropping-particle":"","parse-names":false,"suffix":""},{"dropping-particle":"","family":"Al","given":"Ihsan","non-dropping-particle":"","parse-names":false,"suffix":""},{"dropping-particle":"","family":"Mufidah","given":"Nuril","non-dropping-particle":"","parse-names":false,"suffix":""}],"container-title":"Al Mi’yar: Jurnal Ilmiah Pembelajaran Bahasa Arab dan Kebahasaaraban","id":"ITEM-1","issue":"2","issued":{"date-parts":[["2024"]]},"page":"740-748","title":"Pembelajaran Bahasa Arab dan Kebahasaaraban Pembelajaran Efektif Maharah Qira ’ ah Untuk Siswa Non Pesantren","type":"article-journal","volume":"7"},"uris":["http://www.mendeley.com/documents/?uuid=f875d024-3386-4660-a2d8-7fd236a42e65"]}],"mendeley":{"formattedCitation":"(Syihabul et al., 2024)","plainTextFormattedCitation":"(Syihabul et al., 2024)","previouslyFormattedCitation":"(Syihabul et al., 2024)"},"properties":{"noteIndex":0},"schema":"https://github.com/citation-style-language/schema/raw/master/csl-citation.json"}</w:instrText>
      </w:r>
      <w:r w:rsidR="008F7A81" w:rsidRPr="00096173">
        <w:rPr>
          <w:rFonts w:asciiTheme="majorBidi" w:hAnsiTheme="majorBidi" w:cstheme="majorBidi"/>
          <w:color w:val="000000"/>
          <w:lang w:val="id-ID"/>
        </w:rPr>
        <w:fldChar w:fldCharType="separate"/>
      </w:r>
      <w:r w:rsidR="008F7A81" w:rsidRPr="00096173">
        <w:rPr>
          <w:rFonts w:asciiTheme="majorBidi" w:hAnsiTheme="majorBidi" w:cstheme="majorBidi"/>
          <w:noProof/>
          <w:color w:val="000000"/>
          <w:lang w:val="id-ID"/>
        </w:rPr>
        <w:t>(Syihabul et al., 2024)</w:t>
      </w:r>
      <w:r w:rsidR="008F7A81" w:rsidRPr="00096173">
        <w:rPr>
          <w:rFonts w:asciiTheme="majorBidi" w:hAnsiTheme="majorBidi" w:cstheme="majorBidi"/>
          <w:color w:val="000000"/>
          <w:lang w:val="id-ID"/>
        </w:rPr>
        <w:fldChar w:fldCharType="end"/>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مجلة علمية، المدرسة الثانوية الإسلامية الحكومية الرابعة في مدينة بيكانبارو، بعنوان: نموذج</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كبديل لتعليم مهارة القراءة في اللغة العربية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تُعد اللغة العربية التي يتم تعلمها كلغة ثانية ذات خصائص مختلفة بالنسبة للطلاب في إندونيسيا. ولتحقيق الكفاءة في قراءة النصوص العربية، يُطلب من الطلاب إتقان القواعد أولًا قبل محاولة فهم النصوص المقروءة. ولذلك، يُنظر غالبًا إلى تعليم اللغة العربية على أنه تحدٍّ كبير لدى معظم الطلاب. وقد خلص المقال إلى أن نموذج</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بُني على نظريات البنائية والإنسانية، ويتوافق مع التعلم السياقي الذي يدمج موضوعات من حياة الطلاب اليومية في العملية التعليمية ومحتواها. كما يتيح هذا النموذج للمعلم أن يكون ميسّرًا، مما يمكّن الطلاب من استغلال كل إمكاناتهم لتحقيق أهداف التعلم</w:t>
      </w:r>
      <w:r w:rsidRPr="00274849">
        <w:rPr>
          <w:rFonts w:ascii="Traditional Arabic" w:hAnsi="Traditional Arabic" w:cs="Traditional Arabic"/>
          <w:sz w:val="36"/>
          <w:szCs w:val="36"/>
        </w:rPr>
        <w:t>.</w:t>
      </w:r>
    </w:p>
    <w:p w14:paraId="709A127F" w14:textId="78D8C6FB" w:rsidR="008D263B" w:rsidRDefault="008D263B" w:rsidP="00096173">
      <w:pPr>
        <w:pStyle w:val="NormalWeb"/>
        <w:bidi/>
        <w:spacing w:before="0" w:beforeAutospacing="0" w:after="0" w:afterAutospacing="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ويكمن الفرق بين هذا البحث وبين البحث الحالي في أن</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قدّم نموذجًا بديلاً في تعليم مهارة القراءة يمكن أن يُستخدم من قِبل المعلمين، في حين أن الباحث الحالي ركّز على تحليل نظريات تعليم اللغة العربية لغير الناطقين بها، مع بيان مزاياها وعيوبها عند تطبيقها في تعليم مهارة القراءة</w:t>
      </w:r>
      <w:r w:rsidRPr="00274849">
        <w:rPr>
          <w:rFonts w:ascii="Traditional Arabic" w:hAnsi="Traditional Arabic" w:cs="Traditional Arabic"/>
          <w:sz w:val="36"/>
          <w:szCs w:val="36"/>
        </w:rPr>
        <w:t>.</w:t>
      </w:r>
    </w:p>
    <w:p w14:paraId="668D6B7A" w14:textId="595DBB59" w:rsidR="00CD714B" w:rsidRPr="008B2740" w:rsidRDefault="00CD714B" w:rsidP="008B2740">
      <w:pPr>
        <w:pStyle w:val="NormalWeb"/>
        <w:bidi/>
        <w:spacing w:before="0" w:beforeAutospacing="0" w:after="0" w:afterAutospacing="0" w:line="276" w:lineRule="auto"/>
        <w:jc w:val="both"/>
        <w:rPr>
          <w:rFonts w:ascii="Traditional Arabic" w:hAnsi="Traditional Arabic" w:cs="Traditional Arabic"/>
          <w:sz w:val="36"/>
          <w:szCs w:val="36"/>
        </w:rPr>
      </w:pPr>
    </w:p>
    <w:p w14:paraId="61C47783" w14:textId="245EF1E5" w:rsidR="008D263B" w:rsidRPr="00274849" w:rsidRDefault="008F7A81" w:rsidP="00274849">
      <w:pPr>
        <w:pStyle w:val="NormalWeb"/>
        <w:spacing w:before="0" w:beforeAutospacing="0" w:after="0" w:afterAutospacing="0" w:line="276" w:lineRule="auto"/>
        <w:jc w:val="right"/>
        <w:rPr>
          <w:rFonts w:ascii="Traditional Arabic" w:hAnsi="Traditional Arabic" w:cs="Traditional Arabic"/>
          <w:b/>
          <w:bCs/>
          <w:color w:val="1F1F1F"/>
          <w:sz w:val="36"/>
          <w:szCs w:val="36"/>
          <w:lang w:val="id-ID" w:eastAsia="en-ID"/>
        </w:rPr>
      </w:pPr>
      <w:r w:rsidRPr="00274849">
        <w:rPr>
          <w:rFonts w:ascii="Traditional Arabic" w:hAnsi="Traditional Arabic" w:cs="Traditional Arabic"/>
          <w:b/>
          <w:bCs/>
          <w:color w:val="1F1F1F"/>
          <w:sz w:val="36"/>
          <w:szCs w:val="36"/>
          <w:rtl/>
          <w:lang w:val="id-ID" w:eastAsia="en-ID"/>
        </w:rPr>
        <w:t>المراجعة النظرية</w:t>
      </w:r>
    </w:p>
    <w:p w14:paraId="64A9793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أ. أهمية مهارة القراءة </w:t>
      </w:r>
    </w:p>
    <w:p w14:paraId="549B5099" w14:textId="4B27C922"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في تعليم اللغة العربية، ينبغي أن تحظى مهارة القراءة باهتمام خاص، لأن القدرة على القراءة تُعدّ من المهارات اللغوية المهمة، فبدون القراءة ستبقى حياة الإنسان ساكنة وغير متطورة</w:t>
      </w:r>
      <w:r w:rsidRPr="00096173">
        <w:rPr>
          <w:rFonts w:asciiTheme="majorBidi" w:hAnsiTheme="majorBidi" w:cstheme="majorBidi"/>
          <w:sz w:val="24"/>
          <w:szCs w:val="24"/>
          <w:lang w:val="id-ID"/>
        </w:rPr>
        <w:t>.</w:t>
      </w:r>
      <w:r w:rsidR="008F7A81" w:rsidRPr="00096173">
        <w:rPr>
          <w:rFonts w:asciiTheme="majorBidi" w:hAnsiTheme="majorBidi" w:cstheme="majorBidi"/>
          <w:sz w:val="24"/>
          <w:szCs w:val="24"/>
          <w:lang w:val="id-ID"/>
        </w:rPr>
        <w:fldChar w:fldCharType="begin" w:fldLock="1"/>
      </w:r>
      <w:r w:rsidR="008F7A81" w:rsidRPr="00096173">
        <w:rPr>
          <w:rFonts w:asciiTheme="majorBidi" w:hAnsiTheme="majorBidi" w:cstheme="majorBidi"/>
          <w:sz w:val="24"/>
          <w:szCs w:val="24"/>
          <w:lang w:val="id-ID"/>
        </w:rPr>
        <w:instrText>ADDIN CSL_CITATION {"citationItems":[{"id":"ITEM-1","itemData":{"DOI":"10.25299/al-hikmah:jaip.2023.vol20(1).11655","ISSN":"1412-5382","abstract":"This study aims to analyze the teaching materials of Arabic maharah qira'ah in class IX of SMP Muhammadiyah 3 Yogyakarta. This research is a library research (literature study). In this study, there are two data sources used, namely primary and secondary data sources. The primary data source is taken from the book Arabic Language Education SMP Muhamamdiyah Class IX by Anji Fathunaja, S.Pd.I. and Sugeng Riyanyo, S.Pd.I. published by the Muhammadiyah Central Leadership Agency in 2018 Primary and Secondary Education and European Language Learning Outcomes Standards (CEFR). While secondary data sources are books, journal articles, and sites that discuss the analysis of teaching materials for maharah qira'ah as well as references that support this research. The data analysis technique uses descriptive analysis techniques. After the data obtained then describes systematically the results of the research. The results of the research on the analysis of Arabic maharah qira'ah teaching materials in class IX SMP Muhammadiyah 3 Yogyakarta, state that the Arabic Language Education Book SMP Muhammadiyah 3 Yogyakarta has been arranged systematically and interestingly, so it is suitable to be used as a textbook in Arabic language learning and more specifically in maharah qira'ah, because the book has presented materials related to students' spiritual attitudes and knowledge. In addition, the materials presented are in accordance with the CEFR-based learning outcome standards, and if referring to the CEFR standards, they are included in the A2/ Elementary and B1/Intermediate levels.","author":[{"dropping-particle":"","family":"Alimudin","given":"Alimudin","non-dropping-particle":"","parse-names":false,"suffix":""},{"dropping-particle":"","family":"Dania","given":"Itmamu","non-dropping-particle":"","parse-names":false,"suffix":""},{"dropping-particle":"","family":"Saputri Hidayat","given":"Adelia Ayu","non-dropping-particle":"","parse-names":false,"suffix":""}],"container-title":"Al-Hikmah: Jurnal Agama dan Ilmu Pengetahuan","id":"ITEM-1","issue":"1","issued":{"date-parts":[["2023"]]},"page":"38-51","title":"Analisis Bahan Ajar Maharah Qira’ah di SMP Muhammadiyah 3 Yogyakarta Berbasis CEFR","type":"article-journal","volume":"20"},"uris":["http://www.mendeley.com/documents/?uuid=ec59d341-8154-4a59-bf5e-cb762cf968d0"]}],"mendeley":{"formattedCitation":"(Alimudin et al., 2023)","plainTextFormattedCitation":"(Alimudin et al., 2023)","previouslyFormattedCitation":"(Alimudin et al., 2023)"},"properties":{"noteIndex":0},"schema":"https://github.com/citation-style-language/schema/raw/master/csl-citation.json"}</w:instrText>
      </w:r>
      <w:r w:rsidR="008F7A81" w:rsidRPr="00096173">
        <w:rPr>
          <w:rFonts w:asciiTheme="majorBidi" w:hAnsiTheme="majorBidi" w:cstheme="majorBidi"/>
          <w:sz w:val="24"/>
          <w:szCs w:val="24"/>
          <w:lang w:val="id-ID"/>
        </w:rPr>
        <w:fldChar w:fldCharType="separate"/>
      </w:r>
      <w:r w:rsidR="008F7A81" w:rsidRPr="00096173">
        <w:rPr>
          <w:rFonts w:asciiTheme="majorBidi" w:hAnsiTheme="majorBidi" w:cstheme="majorBidi"/>
          <w:noProof/>
          <w:sz w:val="24"/>
          <w:szCs w:val="24"/>
          <w:lang w:val="id-ID"/>
        </w:rPr>
        <w:t>(Alimudin et al., 2023)</w:t>
      </w:r>
      <w:r w:rsidR="008F7A81" w:rsidRPr="00096173">
        <w:rPr>
          <w:rFonts w:asciiTheme="majorBidi" w:hAnsiTheme="majorBidi" w:cstheme="majorBidi"/>
          <w:sz w:val="24"/>
          <w:szCs w:val="24"/>
          <w:lang w:val="id-ID"/>
        </w:rPr>
        <w:fldChar w:fldCharType="end"/>
      </w:r>
    </w:p>
    <w:p w14:paraId="656FEAD3" w14:textId="0A3FC0E5"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بينما أوضح</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كما ف</w:t>
      </w:r>
      <w:r w:rsidRPr="00274849">
        <w:rPr>
          <w:rFonts w:ascii="Traditional Arabic" w:hAnsi="Traditional Arabic" w:cs="Traditional Arabic"/>
          <w:sz w:val="36"/>
          <w:szCs w:val="36"/>
        </w:rPr>
        <w:t>)</w:t>
      </w:r>
      <w:r w:rsidR="00D31253" w:rsidRPr="00D31253">
        <w:rPr>
          <w:rFonts w:asciiTheme="majorBidi" w:hAnsiTheme="majorBidi" w:cstheme="majorBidi"/>
          <w:sz w:val="24"/>
          <w:szCs w:val="24"/>
        </w:rPr>
        <w:t xml:space="preserve"> </w:t>
      </w:r>
      <w:r w:rsidR="00D31253" w:rsidRPr="00096173">
        <w:rPr>
          <w:rFonts w:asciiTheme="majorBidi" w:hAnsiTheme="majorBidi" w:cstheme="majorBidi"/>
          <w:sz w:val="24"/>
          <w:szCs w:val="24"/>
        </w:rPr>
        <w:t>.</w:t>
      </w:r>
      <w:r w:rsidR="00D31253" w:rsidRPr="00096173">
        <w:rPr>
          <w:rFonts w:asciiTheme="majorBidi" w:hAnsiTheme="majorBidi" w:cstheme="majorBidi"/>
          <w:sz w:val="24"/>
          <w:szCs w:val="24"/>
        </w:rPr>
        <w:fldChar w:fldCharType="begin" w:fldLock="1"/>
      </w:r>
      <w:r w:rsidR="00D31253" w:rsidRPr="00096173">
        <w:rPr>
          <w:rFonts w:asciiTheme="majorBidi" w:hAnsiTheme="majorBidi" w:cstheme="majorBidi"/>
          <w:sz w:val="24"/>
          <w:szCs w:val="24"/>
        </w:rPr>
        <w:instrText>ADDIN CSL_CITATION {"citationItems":[{"id":"ITEM-1","itemData":{"DOI":"10.31004/edukatif.v5i2.4853","ISSN":"2656-8063","abstract":"Keterampilan bahasa Arab meliputi empat keterampilan yang jika keterampilan-keterampilan tersebut belum terpenuhi secara keseluruhan maka akan berdampak pada kesulitan dalam belajar bahasa Arab. Penelitian ini bertujuan untuk mengetahui metode dan strategi yang digunakan dalam meningkatkan maharah qira’ah dan mengetahui kemampuan belajar bahasa Arab siswa kelas VII Madrasah Tsanawiyah Nurul Hikmah Haurgeulis. Teknik pengambilan data dalam penelitian deskriptif kualitatif ini dikumpulkan melalui observasi, wawancara, dan dokumentasi. Hasil penelitian menunjukan bahwa, 1)  metode dan strategi yang digunakan dalam meningkatkan maharatul qira’ah adalah menggunakan pembelajaran PAIKEM yang diimplementasikan pada metode ceramah plus, diskusi, demonstrasi, role-play dan simulasi serta metode bermain game, 2) Kemampuan belajar bahasa Arab maharatul qira’ah dengan tingkat pemahaman siswa masih kurang dan masih harus dikembangkan lagi, namun untuk pemahaman dasar sudah dimiliki oleh beberapa siswa dengan rata-rata siswa MTs Nurul Hikmah Haurgeulis mampu membedakan huruf hijaiyah, mengartikan mufradat dan membaca kalimat pendek dengan baik namun untuk kelancaran membaca pada kalimat panjang masih harus belajar lagi. Kesimpulannya pembelajaran aktif, inovatif, kreatif, efektif dan menyenangkan yang guru ciptakan dapat menjadikan peserta didik lebih semangat dalam belajar bahasa Arab.","author":[{"dropping-particle":"","family":"Khoiriyyah","given":"Lutfi","non-dropping-particle":"","parse-names":false,"suffix":""},{"dropping-particle":"","family":"Arifin","given":"Moh. Mas’ud","non-dropping-particle":"","parse-names":false,"suffix":""},{"dropping-particle":"","family":"Mardani","given":"Dadan","non-dropping-particle":"","parse-names":false,"suffix":""}],"container-title":"Edukatif : Jurnal Ilmu Pendidikan","id":"ITEM-1","issue":"2","issued":{"date-parts":[["2023"]]},"page":"961-971","title":"Analisis Maharatul Qira’ah Siswa Madrasah Tsanawiyah","type":"article-journal","volume":"5"},"uris":["http://www.mendeley.com/documents/?uuid=ed27c025-8f92-4ee0-b537-4c197975aa1c"]}],"mendeley":{"formattedCitation":"(Khoiriyyah et al., 2023)","plainTextFormattedCitation":"(Khoiriyyah et al., 2023)","previouslyFormattedCitation":"(Khoiriyyah et al., 2023)"},"properties":{"noteIndex":0},"schema":"https://github.com/citation-style-language/schema/raw/master/csl-citation.json"}</w:instrText>
      </w:r>
      <w:r w:rsidR="00D31253" w:rsidRPr="00096173">
        <w:rPr>
          <w:rFonts w:asciiTheme="majorBidi" w:hAnsiTheme="majorBidi" w:cstheme="majorBidi"/>
          <w:sz w:val="24"/>
          <w:szCs w:val="24"/>
        </w:rPr>
        <w:fldChar w:fldCharType="separate"/>
      </w:r>
      <w:r w:rsidR="00D31253" w:rsidRPr="00096173">
        <w:rPr>
          <w:rFonts w:asciiTheme="majorBidi" w:hAnsiTheme="majorBidi" w:cstheme="majorBidi"/>
          <w:noProof/>
          <w:sz w:val="24"/>
          <w:szCs w:val="24"/>
        </w:rPr>
        <w:t>(Khoiriyyah et al., 2023)</w:t>
      </w:r>
      <w:r w:rsidR="00D31253" w:rsidRPr="00096173">
        <w:rPr>
          <w:rFonts w:asciiTheme="majorBidi" w:hAnsiTheme="majorBidi" w:cstheme="majorBidi"/>
          <w:sz w:val="24"/>
          <w:szCs w:val="24"/>
        </w:rPr>
        <w:fldChar w:fldCharType="end"/>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أن القراءة هي نشاط يهدف إلى الحصول على المعنى من النص المقروء، ولذلك يجب على القارئ أن يتقن اللغة المستخدمة، كما يجب عليه أن يُفعّل مختلف العمليات العقلية في نظامه المعرفي. وذكر</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وآخرين أن مهارة القراءة تشمل جانبين، وهما: التعرف على الرموز المكتوبة وفهم محتواها</w:t>
      </w:r>
      <w:r w:rsidRPr="00096173">
        <w:rPr>
          <w:rFonts w:asciiTheme="majorBidi" w:hAnsiTheme="majorBidi" w:cstheme="majorBidi"/>
          <w:sz w:val="24"/>
          <w:szCs w:val="24"/>
        </w:rPr>
        <w:t>.</w:t>
      </w:r>
      <w:r w:rsidR="008F7A81"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{"citationItems":[{"id":"ITEM-1","itemData":{"DOI":"10.31004/edukatif.v5i2.4853","ISSN":"2656-8063","abstract":"Keterampilan bahasa Arab meliputi empat keterampilan yang jika keterampilan-keterampilan tersebut belum terpenuhi secara keseluruhan maka akan berdampak pada kesulitan dalam belajar bahasa Arab. Penelitian ini bertujuan untuk mengetahui metode dan strategi yang digunakan dalam meningkatkan maharah qira’ah dan mengetahui kemampuan belajar bahasa Arab siswa kelas VII Madrasah Tsanawiyah Nurul Hikmah Haurgeulis. Teknik pengambilan data dalam penelitian deskriptif kualitatif ini dikumpulkan melalui observasi, wawancara, dan dokumentasi. Hasil penelitian menunjukan bahwa, 1)  metode dan strategi yang digunakan dalam meningkatkan maharatul qira’ah adalah menggunakan pembelajaran PAIKEM yang diimplementasikan pada metode ceramah plus, diskusi, demonstrasi, role-play dan simulasi serta metode bermain game, 2) Kemampuan belajar bahasa Arab maharatul qira’ah dengan tingkat pemahaman siswa masih kurang dan masih harus dikembangkan lagi, namun untuk pemahaman dasar sudah dimiliki oleh beberapa siswa dengan rata-rata siswa MTs Nurul Hikmah Haurgeulis mampu membedakan huruf hijaiyah, mengartikan mufradat dan membaca kalimat pendek dengan baik namun untuk kelancaran membaca pada kalimat panjang masih harus belajar lagi. Kesimpulannya pembelajaran aktif, inovatif, kreatif, efektif dan menyenangkan yang guru ciptakan dapat menjadikan peserta didik lebih semangat dalam belajar bahasa Arab.","author":[{"dropping-particle":"","family":"Khoiriyyah","given":"Lutfi","non-dropping-particle":"","parse-names":false,"suffix":""},{"dropping-particle":"","family":"Arifin","given":"Moh. Mas’ud","non-dropping-particle":"","parse-names":false,"suffix":""},{"dropping-particle":"","family":"Mardani","given":"Dadan","non-dropping-particle":"","parse-names":false,"suffix":""}],"container-title":"Edukatif : Jurnal Ilmu Pendidikan","id":"ITEM-1","issue":"2","issued":{"date-parts":[["2023"]]},"page":"961-971","title":"Analisis Maharatul Qira’ah Siswa Madrasah Tsanawiyah","type":"article-journal","volume":"5"},"uris":["http://www.mendeley.com/documents/?uuid=ed27c025-8f92-4ee0-b537-4c197975aa1c"]}],"mendeley":{"formattedCitation":"(Khoiriyyah et al., 2023)","plainTextFormattedCitation":"(Khoiriyyah et al., 2023)","previouslyFormattedCitation":"(Khoiriyyah et al., 2023)"},"properties":{"noteIndex":0},"schema":"https://github.com/citation-style-language/schema/raw/master/csl-citation.json"}</w:instrText>
      </w:r>
      <w:r w:rsidR="008F7A81" w:rsidRPr="00096173">
        <w:rPr>
          <w:rFonts w:asciiTheme="majorBidi" w:hAnsiTheme="majorBidi" w:cstheme="majorBidi"/>
          <w:sz w:val="24"/>
          <w:szCs w:val="24"/>
        </w:rPr>
        <w:fldChar w:fldCharType="separate"/>
      </w:r>
      <w:r w:rsidR="008F7A81" w:rsidRPr="00096173">
        <w:rPr>
          <w:rFonts w:asciiTheme="majorBidi" w:hAnsiTheme="majorBidi" w:cstheme="majorBidi"/>
          <w:noProof/>
          <w:sz w:val="24"/>
          <w:szCs w:val="24"/>
        </w:rPr>
        <w:t>(Khoiriyyah et al., 2023)</w:t>
      </w:r>
      <w:r w:rsidR="008F7A81" w:rsidRPr="00096173">
        <w:rPr>
          <w:rFonts w:asciiTheme="majorBidi" w:hAnsiTheme="majorBidi" w:cstheme="majorBidi"/>
          <w:sz w:val="24"/>
          <w:szCs w:val="24"/>
        </w:rPr>
        <w:fldChar w:fldCharType="end"/>
      </w:r>
    </w:p>
    <w:p w14:paraId="11909A6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وبما أن غالبية الطلاب الإندونيسيين قد اعتادوا على قراءة النصوص اللاتينية، فإن قراءة النصوص العربية تُعدّ أمراً يحتاج إلى التكيف، لأن الحروف العربية تختلف عن الأبجدية اللاتينية. فعند قراءة النصوص اللاتينية، يستطيع القارئ أن يفهم ويستوعب محتواها مباشرة، بينما في قراءة النصوص باللغة العربية، غالبًا ما يواجه الطلاب مفردات يصعب فهم معناها. ولهذا فإن الطلاب الإندونيسيين الذين يُعدّون من متعلمي اللغة العربية غير الناطقين بها، غالبًا ما يقومون أولاً بتحديد سياق الموضوع المقروء، ثم ترجمة المفردات، ويعتمدون اعتمادًا كبيرًا على مدى إتقانهم لقواعد اللغة العربية (النحو والصرف). فإن إتقان القواعد له تأثير كبير على مدى صحة قراءة النص العربي</w:t>
      </w:r>
      <w:r w:rsidRPr="00274849">
        <w:rPr>
          <w:rFonts w:ascii="Traditional Arabic" w:hAnsi="Traditional Arabic" w:cs="Traditional Arabic"/>
          <w:sz w:val="36"/>
          <w:szCs w:val="36"/>
          <w:lang w:val="id-ID"/>
        </w:rPr>
        <w:t>.</w:t>
      </w:r>
    </w:p>
    <w:p w14:paraId="73808E5A" w14:textId="6EC31514"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وقد قسّم</w:t>
      </w:r>
      <w:r w:rsidR="00081B95" w:rsidRPr="00096173">
        <w:rPr>
          <w:rStyle w:val="FootnoteReference"/>
          <w:rFonts w:asciiTheme="majorBidi" w:hAnsiTheme="majorBidi" w:cstheme="majorBidi"/>
          <w:color w:val="000000"/>
          <w:sz w:val="24"/>
          <w:szCs w:val="24"/>
        </w:rPr>
        <w:fldChar w:fldCharType="begin" w:fldLock="1"/>
      </w:r>
      <w:r w:rsidR="00081B95" w:rsidRPr="00096173">
        <w:rPr>
          <w:rFonts w:asciiTheme="majorBidi" w:hAnsiTheme="majorBidi" w:cstheme="majorBidi"/>
          <w:color w:val="000000"/>
          <w:sz w:val="24"/>
          <w:szCs w:val="24"/>
        </w:rPr>
        <w:instrText>ADDIN CSL_CITATION {"citationItems":[{"id":"ITEM-1","itemData":{"DOI":"10.55656/jpe.v4i2.210","ISSN":"2528-3499","abstract":"AbstrakPenguasaan bahasa Arab mencakup empat keterampilan yang saling berhubungan dan perlu dikuasai secara menyeluruh. Penelitian ini bertujuan untuk mengetahui kemampuan dan faktor yang mempengaruhi kemampuan maharah qira’ah siswa kelas x Madrasah Aliyah Negeri 1 Kepulauan Meranti. Pendekatan penelitian yang digunakan adalah pendekatan kualitatif untuk menggambarkan fenomena dan fakta dalam bentuk naratif tertulis. Data dan fakta dikumpulkan melalui observasi, wawancara, tes, dan dokumentasi. Hasil penelitian ini mengungkapkan bahwa terdapat variasi kemampuan maharah qira’ah di antara siswa kelas X Madrasah Aliyah Negeri 1 Kepulauan Meranti. Mayoritas kemampuan maharah qira’ah siswa tergolong rendah. Hasil tes menemukan bahwa dari 30 siswa yang menjadi sampel, 21 (70%) diantaranya tergolong dalam kategori kurang baik dalam membaca teks bahasa Arab, 6 siswa (20%) masuk pada kategori rendah, dan hanya 3 (10%) siswa yang cukup baik dalam membaca. Perlu adanya peningkatan metode, cara mengajar, bantuan media untuk menunjang kemampuan siswa tertama maharah qira’ahnya. Faktor yang mempengaruhi beragamnya kemampuan maharah qira’ah siswa kelas X Madrasah Aliyah Negeri 1 Kepulauan Meranti adalah karena faktor Motivasi, Lingkungan, dan Pengajar. Motivasi merujuk pada menanamkan ke dalam mindset siswa bahwa bahasa Arab mudah dan menyenangkan dan wajib untuk dikuasai, lingkungan dan keluarga yang mendukung, dan kreatifitas guru dalam mengajar.Kata kunci: Analisis, Maharatul Qira’ah, Madrasah Aliyah Negeri","author":[{"dropping-particle":"","family":"Fadhli","given":"Fadhli","non-dropping-particle":"","parse-names":false,"suffix":""},{"dropping-particle":"","family":"Wahyudi","given":"Hakmi","non-dropping-particle":"","parse-names":false,"suffix":""},{"dropping-particle":"","family":"Rusdi","given":"Rusdi","non-dropping-particle":"","parse-names":false,"suffix":""}],"container-title":"Jurnal Pendidikan Educandum","id":"ITEM-1","issue":"2","issued":{"date-parts":[["2024"]]},"page":"22-35","title":"Analisis Kemampuan Maharatul Qira’Ah Siswa Kelas X Madrasah Aliyah Negeri 1 Kepulauan Meranti","type":"article-journal","volume":"4"},"uris":["http://www.mendeley.com/documents/?uuid=11ca5f5b-0d7a-45ab-b5c7-7f0d4fb66912"]}],"mendeley":{"formattedCitation":"(Fadhli et al., 2024)","plainTextFormattedCitation":"(Fadhli et al., 2024)","previouslyFormattedCitation":"(Fadhli et al., 2024)"},"properties":{"noteIndex":0},"schema":"https://github.com/citation-style-language/schema/raw/master/csl-citation.json"}</w:instrText>
      </w:r>
      <w:r w:rsidR="00081B95" w:rsidRPr="00096173">
        <w:rPr>
          <w:rStyle w:val="FootnoteReference"/>
          <w:rFonts w:asciiTheme="majorBidi" w:hAnsiTheme="majorBidi" w:cstheme="majorBidi"/>
          <w:color w:val="000000"/>
          <w:sz w:val="24"/>
          <w:szCs w:val="24"/>
        </w:rPr>
        <w:fldChar w:fldCharType="separate"/>
      </w:r>
      <w:r w:rsidR="00081B95" w:rsidRPr="00096173">
        <w:rPr>
          <w:rFonts w:asciiTheme="majorBidi" w:hAnsiTheme="majorBidi" w:cstheme="majorBidi"/>
          <w:noProof/>
          <w:color w:val="000000"/>
          <w:sz w:val="24"/>
          <w:szCs w:val="24"/>
        </w:rPr>
        <w:t>(Fadhli et al., 2024)</w:t>
      </w:r>
      <w:r w:rsidR="00081B95" w:rsidRPr="00096173">
        <w:rPr>
          <w:rStyle w:val="FootnoteReference"/>
          <w:rFonts w:asciiTheme="majorBidi" w:hAnsiTheme="majorBidi" w:cstheme="majorBidi"/>
          <w:color w:val="000000"/>
          <w:sz w:val="24"/>
          <w:szCs w:val="24"/>
        </w:rPr>
        <w:fldChar w:fldCharType="end"/>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القراءة إلى قسمين</w:t>
      </w:r>
      <w:r w:rsidRPr="00274849">
        <w:rPr>
          <w:rFonts w:ascii="Traditional Arabic" w:hAnsi="Traditional Arabic" w:cs="Traditional Arabic"/>
          <w:sz w:val="36"/>
          <w:szCs w:val="36"/>
        </w:rPr>
        <w:t>:</w:t>
      </w:r>
    </w:p>
    <w:p w14:paraId="25E1F53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 من حيث الأداء، وهي: القراءة الجهرية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أي القراءة التي يُستخدم فيها اللسان والشفتان والحنجرة لإخراج الصوت، والقراءة الصامتة</w:t>
      </w:r>
      <w:r w:rsidRPr="00274849">
        <w:rPr>
          <w:rFonts w:ascii="Traditional Arabic" w:hAnsi="Traditional Arabic" w:cs="Traditional Arabic"/>
          <w:strike/>
          <w:color w:val="FF0000"/>
          <w:sz w:val="36"/>
          <w:szCs w:val="36"/>
        </w:rPr>
        <w:t xml:space="preserve"> </w:t>
      </w:r>
      <w:r w:rsidRPr="00274849">
        <w:rPr>
          <w:rFonts w:ascii="Traditional Arabic" w:hAnsi="Traditional Arabic" w:cs="Traditional Arabic"/>
          <w:sz w:val="36"/>
          <w:szCs w:val="36"/>
          <w:rtl/>
        </w:rPr>
        <w:t>، أي القراءة التي تتم من خلال النظر إلى الحروف وفهم المعنى دون استخدام أعضاء النطق</w:t>
      </w:r>
      <w:r w:rsidRPr="00274849">
        <w:rPr>
          <w:rFonts w:ascii="Traditional Arabic" w:hAnsi="Traditional Arabic" w:cs="Traditional Arabic"/>
          <w:sz w:val="36"/>
          <w:szCs w:val="36"/>
        </w:rPr>
        <w:t>.</w:t>
      </w:r>
    </w:p>
    <w:p w14:paraId="6889868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(ب) من حيث النوع، وهي: القراءة المكثفة، وهي التي تتم داخل الصف مع المعلم، وتهدف إلى تنمية المهارات وزيادة المفردات وفهم القواعد النحوية تحت إشراف المعلم، والقراءة الواسعة، وهي نشاط يُمارس خارج الصف </w:t>
      </w:r>
      <w:r w:rsidRPr="00274849">
        <w:rPr>
          <w:rFonts w:ascii="Traditional Arabic" w:hAnsi="Traditional Arabic" w:cs="Traditional Arabic"/>
          <w:sz w:val="36"/>
          <w:szCs w:val="36"/>
          <w:rtl/>
        </w:rPr>
        <w:lastRenderedPageBreak/>
        <w:t>من أجل تنمية الفهم، وغالبًا ما يكون الموضوع المقروء باقتراح المعلم ويتم مناقشته لاحقًا، وقد يختار الطالب أيضًا مواضيع أخرى</w:t>
      </w:r>
      <w:r w:rsidRPr="00274849">
        <w:rPr>
          <w:rFonts w:ascii="Traditional Arabic" w:hAnsi="Traditional Arabic" w:cs="Traditional Arabic"/>
          <w:sz w:val="36"/>
          <w:szCs w:val="36"/>
        </w:rPr>
        <w:t>.</w:t>
      </w:r>
    </w:p>
    <w:p w14:paraId="7EFA44A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وفي عملية تعليم اللغة العربية بوصفها لغة أجنبية، توجد ثلاثة مفاتيح رئيسية لا بدّ من فهمها جيدًا من قِبل من يريد تعلم اللغة، ومنها اللغة العربية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p>
    <w:p w14:paraId="25BF70A1" w14:textId="3A2CC3E1" w:rsidR="008D263B" w:rsidRPr="00274849" w:rsidRDefault="00081B95"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096173">
        <w:rPr>
          <w:rFonts w:asciiTheme="majorBidi" w:hAnsiTheme="majorBidi" w:cstheme="majorBidi"/>
          <w:sz w:val="24"/>
          <w:szCs w:val="24"/>
          <w:rtl/>
        </w:rPr>
        <w:fldChar w:fldCharType="begin" w:fldLock="1"/>
      </w:r>
      <w:r w:rsidRPr="00096173">
        <w:rPr>
          <w:rFonts w:asciiTheme="majorBidi" w:hAnsiTheme="majorBidi" w:cstheme="majorBidi"/>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siawati","given":"Iis","non-dropping-particle":"","parse-names":false,"suffix":""},{"dropping-particle":"","family":"Mardani","given":"Dadan","non-dropping-particle":"","parse-names":false,"suffix":""},{"dropping-particle":"","family":"Syahda Nissa","given":"Fadhila","non-dropping-particle":"","parse-names":false,"suffix":""}],"container-title":" Edukasi Islami: Jurnal Pendidikan Islam","id":"ITEM-1","issued":{"date-parts":[["2022"]]},"page":"21-33","title":"Pembelajaran Maharah Qiraah Untuk Penguasaan Makna Teks Tentang Pendidikan Karakter","type":"article-journal"},"uris":["http://www.mendeley.com/documents/?uuid=d121d9fd-50d7-4766-a5ef-999c7f855910"]}],"mendeley":{"formattedCitation":"(Susiawati et al., 2022)","plainTextFormattedCitation":"(Susiawati et al., 2022)","previouslyFormattedCitation":"(Susiawati et al., 2022)"},"properties":{"noteIndex":0},"schema":"https://github.com/citation-style-language/schema/raw/master/csl-citation.json"}</w:instrText>
      </w:r>
      <w:r w:rsidRPr="00096173">
        <w:rPr>
          <w:rFonts w:asciiTheme="majorBidi" w:hAnsiTheme="majorBidi" w:cstheme="majorBidi"/>
          <w:sz w:val="24"/>
          <w:szCs w:val="24"/>
          <w:rtl/>
        </w:rPr>
        <w:fldChar w:fldCharType="separate"/>
      </w:r>
      <w:r w:rsidRPr="00096173">
        <w:rPr>
          <w:rFonts w:asciiTheme="majorBidi" w:hAnsiTheme="majorBidi" w:cstheme="majorBidi"/>
          <w:noProof/>
          <w:sz w:val="24"/>
          <w:szCs w:val="24"/>
        </w:rPr>
        <w:t>(Susiawati et al., 2022)</w:t>
      </w:r>
      <w:r w:rsidRPr="00096173">
        <w:rPr>
          <w:rFonts w:asciiTheme="majorBidi" w:hAnsiTheme="majorBidi" w:cstheme="majorBidi"/>
          <w:sz w:val="24"/>
          <w:szCs w:val="24"/>
          <w:rtl/>
        </w:rPr>
        <w:fldChar w:fldCharType="end"/>
      </w:r>
      <w:r w:rsidR="008D263B" w:rsidRPr="00274849">
        <w:rPr>
          <w:rFonts w:ascii="Traditional Arabic" w:hAnsi="Traditional Arabic" w:cs="Traditional Arabic"/>
          <w:sz w:val="36"/>
          <w:szCs w:val="36"/>
          <w:rtl/>
        </w:rPr>
        <w:t>وهذه المفاتيح الثلاثة هي: المدخل، والطريقة، والأسلوب الإجرائي</w:t>
      </w:r>
      <w:r w:rsidR="008D263B" w:rsidRPr="00274849">
        <w:rPr>
          <w:rFonts w:ascii="Traditional Arabic" w:hAnsi="Traditional Arabic" w:cs="Traditional Arabic"/>
          <w:sz w:val="36"/>
          <w:szCs w:val="36"/>
          <w:lang w:val="id-ID"/>
        </w:rPr>
        <w:t xml:space="preserve"> </w:t>
      </w:r>
      <w:r w:rsidR="008D263B" w:rsidRPr="00274849">
        <w:rPr>
          <w:rFonts w:ascii="Traditional Arabic" w:hAnsi="Traditional Arabic" w:cs="Traditional Arabic"/>
          <w:sz w:val="36"/>
          <w:szCs w:val="36"/>
          <w:rtl/>
        </w:rPr>
        <w:t>(التقنية)</w:t>
      </w:r>
    </w:p>
    <w:p w14:paraId="3C50943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١</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xml:space="preserve">المدخل </w:t>
      </w:r>
    </w:p>
    <w:p w14:paraId="7A53305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 المدخل هو مجموعة من الافتراضات التي تتعلق بطبيعة اللغة، وطبيعة تعليم اللغة، وطبيعة تعلم اللغة. ويتمثل المدخل في التصورات والمفاهيم حول اللغة، وتعلم اللغة، وتعليم اللغة. وقد يختلف الناس في آرائهم حول بعض هذه الافتراضات، ولهذا نجد تنوعاً في تعليم اللغة من حيث طبيعة اللغة وطرق تدريسها. ومن هذه الافتراضات المتعلقة باللغة وتعلمها، تتطوّر طريقة معينة، بل قد تنبثق عدّة طرق تعليمية من مدخل واحد مشترك</w:t>
      </w:r>
      <w:r w:rsidRPr="00274849">
        <w:rPr>
          <w:rFonts w:ascii="Traditional Arabic" w:hAnsi="Traditional Arabic" w:cs="Traditional Arabic"/>
          <w:sz w:val="36"/>
          <w:szCs w:val="36"/>
        </w:rPr>
        <w:t>.</w:t>
      </w:r>
    </w:p>
    <w:p w14:paraId="64724714" w14:textId="70C246CD"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وق</w:t>
      </w:r>
      <w:r w:rsidR="00A8587E">
        <w:rPr>
          <w:rFonts w:ascii="Traditional Arabic" w:hAnsi="Traditional Arabic" w:cs="Traditional Arabic" w:hint="cs"/>
          <w:sz w:val="36"/>
          <w:szCs w:val="36"/>
          <w:rtl/>
        </w:rPr>
        <w:t xml:space="preserve">د شرح </w:t>
      </w:r>
      <w:r w:rsidR="00081B95"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{"citationItems":[{"id":"ITEM-1","itemData":{"DOI":"10.17977/um064v5i62025p631-641","ISSN":"2797-0736","abstract":"Tujuan penelitian ini adalah untuk mendeskripsikan ada atau tidaknya pengaruh penguasaan maharah qira’ah terhadap kemampuan membaca Al-Qur’an, serta untuk mengukur seberapa signifikan pengaruh tersebut. Penelitian ini merupakan penelitian korelasional dengan pendekatan kuantitatif. Teknik pengumpulan data menggunakan instrumen tes yang terdiri atas 20 soal maharah qira’ah dan 4 soal membaca Al-Qur’an yang telah divalidasi oleh ahli dan diuji secara empiris. Data hasil tes kemudian dianalisis menggunakan statistik koefisien korelasi untuk mengukur hubungan antarvariabel. Hasil penelitian menunjukkan bahwa penguasaan maharah qira’ah santri Pondok Pesantren Darul Istiqomah berada dalam kategori sangat baik. Skor maksimal pada tes ini adalah 80, sedangkan nilai rata-rata yang diperoleh adalah 71,2, yang jika diterapkan pada interval nilai 65–80, termasuk dalam kategori sangat baik. Adapun kemampuan membaca Al-Qur’an para santri juga tergolong sangat baik, dengan skor maksimal sebesar 48 dan rata-rata nilai 40,9, yang berada pada interval 39–48. Berdasarkan hasil analisis koefisien korelasi, diperoleh nilai sebesar 0,523 yang berada dalam interval 0,41–0,70 dengan kategori korelasi sedang. Dengan demikian, terdapat pengaruh yang cukup signifikan antara penguasaan maharah qira’ah dan kemampuan membaca Al-Qur’an.","author":[{"dropping-particle":"","family":"Iza","given":"Livalutfian Roudhotul","non-dropping-particle":"","parse-names":false,"suffix":""},{"dropping-particle":"","family":"Sultoni","given":"Achmad","non-dropping-particle":"","parse-names":false,"suffix":""}],"container-title":"Journal of Language Literature and Arts","id":"ITEM-1","issue":"6","issued":{"date-parts":[["2025"]]},"page":"631-641","title":"Pengaruh Penguasaan Maharah Qira’ah terhadap Kemampuan Membaca Al-Qur’an Santri Pondok Pesantren","type":"article-journal","volume":"5"},"uris":["http://www.mendeley.com/documents/?uuid=adc24816-abb9-4980-a87b-6780cc02d54e"]}],"mendeley":{"formattedCitation":"(Iza &amp; Sultoni, 2025)","plainTextFormattedCitation":"(Iza &amp; Sultoni, 2025)","previouslyFormattedCitation":"(Iza &amp; Sultoni, 2025)"},"properties":{"noteIndex":0},"schema":"https://github.com/citation-style-language/schema/raw/master/csl-citation.json"}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(Iza &amp; Sultoni, 2025)</w:t>
      </w:r>
      <w:r w:rsidR="00081B95" w:rsidRPr="00096173">
        <w:rPr>
          <w:rFonts w:asciiTheme="majorBidi" w:hAnsiTheme="majorBidi" w:cstheme="majorBidi"/>
          <w:sz w:val="24"/>
          <w:szCs w:val="24"/>
        </w:rPr>
        <w:fldChar w:fldCharType="end"/>
      </w:r>
      <w:r w:rsidR="00081B95" w:rsidRPr="00274849">
        <w:rPr>
          <w:rFonts w:ascii="Traditional Arabic" w:hAnsi="Traditional Arabic" w:cs="Traditional Arabic"/>
          <w:sz w:val="36"/>
          <w:szCs w:val="36"/>
        </w:rPr>
        <w:t xml:space="preserve"> </w:t>
      </w:r>
      <w:r w:rsidR="00A8587E">
        <w:rPr>
          <w:rFonts w:ascii="Traditional Arabic" w:hAnsi="Traditional Arabic" w:cs="Traditional Arabic" w:hint="cs"/>
          <w:sz w:val="36"/>
          <w:szCs w:val="36"/>
          <w:rtl/>
        </w:rPr>
        <w:t xml:space="preserve"> </w:t>
      </w:r>
      <w:r w:rsidRPr="00274849">
        <w:rPr>
          <w:rFonts w:ascii="Traditional Arabic" w:hAnsi="Traditional Arabic" w:cs="Traditional Arabic"/>
          <w:sz w:val="36"/>
          <w:szCs w:val="36"/>
          <w:rtl/>
        </w:rPr>
        <w:t>أن هناك ثلاث اتجاهات رئيسية على الأقل في النظر إلى طبيعة اللغة، وهي: الاتجاه البنيوي، والاتجاه الوظيفي، والاتجاه التفاعلي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يرى الاتجاه البنيوي أن اللغة نظام يتكون من عناصر مترابطة بشكل تركيبي. بينما يرى الاتجاه الوظيفي أن اللغة وسيلة للتعبير عن المعاني الوظيفية، حيث لا يُركّز فقط على العناصر النحوية كما في الاتجاه البنيوي، بل أيضًا على الموضوعات والمفاهيم التي يرغب المتعلم في إيصالها. أما الاتجاه التفاعلي فيرى أن اللغة أداة لبناء العلاقات الشخصية والتفاعلات الاجتماعية بين الأفراد</w:t>
      </w:r>
      <w:r w:rsidRPr="00274849">
        <w:rPr>
          <w:rFonts w:ascii="Traditional Arabic" w:hAnsi="Traditional Arabic" w:cs="Traditional Arabic"/>
          <w:sz w:val="36"/>
          <w:szCs w:val="36"/>
          <w:lang w:val="id-ID"/>
        </w:rPr>
        <w:t>.</w:t>
      </w:r>
    </w:p>
    <w:p w14:paraId="0F1DC39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إنّ هذه الاتجاهات الثلاثة المختلفة في فهم طبيعة اللغة تؤدي إلى وجود افتراضات متعددة لدى المعلمين حول مفهوم اللغة، وهذا بدوره يؤدي إلى ظهور طرق متنوعة في تعليم اللغة</w:t>
      </w:r>
      <w:r w:rsidRPr="00274849">
        <w:rPr>
          <w:rFonts w:ascii="Traditional Arabic" w:hAnsi="Traditional Arabic" w:cs="Traditional Arabic"/>
          <w:sz w:val="36"/>
          <w:szCs w:val="36"/>
        </w:rPr>
        <w:t>.</w:t>
      </w:r>
    </w:p>
    <w:p w14:paraId="03E4BB2B" w14:textId="7AB8A542"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 xml:space="preserve">فعلى سبيل المثال، توصي الطرق التعليمية المستندة إلى الاتجاه البنيوي بأن يختار معلمو اللغة موادهم التعليمية بناءً على اعتبارات نحوية. فهم يختارون العناصر النحوية ويعرضونها بترتيب معين ضمن الخطة التعليمية العامة. كما أن التقييم في هذه الطرق يُبنى أيضًا على القواعد النحوية، أي أن اختباراتهم تركز على الجانب </w:t>
      </w:r>
      <w:r w:rsidRPr="00274849">
        <w:rPr>
          <w:rFonts w:ascii="Traditional Arabic" w:hAnsi="Traditional Arabic" w:cs="Traditional Arabic"/>
          <w:sz w:val="36"/>
          <w:szCs w:val="36"/>
          <w:rtl/>
        </w:rPr>
        <w:lastRenderedPageBreak/>
        <w:t>النحوي. وينطبق هذا أيضًا على الطرق الأخرى التي تم تطويرها بناءً على الاتجاهين الآخرين لطبيعة اللغة</w:t>
      </w:r>
      <w:r w:rsidR="00081B95" w:rsidRPr="00096173">
        <w:rPr>
          <w:rFonts w:asciiTheme="majorBidi" w:hAnsiTheme="majorBidi" w:cstheme="majorBidi"/>
          <w:sz w:val="24"/>
          <w:szCs w:val="24"/>
          <w:rtl/>
        </w:rPr>
        <w:fldChar w:fldCharType="begin" w:fldLock="1"/>
      </w:r>
      <w:r w:rsidR="00081B95" w:rsidRPr="00096173">
        <w:rPr>
          <w:rFonts w:asciiTheme="majorBidi" w:hAnsiTheme="majorBidi" w:cstheme="majorBidi"/>
          <w:sz w:val="24"/>
          <w:szCs w:val="24"/>
        </w:rPr>
        <w:instrText>ADDIN CSL_CITATION {"citationItems":[{"id":"ITEM-1","itemData":{"DOI":"10.51278/al.v1i1.687","abstract":"Many Arabic language education students in Arabic language education programs lack literacy, making it difficult to understand the language they are taking in their study program. so that the qira’ah method must be applied to increase language literacy found by many Arabic language students but they do not understand what they are learning, qiraah is the main method for a broader understanding in the field of language. This study aimed to the role of the Qira’ah Method in Increasing Arabic Literacy in Arabic Language Education Study Programs. The method used qualitative study and collecting data used interview and observation. The result showed that language functions can be developed and implemented in everyday life as well as in the academic campus of the Arabic Language Education Program.\r Keywords: Arabic Education Programs, Arabic Literacy, Qira’ah Method","author":[{"dropping-particle":"","family":"Fidani","given":"Riki","non-dropping-particle":"","parse-names":false,"suffix":""},{"dropping-particle":"","family":"Ghifary","given":"Muhamad Fadlan","non-dropping-particle":"","parse-names":false,"suffix":""},{"dropping-particle":"","family":"Indriana","given":"Dina","non-dropping-particle":"","parse-names":false,"suffix":""}],"container-title":"Al Maghazi : Arabic Language in Higher Education","id":"ITEM-1","issue":"1","issued":{"date-parts":[["2023"]]},"page":"17","title":"Peran Metode Qira’ah dalam Meningkatkan Literasi Bahasa Arab di Prodi Pendidikan Bahasa Arab","type":"article-journal","volume":"1"},"uris":["http://www.mendeley.com/documents/?uuid=29653363-69c2-4a6a-b45e-999f7e73cd7a"]}],"mendeley":{"formattedCitation":"(Fidani et al., 2023)","plainTextFormattedCitation":"(Fidani et al., 2023)","previouslyFormattedCitation":"(Fidani et al., 2023)"},"properties":{"noteIndex":0},"schema":"https://github.com/citation-style-language/schema/raw/master/csl-citation.json"}</w:instrText>
      </w:r>
      <w:r w:rsidR="00081B95" w:rsidRPr="00096173">
        <w:rPr>
          <w:rFonts w:asciiTheme="majorBidi" w:hAnsiTheme="majorBidi" w:cstheme="majorBidi"/>
          <w:sz w:val="24"/>
          <w:szCs w:val="24"/>
          <w:rtl/>
        </w:rPr>
        <w:fldChar w:fldCharType="separate"/>
      </w:r>
      <w:r w:rsidR="00081B95" w:rsidRPr="00096173">
        <w:rPr>
          <w:rFonts w:asciiTheme="majorBidi" w:hAnsiTheme="majorBidi" w:cstheme="majorBidi"/>
          <w:noProof/>
          <w:sz w:val="24"/>
          <w:szCs w:val="24"/>
        </w:rPr>
        <w:t>(Fidani et al., 2023)</w:t>
      </w:r>
      <w:r w:rsidR="00081B95" w:rsidRPr="00096173">
        <w:rPr>
          <w:rFonts w:asciiTheme="majorBidi" w:hAnsiTheme="majorBidi" w:cstheme="majorBidi"/>
          <w:sz w:val="24"/>
          <w:szCs w:val="24"/>
          <w:rtl/>
        </w:rPr>
        <w:fldChar w:fldCharType="end"/>
      </w:r>
    </w:p>
    <w:p w14:paraId="78ED0F2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trike/>
          <w:color w:val="FF0000"/>
          <w:sz w:val="36"/>
          <w:szCs w:val="36"/>
        </w:rPr>
      </w:pP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xml:space="preserve">الطريقة </w:t>
      </w:r>
    </w:p>
    <w:p w14:paraId="396B1D4A" w14:textId="251CC4BB"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 بينما يُعتبر المدخل على مستوى نظري، فإن الطريقة تُعدّ خطة تعليمية تتماشى مع ذلك المدخل. فالطريقة هي امتداد عملي للمدخل، لأن خطة تعليم اللغة يجب أن تُبنى على نظريات حول طبيعة اللغة وطريقة تعلمها</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ويمكن ملاحظة اختلاف معنى "الطريقة" من خلال أسماء بعض الطرق. فكلمة "الطريقة" في "الطريقة المباشرة" تشير إلى أحد جوانب التدريس، وهو طريقة عرض المادة. أما في "طريقة القراءة"، فإن التركيز يكون على مهارة لغوية معينة، وهي مهارة القراء</w:t>
      </w:r>
      <w:r w:rsidRPr="00274849">
        <w:rPr>
          <w:rFonts w:ascii="Traditional Arabic" w:hAnsi="Traditional Arabic" w:cs="Traditional Arabic"/>
          <w:sz w:val="36"/>
          <w:szCs w:val="36"/>
        </w:rPr>
        <w:t>.</w:t>
      </w:r>
      <w:r w:rsidR="00081B95"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siawati","given":"Iis","non-dropping-particle":"","parse-names":false,"suffix":""},{"dropping-particle":"","family":"Mardani","given":"Dadan","non-dropping-particle":"","parse-names":false,"suffix":""},{"dropping-particle":"","family":"Syahda Nissa","given":"Fadhila","non-dropping-particle":"","parse-names":false,"suffix":""}],"container-title":" Edukasi Islami: Jurnal Pendidikan Islam","id":"ITEM-1","issued":{"date-parts":[["2022"]]},"page":"21-33","title":"Pembelajaran Maharah Qiraah Untuk Penguasaan Makna Teks Tentang Pendidikan Karakter","type":"article-journal"},"uris":["http://www.mendeley.com/documents/?uuid=d121d9fd-50d7-4766-a5ef-999c7f855910"]}],"mendeley":{"formattedCitation":"(Susiawati et al., 2022)","plainTextFormattedCitation":"(Susiawati et al., 2022)","previouslyFormattedCitation":"(Susiawati et al., 2022)"},"properties":{"noteIndex":0},"schema":"https://github.com/citation-style-language/schema/raw/master/csl-citation.json"}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(Susiawati et al., 2022)</w:t>
      </w:r>
      <w:r w:rsidR="00081B95" w:rsidRPr="00096173">
        <w:rPr>
          <w:rFonts w:asciiTheme="majorBidi" w:hAnsiTheme="majorBidi" w:cstheme="majorBidi"/>
          <w:sz w:val="24"/>
          <w:szCs w:val="24"/>
        </w:rPr>
        <w:fldChar w:fldCharType="end"/>
      </w:r>
    </w:p>
    <w:p w14:paraId="5D4F7CB8" w14:textId="3A64AD30" w:rsidR="008D263B" w:rsidRPr="00F44D52"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وتُسمّى الطريقة التي تركّز على تعليم وإتقان مهارة القراءة بـ"طريقة القراءة"، أما الطريقة التي تركز على تعليم المادة التعليمية فتُسمّى "طريقة النحو" و"طريقة الصوتيات". بينما الطريقة التي تركز على التنفيذ العملي تُسمى "الطريقة المباشرة"، و"الطريقة السمعية الشفوية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أما الطرق التي استُخدمت في تعليم اللغة حتى الآن فتبلغ على الأقل خمس عشرة طريقة، وهي</w:t>
      </w:r>
      <w:r w:rsidRPr="00274849">
        <w:rPr>
          <w:rFonts w:ascii="Traditional Arabic" w:hAnsi="Traditional Arabic" w:cs="Traditional Arabic"/>
          <w:sz w:val="36"/>
          <w:szCs w:val="36"/>
        </w:rPr>
        <w:t xml:space="preserve">: </w:t>
      </w:r>
      <w:r w:rsidRPr="00F44D52">
        <w:rPr>
          <w:rFonts w:ascii="Traditional Arabic" w:hAnsi="Traditional Arabic" w:cs="Traditional Arabic"/>
          <w:sz w:val="36"/>
          <w:szCs w:val="36"/>
          <w:rtl/>
        </w:rPr>
        <w:t>الطريقة المباشرة، الطريقة الطبيعية، الطريقة النفسية، طريقة الصوتيات، طريقة القراءة، طريقة النحو، طريقة الترجمة، طريقة القواعد والترجمة والترجمة، الطريقة الانتقائية، طريقة الوحدة، طريقة ضبط اللغة، طريقة التقليد والحفظ، طريقة التطبيق والنظرية، الطريقة المعرفية، طريقة اللغة المزدوجة</w:t>
      </w:r>
    </w:p>
    <w:p w14:paraId="4D707AB5" w14:textId="2E23108F"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لكن في هذا البحث</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سيتناول الباحث بالشرح اثنتين فقط من هذه الطرق، وهما الأكثر ارتباطًا بمهارة القراءة</w:t>
      </w:r>
      <w:r w:rsidRPr="00274849">
        <w:rPr>
          <w:rFonts w:ascii="Traditional Arabic" w:hAnsi="Traditional Arabic" w:cs="Traditional Arabic"/>
          <w:sz w:val="36"/>
          <w:szCs w:val="36"/>
          <w:lang w:val="id-ID"/>
        </w:rPr>
        <w:t>.</w:t>
      </w:r>
    </w:p>
    <w:p w14:paraId="6F203FC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 طريقة القراءة</w:t>
      </w:r>
    </w:p>
    <w:p w14:paraId="433AAC53" w14:textId="2CE243A1"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en-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 من الناحية اللغوية، فإن كلمة "قراءة" مأخوذة من اللغة العربية: قرأ - يقرأ - قراءة، ومعناها القراءة أو أو المعجم الوسيط.</w:t>
      </w:r>
      <w:r w:rsidR="001146EF" w:rsidRPr="00096173">
        <w:rPr>
          <w:rStyle w:val="FootnoteReference"/>
          <w:rFonts w:asciiTheme="majorBidi" w:hAnsiTheme="majorBidi" w:cstheme="majorBidi"/>
          <w:sz w:val="24"/>
          <w:szCs w:val="24"/>
          <w:rtl/>
        </w:rPr>
        <w:fldChar w:fldCharType="begin" w:fldLock="1"/>
      </w:r>
      <w:r w:rsidR="00F5247D" w:rsidRPr="00096173">
        <w:rPr>
          <w:rFonts w:asciiTheme="majorBidi" w:hAnsiTheme="majorBidi" w:cstheme="majorBidi"/>
          <w:sz w:val="24"/>
          <w:szCs w:val="24"/>
        </w:rPr>
        <w:instrText>ADDIN CSL_CITATION {"citationItems":[{"id":"ITEM-1","itemData":{"author":[{"dropping-particle":"","family":"Al-'Arabiyyah","given":"Majma' al-Lughah","non-dropping-particle":"","parse-names":false,"suffix":""}],"id":"ITEM-1","issued":{"date-parts":[["2004"]]},"title":"Al-Mu'jam al-Wasith","type":"article-journal"},"uris":["http://www.mendeley.com/documents/?uuid=8156f4d8-4316-4102-93f4-57cec185144a","http://www.mendeley.com/documents/?uuid=fd8ec3d3-17cc-4b00-9d0c-47e7e8ccf5ae"]}],"mendeley":{"formattedCitation":"(Al-’Arabiyyah, 2004)","plainTextFormattedCitation":"(Al-’Arabiyyah, 2004)","previouslyFormattedCitation":"(Al-’Arabiyyah, 2004)"},"properties":{"noteIndex":0},"schema":"https://github.com/citation-style-language/schema/raw/master/csl-citation.json"}</w:instrText>
      </w:r>
      <w:r w:rsidR="001146EF" w:rsidRPr="00096173">
        <w:rPr>
          <w:rStyle w:val="FootnoteReference"/>
          <w:rFonts w:asciiTheme="majorBidi" w:hAnsiTheme="majorBidi" w:cstheme="majorBidi"/>
          <w:sz w:val="24"/>
          <w:szCs w:val="24"/>
          <w:rtl/>
        </w:rPr>
        <w:fldChar w:fldCharType="separate"/>
      </w:r>
      <w:r w:rsidR="001146EF" w:rsidRPr="00096173">
        <w:rPr>
          <w:rFonts w:asciiTheme="majorBidi" w:hAnsiTheme="majorBidi" w:cstheme="majorBidi"/>
          <w:noProof/>
          <w:sz w:val="24"/>
          <w:szCs w:val="24"/>
        </w:rPr>
        <w:t>(Al-’Arabiyyah, 2004)</w:t>
      </w:r>
      <w:r w:rsidR="001146EF" w:rsidRPr="00096173">
        <w:rPr>
          <w:rStyle w:val="FootnoteReference"/>
          <w:rFonts w:asciiTheme="majorBidi" w:hAnsiTheme="majorBidi" w:cstheme="majorBidi"/>
          <w:sz w:val="24"/>
          <w:szCs w:val="24"/>
          <w:rtl/>
        </w:rPr>
        <w:fldChar w:fldCharType="end"/>
      </w:r>
      <w:r w:rsidRPr="00274849">
        <w:rPr>
          <w:rFonts w:ascii="Traditional Arabic" w:hAnsi="Traditional Arabic" w:cs="Traditional Arabic"/>
          <w:sz w:val="36"/>
          <w:szCs w:val="36"/>
          <w:rtl/>
        </w:rPr>
        <w:t xml:space="preserve"> وقد وردت هذه الكلمة في الآية الأولى من سورة العلق في قوله تعالى: ﴿اقْرَأْ﴾، وهذه اللفظة فعل أمر تدل على التكليف بالقراءة، وقد جاءت متبوعة بقوله: ﴿بِاسْمِ رَبِّكَ الَّذِي خَلَقَ﴾، أي أن القراءة في هذا السياق قائمة على أساس الاعتراف بأن اسم الرب (الله تعالى) هو </w:t>
      </w:r>
      <w:r w:rsidRPr="00274849">
        <w:rPr>
          <w:rFonts w:ascii="Traditional Arabic" w:hAnsi="Traditional Arabic" w:cs="Traditional Arabic"/>
          <w:sz w:val="36"/>
          <w:szCs w:val="36"/>
          <w:rtl/>
        </w:rPr>
        <w:lastRenderedPageBreak/>
        <w:t>المرجعية. والمعنى في هذه الآية لا يقتصر على القراءة الحرفية للنصوص، بل يتضمن أيضاً الأمر بالقراءة، والفهم، والتمعّن، والبحث</w:t>
      </w:r>
      <w:r w:rsidR="001146EF" w:rsidRPr="00096173">
        <w:rPr>
          <w:rStyle w:val="FootnoteReference"/>
          <w:rFonts w:asciiTheme="majorBidi" w:hAnsiTheme="majorBidi" w:cstheme="majorBidi"/>
          <w:sz w:val="24"/>
          <w:szCs w:val="24"/>
          <w:rtl/>
        </w:rPr>
        <w:fldChar w:fldCharType="begin" w:fldLock="1"/>
      </w:r>
      <w:r w:rsidR="00F5247D" w:rsidRPr="00096173">
        <w:rPr>
          <w:rFonts w:asciiTheme="majorBidi" w:hAnsiTheme="majorBidi" w:cstheme="majorBidi"/>
          <w:sz w:val="24"/>
          <w:szCs w:val="24"/>
        </w:rPr>
        <w:instrText>ADDIN CSL_CITATION {"citationItems":[{"id":"ITEM-1","itemData":{"author":[{"dropping-particle":"","family":"Aziz","given":"Ghozi Abdul","non-dropping-particle":"","parse-names":false,"suffix":""}],"id":"ITEM-1","issued":{"date-parts":[["2022"]]},"title":"Nilai-nilai Literasi dalam Al-Qur’an Surat Al-‘Alaq Ayat 1-5 (Analisis Tafsir Bi ar-Ra’yi)","type":"thesis"},"uris":["http://www.mendeley.com/documents/?uuid=2e5c14b3-aad8-44ad-81c9-45aef3ade5d2","http://www.mendeley.com/documents/?uuid=28c5dc26-7e64-4d93-8f13-3acba25ebfb1"]}],"mendeley":{"formattedCitation":"(Aziz, 2022)","plainTextFormattedCitation":"(Aziz, 2022)","previouslyFormattedCitation":"(Aziz, 2022)"},"properties":{"noteIndex":0},"schema":"https://github.com/citation-style-language/schema/raw/master/csl-citation.json"}</w:instrText>
      </w:r>
      <w:r w:rsidR="001146EF" w:rsidRPr="00096173">
        <w:rPr>
          <w:rStyle w:val="FootnoteReference"/>
          <w:rFonts w:asciiTheme="majorBidi" w:hAnsiTheme="majorBidi" w:cstheme="majorBidi"/>
          <w:sz w:val="24"/>
          <w:szCs w:val="24"/>
          <w:rtl/>
        </w:rPr>
        <w:fldChar w:fldCharType="separate"/>
      </w:r>
      <w:r w:rsidR="001146EF" w:rsidRPr="00096173">
        <w:rPr>
          <w:rFonts w:asciiTheme="majorBidi" w:hAnsiTheme="majorBidi" w:cstheme="majorBidi"/>
          <w:noProof/>
          <w:sz w:val="24"/>
          <w:szCs w:val="24"/>
        </w:rPr>
        <w:t>(Aziz, 2022)</w:t>
      </w:r>
      <w:r w:rsidR="001146EF" w:rsidRPr="00096173">
        <w:rPr>
          <w:rStyle w:val="FootnoteReference"/>
          <w:rFonts w:asciiTheme="majorBidi" w:hAnsiTheme="majorBidi" w:cstheme="majorBidi"/>
          <w:sz w:val="24"/>
          <w:szCs w:val="24"/>
          <w:rtl/>
        </w:rPr>
        <w:fldChar w:fldCharType="end"/>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تُعد مهارة القراءة إحدى المهارات اللغوية التي لا تقتصر فقط على نطق الحروف أو الكلمات، بل هي مهارة تتطلب تشغيل العقل والتفكير. فعملية القراءة تشمل جميع أشكال التفكير، من التقييم واتخاذ القرار إلى التحليل والبحث عن حلول للمشكلات</w:t>
      </w:r>
      <w:r w:rsidR="00081B95" w:rsidRPr="00096173">
        <w:rPr>
          <w:rFonts w:asciiTheme="majorBidi" w:hAnsiTheme="majorBidi" w:cstheme="majorBidi"/>
          <w:sz w:val="24"/>
          <w:szCs w:val="24"/>
          <w:rtl/>
        </w:rPr>
        <w:fldChar w:fldCharType="begin" w:fldLock="1"/>
      </w:r>
      <w:r w:rsidR="00081B95" w:rsidRPr="00096173">
        <w:rPr>
          <w:rFonts w:asciiTheme="majorBidi" w:hAnsiTheme="majorBidi" w:cstheme="majorBidi"/>
          <w:sz w:val="24"/>
          <w:szCs w:val="24"/>
        </w:rPr>
        <w:instrText>ADDIN CSL_CITATION {"citationItems":[{"id":"ITEM-1","itemData":{"author":[{"dropping-particle":"","family":"Ainin","given":"M","non-dropping-particle":"","parse-names":false,"suffix":""}],"id":"ITEM-1","issued":{"date-parts":[["2019"]]},"title":"Strategi Pembelajaran Bahasa Arab di Madrasah Aliyah. Jurnal Pendidikan Bahasa Arab,","type":"article-journal","volume":"3(2), 147-"},"uris":["http://www.mendeley.com/documents/?uuid=378e0bc0-301c-43d5-8150-7b7543f558e0"]}],"mendeley":{"formattedCitation":"(Ainin, 2019)","plainTextFormattedCitation":"(Ainin, 2019)","previouslyFormattedCitation":"(Ainin, 2019)"},"properties":{"noteIndex":0},"schema":"https://github.com/citation-style-language/schema/raw/master/csl-citation.json"}</w:instrText>
      </w:r>
      <w:r w:rsidR="00081B95" w:rsidRPr="00096173">
        <w:rPr>
          <w:rFonts w:asciiTheme="majorBidi" w:hAnsiTheme="majorBidi" w:cstheme="majorBidi"/>
          <w:sz w:val="24"/>
          <w:szCs w:val="24"/>
          <w:rtl/>
        </w:rPr>
        <w:fldChar w:fldCharType="separate"/>
      </w:r>
      <w:r w:rsidR="00081B95" w:rsidRPr="00096173">
        <w:rPr>
          <w:rFonts w:asciiTheme="majorBidi" w:hAnsiTheme="majorBidi" w:cstheme="majorBidi"/>
          <w:noProof/>
          <w:sz w:val="24"/>
          <w:szCs w:val="24"/>
        </w:rPr>
        <w:t>(Ainin, 2019)</w:t>
      </w:r>
      <w:r w:rsidR="00081B95" w:rsidRPr="00096173">
        <w:rPr>
          <w:rFonts w:asciiTheme="majorBidi" w:hAnsiTheme="majorBidi" w:cstheme="majorBidi"/>
          <w:sz w:val="24"/>
          <w:szCs w:val="24"/>
          <w:rtl/>
        </w:rPr>
        <w:fldChar w:fldCharType="end"/>
      </w:r>
    </w:p>
    <w:p w14:paraId="220BF589" w14:textId="4B0C31DD" w:rsidR="008D263B" w:rsidRPr="00096173" w:rsidRDefault="008D263B"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أما طريقة القراءة، فهي أسلوب تقديم الدروس من خلال القراءة، سواء كانت قراءة جهرية أو صامتة. ويُرجى من خلال هذه الطريقة أن يتمكن الطلاب من نطق الكلمات والجمل العربية نطقًا فصيحًا وسلسًا وصحيحًا وفق القواعد المقررة</w:t>
      </w:r>
      <w:r w:rsidRPr="00274849">
        <w:rPr>
          <w:rFonts w:ascii="Traditional Arabic" w:hAnsi="Traditional Arabic" w:cs="Traditional Arabic"/>
          <w:sz w:val="36"/>
          <w:szCs w:val="36"/>
        </w:rPr>
        <w:t xml:space="preserve"> </w:t>
      </w:r>
      <w:r w:rsidR="00096173" w:rsidRPr="00096173">
        <w:rPr>
          <w:rFonts w:asciiTheme="majorBidi" w:hAnsiTheme="majorBidi" w:cstheme="majorBidi"/>
          <w:sz w:val="24"/>
          <w:szCs w:val="24"/>
          <w:rtl/>
        </w:rPr>
        <w:fldChar w:fldCharType="begin" w:fldLock="1"/>
      </w:r>
      <w:r w:rsidR="00096173" w:rsidRPr="00096173">
        <w:rPr>
          <w:rFonts w:asciiTheme="majorBidi" w:hAnsiTheme="majorBidi" w:cstheme="majorBidi"/>
          <w:sz w:val="24"/>
          <w:szCs w:val="24"/>
        </w:rPr>
        <w:instrText>ADDIN CSL_CITATION {"citationItems":[{"id":"ITEM-1","itemData":{"abstract":"Perlu adanya sebuah kesadaran baru yang oleh para guru, diantaranya adalah harus mengutamakan peran anak didik sebagai aktor, bukannya guru. Selama ini yang lebih ditonjolkan adalah guru. Sementara murid diposisikan sebagai objek dalam proses belajar mengajar. Proses pembelajaran bukan hanya guru yang dituntut aktif, tetapi siswa juga berperan penting dalam hal tersebut. Oleh karena itu, seorang guru harus mempunyai kemampuan dalam mengajar dan pembelajaran. Diantaranya adalah kemampuan menguasai metode-metode pembelajaran. Metode pembelajaran mempunyai andil yang besar dalam kegiatan belajar mengajar. Kemampuan yang diharapkan dapat dimiliki anak didik, akan ditentukan oleh kerelevansian penggunaan suatu metode yang sesuai dengan tujuan. Penelitian ini dapat digolongkan sebagai penelitian lapangan (field research), dan penelitian ini bersifat kualitatif, yaitu penelitian yang prosedurnya menghasilkan data deskriptif yang berupa kata-kata tertulis atau lisan dari orang-orang dan perilaku yang diamati, sampelnya menggunakan sampel total, adapun teknik pengumpulan data menggunakan metode observasi, wawancara, dan dokumentasi. Dari hasil analisis, dapat disampaikan kesimpulan terdapat perbedaan skor nilai Bahasa Arab pada siswa MTs Al-Ghozali Jatibarang yang signifikan pada siswa sesudah mengikuti pembelajaran Bahasa Arab dengan Active Learning. Terdapat perbedaan skor daya serap/pengetahuan Bahasa Arab yang signifikan pada siswa sesudah mengikuti pembelajaran Bahasa Arab dengan Active Learning.","author":[{"dropping-particle":"","family":"Himmawan","given":"Didik","non-dropping-particle":"","parse-names":false,"suffix":""}],"container-title":"Journal Islamic Pedagogia","id":"ITEM-1","issue":"2","issued":{"date-parts":[["2021"]]},"page":"31-39","title":"Pelaksanaan Metode Active Learning dalam Pembelajaran Bahasa Arab di MTs Al-Ghozali Jatibarang Kabupaten Indramayu","type":"article-journal","volume":"1"},"uris":["http://www.mendeley.com/documents/?uuid=fd318e11-568c-4a90-8e93-6dc1c71b0004"]}],"mendeley":{"formattedCitation":"(Himmawan, 2021)","plainTextFormattedCitation":"(Himmawan, 2021)","previouslyFormattedCitation":"(Himmawan, 2021)"},"properties":{"noteIndex":0},"schema":"https://github.com/citation-style-language/schema/raw/master/csl-citation.json"}</w:instrText>
      </w:r>
      <w:r w:rsidR="00096173" w:rsidRPr="00096173">
        <w:rPr>
          <w:rFonts w:asciiTheme="majorBidi" w:hAnsiTheme="majorBidi" w:cstheme="majorBidi"/>
          <w:sz w:val="24"/>
          <w:szCs w:val="24"/>
          <w:rtl/>
        </w:rPr>
        <w:fldChar w:fldCharType="separate"/>
      </w:r>
      <w:r w:rsidR="00096173" w:rsidRPr="00096173">
        <w:rPr>
          <w:rFonts w:asciiTheme="majorBidi" w:hAnsiTheme="majorBidi" w:cstheme="majorBidi"/>
          <w:noProof/>
          <w:sz w:val="24"/>
          <w:szCs w:val="24"/>
        </w:rPr>
        <w:t>(Himmawan, 2021)</w:t>
      </w:r>
      <w:r w:rsidR="00096173" w:rsidRPr="00096173">
        <w:rPr>
          <w:rFonts w:asciiTheme="majorBidi" w:hAnsiTheme="majorBidi" w:cstheme="majorBidi"/>
          <w:sz w:val="24"/>
          <w:szCs w:val="24"/>
          <w:rtl/>
        </w:rPr>
        <w:fldChar w:fldCharType="end"/>
      </w:r>
    </w:p>
    <w:p w14:paraId="3FD7417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طريقة القواعد والترجمة</w:t>
      </w:r>
    </w:p>
    <w:p w14:paraId="3FF8458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إنّ مهارة القراءة تعتمد كثيرًا على إتقان قواعد اللغة العربية من ناحية النحو والصرف، حيث إنّ إتقان القواعد يؤثر تأثيرًا مباشرًا في صحة قراءة النصوص العربية. لذلك، سيتناول هذا المقال أيضًا أهمية طريقة القواعد والترجمة في تنمية مهارة القراءة</w:t>
      </w:r>
      <w:r w:rsidRPr="00274849">
        <w:rPr>
          <w:rFonts w:ascii="Traditional Arabic" w:hAnsi="Traditional Arabic" w:cs="Traditional Arabic"/>
          <w:sz w:val="36"/>
          <w:szCs w:val="36"/>
        </w:rPr>
        <w:t>.</w:t>
      </w:r>
    </w:p>
    <w:p w14:paraId="328F51B0" w14:textId="4B85E4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تُعد طريقة القواعد والترجمة أسلوبًا في تعليم اللغة العربية يُركّز على الجوانب النحوية وترجمة النصوص العربية إلى اللغة المستهدفة. ويستخدم معلمو اللغة العربية هذه الطريقة عند الحاجة وبحسب متطلبات المتعلّمين، خاصة في تعليم قواعد اللغة مثل النحو والصرف. وهذا يدل على أن هذه الطريقة لا تزال مطلوبة وذات صلة حتى في العصر الحديث</w:t>
      </w:r>
      <w:r w:rsidR="00081B95" w:rsidRPr="00096173">
        <w:rPr>
          <w:rFonts w:asciiTheme="majorBidi" w:hAnsiTheme="majorBidi" w:cstheme="majorBidi"/>
          <w:sz w:val="24"/>
          <w:szCs w:val="24"/>
          <w:rtl/>
        </w:rPr>
        <w:fldChar w:fldCharType="begin" w:fldLock="1"/>
      </w:r>
      <w:r w:rsidR="00081B95" w:rsidRPr="00096173">
        <w:rPr>
          <w:rFonts w:asciiTheme="majorBidi" w:hAnsiTheme="majorBidi" w:cstheme="majorBidi"/>
          <w:sz w:val="24"/>
          <w:szCs w:val="24"/>
        </w:rPr>
        <w:instrText>ADDIN CSL_CITATION {"citationItems":[{"id":"ITEM-1","itemData":{"DOI":"10.36915/la.v1i2.15","ISSN":"2722-1180","abstract":"Writing skill (maharah al-kitabah) is the highest skill of the four language skills. Writing is an activity that has a relationship with thought processes and expression skills in the form of writing. Judging from the aspect of Arabic proficiency, writing can be said to be a very complex activity, because it requires the ability to organize and organize ideas coherently and logically, as well as the ability to present writing in a variety of written languages and different writing rules. This writing activity is difficult for students, because it requires several skills, namely skills in forming letters and mastering spelling and the skills to generate thoughts and feelings in the form of Arabic writing. Therefore, it is necessary to understand the objectives and principles of learning writing skills and writing skills learning techniques to help students understand the material and achieve the goals of learning writing skills (Maharah al-kitabah). This paper tries to explain the theory of learning writing skills scientifically which includes the understanding of writing skills (maharah al-kitabah), the objectives of learning writing skills (maharah al-kitabah), the principles of learning writing skills (maharah al-kitabah) and skills learning techniques. write (maharah al-kitabah) in Arabic.","author":[{"dropping-particle":"","family":"Munawarah","given":"Munawarah","non-dropping-particle":"","parse-names":false,"suffix":""},{"dropping-particle":"","family":"Zulkiflih","given":"Zulkiflih","non-dropping-particle":"","parse-names":false,"suffix":""}],"container-title":"Loghat Arabi : Jurnal Bahasa Arab dan Pendidikan Bahasa Arab","id":"ITEM-1","issue":"2","issued":{"date-parts":[["2021"]]},"page":"22","title":"Pembelajaran Keterampilan Menulis (Maharah al-Kitabah) dalam Bahasa Arab","type":"article-journal","volume":"1"},"uris":["http://www.mendeley.com/documents/?uuid=43551c70-4365-4061-85ae-9c769149a43e"]}],"mendeley":{"formattedCitation":"(Munawarah &amp; Zulkiflih, 2021)","plainTextFormattedCitation":"(Munawarah &amp; Zulkiflih, 2021)","previouslyFormattedCitation":"(Munawarah &amp; Zulkiflih, 2021)"},"properties":{"noteIndex":0},"schema":"https://github.com/citation-style-language/schema/raw/master/csl-citation.json"}</w:instrText>
      </w:r>
      <w:r w:rsidR="00081B95" w:rsidRPr="00096173">
        <w:rPr>
          <w:rFonts w:asciiTheme="majorBidi" w:hAnsiTheme="majorBidi" w:cstheme="majorBidi"/>
          <w:sz w:val="24"/>
          <w:szCs w:val="24"/>
          <w:rtl/>
        </w:rPr>
        <w:fldChar w:fldCharType="separate"/>
      </w:r>
      <w:r w:rsidR="00081B95" w:rsidRPr="00096173">
        <w:rPr>
          <w:rFonts w:asciiTheme="majorBidi" w:hAnsiTheme="majorBidi" w:cstheme="majorBidi"/>
          <w:noProof/>
          <w:sz w:val="24"/>
          <w:szCs w:val="24"/>
        </w:rPr>
        <w:t>(Munawarah &amp; Zulkiflih, 2021)</w:t>
      </w:r>
      <w:r w:rsidR="00081B95" w:rsidRPr="00096173">
        <w:rPr>
          <w:rFonts w:asciiTheme="majorBidi" w:hAnsiTheme="majorBidi" w:cstheme="majorBidi"/>
          <w:sz w:val="24"/>
          <w:szCs w:val="24"/>
          <w:rtl/>
        </w:rPr>
        <w:fldChar w:fldCharType="end"/>
      </w:r>
    </w:p>
    <w:p w14:paraId="3F3D8F0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وتُعرف "طريقة القواعد والترجمة" في اللغة الإندونيسية باسم</w:t>
      </w:r>
      <w:r w:rsidRPr="00274849">
        <w:rPr>
          <w:rFonts w:ascii="Traditional Arabic" w:hAnsi="Traditional Arabic" w:cs="Traditional Arabic"/>
          <w:sz w:val="36"/>
          <w:szCs w:val="36"/>
        </w:rPr>
        <w:t xml:space="preserve"> </w:t>
      </w:r>
    </w:p>
    <w:p w14:paraId="37A4BAF6" w14:textId="47A63B6E"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i/>
          <w:iCs/>
          <w:sz w:val="36"/>
          <w:szCs w:val="36"/>
        </w:rPr>
        <w:t>"</w:t>
      </w:r>
      <w:r w:rsidRPr="00096173">
        <w:rPr>
          <w:rFonts w:asciiTheme="majorBidi" w:hAnsiTheme="majorBidi" w:cstheme="majorBidi"/>
          <w:i/>
          <w:iCs/>
          <w:sz w:val="24"/>
          <w:szCs w:val="24"/>
        </w:rPr>
        <w:t>metode tata bahasa</w:t>
      </w:r>
      <w:r w:rsidRPr="00096173">
        <w:rPr>
          <w:rFonts w:asciiTheme="majorBidi" w:hAnsiTheme="majorBidi" w:cstheme="majorBidi"/>
          <w:i/>
          <w:iCs/>
          <w:sz w:val="24"/>
          <w:szCs w:val="24"/>
          <w:lang w:val="id-ID"/>
        </w:rPr>
        <w:t xml:space="preserve"> </w:t>
      </w:r>
      <w:proofErr w:type="gramStart"/>
      <w:r w:rsidRPr="00096173">
        <w:rPr>
          <w:rFonts w:asciiTheme="majorBidi" w:hAnsiTheme="majorBidi" w:cstheme="majorBidi"/>
          <w:i/>
          <w:iCs/>
          <w:sz w:val="24"/>
          <w:szCs w:val="24"/>
        </w:rPr>
        <w:t>terjemah</w:t>
      </w:r>
      <w:r w:rsidRPr="00096173">
        <w:rPr>
          <w:rFonts w:asciiTheme="majorBidi" w:hAnsiTheme="majorBidi" w:cstheme="majorBidi"/>
          <w:i/>
          <w:iCs/>
          <w:sz w:val="24"/>
          <w:szCs w:val="24"/>
          <w:lang w:val="id-ID"/>
        </w:rPr>
        <w:t>”</w:t>
      </w:r>
      <w:r w:rsidRPr="00274849">
        <w:rPr>
          <w:rFonts w:ascii="Traditional Arabic" w:hAnsi="Traditional Arabic" w:cs="Traditional Arabic"/>
          <w:i/>
          <w:iCs/>
          <w:sz w:val="36"/>
          <w:szCs w:val="36"/>
          <w:lang w:val="id-ID"/>
        </w:rPr>
        <w:t xml:space="preserve"> </w:t>
      </w:r>
      <w:r w:rsidRPr="00274849">
        <w:rPr>
          <w:rFonts w:ascii="Traditional Arabic" w:hAnsi="Traditional Arabic" w:cs="Traditional Arabic"/>
          <w:sz w:val="36"/>
          <w:szCs w:val="36"/>
          <w:rtl/>
        </w:rPr>
        <w:t xml:space="preserve"> وهي</w:t>
      </w:r>
      <w:proofErr w:type="gramEnd"/>
      <w:r w:rsidRPr="00274849">
        <w:rPr>
          <w:rFonts w:ascii="Traditional Arabic" w:hAnsi="Traditional Arabic" w:cs="Traditional Arabic"/>
          <w:sz w:val="36"/>
          <w:szCs w:val="36"/>
          <w:rtl/>
        </w:rPr>
        <w:t xml:space="preserve"> طريقة تقليدية لأنها كانت تُستخدم أولًا في تعليم اللغات الكلاسيكية مثل اللاتينية واليونانية. وتُمثّل هذه الطريقة مزيجًا من طريقتين رئيسيتين هما: طريقة القواعد، وطريقة الترجمة. أما طريقة القواعد، فتركز على حفظ القواعد النحوية أو ما يُعرف بـ</w:t>
      </w:r>
      <w:r w:rsidRPr="00274849">
        <w:rPr>
          <w:rFonts w:ascii="Traditional Arabic" w:hAnsi="Traditional Arabic" w:cs="Traditional Arabic"/>
          <w:sz w:val="36"/>
          <w:szCs w:val="36"/>
        </w:rPr>
        <w:t xml:space="preserve"> </w:t>
      </w:r>
      <w:r w:rsidRPr="00096173">
        <w:rPr>
          <w:rFonts w:asciiTheme="majorBidi" w:hAnsiTheme="majorBidi" w:cstheme="majorBidi"/>
          <w:i/>
          <w:iCs/>
          <w:sz w:val="24"/>
          <w:szCs w:val="24"/>
        </w:rPr>
        <w:t>"rules of grammar</w:t>
      </w:r>
      <w:r w:rsidRPr="00274849">
        <w:rPr>
          <w:rFonts w:ascii="Traditional Arabic" w:hAnsi="Traditional Arabic" w:cs="Traditional Arabic"/>
          <w:i/>
          <w:iCs/>
          <w:sz w:val="36"/>
          <w:szCs w:val="36"/>
        </w:rPr>
        <w:t>"</w:t>
      </w:r>
      <w:r w:rsidRPr="00274849">
        <w:rPr>
          <w:rFonts w:ascii="Traditional Arabic" w:hAnsi="Traditional Arabic" w:cs="Traditional Arabic"/>
          <w:sz w:val="36"/>
          <w:szCs w:val="36"/>
          <w:rtl/>
        </w:rPr>
        <w:t>، بالإضافة إلى مجموعة من الكلمات المحددة، ثم يتم تركيب هذه الكلمات وفق القواعد النحوية المعتمدة</w:t>
      </w:r>
      <w:r w:rsidRPr="00096173">
        <w:rPr>
          <w:rFonts w:asciiTheme="majorBidi" w:hAnsiTheme="majorBidi" w:cstheme="majorBidi"/>
          <w:sz w:val="24"/>
          <w:szCs w:val="24"/>
        </w:rPr>
        <w:t xml:space="preserve"> </w:t>
      </w:r>
      <w:r w:rsidR="00081B95"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{"citationItems":[{"id":"ITEM-1","itemData":{"ISBN":"1717403077","abstract":"… tentang problematika Imla’ dalam pengajaran bahasa … Dalam pembelajaran bahasa Arab pasti kita menemukan kendala atau … Dalam pembelajaran bahasa Arab ada aspek-aspek …","author":[{"dropping-particle":"","family":"REFDAHRIA","given":"R","non-dropping-particle":"","parse-names":false,"suffix":""}],"id":"ITEM-1","issued":{"date-parts":[["2022"]]},"number-of-pages":"12-13","title":"Problematika Pembelajaran Bahasa Arab Maharah Qira'Ah Di Madrasah Tsanawiyah Ma'Arif Nu 2 Cilongok Kabupaten Banyumas","type":"book"},"uris":["http://www.mendeley.com/documents/?uuid=7f4b6080-2643-413e-8e1d-d095afe34dbe"]}],"mendeley":{"formattedCitation":"(REFDAHRIA, 2022)","manualFormatting":"(Refdahriah, 2022)","plainTextFormattedCitation":"(REFDAHRIA, 2022)","previouslyFormattedCitation":"(REFDAHRIA, 2022)"},"properties":{"noteIndex":0},"schema":"https://github.com/citation-style-language/schema/raw/master/csl-citation.json"}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(Refdahriah, 2022)</w:t>
      </w:r>
      <w:r w:rsidR="00081B95" w:rsidRPr="00096173">
        <w:rPr>
          <w:rFonts w:asciiTheme="majorBidi" w:hAnsiTheme="majorBidi" w:cstheme="majorBidi"/>
          <w:sz w:val="24"/>
          <w:szCs w:val="24"/>
        </w:rPr>
        <w:fldChar w:fldCharType="end"/>
      </w:r>
    </w:p>
    <w:p w14:paraId="45A54AC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٣</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الأسلوب الإجرائي (التقنية)</w:t>
      </w:r>
    </w:p>
    <w:p w14:paraId="7132A535" w14:textId="4CD107DF" w:rsidR="008D263B" w:rsidRPr="00096173" w:rsidRDefault="008D263B"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heme="majorBidi" w:hAnsiTheme="majorBidi" w:cstheme="majorBidi"/>
          <w:sz w:val="24"/>
          <w:szCs w:val="24"/>
        </w:rPr>
      </w:pPr>
      <w:r w:rsidRPr="00274849">
        <w:rPr>
          <w:rFonts w:ascii="Traditional Arabic" w:hAnsi="Traditional Arabic" w:cs="Traditional Arabic"/>
          <w:sz w:val="36"/>
          <w:szCs w:val="36"/>
          <w:rtl/>
        </w:rPr>
        <w:lastRenderedPageBreak/>
        <w:t xml:space="preserve"> </w:t>
      </w: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يمكن ملاحظة الفروقات بين الطرق التعليمية بسهولة من خلال تقنياتها. والتقنية هنا تُفهم باعتبارها تنفيذًا عمليًا في سياق التدريس، فهي ما يتم تطبيقه فعليًا في حجرة الصف من أنشطة واستراتيجيات تهدف إلى تحقيق الأهداف التعليمية. وكل نشاط يتم في صف تعليم اللغة يُعتبر تقنية. وتعتمد التقنية على خيال المعلّم وإبداعه وكذلك على تكوين الصف. ومن الممكن أن يبتكر المعلم تقنيات خاصة به ما دامت منسجمة مع الافتراضات والنظريات والطرق التي تُبنى عليها تلك التقنية. ويمكن معالجة مسألة تعليمية واحدة باستخدام تقنيات متعددة، وتختلف فعالية هذه التقنيات بحسب الطريقة والمدخل المستخدمين. وفيما يلي بعض الأمثلة على تقنيات تصحيح أخطاء الطلاب داخل الصف</w:t>
      </w:r>
      <w:r w:rsidRPr="00274849">
        <w:rPr>
          <w:rFonts w:ascii="Traditional Arabic" w:hAnsi="Traditional Arabic" w:cs="Traditional Arabic"/>
          <w:sz w:val="36"/>
          <w:szCs w:val="36"/>
        </w:rPr>
        <w:t xml:space="preserve"> </w:t>
      </w:r>
      <w:r w:rsidR="00096173" w:rsidRPr="00096173">
        <w:rPr>
          <w:rFonts w:asciiTheme="majorBidi" w:hAnsiTheme="majorBidi" w:cstheme="majorBidi"/>
          <w:sz w:val="24"/>
          <w:szCs w:val="24"/>
          <w:rtl/>
        </w:rPr>
        <w:fldChar w:fldCharType="begin" w:fldLock="1"/>
      </w:r>
      <w:r w:rsidR="00096173" w:rsidRPr="00096173">
        <w:rPr>
          <w:rFonts w:asciiTheme="majorBidi" w:hAnsiTheme="majorBidi" w:cstheme="majorBidi"/>
          <w:sz w:val="24"/>
          <w:szCs w:val="24"/>
        </w:rPr>
        <w:instrText>ADDIN CSL_CITATION {"citationItems":[{"id":"ITEM-1","itemData":{"abstract":"… Keterampilan berbahasa arab, sebagaimana bahasa asing lainnya … (keterampilan menyimak), maharatu al Kalam (keterampilan berbicara), maharatu al Kitabah (keterampilan menulis) …","author":[{"dropping-particle":"","family":"Rajalani","given":"Sintiya","non-dropping-particle":"","parse-names":false,"suffix":""},{"dropping-particle":"","family":"Prodi","given":"Mahasiswi","non-dropping-particle":"","parse-names":false,"suffix":""},{"dropping-particle":"","family":"Bahasa","given":"Pendidikan","non-dropping-particle":"","parse-names":false,"suffix":""},{"dropping-particle":"","family":"Fakultas","given":"Arab","non-dropping-particle":"","parse-names":false,"suffix":""}],"container-title":"Jurnal Pendidikan","id":"ITEM-1","issued":{"date-parts":[["2020"]]},"page":"56-64","title":"Metode pembelajaran dalam meningkatkan keterampilan berbicara bahasa arab","type":"article-journal","volume":"1"},"uris":["http://www.mendeley.com/documents/?uuid=32829c9d-71a9-4bc5-abb2-b50166a1a911"]}],"mendeley":{"formattedCitation":"(Rajalani et al., 2020)","plainTextFormattedCitation":"(Rajalani et al., 2020)","previouslyFormattedCitation":"(Rajalani et al., 2020)"},"properties":{"noteIndex":0},"schema":"https://github.com/citation-style-language/schema/raw/master/csl-citation.json"}</w:instrText>
      </w:r>
      <w:r w:rsidR="00096173" w:rsidRPr="00096173">
        <w:rPr>
          <w:rFonts w:asciiTheme="majorBidi" w:hAnsiTheme="majorBidi" w:cstheme="majorBidi"/>
          <w:sz w:val="24"/>
          <w:szCs w:val="24"/>
          <w:rtl/>
        </w:rPr>
        <w:fldChar w:fldCharType="separate"/>
      </w:r>
      <w:r w:rsidR="00096173" w:rsidRPr="00096173">
        <w:rPr>
          <w:rFonts w:asciiTheme="majorBidi" w:hAnsiTheme="majorBidi" w:cstheme="majorBidi"/>
          <w:noProof/>
          <w:sz w:val="24"/>
          <w:szCs w:val="24"/>
        </w:rPr>
        <w:t>(Rajalani et al., 2020)</w:t>
      </w:r>
      <w:r w:rsidR="00096173" w:rsidRPr="00096173">
        <w:rPr>
          <w:rFonts w:asciiTheme="majorBidi" w:hAnsiTheme="majorBidi" w:cstheme="majorBidi"/>
          <w:sz w:val="24"/>
          <w:szCs w:val="24"/>
          <w:rtl/>
        </w:rPr>
        <w:fldChar w:fldCharType="end"/>
      </w:r>
    </w:p>
    <w:p w14:paraId="4110D07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ب. إشكاليات تعليم مهارة القراءة</w:t>
      </w:r>
    </w:p>
    <w:p w14:paraId="3D19F80A" w14:textId="2CADB984"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 تُعدّ اللغة العربية بالنسبة للطلاب الإندونيسيين لغة أجنبية غير مألوفة منذ الصغر، ولذلك لا تزال تُعتبر من المواد الدراسية التي تُثير الخوف لدى بعض الطلاب. ويرجع هذا التصور غالبًا إلى عملية اختيار المواد الدراسية، وترتيبها، وطريقة عرضها التي قد لا تتناسب مع طبيعة المتعلمين. ولهذا يجب على المعلّمين أن يكونوا أكثر انتقائية في اختيار المحتوى التعليمي الذي يتناسب مع طلاب غير الناطقين بالعربية</w:t>
      </w:r>
      <w:r w:rsidRPr="00274849">
        <w:rPr>
          <w:rFonts w:ascii="Traditional Arabic" w:hAnsi="Traditional Arabic" w:cs="Traditional Arabic"/>
          <w:sz w:val="36"/>
          <w:szCs w:val="36"/>
        </w:rPr>
        <w:t xml:space="preserve"> </w:t>
      </w:r>
      <w:r w:rsidR="00081B95"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{"citationItems":[{"id":"ITEM-1","itemData":{"DOI":"10.51278/al.v1i1.687","abstract":"Many Arabic language education students in Arabic language education programs lack literacy, making it difficult to understand the language they are taking in their study program. so that the qira’ah method must be applied to increase language literacy found by many Arabic language students but they do not understand what they are learning, qiraah is the main method for a broader understanding in the field of language. This study aimed to the role of the Qira’ah Method in Increasing Arabic Literacy in Arabic Language Education Study Programs. The method used qualitative study and collecting data used interview and observation. The result showed that language functions can be developed and implemented in everyday life as well as in the academic campus of the Arabic Language Education Program.\r Keywords: Arabic Education Programs, Arabic Literacy, Qira’ah Method","author":[{"dropping-particle":"","family":"Fidani","given":"Riki","non-dropping-particle":"","parse-names":false,"suffix":""},{"dropping-particle":"","family":"Ghifary","given":"Muhamad Fadlan","non-dropping-particle":"","parse-names":false,"suffix":""},{"dropping-particle":"","family":"Indriana","given":"Dina","non-dropping-particle":"","parse-names":false,"suffix":""}],"container-title":"Al Maghazi : Arabic Language in Higher Education","id":"ITEM-1","issue":"1","issued":{"date-parts":[["2023"]]},"page":"17","title":"Peran Metode Qira’ah dalam Meningkatkan Literasi Bahasa Arab di Prodi Pendidikan Bahasa Arab","type":"article-journal","volume":"1"},"uris":["http://www.mendeley.com/documents/?uuid=29653363-69c2-4a6a-b45e-999f7e73cd7a"]}],"mendeley":{"formattedCitation":"(Fidani et al., 2023)","plainTextFormattedCitation":"(Fidani et al., 2023)","previouslyFormattedCitation":"(Fidani et al., 2023)"},"properties":{"noteIndex":0},"schema":"https://github.com/citation-style-language/schema/raw/master/csl-citation.json"}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(Fidani et al., 2023)</w:t>
      </w:r>
      <w:r w:rsidR="00081B95" w:rsidRPr="00096173">
        <w:rPr>
          <w:rFonts w:asciiTheme="majorBidi" w:hAnsiTheme="majorBidi" w:cstheme="majorBidi"/>
          <w:sz w:val="24"/>
          <w:szCs w:val="24"/>
        </w:rPr>
        <w:fldChar w:fldCharType="end"/>
      </w:r>
    </w:p>
    <w:p w14:paraId="284D61D0" w14:textId="012DF78C"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وباعتبار أن المجتمع الإندونيسي من غير العرب، فإن اللغة العربية تُعدّ لغة أجنبية أو حتى لغة ثالثة لديهم، لأن غالبية الإندونيسيين يمتلكون لغة أولى (اللغة الأم أو اللغة المحلية)، ولغة ثانية وهي اللغة الوطنية (الإندونيسية). وهناك عدة عوامل تُؤثّر في مدى نجاح اللغة العربية في "الاندماج" مع المجتمع الإندونيسي، من بينها تأثير اللغة الأم واللغة الثانية. وقد بُذلت في إندونيسيا، كما في كثير من الدول الأخرى، جهود كبيرة لنشر اللغة العربية، من خلال تأسيس العديد من المؤسسات التعليمية سواء من قبل الحكومة أو من قبل القطاع الخاص، بدءًا من المستوى الابتدائي </w:t>
      </w:r>
      <w:r w:rsidRPr="00274849">
        <w:rPr>
          <w:rFonts w:ascii="Traditional Arabic" w:hAnsi="Traditional Arabic" w:cs="Traditional Arabic"/>
          <w:strike/>
          <w:color w:val="FF0000"/>
          <w:sz w:val="36"/>
          <w:szCs w:val="36"/>
          <w:rtl/>
        </w:rPr>
        <w:t>و</w:t>
      </w:r>
      <w:r w:rsidRPr="00274849">
        <w:rPr>
          <w:rFonts w:ascii="Traditional Arabic" w:hAnsi="Traditional Arabic" w:cs="Traditional Arabic"/>
          <w:sz w:val="36"/>
          <w:szCs w:val="36"/>
          <w:rtl/>
        </w:rPr>
        <w:t>حتى الجامعي. كما تُقام الدورات التدريبية والندوات وورش العمل بشكل متكرر من أجل دعم نمو اللغة العربية وتطورها في البلاد</w:t>
      </w:r>
      <w:r w:rsidRPr="00096173">
        <w:rPr>
          <w:rFonts w:asciiTheme="majorBidi" w:hAnsiTheme="majorBidi" w:cstheme="majorBidi"/>
          <w:sz w:val="24"/>
          <w:szCs w:val="24"/>
        </w:rPr>
        <w:t xml:space="preserve"> </w:t>
      </w:r>
      <w:r w:rsidR="00081B95" w:rsidRPr="00096173">
        <w:rPr>
          <w:rFonts w:asciiTheme="majorBidi" w:hAnsiTheme="majorBidi" w:cstheme="majorBidi"/>
          <w:sz w:val="24"/>
          <w:szCs w:val="24"/>
        </w:rPr>
        <w:fldChar w:fldCharType="begin" w:fldLock="1"/>
      </w:r>
      <w:r w:rsidR="00081B95" w:rsidRPr="00096173">
        <w:rPr>
          <w:rFonts w:asciiTheme="majorBidi" w:hAnsiTheme="majorBidi" w:cstheme="majorBidi"/>
          <w:sz w:val="24"/>
          <w:szCs w:val="24"/>
        </w:rPr>
        <w:instrText>ADDIN CSL_CITATION {"citationItems":[{"id":"ITEM-1","itemData":{"DOI":"10.31538/nzh.v7i1.4222","ISSN":"26148013","abstract":"This research aims to analyze traditional Islamic boarding school leaders' perceptions of technology, models of learning Arabic sciences in traditional Islamic boarding schools, forms of using technology in learning Arabic language sciences in traditional Islamic boarding schools, and foundation support for using technology in learning sciences.-Arabic language knowledge in traditional Islamic boarding schools. The type of research used is qualitative-descriptive. Research data was obtained using observation methods, in-depth interviews, and documentation. The instruments used are observation lists, interview lists, and documentation lists. Data were analyzed using ATLAS—ti9 software. The research results show that (1). traditional Islamic boarding school leaders' perception of technology is very positive, and there is no rejection of the presence of technology; (2). The model of learning Arabic language sciences in traditional Islamic boarding schools is still preserved, such as using the yellow book with the bandongan, sorogan, and wetonan methods (3). Using technology in learning Arabic language sciences in traditional Islamic boarding schools by operating computers, laptops, focus, and cell phones with the help of the internet (4). The foundation supports the use of technology in learning Arabic language sciences in traditional Islamic boarding schools by disbursing sufficient funds to procure learning technology tools or by building collaborations with other parties. This research aims to increase the use of learning technology in traditional Islamic boarding schools to create effective and efficient learning but remain resistant to Islamic boarding school values and traditions.","author":[{"dropping-particle":"","family":"Nasution","given":"Sahkholid","non-dropping-particle":"","parse-names":false,"suffix":""},{"dropping-particle":"","family":"Asari","given":"Hasan","non-dropping-particle":"","parse-names":false,"suffix":""},{"dropping-particle":"","family":"Al-Rasyid","given":"Harun","non-dropping-particle":"","parse-names":false,"suffix":""},{"dropping-particle":"","family":"Dalimunthe","given":"Rasyid Anwar","non-dropping-particle":"","parse-names":false,"suffix":""},{"dropping-particle":"","family":"Rahman","given":"Aulia","non-dropping-particle":"","parse-names":false,"suffix":""}],"container-title":"Nazhruna: Jurnal Pendidikan Islam","id":"ITEM-1","issue":"1","issued":{"date-parts":[["2024"]]},"page":"77-102","title":"Learning Arabic Language Sciences Based on Technology in Traditional Islamic Boarding Schools in Indonesia","type":"article-journal","volume":"7"},"uris":["http://www.mendeley.com/documents/?uuid=631304bf-13bb-4782-9284-e28711cf97a1"]}],"mendeley":{"formattedCitation":"(Nasution, Asari, et al., 2024)","plainTextFormattedCitation":"(Nasution, Asari, et al., 2024)","previouslyFormattedCitation":"(Nasution, Asari, et al., 2024)"},"properties":{"noteIndex":0},"schema":"https://github.com/citation-style-language/schema/raw/master/csl-citation.json"}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(Nasution, Asari, et al., 2024)</w:t>
      </w:r>
      <w:r w:rsidR="00081B95" w:rsidRPr="00096173">
        <w:rPr>
          <w:rFonts w:asciiTheme="majorBidi" w:hAnsiTheme="majorBidi" w:cstheme="majorBidi"/>
          <w:sz w:val="24"/>
          <w:szCs w:val="24"/>
        </w:rPr>
        <w:fldChar w:fldCharType="end"/>
      </w:r>
    </w:p>
    <w:p w14:paraId="263386BB" w14:textId="2B4F0AB8"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ويرتبط فهم مهارة القراءة بعدة عوامل أهمها: لغة التواصل اليومية، والعوامل الداخلية والخارجية، وشخصية المتعلّم نفسه</w:t>
      </w:r>
      <w:r w:rsidRPr="00274849">
        <w:rPr>
          <w:rFonts w:ascii="Traditional Arabic" w:hAnsi="Traditional Arabic" w:cs="Traditional Arabic"/>
          <w:sz w:val="36"/>
          <w:szCs w:val="36"/>
          <w:lang w:val="id-ID"/>
        </w:rPr>
        <w:t xml:space="preserve"> </w:t>
      </w:r>
      <w:r w:rsidR="001146EF" w:rsidRPr="00096173">
        <w:rPr>
          <w:rStyle w:val="FootnoteReference"/>
          <w:rFonts w:asciiTheme="majorBidi" w:hAnsiTheme="majorBidi" w:cstheme="majorBidi"/>
          <w:sz w:val="24"/>
          <w:szCs w:val="24"/>
          <w:lang w:val="id-ID"/>
        </w:rPr>
        <w:fldChar w:fldCharType="begin" w:fldLock="1"/>
      </w:r>
      <w:r w:rsidR="00F5247D" w:rsidRPr="00096173">
        <w:rPr>
          <w:rFonts w:asciiTheme="majorBidi" w:hAnsiTheme="majorBidi" w:cstheme="majorBidi"/>
          <w:sz w:val="24"/>
          <w:szCs w:val="24"/>
          <w:lang w:val="id-ID"/>
        </w:rPr>
        <w:instrText>ADDIN CSL_CITATION {"citationItems":[{"id":"ITEM-1","itemData":{"author":[{"dropping-particle":"","family":"Abd Wahab Rosyidi","given":"Mamlu’atul Ni’mah","non-dropping-particle":"","parse-names":false,"suffix":""}],"id":"ITEM-1","issued":{"date-parts":[["2020"]]},"title":"Memahami Konsep Dasar Pembelajaran Bahasa Arab","type":"article-journal"},"uris":["http://www.mendeley.com/documents/?uuid=bcbd29f3-640b-481a-b1c1-484a004c05d3","http://www.mendeley.com/documents/?uuid=95b5b497-5c99-4c5f-8ff3-bd05edcf6721"]}],"mendeley":{"formattedCitation":"(Abd Wahab Rosyidi, 2020)","plainTextFormattedCitation":"(Abd Wahab Rosyidi, 2020)","previouslyFormattedCitation":"(Abd Wahab Rosyidi, 2020)"},"properties":{"noteIndex":0},"schema":"https://github.com/citation-style-language/schema/raw/master/csl-citation.json"}</w:instrText>
      </w:r>
      <w:r w:rsidR="001146EF" w:rsidRPr="00096173">
        <w:rPr>
          <w:rStyle w:val="FootnoteReference"/>
          <w:rFonts w:asciiTheme="majorBidi" w:hAnsiTheme="majorBidi" w:cstheme="majorBidi"/>
          <w:sz w:val="24"/>
          <w:szCs w:val="24"/>
          <w:lang w:val="id-ID"/>
        </w:rPr>
        <w:fldChar w:fldCharType="separate"/>
      </w:r>
      <w:r w:rsidR="001146EF" w:rsidRPr="00096173">
        <w:rPr>
          <w:rFonts w:asciiTheme="majorBidi" w:hAnsiTheme="majorBidi" w:cstheme="majorBidi"/>
          <w:noProof/>
          <w:sz w:val="24"/>
          <w:szCs w:val="24"/>
          <w:lang w:val="id-ID"/>
        </w:rPr>
        <w:t>(Abd Wahab Rosyidi, 2020)</w:t>
      </w:r>
      <w:r w:rsidR="001146EF" w:rsidRPr="00096173">
        <w:rPr>
          <w:rStyle w:val="FootnoteReference"/>
          <w:rFonts w:asciiTheme="majorBidi" w:hAnsiTheme="majorBidi" w:cstheme="majorBidi"/>
          <w:sz w:val="24"/>
          <w:szCs w:val="24"/>
          <w:lang w:val="id-ID"/>
        </w:rPr>
        <w:fldChar w:fldCharType="end"/>
      </w:r>
      <w:r w:rsidRPr="00274849">
        <w:rPr>
          <w:rFonts w:ascii="Traditional Arabic" w:hAnsi="Traditional Arabic" w:cs="Traditional Arabic"/>
          <w:sz w:val="36"/>
          <w:szCs w:val="36"/>
          <w:rtl/>
        </w:rPr>
        <w:t xml:space="preserve">ويُعدّ العامل الفردي من أكثر العوامل تأثيرًا، إذ إن الناس </w:t>
      </w:r>
      <w:r w:rsidRPr="00274849">
        <w:rPr>
          <w:rFonts w:ascii="Traditional Arabic" w:hAnsi="Traditional Arabic" w:cs="Traditional Arabic"/>
          <w:sz w:val="36"/>
          <w:szCs w:val="36"/>
          <w:rtl/>
        </w:rPr>
        <w:lastRenderedPageBreak/>
        <w:t>يختلفون في مواهبهم اللغوية، فبعضهم يتمتع بسرعة في فهم اللغات الأجنبية، في حين يعاني البعض الآخر من صعوبة في تعلّمها</w:t>
      </w:r>
      <w:r w:rsidRPr="00274849">
        <w:rPr>
          <w:rFonts w:ascii="Traditional Arabic" w:hAnsi="Traditional Arabic" w:cs="Traditional Arabic"/>
          <w:sz w:val="36"/>
          <w:szCs w:val="36"/>
        </w:rPr>
        <w:t>.</w:t>
      </w:r>
    </w:p>
    <w:p w14:paraId="21C4809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وعند التعمّق في موضوع مهارة القراءة بشكل خاص، فإن اعتبار اللغة العربية كلغة ثالثة يُعدّ أحد أبرز التحديات في تعليم هذه المهارة لطلاب المدارس في إندونيسيا بوجه عام، ولهذا يواصل المعلمون بذل الجهود لاستثمار كل الإمكانات المتاحة لتيسير تعليم مهارة القراءة وجعلها سهلة الفهم</w:t>
      </w:r>
      <w:r w:rsidRPr="00274849">
        <w:rPr>
          <w:rFonts w:ascii="Traditional Arabic" w:hAnsi="Traditional Arabic" w:cs="Traditional Arabic"/>
          <w:sz w:val="36"/>
          <w:szCs w:val="36"/>
        </w:rPr>
        <w:t>.</w:t>
      </w:r>
    </w:p>
    <w:p w14:paraId="0A85CD5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4A243E94" w14:textId="4AD7C93D"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ج. مؤشرات إتقان مهارة القراءة لمرحلة المدرسة المتوسطة الإسلامية </w:t>
      </w:r>
    </w:p>
    <w:p w14:paraId="6B818CC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يشمل إتقان مهارة القراءة للنصوص العربية لدى طلاب المرحلة متوسطة الإسلامية عددًا من المؤشرات المرتبطة بالجوانب المعرفية واللغوية والوجدانية. ووفقًا لما ذكره</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فإن هذه المؤشرات تتضمن ما يلي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 القدرة الصوتية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أن يكون الطالب قادرًا على قراءة النصوص العربية بترتيل وفصاحة، ووفقًا لقواعد مخارج الحروف والحركات</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موقف إيجابي تجاه اللغة العربية. ومن خلال هذه المؤشرات، يُؤمَل أن لا يقتصر تعليم مهارة القراءة على النطق الصحيح للنصوص، بل يشمل أيضًا الفهم العميق للمعاني والقيم المتضمّنة في النص المقروء</w:t>
      </w:r>
    </w:p>
    <w:p w14:paraId="6402A667" w14:textId="2B371D32" w:rsidR="008D263B"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القدرة الصرفية والنحوية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التعرف على الأفعال، والأسماء، والحروف، مع فهم بناء الجمل وفقًا لقواعد النحو والصرف</w:t>
      </w:r>
      <w:r w:rsidRPr="00274849">
        <w:rPr>
          <w:rFonts w:ascii="Traditional Arabic" w:hAnsi="Traditional Arabic" w:cs="Traditional Arabic"/>
          <w:sz w:val="36"/>
          <w:szCs w:val="36"/>
        </w:rPr>
        <w:t>.</w:t>
      </w:r>
    </w:p>
    <w:p w14:paraId="7C67C042" w14:textId="77777777" w:rsidR="00C06EC1" w:rsidRPr="00C06EC1" w:rsidRDefault="00C06EC1" w:rsidP="00C06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54B69DD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فهم محتوى النص</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التمكن من إدراك المعنى العام للنص، واستخلاص المغزى، وشرح الفكرة الرئيسية والمعلومات الداعمة</w:t>
      </w:r>
      <w:r w:rsidRPr="00274849">
        <w:rPr>
          <w:rFonts w:ascii="Traditional Arabic" w:hAnsi="Traditional Arabic" w:cs="Traditional Arabic"/>
          <w:sz w:val="36"/>
          <w:szCs w:val="36"/>
        </w:rPr>
        <w:t>.</w:t>
      </w:r>
    </w:p>
    <w:p w14:paraId="7CD2854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د. القدرة على الترجمة السياقية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ترجمة النصوص ليس فقط كلمةً بكلمة، بل أيضًا ترجمة المعنى الكامل للنص في سياقه المناسب</w:t>
      </w:r>
      <w:r w:rsidRPr="00274849">
        <w:rPr>
          <w:rFonts w:ascii="Traditional Arabic" w:hAnsi="Traditional Arabic" w:cs="Traditional Arabic"/>
          <w:sz w:val="36"/>
          <w:szCs w:val="36"/>
        </w:rPr>
        <w:t>.</w:t>
      </w:r>
    </w:p>
    <w:p w14:paraId="334F701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هـ. القدرة على التحليل النحوي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تحليل وظائف الكلمات أو العبارات داخل الجمل، مثل الإعراب، وتحديد نوع الجملة (اسمية أو فعلية)، وفهم العلاقات التركيبية بين عناصر النص</w:t>
      </w:r>
      <w:r w:rsidRPr="00274849">
        <w:rPr>
          <w:rFonts w:ascii="Traditional Arabic" w:hAnsi="Traditional Arabic" w:cs="Traditional Arabic"/>
          <w:sz w:val="36"/>
          <w:szCs w:val="36"/>
        </w:rPr>
        <w:t>.</w:t>
      </w:r>
    </w:p>
    <w:p w14:paraId="098B51D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و. التفكير النقدي من خلال القراءة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التعبير عن الرأي حول مضمون النص، وربط النص بالواقع أو بتجربة شخصية، وتقييم صحة ودقة المعلومات الواردة فيه</w:t>
      </w:r>
      <w:r w:rsidRPr="00274849">
        <w:rPr>
          <w:rFonts w:ascii="Traditional Arabic" w:hAnsi="Traditional Arabic" w:cs="Traditional Arabic"/>
          <w:sz w:val="36"/>
          <w:szCs w:val="36"/>
        </w:rPr>
        <w:t>.</w:t>
      </w:r>
    </w:p>
    <w:p w14:paraId="40CE41E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ز. مهارات القراءة الفنية والاستراتيجية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معرفة نوع النص (سردي، وصفي، تفسيري)، استخدام القاموس بشكل صحيح، وتحديد الفكرة الرئيسية والجمل المفسّرة</w:t>
      </w:r>
      <w:r w:rsidRPr="00274849">
        <w:rPr>
          <w:rFonts w:ascii="Traditional Arabic" w:hAnsi="Traditional Arabic" w:cs="Traditional Arabic"/>
          <w:sz w:val="36"/>
          <w:szCs w:val="36"/>
        </w:rPr>
        <w:t>.</w:t>
      </w:r>
    </w:p>
    <w:p w14:paraId="4C45CB7C" w14:textId="0A27DB52" w:rsidR="008D263B" w:rsidRPr="00274849" w:rsidRDefault="008D263B"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ولا تقتصر هذه المؤشرات على قياس القدرات التقنية في القراءة، بل تعكس أيضًا مدى قدرة الطالب على استخدام مهارة القراءة كوسيلة للتفكير والتحليل وتكوين موقف إيجابي تجاه اللغة العربية. ومن خلال هذه المؤشرات، يُؤمَل أن لا يقتصر تعليم مهارة القراءة على النطق الصحيح للنصوص، بل يشمل أيضًا الفهم العميق للمعاني والقيم المتضمّنة في النص المقروء</w:t>
      </w:r>
      <w:r w:rsidRPr="00274849">
        <w:rPr>
          <w:rFonts w:ascii="Traditional Arabic" w:hAnsi="Traditional Arabic" w:cs="Traditional Arabic"/>
          <w:sz w:val="36"/>
          <w:szCs w:val="36"/>
        </w:rPr>
        <w:t>.</w:t>
      </w:r>
    </w:p>
    <w:p w14:paraId="2C9C3C6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د. تعليم اللغة العربية لغير الناطقين بها</w:t>
      </w:r>
    </w:p>
    <w:p w14:paraId="00C6D60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تُعَدُّ عمليةُ تعليم اللغة العربية للناطقين بغيرها عمليةً تربويةً تهدف إلى تزويد المتعلّمين بالقدرة على استخدام اللغة العربية تدريجيًا، بما يتوافق مع احتياجاتهم التواصلية. وتركّز هذه العملية على تنمية المهارات الأربع: الاستماع، والكلام، والقراءة، والكتابة، مع مراعاة الخلفية الثقافية والعمرية للمتعلمين. ووفقًا لنظرية اكتساب اللغة الثانية، ينبغي تقديم المواد التعليمية بشكل تدريجي ومفهوم للطلبة، حتى تسير عملية التمكّن اللغوي بصورة فعّالة</w:t>
      </w:r>
      <w:r w:rsidRPr="00274849">
        <w:rPr>
          <w:rFonts w:ascii="Traditional Arabic" w:hAnsi="Traditional Arabic" w:cs="Traditional Arabic"/>
          <w:sz w:val="36"/>
          <w:szCs w:val="36"/>
        </w:rPr>
        <w:t>.</w:t>
      </w:r>
    </w:p>
    <w:p w14:paraId="670E69E4" w14:textId="38BCE73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تشمل المناهج المناسبة لتعليم اللغة العربية للناطقين بغيرها: المنهج التواصلي، والمنهج المباشر، بالإضافة إلى دمج استراتيجيات تعليمية سياقية مختلفة. ويُستحسن أن تكون المواد التعليمية أصلية ومرتبطة بحياة المتعلّمين اليومية، حتى يسهل عليهم فهمها وتطبيقها</w:t>
      </w:r>
      <w:r w:rsidR="00081B95" w:rsidRPr="00096173">
        <w:rPr>
          <w:rFonts w:asciiTheme="majorBidi" w:hAnsiTheme="majorBidi" w:cstheme="majorBidi"/>
          <w:sz w:val="24"/>
          <w:szCs w:val="24"/>
          <w:rtl/>
        </w:rPr>
        <w:fldChar w:fldCharType="begin" w:fldLock="1"/>
      </w:r>
      <w:r w:rsidR="00081B95" w:rsidRPr="00096173">
        <w:rPr>
          <w:rFonts w:asciiTheme="majorBidi" w:hAnsiTheme="majorBidi" w:cstheme="majorBidi"/>
          <w:sz w:val="24"/>
          <w:szCs w:val="24"/>
        </w:rPr>
        <w:instrText>ADDIN CSL_CITATION {"citationItems":[{"id":"ITEM-1","itemData":{"DOI":"10.32332/an-nabighoh.v24i1.4818","ISSN":"1907-1183","abstract":"This article is a systematic review of literature that describes the approach as a component in learning, especially in Arabic learning activities. There are two approaches used in the learning process, namely the learning approach with a teacher centered strategy and the learning approach with a student centered strategy. The accuracy of the approach used in learning determines the achievement of the Arabic language learning objectives that have been set in the lesson plan. The learning steps are carried out in accordance with the learning approach used. This article also explains various things related to the Arabic language learning approach as well as the weaknesses and strengths of the teacher centered and student centered learning approaches.","author":[{"dropping-particle":"","family":"Ekawati","given":"Dian","non-dropping-particle":"","parse-names":false,"suffix":""},{"dropping-particle":"","family":"Arifin","given":"Ahmad","non-dropping-particle":"","parse-names":false,"suffix":""}],"container-title":"An Nabighoh","id":"ITEM-1","issue":"1","issued":{"date-parts":[["2022"]]},"page":"111","title":"Pendekatan dalam Pembelajaran Bahasa Arab: Teori, Konsep, dan Implementasi","type":"article-journal","volume":"24"},"uris":["http://www.mendeley.com/documents/?uuid=e069d784-68a1-4b5d-ac82-d7bcbec27aec"]}],"mendeley":{"formattedCitation":"(Ekawati &amp; Arifin, 2022)","plainTextFormattedCitation":"(Ekawati &amp; Arifin, 2022)","previouslyFormattedCitation":"(Ekawati &amp; Arifin, 2022)"},"properties":{"noteIndex":0},"schema":"https://github.com/citation-style-language/schema/raw/master/csl-citation.json"}</w:instrText>
      </w:r>
      <w:r w:rsidR="00081B95" w:rsidRPr="00096173">
        <w:rPr>
          <w:rFonts w:asciiTheme="majorBidi" w:hAnsiTheme="majorBidi" w:cstheme="majorBidi"/>
          <w:sz w:val="24"/>
          <w:szCs w:val="24"/>
          <w:rtl/>
        </w:rPr>
        <w:fldChar w:fldCharType="separate"/>
      </w:r>
      <w:r w:rsidR="00081B95" w:rsidRPr="00096173">
        <w:rPr>
          <w:rFonts w:asciiTheme="majorBidi" w:hAnsiTheme="majorBidi" w:cstheme="majorBidi"/>
          <w:noProof/>
          <w:sz w:val="24"/>
          <w:szCs w:val="24"/>
        </w:rPr>
        <w:t>(Ekawati &amp; Arifin, 2022)</w:t>
      </w:r>
      <w:r w:rsidR="00081B95" w:rsidRPr="00096173">
        <w:rPr>
          <w:rFonts w:asciiTheme="majorBidi" w:hAnsiTheme="majorBidi" w:cstheme="majorBidi"/>
          <w:sz w:val="24"/>
          <w:szCs w:val="24"/>
          <w:rtl/>
        </w:rPr>
        <w:fldChar w:fldCharType="end"/>
      </w:r>
    </w:p>
    <w:p w14:paraId="2F01405F" w14:textId="530DA3FF"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وفي العصر الرقمي، يُنصَح باستخدام التكنولوجيا مثل الوسائط التفاعلية وتطبيقات التعليم القائمة على الذكاء الاصطناعي، لما لها من دورٍ في تعزيز دافعية التعلّم وتسريع اكتساب اللغة</w:t>
      </w:r>
      <w:r w:rsidRPr="00274849">
        <w:rPr>
          <w:rFonts w:ascii="Traditional Arabic" w:hAnsi="Traditional Arabic" w:cs="Traditional Arabic"/>
          <w:sz w:val="36"/>
          <w:szCs w:val="36"/>
        </w:rPr>
        <w:t xml:space="preserve"> </w:t>
      </w:r>
      <w:r w:rsidR="00081B95" w:rsidRPr="00096173">
        <w:rPr>
          <w:rFonts w:asciiTheme="majorBidi" w:hAnsiTheme="majorBidi" w:cstheme="majorBidi"/>
          <w:sz w:val="24"/>
          <w:szCs w:val="24"/>
        </w:rPr>
        <w:fldChar w:fldCharType="begin" w:fldLock="1"/>
      </w:r>
      <w:r w:rsidR="00BB49B8" w:rsidRPr="00096173">
        <w:rPr>
          <w:rFonts w:asciiTheme="majorBidi" w:hAnsiTheme="majorBidi" w:cstheme="majorBidi"/>
          <w:sz w:val="24"/>
          <w:szCs w:val="24"/>
        </w:rPr>
        <w:instrText>ADDIN CSL_CITATION {"citationItems":[{"id":"ITEM-1","itemData":{"DOI":"10.24235/ibtikar.v10i1.7725","ISSN":"2303-260X","abstract":"Bahasa adalah sistem lambang bunyi yang digunakan manusia untuk berkomunikasi mengungkapkan pikiran dan perasaannya. Salah satu bahasa yang digunakan manusia adalah bahasa Arab. Bahasa Arab memiliki urgensi penting dalam kehidupan sehari- hari seorang muslim. Karenanya seorang muslim dituntut untuk memelajari dan memahami Bahasa Arab. Namun dalam proses pembelajrannya muncul beberapa faktor penghambat yang dirasakan pelajar bahasa Arab dalam memahami Bahasa Arab. Diantara faktor pemnghambat tersebut adalah adalah kurangnya motivasi belajar, kurang melatih kemampuan yang dimiliki, rendahnya minat untuk menghafal kosa kata baru, dan tidak memurajaah materi, minimnya fasilitas belajar, materi yang tidak 37 terstruktur, dan kuragnya buku bacaan Bahasa Arab,. Dalam menghadapi faktor-faktor penghambat pembelajaran Bahasa Arab tersebut ada beberapa solusi yang bisa dilakukan seperti berdo’a kepada Allah, menciptakan lingkungan yang baik, serta mengatur waktu dengan baik.","author":[{"dropping-particle":"","family":"Rachman","given":"Yaris Eka","non-dropping-particle":"","parse-names":false,"suffix":""}],"container-title":"EL-IBTIKAR: Jurnal Pendidikan Bahasa Arab","id":"ITEM-1","issue":"1","issued":{"date-parts":[["2021"]]},"page":"39","title":"Faktor-Faktor Penghambat Dalam Memahami Bahasa Arab","type":"article-journal","volume":"10"},"uris":["http://www.mendeley.com/documents/?uuid=ca2b5633-eed7-4f31-a344-8872cc208460"]}],"mendeley":{"formattedCitation":"(Rachman, 2021)","plainTextFormattedCitation":"(Rachman, 2021)","previouslyFormattedCitation":"(Rachman, 2021)"},"properties":{"noteIndex":0},"schema":"https://github.com/citation-style-language/schema/raw/master/csl-citation.json"}</w:instrText>
      </w:r>
      <w:r w:rsidR="00081B95" w:rsidRPr="00096173">
        <w:rPr>
          <w:rFonts w:asciiTheme="majorBidi" w:hAnsiTheme="majorBidi" w:cstheme="majorBidi"/>
          <w:sz w:val="24"/>
          <w:szCs w:val="24"/>
        </w:rPr>
        <w:fldChar w:fldCharType="separate"/>
      </w:r>
      <w:r w:rsidR="00081B95" w:rsidRPr="00096173">
        <w:rPr>
          <w:rFonts w:asciiTheme="majorBidi" w:hAnsiTheme="majorBidi" w:cstheme="majorBidi"/>
          <w:noProof/>
          <w:sz w:val="24"/>
          <w:szCs w:val="24"/>
        </w:rPr>
        <w:t>(Rachman, 2021)</w:t>
      </w:r>
      <w:r w:rsidR="00081B95" w:rsidRPr="00096173">
        <w:rPr>
          <w:rFonts w:asciiTheme="majorBidi" w:hAnsiTheme="majorBidi" w:cstheme="majorBidi"/>
          <w:sz w:val="24"/>
          <w:szCs w:val="24"/>
        </w:rPr>
        <w:fldChar w:fldCharType="end"/>
      </w:r>
      <w:r w:rsidRPr="00096173">
        <w:rPr>
          <w:rFonts w:asciiTheme="majorBidi" w:hAnsiTheme="majorBidi" w:cstheme="majorBidi"/>
          <w:sz w:val="24"/>
          <w:szCs w:val="24"/>
        </w:rPr>
        <w:t xml:space="preserve"> </w:t>
      </w:r>
    </w:p>
    <w:p w14:paraId="0E25A439" w14:textId="77777777" w:rsidR="008D263B" w:rsidRPr="00274849" w:rsidRDefault="008D263B" w:rsidP="00787457">
      <w:pPr>
        <w:autoSpaceDE w:val="0"/>
        <w:autoSpaceDN w:val="0"/>
        <w:bidi/>
        <w:adjustRightInd w:val="0"/>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تشير الاقتباسات السابقة إلى أن تعليم اللغة العربية لغير الناطقين بها ينبغي أن يُبنى على مقاربات سياقية وتواصلية تتكيف مع احتياجات المتعلمين. وتُبرز آراء كراشن حول المدخل المفهوم أهمية إعداد المحتوى التعليمي الذي يحمل معنى واضحًا ويتناسب مع مستوى قدرات الطلاب، مما يجعل عملية التعلم أكثر فاعلية وأقل عبئًا </w:t>
      </w:r>
      <w:r w:rsidRPr="00274849">
        <w:rPr>
          <w:rFonts w:ascii="Traditional Arabic" w:hAnsi="Traditional Arabic" w:cs="Traditional Arabic"/>
          <w:sz w:val="36"/>
          <w:szCs w:val="36"/>
          <w:rtl/>
        </w:rPr>
        <w:lastRenderedPageBreak/>
        <w:t>عليهم</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وتُعدّ أساليب التدريس مثل الطريقة المباشرة، والمنهج التواصلي، والمنهج التكاملـي من الركائز المهمة في بناء الكفاءة اللغوية للطلاب بشكل طبيعي وعملي. كما أن توظيف النصوص الأصيلة والمناهج العابرة للثقافات يُمَكّن الطلاب من فهم استخدام اللغة في سياقاتها الاجتماعية، وليس فقط من زاوية القواعد أو النظريات</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علاوة على ذلك، فإن تعزيز التعلم من خلال التكنولوجيا الرقمية، بما في ذلك الذكاء الاصطناعي ونظم التعليم بمساعدة الحاسوب، يمثل حلاً مبتكرًا لمواجهة التحديات المعاصرة. وهو ما يتماشى مع متطلبات العصر الحديث الذي يتطلب تعلمًا تفاعليًا مدعومًا بالتكنولوجيا الحديثة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وبناءً عليه، يرى الكاتب أن التكامل بين نظريات اكتساب اللغة الثانية، والمناهج التعليمية التواصلية، وتوظيف التكنولوجيا يشكل مفتاح النجاح في تعليم اللغة العربية لغير الناطقين بها. هذا التكامل يتيح تحقيق التوازن بين إتقان مهارات اللغة وفهم الثقافة العربية بصورة وظيفية وشاملة</w:t>
      </w:r>
    </w:p>
    <w:p w14:paraId="5519DAA6" w14:textId="43F6E51C" w:rsidR="008D263B" w:rsidRPr="00274849" w:rsidRDefault="00BB49B8" w:rsidP="00274849">
      <w:pPr>
        <w:pStyle w:val="HTMLPreformatted"/>
        <w:spacing w:line="276" w:lineRule="auto"/>
        <w:jc w:val="right"/>
        <w:rPr>
          <w:rStyle w:val="y2iqfc"/>
          <w:rFonts w:ascii="Traditional Arabic" w:hAnsi="Traditional Arabic" w:cs="Traditional Arabic"/>
          <w:b/>
          <w:bCs/>
          <w:color w:val="1F1F1F"/>
          <w:sz w:val="36"/>
          <w:szCs w:val="36"/>
          <w:lang w:val="en"/>
        </w:rPr>
      </w:pPr>
      <w:r w:rsidRPr="00274849">
        <w:rPr>
          <w:rFonts w:ascii="Traditional Arabic" w:hAnsi="Traditional Arabic" w:cs="Traditional Arabic"/>
          <w:b/>
          <w:bCs/>
          <w:color w:val="1F1F1F"/>
          <w:sz w:val="36"/>
          <w:szCs w:val="36"/>
          <w:rtl/>
          <w:lang w:val="en"/>
        </w:rPr>
        <w:t>منهجية البحث</w:t>
      </w:r>
    </w:p>
    <w:p w14:paraId="206D046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١</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 xml:space="preserve">سياق البحث </w:t>
      </w:r>
    </w:p>
    <w:p w14:paraId="114F756F" w14:textId="24A089E2"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هذا البحث هو بحث نوعي وصفي، وهو نوع من البحوث يتم من خلال الملاحظة العميقة، أو أن نتائجه لا تُستخلص من خلال الإجراءات الإحصائية أو الحسابات العددية الأخرى</w:t>
      </w:r>
      <w:r w:rsidR="00BB49B8" w:rsidRPr="00096173">
        <w:rPr>
          <w:rFonts w:asciiTheme="majorBidi" w:hAnsiTheme="majorBidi" w:cstheme="majorBidi"/>
          <w:sz w:val="24"/>
          <w:szCs w:val="24"/>
          <w:rtl/>
        </w:rPr>
        <w:fldChar w:fldCharType="begin" w:fldLock="1"/>
      </w:r>
      <w:r w:rsidR="00BB49B8" w:rsidRPr="00096173">
        <w:rPr>
          <w:rFonts w:asciiTheme="majorBidi" w:hAnsiTheme="majorBidi" w:cstheme="majorBidi"/>
          <w:sz w:val="24"/>
          <w:szCs w:val="24"/>
        </w:rPr>
        <w:instrText>ADDIN CSL_CITATION {"citationItems":[{"id":"ITEM-1","itemData":{"author":[{"dropping-particle":"","family":"Sugiyono","given":"","non-dropping-particle":"","parse-names":false,"suffix":""}],"id":"ITEM-1","issued":{"date-parts":[["2021"]]},"number-of-pages":"16","publisher":"Alfabeta","publisher-place":"Bandung","title":"Metode Penelitian Kuantitatif Kuantitatif dan R&amp;D","type":"book"},"uris":["http://www.mendeley.com/documents/?uuid=bf1fef30-da88-4183-af10-448f9dcdf1de"]}],"mendeley":{"formattedCitation":"(Sugiyono, 2021)","plainTextFormattedCitation":"(Sugiyono, 2021)","previouslyFormattedCitation":"(Sugiyono, 2021)"},"properties":{"noteIndex":0},"schema":"https://github.com/citation-style-language/schema/raw/master/csl-citation.json"}</w:instrText>
      </w:r>
      <w:r w:rsidR="00BB49B8" w:rsidRPr="00096173">
        <w:rPr>
          <w:rFonts w:asciiTheme="majorBidi" w:hAnsiTheme="majorBidi" w:cstheme="majorBidi"/>
          <w:sz w:val="24"/>
          <w:szCs w:val="24"/>
          <w:rtl/>
        </w:rPr>
        <w:fldChar w:fldCharType="separate"/>
      </w:r>
      <w:r w:rsidR="00BB49B8" w:rsidRPr="00096173">
        <w:rPr>
          <w:rFonts w:asciiTheme="majorBidi" w:hAnsiTheme="majorBidi" w:cstheme="majorBidi"/>
          <w:noProof/>
          <w:sz w:val="24"/>
          <w:szCs w:val="24"/>
        </w:rPr>
        <w:t>(Sugiyono, 2021)</w:t>
      </w:r>
      <w:r w:rsidR="00BB49B8" w:rsidRPr="00096173">
        <w:rPr>
          <w:rFonts w:asciiTheme="majorBidi" w:hAnsiTheme="majorBidi" w:cstheme="majorBidi"/>
          <w:sz w:val="24"/>
          <w:szCs w:val="24"/>
          <w:rtl/>
        </w:rPr>
        <w:fldChar w:fldCharType="end"/>
      </w:r>
      <w:r w:rsidRPr="00274849">
        <w:rPr>
          <w:rFonts w:ascii="Traditional Arabic" w:hAnsi="Traditional Arabic" w:cs="Traditional Arabic"/>
          <w:color w:val="000000"/>
          <w:sz w:val="36"/>
          <w:szCs w:val="36"/>
          <w:lang w:val="id-ID"/>
        </w:rPr>
        <w:t xml:space="preserve"> </w:t>
      </w:r>
      <w:r w:rsidRPr="00274849">
        <w:rPr>
          <w:rFonts w:ascii="Traditional Arabic" w:hAnsi="Traditional Arabic" w:cs="Traditional Arabic"/>
          <w:sz w:val="36"/>
          <w:szCs w:val="36"/>
          <w:rtl/>
        </w:rPr>
        <w:t>كما تُعنى المقاربة النوعية بالمعاني، والاستدلالات، وتحديد الحالات ضمن سياقات معيّنة، وتتناول غالبًا الأمور المتعلقة بالحياة اليومية</w:t>
      </w:r>
      <w:r w:rsidRPr="00274849">
        <w:rPr>
          <w:rFonts w:ascii="Traditional Arabic" w:hAnsi="Traditional Arabic" w:cs="Traditional Arabic"/>
          <w:sz w:val="36"/>
          <w:szCs w:val="36"/>
        </w:rPr>
        <w:t xml:space="preserve"> </w:t>
      </w:r>
      <w:r w:rsidR="00BB49B8" w:rsidRPr="00096173">
        <w:rPr>
          <w:rFonts w:asciiTheme="majorBidi" w:hAnsiTheme="majorBidi" w:cstheme="majorBidi"/>
          <w:color w:val="000000"/>
          <w:sz w:val="24"/>
          <w:szCs w:val="24"/>
        </w:rPr>
        <w:fldChar w:fldCharType="begin" w:fldLock="1"/>
      </w:r>
      <w:r w:rsidR="00BB49B8" w:rsidRPr="00096173">
        <w:rPr>
          <w:rFonts w:asciiTheme="majorBidi" w:hAnsiTheme="majorBidi" w:cstheme="majorBidi"/>
          <w:color w:val="000000"/>
          <w:sz w:val="24"/>
          <w:szCs w:val="24"/>
        </w:rPr>
        <w:instrText>ADDIN CSL_CITATION {"citationItems":[{"id":"ITEM-1","itemData":{"ISBN":"9786025715341","author":[{"dropping-particle":"","family":"Rukminingsih","given":"","non-dropping-particle":"","parse-names":false,"suffix":""}],"id":"ITEM-1","issued":{"date-parts":[["2020"]]},"number-of-pages":"1-178","title":"Metode Penelitian Kuantitatif &amp; Kualitatif","type":"book"},"uris":["http://www.mendeley.com/documents/?uuid=e04b81ae-42d1-40e5-b14c-cc89b9b8d69b"]}],"mendeley":{"formattedCitation":"(Rukminingsih, 2020)","plainTextFormattedCitation":"(Rukminingsih, 2020)","previouslyFormattedCitation":"(Rukminingsih, 2020)"},"properties":{"noteIndex":0},"schema":"https://github.com/citation-style-language/schema/raw/master/csl-citation.json"}</w:instrText>
      </w:r>
      <w:r w:rsidR="00BB49B8" w:rsidRPr="00096173">
        <w:rPr>
          <w:rFonts w:asciiTheme="majorBidi" w:hAnsiTheme="majorBidi" w:cstheme="majorBidi"/>
          <w:color w:val="000000"/>
          <w:sz w:val="24"/>
          <w:szCs w:val="24"/>
        </w:rPr>
        <w:fldChar w:fldCharType="separate"/>
      </w:r>
      <w:r w:rsidR="00BB49B8" w:rsidRPr="00096173">
        <w:rPr>
          <w:rFonts w:asciiTheme="majorBidi" w:hAnsiTheme="majorBidi" w:cstheme="majorBidi"/>
          <w:noProof/>
          <w:color w:val="000000"/>
          <w:sz w:val="24"/>
          <w:szCs w:val="24"/>
        </w:rPr>
        <w:t>(Rukminingsih, 2020)</w:t>
      </w:r>
      <w:r w:rsidR="00BB49B8" w:rsidRPr="00096173">
        <w:rPr>
          <w:rFonts w:asciiTheme="majorBidi" w:hAnsiTheme="majorBidi" w:cstheme="majorBidi"/>
          <w:color w:val="000000"/>
          <w:sz w:val="24"/>
          <w:szCs w:val="24"/>
        </w:rPr>
        <w:fldChar w:fldCharType="end"/>
      </w:r>
    </w:p>
    <w:p w14:paraId="5CB396F1" w14:textId="3DD66D35" w:rsidR="008D263B" w:rsidRPr="00274849" w:rsidRDefault="008D263B"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يُنفَّذ البحث النوعي لبناء المعرفة من خلال الفهم والاكتشاف، مما يُتوقّع أن يكشف عن معلومات دقيقة وعميقة المعنى، دون أن يُهمِل المعلومات الكمية المعبَّر عنها بالأرقام. وبما أن هذا البحث يُحلِّل قدرة التلاميذ في مهارة القراءة، فإن استخدام المنهج النوعي هو الأنسب، لأنه يركّز على التحليل السردي والوصف التفصيلي المستند إلى نتائج البحث. إن البيانات التي يجمعها الباحث في هذا النوع من البحوث ليست أرقامًا، بل كلمات أو أوصاف. وتشمل هذه البيانات: الملاحظات، والمقابلات، والمذكرات الميدانية، والمستندات الشخصية، وغيرها</w:t>
      </w:r>
      <w:r w:rsidRPr="00274849">
        <w:rPr>
          <w:rFonts w:ascii="Traditional Arabic" w:hAnsi="Traditional Arabic" w:cs="Traditional Arabic"/>
          <w:sz w:val="36"/>
          <w:szCs w:val="36"/>
        </w:rPr>
        <w:t xml:space="preserve">. </w:t>
      </w:r>
    </w:p>
    <w:p w14:paraId="70B2904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٢</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المشاركون في البحث</w:t>
      </w:r>
    </w:p>
    <w:p w14:paraId="0D56409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lastRenderedPageBreak/>
        <w:tab/>
      </w:r>
      <w:r w:rsidRPr="00274849">
        <w:rPr>
          <w:rFonts w:ascii="Traditional Arabic" w:hAnsi="Traditional Arabic" w:cs="Traditional Arabic"/>
          <w:sz w:val="36"/>
          <w:szCs w:val="36"/>
          <w:rtl/>
        </w:rPr>
        <w:t xml:space="preserve"> يُطلق على المشاركين في البحث النوعي مصطلحات مثل: العينة، أو المصادر، أو المخبرين، أو شركاء البحث. ويُعتبَر المشاركون أهم من يمكنهم تقديم المعلومات التي يحتاج إليها الباحث في دراسته</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 تم تحديد المشاركين بناءً على جمع البيانات، حيث رأى الباحث أهمية وجود المخبر الرئيسي (المخبر المفتاحي) الذي يُعتبر قادرًا على تزويد الباحث بالمعلومات المهمة، وهم</w:t>
      </w:r>
      <w:r w:rsidRPr="00274849">
        <w:rPr>
          <w:rFonts w:ascii="Traditional Arabic" w:hAnsi="Traditional Arabic" w:cs="Traditional Arabic"/>
          <w:sz w:val="36"/>
          <w:szCs w:val="36"/>
        </w:rPr>
        <w:t>:</w:t>
      </w:r>
    </w:p>
    <w:p w14:paraId="06D2FF39" w14:textId="66285661" w:rsidR="008D263B" w:rsidRPr="00274849" w:rsidRDefault="008D263B" w:rsidP="00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Pr>
      </w:pPr>
      <w:r w:rsidRPr="00274849">
        <w:rPr>
          <w:rFonts w:ascii="Traditional Arabic" w:hAnsi="Traditional Arabic" w:cs="Traditional Arabic"/>
          <w:sz w:val="36"/>
          <w:szCs w:val="36"/>
          <w:rtl/>
        </w:rPr>
        <w:t>الجدول ١. المخبرون الرئيسيون</w:t>
      </w:r>
    </w:p>
    <w:tbl>
      <w:tblPr>
        <w:bidiVisual/>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3489"/>
        <w:gridCol w:w="1860"/>
        <w:gridCol w:w="1162"/>
        <w:gridCol w:w="1060"/>
        <w:gridCol w:w="1378"/>
      </w:tblGrid>
      <w:tr w:rsidR="008D263B" w:rsidRPr="00274849" w14:paraId="07D5BBF0" w14:textId="77777777" w:rsidTr="00B04A47">
        <w:tc>
          <w:tcPr>
            <w:tcW w:w="702" w:type="dxa"/>
            <w:vMerge w:val="restart"/>
            <w:vAlign w:val="center"/>
          </w:tcPr>
          <w:p w14:paraId="6795D0B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الرقم</w:t>
            </w:r>
          </w:p>
        </w:tc>
        <w:tc>
          <w:tcPr>
            <w:tcW w:w="3489" w:type="dxa"/>
            <w:vMerge w:val="restart"/>
            <w:vAlign w:val="center"/>
          </w:tcPr>
          <w:p w14:paraId="7974363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المنصب</w:t>
            </w:r>
          </w:p>
        </w:tc>
        <w:tc>
          <w:tcPr>
            <w:tcW w:w="1860" w:type="dxa"/>
            <w:vMerge w:val="restart"/>
            <w:vAlign w:val="center"/>
          </w:tcPr>
          <w:p w14:paraId="7A500DD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العمر</w:t>
            </w:r>
          </w:p>
        </w:tc>
        <w:tc>
          <w:tcPr>
            <w:tcW w:w="2222" w:type="dxa"/>
            <w:gridSpan w:val="2"/>
            <w:vAlign w:val="center"/>
          </w:tcPr>
          <w:p w14:paraId="6C2F6CF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الجنس</w:t>
            </w:r>
          </w:p>
        </w:tc>
        <w:tc>
          <w:tcPr>
            <w:tcW w:w="1378" w:type="dxa"/>
            <w:vAlign w:val="center"/>
          </w:tcPr>
          <w:p w14:paraId="7274D9D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العدد</w:t>
            </w:r>
          </w:p>
        </w:tc>
      </w:tr>
      <w:tr w:rsidR="008D263B" w:rsidRPr="00274849" w14:paraId="69AFD38C" w14:textId="77777777" w:rsidTr="00B04A47">
        <w:tc>
          <w:tcPr>
            <w:tcW w:w="702" w:type="dxa"/>
            <w:vMerge/>
          </w:tcPr>
          <w:p w14:paraId="2D97ADE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p>
        </w:tc>
        <w:tc>
          <w:tcPr>
            <w:tcW w:w="3489" w:type="dxa"/>
            <w:vMerge/>
          </w:tcPr>
          <w:p w14:paraId="2EF6FD8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p>
        </w:tc>
        <w:tc>
          <w:tcPr>
            <w:tcW w:w="1860" w:type="dxa"/>
            <w:vMerge/>
          </w:tcPr>
          <w:p w14:paraId="546863D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p>
        </w:tc>
        <w:tc>
          <w:tcPr>
            <w:tcW w:w="1162" w:type="dxa"/>
            <w:vAlign w:val="center"/>
          </w:tcPr>
          <w:p w14:paraId="43CAA2A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ذكر</w:t>
            </w:r>
          </w:p>
        </w:tc>
        <w:tc>
          <w:tcPr>
            <w:tcW w:w="1060" w:type="dxa"/>
            <w:vAlign w:val="center"/>
          </w:tcPr>
          <w:p w14:paraId="4FCF4E1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أنثى</w:t>
            </w:r>
          </w:p>
        </w:tc>
        <w:tc>
          <w:tcPr>
            <w:tcW w:w="1378" w:type="dxa"/>
          </w:tcPr>
          <w:p w14:paraId="5EF4A02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p>
        </w:tc>
      </w:tr>
      <w:tr w:rsidR="008D263B" w:rsidRPr="00274849" w14:paraId="1B94809B" w14:textId="77777777" w:rsidTr="00B04A47">
        <w:tc>
          <w:tcPr>
            <w:tcW w:w="702" w:type="dxa"/>
            <w:vAlign w:val="center"/>
          </w:tcPr>
          <w:p w14:paraId="19539F9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c>
          <w:tcPr>
            <w:tcW w:w="3489" w:type="dxa"/>
            <w:vAlign w:val="center"/>
          </w:tcPr>
          <w:p w14:paraId="381E35C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مديرة المدرسة</w:t>
            </w:r>
          </w:p>
        </w:tc>
        <w:tc>
          <w:tcPr>
            <w:tcW w:w="1860" w:type="dxa"/>
            <w:vAlign w:val="center"/>
          </w:tcPr>
          <w:p w14:paraId="7A00F50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٤٩ سنة</w:t>
            </w:r>
          </w:p>
        </w:tc>
        <w:tc>
          <w:tcPr>
            <w:tcW w:w="1162" w:type="dxa"/>
            <w:vAlign w:val="center"/>
          </w:tcPr>
          <w:p w14:paraId="11C58F3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p>
        </w:tc>
        <w:tc>
          <w:tcPr>
            <w:tcW w:w="1060" w:type="dxa"/>
            <w:vAlign w:val="center"/>
          </w:tcPr>
          <w:p w14:paraId="63144AA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c>
          <w:tcPr>
            <w:tcW w:w="1378" w:type="dxa"/>
            <w:vAlign w:val="center"/>
          </w:tcPr>
          <w:p w14:paraId="1C80FDC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r>
      <w:tr w:rsidR="008D263B" w:rsidRPr="00274849" w14:paraId="11A53C29" w14:textId="77777777" w:rsidTr="00B04A47">
        <w:tc>
          <w:tcPr>
            <w:tcW w:w="702" w:type="dxa"/>
            <w:vAlign w:val="center"/>
          </w:tcPr>
          <w:p w14:paraId="2B166E7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٢</w:t>
            </w:r>
          </w:p>
        </w:tc>
        <w:tc>
          <w:tcPr>
            <w:tcW w:w="3489" w:type="dxa"/>
            <w:vAlign w:val="center"/>
          </w:tcPr>
          <w:p w14:paraId="1698688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نائبة مديرة المدرسة للشؤون المنهجية</w:t>
            </w:r>
          </w:p>
        </w:tc>
        <w:tc>
          <w:tcPr>
            <w:tcW w:w="1860" w:type="dxa"/>
            <w:vAlign w:val="center"/>
          </w:tcPr>
          <w:p w14:paraId="6FEEDDB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٤٧ سنة</w:t>
            </w:r>
          </w:p>
        </w:tc>
        <w:tc>
          <w:tcPr>
            <w:tcW w:w="1162" w:type="dxa"/>
            <w:vAlign w:val="center"/>
          </w:tcPr>
          <w:p w14:paraId="39BC3A5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p>
        </w:tc>
        <w:tc>
          <w:tcPr>
            <w:tcW w:w="1060" w:type="dxa"/>
            <w:vAlign w:val="center"/>
          </w:tcPr>
          <w:p w14:paraId="0517613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c>
          <w:tcPr>
            <w:tcW w:w="1378" w:type="dxa"/>
            <w:vAlign w:val="center"/>
          </w:tcPr>
          <w:p w14:paraId="6CF86E1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r>
      <w:tr w:rsidR="008D263B" w:rsidRPr="00274849" w14:paraId="37313149" w14:textId="77777777" w:rsidTr="00B04A47">
        <w:tc>
          <w:tcPr>
            <w:tcW w:w="702" w:type="dxa"/>
            <w:vAlign w:val="center"/>
          </w:tcPr>
          <w:p w14:paraId="0B019A7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٣</w:t>
            </w:r>
          </w:p>
        </w:tc>
        <w:tc>
          <w:tcPr>
            <w:tcW w:w="3489" w:type="dxa"/>
            <w:vAlign w:val="center"/>
          </w:tcPr>
          <w:p w14:paraId="5790334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معلم مادة اللغة العربية</w:t>
            </w:r>
          </w:p>
        </w:tc>
        <w:tc>
          <w:tcPr>
            <w:tcW w:w="1860" w:type="dxa"/>
            <w:vAlign w:val="center"/>
          </w:tcPr>
          <w:p w14:paraId="520B24E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٥٢ سنة</w:t>
            </w:r>
          </w:p>
        </w:tc>
        <w:tc>
          <w:tcPr>
            <w:tcW w:w="1162" w:type="dxa"/>
            <w:vAlign w:val="center"/>
          </w:tcPr>
          <w:p w14:paraId="10934EB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c>
          <w:tcPr>
            <w:tcW w:w="1060" w:type="dxa"/>
            <w:vAlign w:val="center"/>
          </w:tcPr>
          <w:p w14:paraId="7E3EAC8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p>
        </w:tc>
        <w:tc>
          <w:tcPr>
            <w:tcW w:w="1378" w:type="dxa"/>
            <w:vAlign w:val="center"/>
          </w:tcPr>
          <w:p w14:paraId="456E654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w:t>
            </w:r>
          </w:p>
        </w:tc>
      </w:tr>
      <w:tr w:rsidR="008D263B" w:rsidRPr="00274849" w14:paraId="3048989E" w14:textId="77777777" w:rsidTr="00B04A47">
        <w:tc>
          <w:tcPr>
            <w:tcW w:w="702" w:type="dxa"/>
            <w:vAlign w:val="center"/>
          </w:tcPr>
          <w:p w14:paraId="753C9016" w14:textId="77777777" w:rsidR="008D263B" w:rsidRPr="00274849" w:rsidRDefault="008D263B" w:rsidP="00274849">
            <w:pPr>
              <w:spacing w:before="100" w:beforeAutospacing="1" w:after="100" w:afterAutospacing="1" w:line="276" w:lineRule="auto"/>
              <w:jc w:val="center"/>
              <w:rPr>
                <w:rFonts w:ascii="Traditional Arabic" w:hAnsi="Traditional Arabic" w:cs="Traditional Arabic"/>
                <w:sz w:val="36"/>
                <w:szCs w:val="36"/>
                <w:rtl/>
                <w:lang w:val="en-ID" w:eastAsia="en-ID"/>
              </w:rPr>
            </w:pPr>
            <w:r w:rsidRPr="00274849">
              <w:rPr>
                <w:rFonts w:ascii="Traditional Arabic" w:hAnsi="Traditional Arabic" w:cs="Traditional Arabic"/>
                <w:sz w:val="36"/>
                <w:szCs w:val="36"/>
                <w:rtl/>
                <w:lang w:val="en-ID" w:eastAsia="en-ID"/>
              </w:rPr>
              <w:t>٤</w:t>
            </w:r>
          </w:p>
        </w:tc>
        <w:tc>
          <w:tcPr>
            <w:tcW w:w="3489" w:type="dxa"/>
            <w:vAlign w:val="center"/>
          </w:tcPr>
          <w:p w14:paraId="2F70A2A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الطلاب</w:t>
            </w:r>
          </w:p>
        </w:tc>
        <w:tc>
          <w:tcPr>
            <w:tcW w:w="1860" w:type="dxa"/>
            <w:vAlign w:val="center"/>
          </w:tcPr>
          <w:p w14:paraId="0F1C30C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١٤</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١٥</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سنة</w:t>
            </w:r>
          </w:p>
        </w:tc>
        <w:tc>
          <w:tcPr>
            <w:tcW w:w="1162" w:type="dxa"/>
            <w:vAlign w:val="center"/>
          </w:tcPr>
          <w:p w14:paraId="47888C9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١٠</w:t>
            </w:r>
          </w:p>
        </w:tc>
        <w:tc>
          <w:tcPr>
            <w:tcW w:w="1060" w:type="dxa"/>
            <w:vAlign w:val="center"/>
          </w:tcPr>
          <w:p w14:paraId="5C86B3E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١١</w:t>
            </w:r>
          </w:p>
        </w:tc>
        <w:tc>
          <w:tcPr>
            <w:tcW w:w="1378" w:type="dxa"/>
            <w:vAlign w:val="center"/>
          </w:tcPr>
          <w:p w14:paraId="36B09B7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٢١</w:t>
            </w:r>
          </w:p>
        </w:tc>
      </w:tr>
      <w:tr w:rsidR="008D263B" w:rsidRPr="00274849" w14:paraId="470CD05F" w14:textId="77777777" w:rsidTr="00B04A47">
        <w:tc>
          <w:tcPr>
            <w:tcW w:w="702" w:type="dxa"/>
          </w:tcPr>
          <w:p w14:paraId="6C13B95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tl/>
              </w:rPr>
            </w:pPr>
          </w:p>
        </w:tc>
        <w:tc>
          <w:tcPr>
            <w:tcW w:w="3489" w:type="dxa"/>
            <w:vAlign w:val="center"/>
          </w:tcPr>
          <w:p w14:paraId="4BB9430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المجموع</w:t>
            </w:r>
          </w:p>
        </w:tc>
        <w:tc>
          <w:tcPr>
            <w:tcW w:w="1860" w:type="dxa"/>
            <w:vAlign w:val="center"/>
          </w:tcPr>
          <w:p w14:paraId="1D4E0F7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p>
        </w:tc>
        <w:tc>
          <w:tcPr>
            <w:tcW w:w="1162" w:type="dxa"/>
            <w:vAlign w:val="center"/>
          </w:tcPr>
          <w:p w14:paraId="56B4BFA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١١</w:t>
            </w:r>
          </w:p>
        </w:tc>
        <w:tc>
          <w:tcPr>
            <w:tcW w:w="1060" w:type="dxa"/>
            <w:vAlign w:val="center"/>
          </w:tcPr>
          <w:p w14:paraId="6F28EE3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١٣</w:t>
            </w:r>
          </w:p>
        </w:tc>
        <w:tc>
          <w:tcPr>
            <w:tcW w:w="1378" w:type="dxa"/>
            <w:vAlign w:val="center"/>
          </w:tcPr>
          <w:p w14:paraId="1048771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ascii="Traditional Arabic" w:hAnsi="Traditional Arabic" w:cs="Traditional Arabic"/>
                <w:sz w:val="36"/>
                <w:szCs w:val="36"/>
                <w:rtl/>
              </w:rPr>
            </w:pP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rtl/>
                <w:lang w:val="en-ID" w:eastAsia="en-ID"/>
              </w:rPr>
              <w:t>٤</w:t>
            </w:r>
          </w:p>
        </w:tc>
      </w:tr>
    </w:tbl>
    <w:p w14:paraId="657057E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1600102C" w14:textId="67566A1F"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en-ID" w:eastAsia="en-ID"/>
        </w:rPr>
      </w:pPr>
      <w:r w:rsidRPr="00274849">
        <w:rPr>
          <w:rFonts w:ascii="Traditional Arabic" w:hAnsi="Traditional Arabic" w:cs="Traditional Arabic"/>
          <w:sz w:val="36"/>
          <w:szCs w:val="36"/>
          <w:rtl/>
        </w:rPr>
        <w:t xml:space="preserve"> </w:t>
      </w:r>
      <w:r w:rsidRPr="00274849">
        <w:rPr>
          <w:rFonts w:ascii="Traditional Arabic" w:hAnsi="Traditional Arabic" w:cs="Traditional Arabic"/>
          <w:sz w:val="36"/>
          <w:szCs w:val="36"/>
        </w:rPr>
        <w:tab/>
      </w:r>
      <w:bookmarkStart w:id="1" w:name="_Hlk204288737"/>
      <w:bookmarkStart w:id="2" w:name="_Hlk204288806"/>
      <w:r w:rsidRPr="00274849">
        <w:rPr>
          <w:rFonts w:ascii="Traditional Arabic" w:hAnsi="Traditional Arabic" w:cs="Traditional Arabic"/>
          <w:sz w:val="36"/>
          <w:szCs w:val="36"/>
          <w:rtl/>
        </w:rPr>
        <w:t>يمكن أخذ جميع أفراد المجتمع الإحصائي كمصدر للبيانات، ويُطلق عليهم عينة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 xml:space="preserve"> </w:t>
      </w:r>
      <w:r w:rsidR="001146EF" w:rsidRPr="00E26787">
        <w:rPr>
          <w:rStyle w:val="FootnoteReference"/>
          <w:rFonts w:asciiTheme="majorBidi" w:hAnsiTheme="majorBidi" w:cstheme="majorBidi"/>
          <w:sz w:val="24"/>
          <w:szCs w:val="24"/>
          <w:lang w:val="id-ID"/>
        </w:rPr>
        <w:fldChar w:fldCharType="begin" w:fldLock="1"/>
      </w:r>
      <w:r w:rsidR="00F5247D" w:rsidRPr="00E26787">
        <w:rPr>
          <w:rFonts w:asciiTheme="majorBidi" w:hAnsiTheme="majorBidi" w:cstheme="majorBidi"/>
          <w:sz w:val="24"/>
          <w:szCs w:val="24"/>
          <w:lang w:val="id-ID"/>
        </w:rPr>
        <w:instrText>ADDIN CSL_CITATION {"citationItems":[{"id":"ITEM-1","itemData":{"author":[{"dropping-particle":"","family":"Adhi Kusumastuti","given":"Ahmad Mustamil Khoiron","non-dropping-particle":"","parse-names":false,"suffix":""}],"container-title":"Universitas Negeri Semarang","id":"ITEM-1","issued":{"date-parts":[["2020"]]},"title":"Merancang Penelitian Kualitatif: Dasar, Deskriptif dan Studi Kasus","type":"article-newspaper"},"uris":["http://www.mendeley.com/documents/?uuid=03fb4182-b517-4c53-992c-74c0188c2203","http://www.mendeley.com/documents/?uuid=e731db39-7e08-45f2-8a6c-7c95e10a4a1b"]}],"mendeley":{"formattedCitation":"(Adhi Kusumastuti, 2020)","plainTextFormattedCitation":"(Adhi Kusumastuti, 2020)","previouslyFormattedCitation":"(Adhi Kusumastuti, 2020)"},"properties":{"noteIndex":0},"schema":"https://github.com/citation-style-language/schema/raw/master/csl-citation.json"}</w:instrText>
      </w:r>
      <w:r w:rsidR="001146EF" w:rsidRPr="00E26787">
        <w:rPr>
          <w:rStyle w:val="FootnoteReference"/>
          <w:rFonts w:asciiTheme="majorBidi" w:hAnsiTheme="majorBidi" w:cstheme="majorBidi"/>
          <w:sz w:val="24"/>
          <w:szCs w:val="24"/>
          <w:lang w:val="id-ID"/>
        </w:rPr>
        <w:fldChar w:fldCharType="separate"/>
      </w:r>
      <w:r w:rsidR="001146EF" w:rsidRPr="00E26787">
        <w:rPr>
          <w:rFonts w:asciiTheme="majorBidi" w:hAnsiTheme="majorBidi" w:cstheme="majorBidi"/>
          <w:noProof/>
          <w:sz w:val="24"/>
          <w:szCs w:val="24"/>
          <w:lang w:val="id-ID"/>
        </w:rPr>
        <w:t>(Adhi Kusumastuti, 2020)</w:t>
      </w:r>
      <w:r w:rsidR="001146EF" w:rsidRPr="00E26787">
        <w:rPr>
          <w:rStyle w:val="FootnoteReference"/>
          <w:rFonts w:asciiTheme="majorBidi" w:hAnsiTheme="majorBidi" w:cstheme="majorBidi"/>
          <w:sz w:val="24"/>
          <w:szCs w:val="24"/>
          <w:lang w:val="id-ID"/>
        </w:rPr>
        <w:fldChar w:fldCharType="end"/>
      </w:r>
      <w:r w:rsidRPr="00E26787">
        <w:rPr>
          <w:rFonts w:asciiTheme="majorBidi" w:hAnsiTheme="majorBidi" w:cstheme="majorBidi"/>
          <w:sz w:val="24"/>
          <w:szCs w:val="24"/>
          <w:lang w:val="id-ID"/>
        </w:rPr>
        <w:t xml:space="preserve"> </w:t>
      </w:r>
      <w:r w:rsidRPr="00274849">
        <w:rPr>
          <w:rFonts w:ascii="Traditional Arabic" w:hAnsi="Traditional Arabic" w:cs="Traditional Arabic"/>
          <w:sz w:val="36"/>
          <w:szCs w:val="36"/>
          <w:rtl/>
          <w:lang w:val="en-ID" w:eastAsia="en-ID"/>
        </w:rPr>
        <w:t xml:space="preserve">يتكوّن جميع أفراد العينة في هذا البحث من ٣٦ طالبًا </w:t>
      </w:r>
      <w:bookmarkEnd w:id="1"/>
      <w:r w:rsidRPr="00274849">
        <w:rPr>
          <w:rFonts w:ascii="Traditional Arabic" w:hAnsi="Traditional Arabic" w:cs="Traditional Arabic"/>
          <w:sz w:val="36"/>
          <w:szCs w:val="36"/>
          <w:rtl/>
          <w:lang w:val="en-ID" w:eastAsia="en-ID"/>
        </w:rPr>
        <w:t>من طلاب الصف التاسع بمدرسة متوسطة علي عمران، بالإضافة إلى ٣ من المعلمين. وقد تم اعتمادهم جميعًا كعينة للدراسة بهدف الحصول على بيانات أكثر دقة</w:t>
      </w:r>
      <w:r w:rsidRPr="00274849">
        <w:rPr>
          <w:rFonts w:ascii="Traditional Arabic" w:hAnsi="Traditional Arabic" w:cs="Traditional Arabic"/>
          <w:sz w:val="36"/>
          <w:szCs w:val="36"/>
          <w:lang w:val="en-ID" w:eastAsia="en-ID"/>
        </w:rPr>
        <w:t>.</w:t>
      </w:r>
      <w:bookmarkEnd w:id="2"/>
    </w:p>
    <w:p w14:paraId="1B79229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٣</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جمع البيانات</w:t>
      </w:r>
    </w:p>
    <w:p w14:paraId="11306342" w14:textId="1BEA8A36" w:rsidR="008D263B" w:rsidRPr="00E26787"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heme="majorBidi" w:hAnsiTheme="majorBidi" w:cstheme="majorBidi"/>
          <w:sz w:val="24"/>
          <w:szCs w:val="24"/>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تتمثل خطوات الملاحظة في تحديد موقع البحث، وهي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ورسم خريطة عامة لأهداف البحث، وتحديد الأشخاص الذين ستتم ملاحظتهم وإجراء مقابلات معهم</w:t>
      </w:r>
      <w:r w:rsidRPr="00274849">
        <w:rPr>
          <w:rFonts w:ascii="Traditional Arabic" w:hAnsi="Traditional Arabic" w:cs="Traditional Arabic"/>
          <w:sz w:val="36"/>
          <w:szCs w:val="36"/>
          <w:lang w:val="id-ID"/>
        </w:rPr>
        <w:t xml:space="preserve">  </w:t>
      </w:r>
      <w:r w:rsidR="001146EF" w:rsidRPr="00E26787">
        <w:rPr>
          <w:rStyle w:val="FootnoteReference"/>
          <w:rFonts w:asciiTheme="majorBidi" w:hAnsiTheme="majorBidi" w:cstheme="majorBidi"/>
          <w:sz w:val="24"/>
          <w:szCs w:val="24"/>
          <w:lang w:val="id-ID"/>
        </w:rPr>
        <w:fldChar w:fldCharType="begin" w:fldLock="1"/>
      </w:r>
      <w:r w:rsidR="00F5247D" w:rsidRPr="00E26787">
        <w:rPr>
          <w:rFonts w:asciiTheme="majorBidi" w:hAnsiTheme="majorBidi" w:cstheme="majorBidi"/>
          <w:sz w:val="24"/>
          <w:szCs w:val="24"/>
          <w:lang w:val="id-ID"/>
        </w:rPr>
        <w:instrText>ADDIN CSL_CITATION {"citationItems":[{"id":"ITEM-1","itemData":{"author":[{"dropping-particle":"","family":"Umar Sidiq","given":"Moh. Miftachul Choiri","non-dropping-particle":"","parse-names":false,"suffix":""}],"id":"ITEM-1","issued":{"date-parts":[["2019"]]},"title":"Metode Penelitian Kualitatif di Bidang Pendidikan","type":"article-journal"},"uris":["http://www.mendeley.com/documents/?uuid=4412e7d2-0476-4b17-a7d2-ef8c54bc923c","http://www.mendeley.com/documents/?uuid=43c1a8f7-9c7d-4a06-936d-9a6d67f2e6aa"]}],"mendeley":{"formattedCitation":"(Umar Sidiq, 2019)","plainTextFormattedCitation":"(Umar Sidiq, 2019)","previouslyFormattedCitation":"(Umar Sidiq, 2019)"},"properties":{"noteIndex":0},"schema":"https://github.com/citation-style-language/schema/raw/master/csl-citation.json"}</w:instrText>
      </w:r>
      <w:r w:rsidR="001146EF" w:rsidRPr="00E26787">
        <w:rPr>
          <w:rStyle w:val="FootnoteReference"/>
          <w:rFonts w:asciiTheme="majorBidi" w:hAnsiTheme="majorBidi" w:cstheme="majorBidi"/>
          <w:sz w:val="24"/>
          <w:szCs w:val="24"/>
          <w:lang w:val="id-ID"/>
        </w:rPr>
        <w:fldChar w:fldCharType="separate"/>
      </w:r>
      <w:r w:rsidR="001146EF" w:rsidRPr="00E26787">
        <w:rPr>
          <w:rFonts w:asciiTheme="majorBidi" w:hAnsiTheme="majorBidi" w:cstheme="majorBidi"/>
          <w:noProof/>
          <w:sz w:val="24"/>
          <w:szCs w:val="24"/>
          <w:lang w:val="id-ID"/>
        </w:rPr>
        <w:t>(Umar Sidiq, 2019)</w:t>
      </w:r>
      <w:r w:rsidR="001146EF" w:rsidRPr="00E26787">
        <w:rPr>
          <w:rStyle w:val="FootnoteReference"/>
          <w:rFonts w:asciiTheme="majorBidi" w:hAnsiTheme="majorBidi" w:cstheme="majorBidi"/>
          <w:sz w:val="24"/>
          <w:szCs w:val="24"/>
          <w:lang w:val="id-ID"/>
        </w:rPr>
        <w:fldChar w:fldCharType="end"/>
      </w:r>
      <w:r w:rsidRPr="00E26787">
        <w:rPr>
          <w:rFonts w:asciiTheme="majorBidi" w:hAnsiTheme="majorBidi" w:cstheme="majorBidi"/>
          <w:sz w:val="24"/>
          <w:szCs w:val="24"/>
          <w:lang w:val="id-ID"/>
        </w:rPr>
        <w:t xml:space="preserve">  .</w:t>
      </w:r>
    </w:p>
    <w:p w14:paraId="085C862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 المقابلة</w:t>
      </w:r>
      <w:r w:rsidRPr="00274849">
        <w:rPr>
          <w:rFonts w:ascii="Traditional Arabic" w:hAnsi="Traditional Arabic" w:cs="Traditional Arabic"/>
          <w:sz w:val="36"/>
          <w:szCs w:val="36"/>
        </w:rPr>
        <w:t>:</w:t>
      </w:r>
    </w:p>
    <w:p w14:paraId="6092B82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lastRenderedPageBreak/>
        <w:tab/>
      </w:r>
      <w:r w:rsidRPr="00274849">
        <w:rPr>
          <w:rFonts w:ascii="Traditional Arabic" w:hAnsi="Traditional Arabic" w:cs="Traditional Arabic"/>
          <w:sz w:val="36"/>
          <w:szCs w:val="36"/>
          <w:rtl/>
        </w:rPr>
        <w:t xml:space="preserve">تم إجراء المقابلات مع مدير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ونائب المدير للشؤون الأكاديمية، ومعلم اللغة العربية، و٣٦ تلميذًا من الصف التاسع</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xml:space="preserve">وقد استُخدم أداة المقابلة للكشف عن مستوى مهارة القراءة لدى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ومدى استخدام أساليب/نظريات تعليم اللغة العربية لغير الناطقين بها، وذلك من خلال المؤشرات التالية: "الطلاقة في قراءة القرآن الكريم، وقراءة النصوص العربية، وفهم معاني النصوص، واستخدام أساليب/نظريات تعليم مهارة القراءة"، وذلك عبر الأسئلة التالية</w:t>
      </w:r>
      <w:r w:rsidRPr="00274849">
        <w:rPr>
          <w:rFonts w:ascii="Traditional Arabic" w:hAnsi="Traditional Arabic" w:cs="Traditional Arabic"/>
          <w:sz w:val="36"/>
          <w:szCs w:val="36"/>
        </w:rPr>
        <w:t>:</w:t>
      </w:r>
    </w:p>
    <w:p w14:paraId="77B0201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tl/>
        </w:rPr>
        <w:t>١</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هل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يقرؤون القرآن الكريم بطلاقة؟</w:t>
      </w:r>
      <w:r w:rsidRPr="00274849">
        <w:rPr>
          <w:rFonts w:ascii="Traditional Arabic" w:hAnsi="Traditional Arabic" w:cs="Traditional Arabic"/>
          <w:sz w:val="36"/>
          <w:szCs w:val="36"/>
          <w:lang w:val="id-ID"/>
        </w:rPr>
        <w:t xml:space="preserve"> </w:t>
      </w:r>
    </w:p>
    <w:p w14:paraId="3ACBDD5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هل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يقرؤون النصوص العربية بطلاقة؟</w:t>
      </w:r>
    </w:p>
    <w:p w14:paraId="39F7E58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٣</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 xml:space="preserve">هل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قادرون على فهم النصوص العربية؟</w:t>
      </w:r>
    </w:p>
    <w:p w14:paraId="762CE3A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٤</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هل تستخدم المدرسة أسلوبًا معينًا في تعليم اللغة العربية؟</w:t>
      </w:r>
    </w:p>
    <w:p w14:paraId="33264A5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٥</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ما الأسلوب الذي يستخدمه معلم اللغة العربية في تعليم مهارة القراءة؟</w:t>
      </w:r>
    </w:p>
    <w:p w14:paraId="5EFDFEB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٦</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ما العقبات التي يواجهها المعلم في تدريس مهارة القراءة؟</w:t>
      </w:r>
    </w:p>
    <w:p w14:paraId="51224F0F"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الملاحظة</w:t>
      </w:r>
      <w:r w:rsidRPr="00274849">
        <w:rPr>
          <w:rFonts w:ascii="Traditional Arabic" w:hAnsi="Traditional Arabic" w:cs="Traditional Arabic"/>
          <w:sz w:val="36"/>
          <w:szCs w:val="36"/>
        </w:rPr>
        <w:t>:</w:t>
      </w:r>
    </w:p>
    <w:p w14:paraId="2C3FC758" w14:textId="18A7AFFD"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تُجرى الملاحظة أثناء بدء تنفيذ البحث في موقع الدراسة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أما أداة الملاحظة فتُستخدم للكشف عن استخدام الأساليب/النظريات التعليمية من خلال المؤشرات التالية: "تنفيذ التعليم، واستخدام كتاب التمارين، واستخدام الوسائل التعليمية"، من خلال الأسئلة التالية</w:t>
      </w:r>
      <w:r w:rsidRPr="00274849">
        <w:rPr>
          <w:rFonts w:ascii="Traditional Arabic" w:hAnsi="Traditional Arabic" w:cs="Traditional Arabic"/>
          <w:sz w:val="36"/>
          <w:szCs w:val="36"/>
        </w:rPr>
        <w:t>:</w:t>
      </w:r>
    </w:p>
    <w:p w14:paraId="25CF4D1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١</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xml:space="preserve">هل يحب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قراءة القرآن الكريم؟</w:t>
      </w:r>
    </w:p>
    <w:p w14:paraId="1CCD483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xml:space="preserve">هل يحب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قراءة النصوص العربية؟</w:t>
      </w:r>
    </w:p>
    <w:p w14:paraId="0A575BA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٣</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xml:space="preserve">هل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قادرون على فهم النصوص العربية؟</w:t>
      </w:r>
    </w:p>
    <w:p w14:paraId="546456C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٤</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هل تعتبر مادة اللغة العربية/مهارة القراءة مادة صعبة؟</w:t>
      </w:r>
    </w:p>
    <w:p w14:paraId="28612DB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٥</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ما الأسلوب الذي يستخدمه معلم اللغة العربية في تعليم مهارة القراءة؟</w:t>
      </w:r>
    </w:p>
    <w:p w14:paraId="3322914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٦</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ما العقبات التي يواجهها المعلم في تعليم مهارة القراءة؟</w:t>
      </w:r>
    </w:p>
    <w:p w14:paraId="502C308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٧</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هل سيحب الطلاب مادة اللغة العربية إذا تم تقديمها بأسلوب يفضلونه؟</w:t>
      </w:r>
    </w:p>
    <w:p w14:paraId="4A4F704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٨</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ما الأسلوب الذي يفضّله الطلاب؟</w:t>
      </w:r>
    </w:p>
    <w:p w14:paraId="64944D6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التوثيق</w:t>
      </w:r>
      <w:r w:rsidRPr="00274849">
        <w:rPr>
          <w:rFonts w:ascii="Traditional Arabic" w:hAnsi="Traditional Arabic" w:cs="Traditional Arabic"/>
          <w:sz w:val="36"/>
          <w:szCs w:val="36"/>
        </w:rPr>
        <w:t>:</w:t>
      </w:r>
    </w:p>
    <w:p w14:paraId="286B60C9" w14:textId="62AC2F92"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سيتم جمع كل الوثائق والأرشيفات والبيانات والمستندات الأخرى ذات الصلة لتكون أساسًا في اتخاذ القرارات</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وتشمل الأدوات المستخدمة في جمع البيانات ما يلي</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١</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دليل التوثيق الذي يتضمن الخطوط العريضة وفئات البيانات المطلوبة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قائمة مراجعة للبيانات المطلوبة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أما الوثائق المطلوبة فتشمل: الصور، نبذة عن المدرسة وتاريخها، خلفية تدريس اللغة العربية، المنهج/الخطة الدراسية، كتاب</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قوائم الحضور، ونتائج الامتحانات</w:t>
      </w:r>
      <w:r w:rsidRPr="00274849">
        <w:rPr>
          <w:rFonts w:ascii="Traditional Arabic" w:hAnsi="Traditional Arabic" w:cs="Traditional Arabic"/>
          <w:sz w:val="36"/>
          <w:szCs w:val="36"/>
        </w:rPr>
        <w:t>.</w:t>
      </w:r>
    </w:p>
    <w:p w14:paraId="79390A96" w14:textId="02A9E1E3"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lang w:val="id-ID"/>
        </w:rPr>
        <w:tab/>
      </w:r>
      <w:r w:rsidRPr="00274849">
        <w:rPr>
          <w:rFonts w:ascii="Traditional Arabic" w:hAnsi="Traditional Arabic" w:cs="Traditional Arabic"/>
          <w:sz w:val="36"/>
          <w:szCs w:val="36"/>
          <w:rtl/>
        </w:rPr>
        <w:t>تركّز المقابلات والملاحظات والتوثيق على الإجابة عن الأسئلة البحثية التالية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أ. قياس مدى حبّ الطلاب للغة العربية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ب. قياس مستوى مهارة القراءة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ج. قياس مدى فعالية أساليب تعليم اللغة العربية</w:t>
      </w:r>
      <w:r w:rsidRPr="00274849">
        <w:rPr>
          <w:rFonts w:ascii="Traditional Arabic" w:hAnsi="Traditional Arabic" w:cs="Traditional Arabic"/>
          <w:sz w:val="36"/>
          <w:szCs w:val="36"/>
        </w:rPr>
        <w:t>.</w:t>
      </w:r>
    </w:p>
    <w:p w14:paraId="1C581E4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b/>
          <w:bCs/>
          <w:sz w:val="36"/>
          <w:szCs w:val="36"/>
          <w:rtl/>
          <w:lang w:val="id-ID"/>
        </w:rPr>
        <w:t>٤</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lang w:val="id-ID"/>
        </w:rPr>
        <w:t>تحليل البيانات</w:t>
      </w:r>
    </w:p>
    <w:p w14:paraId="7B8E079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b/>
          <w:bCs/>
          <w:sz w:val="36"/>
          <w:szCs w:val="36"/>
          <w:lang w:val="id-ID"/>
        </w:rPr>
        <w:tab/>
      </w:r>
      <w:r w:rsidRPr="00274849">
        <w:rPr>
          <w:rFonts w:ascii="Traditional Arabic" w:hAnsi="Traditional Arabic" w:cs="Traditional Arabic"/>
          <w:sz w:val="36"/>
          <w:szCs w:val="36"/>
          <w:rtl/>
        </w:rPr>
        <w:t>ضمان صحة البيانات، تم التحقق من موثوقية البيانات التي تم جمعها، والتأكد من أنّ المخبرين هم فعلاً مصادر مناسبة يمكنهم تقديم أفضل المعلومات لضمان جودة البحث</w:t>
      </w:r>
      <w:r w:rsidRPr="00274849">
        <w:rPr>
          <w:rFonts w:ascii="Traditional Arabic" w:hAnsi="Traditional Arabic" w:cs="Traditional Arabic"/>
          <w:sz w:val="36"/>
          <w:szCs w:val="36"/>
        </w:rPr>
        <w:t>.</w:t>
      </w:r>
    </w:p>
    <w:p w14:paraId="12C72E57" w14:textId="07B8D94A" w:rsidR="008D263B" w:rsidRPr="00E26787"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heme="majorBidi" w:hAnsiTheme="majorBidi" w:cstheme="majorBidi"/>
          <w:sz w:val="24"/>
          <w:szCs w:val="24"/>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يعتمد تحليل البيانات في هذا البحث على نموذج، الذي يتضمّن خطوات منهجية تشمل: تقليص البيانات</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 عرض البيانات</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واستخلاص/التحقق من الاستنتاجات</w:t>
      </w:r>
      <w:r w:rsidRPr="00274849">
        <w:rPr>
          <w:rFonts w:ascii="Traditional Arabic" w:hAnsi="Traditional Arabic" w:cs="Traditional Arabic"/>
          <w:sz w:val="36"/>
          <w:szCs w:val="36"/>
        </w:rPr>
        <w:t xml:space="preserve"> </w:t>
      </w:r>
      <w:r w:rsidR="00E26787" w:rsidRPr="00E26787">
        <w:rPr>
          <w:rStyle w:val="FootnoteReference"/>
          <w:rFonts w:asciiTheme="majorBidi" w:hAnsiTheme="majorBidi" w:cstheme="majorBidi"/>
          <w:sz w:val="24"/>
          <w:szCs w:val="24"/>
          <w:rtl/>
        </w:rPr>
        <w:fldChar w:fldCharType="begin" w:fldLock="1"/>
      </w:r>
      <w:r w:rsidR="00E26787" w:rsidRPr="00E26787">
        <w:rPr>
          <w:rFonts w:asciiTheme="majorBidi" w:hAnsiTheme="majorBidi" w:cstheme="majorBidi"/>
          <w:sz w:val="24"/>
          <w:szCs w:val="24"/>
        </w:rPr>
        <w:instrText>ADDIN CSL_CITATION {"citationItems":[{"id":"ITEM-1","itemData":{"author":[{"dropping-particle":"","family":"Umar Sidiq","given":"Moh. Miftachul Choiri","non-dropping-particle":"","parse-names":false,"suffix":""}],"id":"ITEM-1","issued":{"date-parts":[["2019"]]},"title":"Metode Penelitian Kualitatif di Bidang Pendidikan","type":"article-journal"},"uris":["http://www.mendeley.com/documents/?uuid=43c1a8f7-9c7d-4a06-936d-9a6d67f2e6aa","http://www.mendeley.com/documents/?uuid=4412e7d2-0476-4b17-a7d2-ef8c54bc923c"]}],"mendeley":{"formattedCitation":"(Umar Sidiq, 2019)","plainTextFormattedCitation":"(Umar Sidiq, 2019)","previouslyFormattedCitation":"(Umar Sidiq, 2019)"},"properties":{"noteIndex":0},"schema":"https://github.com/citation-style-language/schema/raw/master/csl-citation.json"}</w:instrText>
      </w:r>
      <w:r w:rsidR="00E26787" w:rsidRPr="00E26787">
        <w:rPr>
          <w:rStyle w:val="FootnoteReference"/>
          <w:rFonts w:asciiTheme="majorBidi" w:hAnsiTheme="majorBidi" w:cstheme="majorBidi"/>
          <w:sz w:val="24"/>
          <w:szCs w:val="24"/>
          <w:rtl/>
        </w:rPr>
        <w:fldChar w:fldCharType="separate"/>
      </w:r>
      <w:r w:rsidR="00E26787" w:rsidRPr="00E26787">
        <w:rPr>
          <w:rFonts w:asciiTheme="majorBidi" w:hAnsiTheme="majorBidi" w:cstheme="majorBidi"/>
          <w:noProof/>
          <w:sz w:val="24"/>
          <w:szCs w:val="24"/>
        </w:rPr>
        <w:t>(Umar Sidiq, 2019)</w:t>
      </w:r>
      <w:r w:rsidR="00E26787" w:rsidRPr="00E26787">
        <w:rPr>
          <w:rStyle w:val="FootnoteReference"/>
          <w:rFonts w:asciiTheme="majorBidi" w:hAnsiTheme="majorBidi" w:cstheme="majorBidi"/>
          <w:sz w:val="24"/>
          <w:szCs w:val="24"/>
          <w:rtl/>
        </w:rPr>
        <w:fldChar w:fldCharType="end"/>
      </w:r>
    </w:p>
    <w:p w14:paraId="6246C48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وتتمثل خطوات تحليل البيانات في هذا البحث فيما يلي</w:t>
      </w:r>
      <w:r w:rsidRPr="00274849">
        <w:rPr>
          <w:rFonts w:ascii="Traditional Arabic" w:hAnsi="Traditional Arabic" w:cs="Traditional Arabic"/>
          <w:sz w:val="36"/>
          <w:szCs w:val="36"/>
        </w:rPr>
        <w:t>:</w:t>
      </w:r>
    </w:p>
    <w:p w14:paraId="4FED8EC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 التحليل قبل النزول إلى الميدان</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استنادًا إلى نتائج الملاحظة الأولية التي أجراها الباحث قبل تنفيذ البحث، تم الحصول على بعض البيانات الأولية المتعلقة بموضوع الدراسة</w:t>
      </w:r>
      <w:r w:rsidRPr="00274849">
        <w:rPr>
          <w:rFonts w:ascii="Traditional Arabic" w:hAnsi="Traditional Arabic" w:cs="Traditional Arabic"/>
          <w:sz w:val="36"/>
          <w:szCs w:val="36"/>
        </w:rPr>
        <w:t>.</w:t>
      </w:r>
    </w:p>
    <w:p w14:paraId="678A990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تحليل البيانات في الميدان</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يقوم الباحث بجمع البيانات من خلال المقابلات والملاحظات والتوثيق</w:t>
      </w:r>
      <w:r w:rsidRPr="00274849">
        <w:rPr>
          <w:rFonts w:ascii="Traditional Arabic" w:hAnsi="Traditional Arabic" w:cs="Traditional Arabic"/>
          <w:sz w:val="36"/>
          <w:szCs w:val="36"/>
        </w:rPr>
        <w:t>.</w:t>
      </w:r>
    </w:p>
    <w:p w14:paraId="4B1D27E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تقليص البيانات (اختزالها)</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نظرًا لكثرة وتنوّع البيانات التي تم جمعها من الميدان، قام الباحث بتلخيصها، واختيار العناصر الأساسية، والتركيز على الأمور المهمّة. وبهذا، فإن البيانات المختزلة ستوفّر صورة أوضح، وتسهّل على الباحث الانتقال إلى المراحل التالية</w:t>
      </w:r>
      <w:r w:rsidRPr="00274849">
        <w:rPr>
          <w:rFonts w:ascii="Traditional Arabic" w:hAnsi="Traditional Arabic" w:cs="Traditional Arabic"/>
          <w:sz w:val="36"/>
          <w:szCs w:val="36"/>
        </w:rPr>
        <w:t>.</w:t>
      </w:r>
    </w:p>
    <w:p w14:paraId="3891005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د. عرض البيانات</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يُعرض المحتوى البياني من خلال شروحات مختصرة، أو مخططات، أو علاقات بين الفئات، في شكل نصوص سردية</w:t>
      </w:r>
      <w:r w:rsidRPr="00274849">
        <w:rPr>
          <w:rFonts w:ascii="Traditional Arabic" w:hAnsi="Traditional Arabic" w:cs="Traditional Arabic"/>
          <w:sz w:val="36"/>
          <w:szCs w:val="36"/>
        </w:rPr>
        <w:t>.</w:t>
      </w:r>
    </w:p>
    <w:p w14:paraId="45D632A2" w14:textId="59749970"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tl/>
        </w:rPr>
        <w:t>هـ. استخلاص النتائج/التحقق منها</w:t>
      </w: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الخطوة التالية هي استخلاص النتائج والتحقق منها. وغالبًا ما تكون النتائج الأولية مؤقتة، ولكن إذا كانت هذه النتائج مدعومة بأدلّة قوية ومتسقة حصل عليها الباحث من الميدان، فإن الاستنتاجات التي يتم التوصل إليها تُعد موثوقة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 xml:space="preserve">  </w:t>
      </w:r>
      <w:r w:rsidR="001146EF" w:rsidRPr="00E26787">
        <w:rPr>
          <w:rStyle w:val="FootnoteReference"/>
          <w:rFonts w:asciiTheme="majorBidi" w:hAnsiTheme="majorBidi" w:cstheme="majorBidi"/>
          <w:sz w:val="24"/>
          <w:szCs w:val="24"/>
          <w:lang w:val="id-ID"/>
        </w:rPr>
        <w:fldChar w:fldCharType="begin" w:fldLock="1"/>
      </w:r>
      <w:r w:rsidR="00F5247D" w:rsidRPr="00E26787">
        <w:rPr>
          <w:rFonts w:asciiTheme="majorBidi" w:hAnsiTheme="majorBidi" w:cstheme="majorBidi"/>
          <w:sz w:val="24"/>
          <w:szCs w:val="24"/>
          <w:lang w:val="id-ID"/>
        </w:rPr>
        <w:instrText>ADDIN CSL_CITATION {"citationItems":[{"id":"ITEM-1","itemData":{"ISBN":"978-623-218-234-9","author":[{"dropping-particle":"","family":"Sugiyono","given":"","non-dropping-particle":"","parse-names":false,"suffix":""}],"id":"ITEM-1","issued":{"date-parts":[["2020"]]},"publisher-place":"Bandung","title":"Metode Penelitian Kuantitatif, Kualitatif dan R&amp;D (Edisi ke-2)","type":"book"},"uris":["http://www.mendeley.com/documents/?uuid=7ec72198-7b7d-40da-9371-89b9628e5e30","http://www.mendeley.com/documents/?uuid=15a72bd6-22a5-417c-a539-3e310d0f81d8"]}],"mendeley":{"formattedCitation":"(Sugiyono, 2020)","plainTextFormattedCitation":"(Sugiyono, 2020)","previouslyFormattedCitation":"(Sugiyono, 2020)"},"properties":{"noteIndex":0},"schema":"https://github.com/citation-style-language/schema/raw/master/csl-citation.json"}</w:instrText>
      </w:r>
      <w:r w:rsidR="001146EF" w:rsidRPr="00E26787">
        <w:rPr>
          <w:rStyle w:val="FootnoteReference"/>
          <w:rFonts w:asciiTheme="majorBidi" w:hAnsiTheme="majorBidi" w:cstheme="majorBidi"/>
          <w:sz w:val="24"/>
          <w:szCs w:val="24"/>
          <w:lang w:val="id-ID"/>
        </w:rPr>
        <w:fldChar w:fldCharType="separate"/>
      </w:r>
      <w:r w:rsidR="001146EF" w:rsidRPr="00E26787">
        <w:rPr>
          <w:rFonts w:asciiTheme="majorBidi" w:hAnsiTheme="majorBidi" w:cstheme="majorBidi"/>
          <w:noProof/>
          <w:sz w:val="24"/>
          <w:szCs w:val="24"/>
          <w:lang w:val="id-ID"/>
        </w:rPr>
        <w:t>(Sugiyono, 2020)</w:t>
      </w:r>
      <w:r w:rsidR="001146EF" w:rsidRPr="00E26787">
        <w:rPr>
          <w:rStyle w:val="FootnoteReference"/>
          <w:rFonts w:asciiTheme="majorBidi" w:hAnsiTheme="majorBidi" w:cstheme="majorBidi"/>
          <w:sz w:val="24"/>
          <w:szCs w:val="24"/>
          <w:lang w:val="id-ID"/>
        </w:rPr>
        <w:fldChar w:fldCharType="end"/>
      </w:r>
      <w:r w:rsidRPr="00274849">
        <w:rPr>
          <w:rFonts w:ascii="Traditional Arabic" w:hAnsi="Traditional Arabic" w:cs="Traditional Arabic"/>
          <w:sz w:val="36"/>
          <w:szCs w:val="36"/>
          <w:lang w:val="id-ID"/>
        </w:rPr>
        <w:t>.</w:t>
      </w:r>
    </w:p>
    <w:p w14:paraId="456146A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٥</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استخلاص النتائج</w:t>
      </w:r>
      <w:r w:rsidRPr="00274849">
        <w:rPr>
          <w:rFonts w:ascii="Traditional Arabic" w:hAnsi="Traditional Arabic" w:cs="Traditional Arabic"/>
          <w:b/>
          <w:bCs/>
          <w:sz w:val="36"/>
          <w:szCs w:val="36"/>
          <w:lang w:val="id-ID"/>
        </w:rPr>
        <w:t xml:space="preserve"> </w:t>
      </w:r>
    </w:p>
    <w:p w14:paraId="3FE000F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 </w:t>
      </w: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بعد جمع البيانات وتحليلها، تأتي المرحلة التالية وهي استخلاص النتائج من المصادر الأدبية الأولية والثانوية، ومن نتائج الملاحظة، ومن خلاصة المقابلات، والوثائق الكاملة</w:t>
      </w:r>
      <w:r w:rsidRPr="00274849">
        <w:rPr>
          <w:rFonts w:ascii="Traditional Arabic" w:hAnsi="Traditional Arabic" w:cs="Traditional Arabic"/>
          <w:sz w:val="36"/>
          <w:szCs w:val="36"/>
        </w:rPr>
        <w:t>.</w:t>
      </w:r>
    </w:p>
    <w:p w14:paraId="0F9188C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raditional Arabic" w:hAnsi="Traditional Arabic" w:cs="Traditional Arabic"/>
          <w:b/>
          <w:bCs/>
          <w:color w:val="1F1F1F"/>
          <w:sz w:val="36"/>
          <w:szCs w:val="36"/>
          <w:lang w:val="en" w:eastAsia="en-ID"/>
        </w:rPr>
      </w:pPr>
    </w:p>
    <w:p w14:paraId="15BD747F" w14:textId="77777777" w:rsidR="00E26787" w:rsidRDefault="00E26787"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ascii="Traditional Arabic" w:hAnsi="Traditional Arabic" w:cs="Traditional Arabic"/>
          <w:b/>
          <w:bCs/>
          <w:color w:val="1F1F1F"/>
          <w:sz w:val="36"/>
          <w:szCs w:val="36"/>
          <w:lang w:val="en" w:eastAsia="en-ID"/>
        </w:rPr>
      </w:pPr>
      <w:r w:rsidRPr="00E26787">
        <w:rPr>
          <w:rFonts w:ascii="Traditional Arabic" w:hAnsi="Traditional Arabic" w:cs="Traditional Arabic"/>
          <w:b/>
          <w:bCs/>
          <w:color w:val="1F1F1F"/>
          <w:sz w:val="36"/>
          <w:szCs w:val="36"/>
          <w:rtl/>
          <w:lang w:val="en" w:eastAsia="en-ID"/>
        </w:rPr>
        <w:t>النتائج والمناقشة</w:t>
      </w:r>
    </w:p>
    <w:p w14:paraId="4A821247" w14:textId="519329F5"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قدرة مهارة القراءة لدى طلاب الصف التاسع في مدرسة متوسطة </w:t>
      </w:r>
      <w:r w:rsidRPr="00274849">
        <w:rPr>
          <w:rFonts w:ascii="Traditional Arabic" w:hAnsi="Traditional Arabic" w:cs="Traditional Arabic"/>
          <w:b/>
          <w:bCs/>
          <w:color w:val="000000"/>
          <w:sz w:val="36"/>
          <w:szCs w:val="36"/>
          <w:rtl/>
          <w:lang w:val="id-ID"/>
        </w:rPr>
        <w:t>آل</w:t>
      </w:r>
      <w:r w:rsidRPr="00274849">
        <w:rPr>
          <w:rFonts w:ascii="Traditional Arabic" w:hAnsi="Traditional Arabic" w:cs="Traditional Arabic"/>
          <w:b/>
          <w:bCs/>
          <w:sz w:val="36"/>
          <w:szCs w:val="36"/>
          <w:rtl/>
        </w:rPr>
        <w:t xml:space="preserve"> عمران</w:t>
      </w:r>
    </w:p>
    <w:p w14:paraId="7B03F9E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 ١</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 xml:space="preserve">تنفيذ تعليم مهارة القراءة </w:t>
      </w:r>
    </w:p>
    <w:p w14:paraId="62979B3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بناءً على نتائج الملاحظة المباشرة والمقابلات التي أُجريت مع معلم مادة اللغة العربية وبعض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تبيّن أنّ تنفيذ تعليم مهارة القراءة يتمّ بطريقة منهجية ومخطط لها، وتشمل ثلاث مراحل أساسية: مرحلة التحضير، ومرحلة التنفيذ، ومرحلة التقييم</w:t>
      </w:r>
      <w:r w:rsidRPr="00274849">
        <w:rPr>
          <w:rFonts w:ascii="Traditional Arabic" w:hAnsi="Traditional Arabic" w:cs="Traditional Arabic"/>
          <w:sz w:val="36"/>
          <w:szCs w:val="36"/>
        </w:rPr>
        <w:t>.</w:t>
      </w:r>
    </w:p>
    <w:p w14:paraId="6D297326" w14:textId="77777777" w:rsidR="008D263B" w:rsidRPr="00274849" w:rsidRDefault="008D263B" w:rsidP="00274849">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مرحلة التحضير</w:t>
      </w:r>
    </w:p>
    <w:p w14:paraId="543D2D78" w14:textId="202AF379" w:rsidR="008D263B" w:rsidRPr="00274849" w:rsidRDefault="008D263B" w:rsidP="00E26787">
      <w:pPr>
        <w:pStyle w:val="ListParagraph"/>
        <w:tabs>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29"/>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في هذه المرحلة، يُعدّ المعلم جميع مكونات العملية التعليمية، مثل خطة تنفيذ الدرس، وأوراق العمل، ونصوص القراءة، والوسائل التعليمية، بالإضافة إلى الطرق التي ستُستخدم أثناء الدرس. وقد تمّ تكييف المادة التعليمية حسب مستوى الطلاب والأهداف المراد تحقيقها. وتضمنت الوسائل المستخدمة كتبًا دراسية، وقواميس، وبطاقات المفردات. أما المنهج المُتبع، فقد رُوعي فيه خصائص الصف لضمان مشاركة الطلاب بفعالية في نشاطات القراءة </w:t>
      </w:r>
      <w:r w:rsidRPr="00E26787">
        <w:rPr>
          <w:rFonts w:asciiTheme="majorBidi" w:hAnsiTheme="majorBidi" w:cstheme="majorBidi"/>
          <w:sz w:val="24"/>
          <w:szCs w:val="24"/>
          <w:rtl/>
        </w:rPr>
        <w:t>(</w:t>
      </w:r>
      <w:r w:rsidRPr="00E26787">
        <w:rPr>
          <w:rFonts w:asciiTheme="majorBidi" w:hAnsiTheme="majorBidi" w:cstheme="majorBidi"/>
          <w:sz w:val="24"/>
          <w:szCs w:val="24"/>
          <w:lang w:val="id-ID"/>
        </w:rPr>
        <w:t>Azrai, 2024</w:t>
      </w:r>
      <w:r w:rsidRPr="00E26787">
        <w:rPr>
          <w:rFonts w:asciiTheme="majorBidi" w:hAnsiTheme="majorBidi" w:cstheme="majorBidi"/>
          <w:sz w:val="24"/>
          <w:szCs w:val="24"/>
          <w:rtl/>
        </w:rPr>
        <w:t>)</w:t>
      </w:r>
      <w:r w:rsidRPr="00E26787">
        <w:rPr>
          <w:rFonts w:asciiTheme="majorBidi" w:hAnsiTheme="majorBidi" w:cstheme="majorBidi"/>
          <w:sz w:val="24"/>
          <w:szCs w:val="24"/>
        </w:rPr>
        <w:t>.</w:t>
      </w:r>
    </w:p>
    <w:p w14:paraId="4A063A0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مرحلة التنفيذ</w:t>
      </w:r>
    </w:p>
    <w:p w14:paraId="6BEDB5F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تتكون هذه المرحلة من ثلاث فقرات</w:t>
      </w:r>
      <w:r w:rsidRPr="00274849">
        <w:rPr>
          <w:rFonts w:ascii="Traditional Arabic" w:hAnsi="Traditional Arabic" w:cs="Traditional Arabic"/>
          <w:sz w:val="36"/>
          <w:szCs w:val="36"/>
        </w:rPr>
        <w:t>:</w:t>
      </w:r>
    </w:p>
    <w:p w14:paraId="196A1215" w14:textId="77777777" w:rsidR="008D263B" w:rsidRPr="00274849" w:rsidRDefault="008D263B" w:rsidP="00965B9E">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274849">
        <w:rPr>
          <w:rFonts w:ascii="Traditional Arabic" w:hAnsi="Traditional Arabic" w:cs="Traditional Arabic"/>
          <w:b/>
          <w:bCs/>
          <w:sz w:val="36"/>
          <w:szCs w:val="36"/>
          <w:rtl/>
        </w:rPr>
        <w:t>التمهيد</w:t>
      </w:r>
      <w:r w:rsidRPr="00274849">
        <w:rPr>
          <w:rFonts w:ascii="Traditional Arabic" w:hAnsi="Traditional Arabic" w:cs="Traditional Arabic"/>
          <w:sz w:val="36"/>
          <w:szCs w:val="36"/>
          <w:rtl/>
        </w:rPr>
        <w:t>: يبدأ المعلم بتحية الطلاب، ومراجعة الدرس السابق، ثمّ إجراء نشاط تمهيدي لكسر الجمود وتحفيز الجوّ الصفي</w:t>
      </w:r>
      <w:r w:rsidRPr="00274849">
        <w:rPr>
          <w:rFonts w:ascii="Traditional Arabic" w:hAnsi="Traditional Arabic" w:cs="Traditional Arabic"/>
          <w:sz w:val="36"/>
          <w:szCs w:val="36"/>
        </w:rPr>
        <w:t>.</w:t>
      </w:r>
    </w:p>
    <w:p w14:paraId="15446B33" w14:textId="77777777" w:rsidR="008D263B" w:rsidRPr="00274849" w:rsidRDefault="008D263B" w:rsidP="00965B9E">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274849">
        <w:rPr>
          <w:rFonts w:ascii="Traditional Arabic" w:hAnsi="Traditional Arabic" w:cs="Traditional Arabic"/>
          <w:b/>
          <w:bCs/>
          <w:sz w:val="36"/>
          <w:szCs w:val="36"/>
          <w:rtl/>
        </w:rPr>
        <w:t>الأنشطة الأساسية</w:t>
      </w:r>
      <w:r w:rsidRPr="00274849">
        <w:rPr>
          <w:rFonts w:ascii="Traditional Arabic" w:hAnsi="Traditional Arabic" w:cs="Traditional Arabic"/>
          <w:sz w:val="36"/>
          <w:szCs w:val="36"/>
          <w:rtl/>
        </w:rPr>
        <w:t>: يقرأ المعلم النص أولًا، ثم يُطلب من الطلاب قراءته جماعيًا وفرديًا. بعد ذلك، يشرح المعلم الكلمات الصعبة ويعرض مضمون النص. تشمل الأنشطة أيضًا تدريبات على القراءة بالتناوب، مناقشة المعاني، وكتابة ملخصات قصيرة حول المحتوى</w:t>
      </w:r>
      <w:r w:rsidRPr="00274849">
        <w:rPr>
          <w:rFonts w:ascii="Traditional Arabic" w:hAnsi="Traditional Arabic" w:cs="Traditional Arabic"/>
          <w:sz w:val="36"/>
          <w:szCs w:val="36"/>
        </w:rPr>
        <w:t>.</w:t>
      </w:r>
    </w:p>
    <w:p w14:paraId="7CD14683" w14:textId="77777777" w:rsidR="008D263B" w:rsidRPr="00274849" w:rsidRDefault="008D263B" w:rsidP="00965B9E">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274849">
        <w:rPr>
          <w:rFonts w:ascii="Traditional Arabic" w:hAnsi="Traditional Arabic" w:cs="Traditional Arabic"/>
          <w:b/>
          <w:bCs/>
          <w:sz w:val="36"/>
          <w:szCs w:val="36"/>
          <w:rtl/>
        </w:rPr>
        <w:t>الخاتمة</w:t>
      </w:r>
      <w:r w:rsidRPr="00274849">
        <w:rPr>
          <w:rFonts w:ascii="Traditional Arabic" w:hAnsi="Traditional Arabic" w:cs="Traditional Arabic"/>
          <w:sz w:val="36"/>
          <w:szCs w:val="36"/>
          <w:rtl/>
        </w:rPr>
        <w:t>: يُنهي المعلم الدرس بمراجعة جماعية للمحتوى، ثم يقدّم التعزيزات المناسبة والتكليفات التي تتعلق بالنص المقروء (ملاحظة صفية – الصف التاسع، ٢٠٢٤م)</w:t>
      </w:r>
      <w:r w:rsidRPr="00274849">
        <w:rPr>
          <w:rFonts w:ascii="Traditional Arabic" w:hAnsi="Traditional Arabic" w:cs="Traditional Arabic"/>
          <w:sz w:val="36"/>
          <w:szCs w:val="36"/>
        </w:rPr>
        <w:t>.</w:t>
      </w:r>
    </w:p>
    <w:p w14:paraId="038AF84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وأشار بعض الطلاب خلال المقابلة إلى أن القراءة المشتركة وتوجيه المعلم المباشر أسهما في زيادة ثقتهم بالنفس أثناء القراءة باللغة العربية، كما ساعدت هذه الطريقة في تحسين النطق والفهم لديهم (مقابلة مع الطلاب، ٢٠٢٤م)</w:t>
      </w:r>
      <w:r w:rsidRPr="00274849">
        <w:rPr>
          <w:rFonts w:ascii="Traditional Arabic" w:hAnsi="Traditional Arabic" w:cs="Traditional Arabic"/>
          <w:sz w:val="36"/>
          <w:szCs w:val="36"/>
        </w:rPr>
        <w:t>.</w:t>
      </w:r>
    </w:p>
    <w:p w14:paraId="0563191B"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مرحلة التقييم</w:t>
      </w:r>
    </w:p>
    <w:p w14:paraId="45C6D07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 يشمل التقييم الذي يعتمده المعلم ما يلي</w:t>
      </w:r>
      <w:r w:rsidRPr="00274849">
        <w:rPr>
          <w:rFonts w:ascii="Traditional Arabic" w:hAnsi="Traditional Arabic" w:cs="Traditional Arabic"/>
          <w:sz w:val="36"/>
          <w:szCs w:val="36"/>
        </w:rPr>
        <w:t>:</w:t>
      </w:r>
    </w:p>
    <w:p w14:paraId="77382CC9" w14:textId="33793B33" w:rsidR="008D263B" w:rsidRPr="00483237" w:rsidRDefault="008D263B" w:rsidP="00483237">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483237">
        <w:rPr>
          <w:rFonts w:ascii="Traditional Arabic" w:hAnsi="Traditional Arabic" w:cs="Traditional Arabic"/>
          <w:sz w:val="36"/>
          <w:szCs w:val="36"/>
          <w:rtl/>
        </w:rPr>
        <w:t>تقييم السلوك: ويهدف إلى تقييم مدى مشاركة الطلاب ومسؤوليتهم خلال الأنشطة الصفية</w:t>
      </w:r>
      <w:r w:rsidRPr="00483237">
        <w:rPr>
          <w:rFonts w:ascii="Traditional Arabic" w:hAnsi="Traditional Arabic" w:cs="Traditional Arabic"/>
          <w:sz w:val="36"/>
          <w:szCs w:val="36"/>
        </w:rPr>
        <w:t>.</w:t>
      </w:r>
    </w:p>
    <w:p w14:paraId="411B06C4" w14:textId="37A01AB2" w:rsidR="008D263B" w:rsidRPr="00274849" w:rsidRDefault="008D263B" w:rsidP="00D951AA">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274849">
        <w:rPr>
          <w:rFonts w:ascii="Traditional Arabic" w:hAnsi="Traditional Arabic" w:cs="Traditional Arabic"/>
          <w:sz w:val="36"/>
          <w:szCs w:val="36"/>
          <w:lang w:val="id-ID"/>
        </w:rPr>
        <w:t xml:space="preserve"> </w:t>
      </w:r>
      <w:r w:rsidRPr="00274849">
        <w:rPr>
          <w:rFonts w:ascii="Traditional Arabic" w:hAnsi="Traditional Arabic" w:cs="Traditional Arabic"/>
          <w:sz w:val="36"/>
          <w:szCs w:val="36"/>
          <w:rtl/>
        </w:rPr>
        <w:t>التقييم الكتابي: من خلال تمارين وأسئلة تقيس فهم الطلاب للنص</w:t>
      </w:r>
      <w:r w:rsidRPr="00274849">
        <w:rPr>
          <w:rFonts w:ascii="Traditional Arabic" w:hAnsi="Traditional Arabic" w:cs="Traditional Arabic"/>
          <w:sz w:val="36"/>
          <w:szCs w:val="36"/>
        </w:rPr>
        <w:t>.</w:t>
      </w:r>
    </w:p>
    <w:p w14:paraId="44DF6ED6" w14:textId="53FC4721" w:rsidR="008D263B" w:rsidRPr="00274849" w:rsidRDefault="008D263B" w:rsidP="00D951AA">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360"/>
        <w:jc w:val="both"/>
        <w:rPr>
          <w:rFonts w:ascii="Traditional Arabic" w:hAnsi="Traditional Arabic" w:cs="Traditional Arabic"/>
          <w:sz w:val="36"/>
          <w:szCs w:val="36"/>
        </w:rPr>
      </w:pP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تقييم ملف الإنجاز (البورتفوليو): ويتضمن توثيق تطور مهارات الطلاب من خلال واجبات القراءة، وقوائم المفردات، وأعمالهم خلال الفصل الدراسي (مقابلة مع المعلّم، ٢٠٢٤م)</w:t>
      </w:r>
      <w:r w:rsidRPr="00274849">
        <w:rPr>
          <w:rFonts w:ascii="Traditional Arabic" w:hAnsi="Traditional Arabic" w:cs="Traditional Arabic"/>
          <w:sz w:val="36"/>
          <w:szCs w:val="36"/>
        </w:rPr>
        <w:t>.</w:t>
      </w:r>
    </w:p>
    <w:p w14:paraId="4AABD53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ومن خلال الملاحظة الصفية، يمكن القول إن استراتيجية التعليم المطبقة ساعدت على زيادة تفاعل الطلاب، وتوسيع مفرداتهم، وتحسين نطقهم. ومع ذلك، لا تزال بعض التحديات قائمة، منها ضعف الدافعية لدى بعض الطلاب وقلة المصادر التعليمية في منازلهم. ولمواجهة هذه التحديات، بادر المعلم إلى إعداد مواد إضافية وتكليف الطلاب بعادة القراءة الذاتية قبل بداية الدرس</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وفي المقابل، عبّر بعض الطلاب عن رغبتهم في تنويع النصوص المقروءة، كي تكون الحصص أكثر تشويقًا وأقل رتابة (مقابلة مع الطلاب، ٢٠٢٤م)</w:t>
      </w:r>
      <w:r w:rsidRPr="00274849">
        <w:rPr>
          <w:rFonts w:ascii="Traditional Arabic" w:hAnsi="Traditional Arabic" w:cs="Traditional Arabic"/>
          <w:sz w:val="36"/>
          <w:szCs w:val="36"/>
        </w:rPr>
        <w:t>.</w:t>
      </w:r>
    </w:p>
    <w:p w14:paraId="3D1F982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001C6BE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b/>
          <w:bCs/>
          <w:sz w:val="36"/>
          <w:szCs w:val="36"/>
          <w:rtl/>
        </w:rPr>
        <w:t>٢</w:t>
      </w:r>
      <w:r w:rsidRPr="00274849">
        <w:rPr>
          <w:rFonts w:ascii="Traditional Arabic" w:hAnsi="Traditional Arabic" w:cs="Traditional Arabic"/>
          <w:b/>
          <w:bCs/>
          <w:sz w:val="36"/>
          <w:szCs w:val="36"/>
        </w:rPr>
        <w:t xml:space="preserve">. </w:t>
      </w:r>
      <w:r w:rsidRPr="00274849">
        <w:rPr>
          <w:rFonts w:ascii="Traditional Arabic" w:hAnsi="Traditional Arabic" w:cs="Traditional Arabic"/>
          <w:b/>
          <w:bCs/>
          <w:sz w:val="36"/>
          <w:szCs w:val="36"/>
          <w:rtl/>
        </w:rPr>
        <w:t xml:space="preserve">قدرة الطلاب على قراءة النصوص العربية في الصف التاسع بمدرسة متوسطة </w:t>
      </w:r>
      <w:r w:rsidRPr="00274849">
        <w:rPr>
          <w:rFonts w:ascii="Traditional Arabic" w:hAnsi="Traditional Arabic" w:cs="Traditional Arabic"/>
          <w:b/>
          <w:bCs/>
          <w:color w:val="000000"/>
          <w:sz w:val="36"/>
          <w:szCs w:val="36"/>
          <w:rtl/>
        </w:rPr>
        <w:t>آل</w:t>
      </w:r>
      <w:r w:rsidRPr="00274849">
        <w:rPr>
          <w:rFonts w:ascii="Traditional Arabic" w:hAnsi="Traditional Arabic" w:cs="Traditional Arabic"/>
          <w:b/>
          <w:bCs/>
          <w:sz w:val="36"/>
          <w:szCs w:val="36"/>
          <w:rtl/>
        </w:rPr>
        <w:t xml:space="preserve"> عمران</w:t>
      </w:r>
    </w:p>
    <w:p w14:paraId="5D645A0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بناءً على نتائج الملاحظة الصفية المباشرة في الصف التاسع بمدرسة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والمقابلات التي أُجريت مع معلم مادة اللغة العربية وعدد من الطلاب، تبيّن أن تقييم قدرة الطلاب على قراءة النصوص العربية يتم بشكل دوري ويشمل عدة أنواع من الاختبارات تهدف إلى قياس الجوانب الصوتية، والفهم، والطلاقة في القراءة</w:t>
      </w:r>
      <w:r w:rsidRPr="00274849">
        <w:rPr>
          <w:rFonts w:ascii="Traditional Arabic" w:hAnsi="Traditional Arabic" w:cs="Traditional Arabic"/>
          <w:sz w:val="36"/>
          <w:szCs w:val="36"/>
        </w:rPr>
        <w:t>.</w:t>
      </w:r>
    </w:p>
    <w:p w14:paraId="6DDF9C7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 أشكال الاختبارات المطبّقة</w:t>
      </w:r>
    </w:p>
    <w:p w14:paraId="368226C5"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أوضح المعلم أن هناك نوعين أساسيين من اختبارات القراءة التى المطبقة ، وهما: الاختبار الشفوي والاختبار التحريري</w:t>
      </w:r>
      <w:r w:rsidRPr="00274849">
        <w:rPr>
          <w:rFonts w:ascii="Traditional Arabic" w:hAnsi="Traditional Arabic" w:cs="Traditional Arabic"/>
          <w:sz w:val="36"/>
          <w:szCs w:val="36"/>
        </w:rPr>
        <w:t>.</w:t>
      </w:r>
    </w:p>
    <w:p w14:paraId="3A162D8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١</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الاختبار الشفوي (المباشر)</w:t>
      </w:r>
      <w:r w:rsidRPr="00274849">
        <w:rPr>
          <w:rFonts w:ascii="Traditional Arabic" w:hAnsi="Traditional Arabic" w:cs="Traditional Arabic"/>
          <w:sz w:val="36"/>
          <w:szCs w:val="36"/>
        </w:rPr>
        <w:t>:</w:t>
      </w:r>
    </w:p>
    <w:p w14:paraId="7FDE803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يُطلب من الطالب في هذا النوع من الاختبارات أن يقرأ النص العربي أمام الصف أو أمام المعلم بشكل فردي. ويعتمد التقييم على دقة النطق للحروف (مخارج الحروف)، وصحة الحركات، والتنغيم، وطلاقة القراءة. كما يُؤخذ في الاعتبار تعبير الطالب وشجاعته أثناء القراءة أمام الآخرين (مقابلة مع معلم اللغة العربية، ٢٠٢٤م)</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ومن خلال الملاحظة، لوحظ أن بعض الطلاب لا يزالون يرتكبون أخطاء في التمييز بين الحروف المتشابهة في النطق، مثل الصاد والسين، أو العين والحاء. ويقوم المعلم بتصحيح تلك الأخطاء فورًا ويوجّه الطالب لإعادة القراءة بشكل صحيح (ملاحظة صفية – الصف التاسع، ٢٠٢٤م)</w:t>
      </w:r>
      <w:r w:rsidRPr="00274849">
        <w:rPr>
          <w:rFonts w:ascii="Traditional Arabic" w:hAnsi="Traditional Arabic" w:cs="Traditional Arabic"/>
          <w:sz w:val="36"/>
          <w:szCs w:val="36"/>
        </w:rPr>
        <w:t>.</w:t>
      </w:r>
    </w:p>
    <w:p w14:paraId="15E8CF5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٢</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الاختبار التحريري (فهم النص)</w:t>
      </w:r>
      <w:r w:rsidRPr="00274849">
        <w:rPr>
          <w:rFonts w:ascii="Traditional Arabic" w:hAnsi="Traditional Arabic" w:cs="Traditional Arabic"/>
          <w:sz w:val="36"/>
          <w:szCs w:val="36"/>
        </w:rPr>
        <w:t>:</w:t>
      </w:r>
    </w:p>
    <w:p w14:paraId="1F65FF1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t xml:space="preserve"> </w:t>
      </w:r>
      <w:r w:rsidRPr="00274849">
        <w:rPr>
          <w:rFonts w:ascii="Traditional Arabic" w:hAnsi="Traditional Arabic" w:cs="Traditional Arabic"/>
          <w:sz w:val="36"/>
          <w:szCs w:val="36"/>
          <w:rtl/>
        </w:rPr>
        <w:t>بالإضافة إلى الاختبارات الشفوية، يُقدّم المعلم تمارين تحريرية لفهم المقروء، على شكل أسئلة اختيار من متعدد، وملء الفراغات، وأسئلة مفتوحة. وتستند الأسئلة إلى نصوص قرأها الطلاب مسبقًا، وتهدف إلى قياس مدى فهمهم للمحتوى بشكل عام (مقابلة مع معلم اللغة العربية، ٢٠٢٤م)</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 xml:space="preserve">وأظهرت نتائج الاختبارات التحريرية التي تم تصحيحها أن بعض الطلاب قادرون على فهم السياق العام للجمل، ولكنهم يواجهون </w:t>
      </w:r>
      <w:r w:rsidRPr="00274849">
        <w:rPr>
          <w:rFonts w:ascii="Traditional Arabic" w:hAnsi="Traditional Arabic" w:cs="Traditional Arabic"/>
          <w:sz w:val="36"/>
          <w:szCs w:val="36"/>
          <w:rtl/>
        </w:rPr>
        <w:lastRenderedPageBreak/>
        <w:t>صعوبة في فهم معاني بعض الكلمات التي نادرًا ما يستخدمونها. وهذا يدل على الحاجة إلى تقوية رصيدهم من المفردات بشكل مستمر</w:t>
      </w:r>
      <w:r w:rsidRPr="00274849">
        <w:rPr>
          <w:rFonts w:ascii="Traditional Arabic" w:hAnsi="Traditional Arabic" w:cs="Traditional Arabic"/>
          <w:sz w:val="36"/>
          <w:szCs w:val="36"/>
        </w:rPr>
        <w:t>.</w:t>
      </w:r>
    </w:p>
    <w:p w14:paraId="26F8C73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30FF4DFE"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نتائج الملاحظة في أثناء القراءة من خلال الملاحظة داخل الفصل، تبيّن أن مستوى الطلاب في القراءة متفاوت. فبعضهم يقرأ بطلاقة وثقة، بينما يعتمد البعض الآخر بشكل كبير على المعلم أو زملائه عند القراءة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rtl/>
        </w:rPr>
        <w:t>وقد أظهر بعض الطلاب ميولًا إلى الحفظ فقط دون الفهم الحقيقي للنص. وعند سؤالهم عن معنى الجمل أو سياق النص، لم يتمكن بعضهم من الشرح، مما يدل على أن قدراتهم لا تزال محدودة في الجانب الصوتي فقط، ولم تصل بعد إلى الفهم العميق للمحتوى</w:t>
      </w:r>
      <w:r w:rsidRPr="00274849">
        <w:rPr>
          <w:rFonts w:ascii="Traditional Arabic" w:hAnsi="Traditional Arabic" w:cs="Traditional Arabic"/>
          <w:sz w:val="36"/>
          <w:szCs w:val="36"/>
        </w:rPr>
        <w:t>.</w:t>
      </w:r>
    </w:p>
    <w:p w14:paraId="4D5FC7EA"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وجهة نظر الطلاب</w:t>
      </w:r>
    </w:p>
    <w:p w14:paraId="6E85302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بناء على المقابلة التي أُجريت مع مجموعة الطلاب، أشار معظمهم إلى أنهم يشعرون بالتوتر عند أداء الاختبارات الشفوية، خاصة عند القراءة أمام زملائهم. ومع ذلك، فهم يدركون أهمية هذا النوع من الاختبارات في بناء الثقة بالنفس وتحسين النطق</w:t>
      </w:r>
      <w:r w:rsidRPr="00274849">
        <w:rPr>
          <w:rFonts w:ascii="Traditional Arabic" w:hAnsi="Traditional Arabic" w:cs="Traditional Arabic"/>
          <w:sz w:val="36"/>
          <w:szCs w:val="36"/>
        </w:rPr>
        <w:t>.</w:t>
      </w:r>
    </w:p>
    <w:p w14:paraId="06952156" w14:textId="472BF5D9"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 xml:space="preserve">قال أحد الطلاب: </w:t>
      </w:r>
      <w:r w:rsidRPr="00274849">
        <w:rPr>
          <w:rFonts w:ascii="Traditional Arabic" w:hAnsi="Traditional Arabic" w:cs="Traditional Arabic"/>
          <w:i/>
          <w:iCs/>
          <w:sz w:val="36"/>
          <w:szCs w:val="36"/>
          <w:rtl/>
        </w:rPr>
        <w:t>"في البداية كنت خائفًا من القراءة أمام الآخرين، لكن بعد عدة محاولات بدأت أعتاد على الأمر، بل وأصبحت أكثر حماسة لتعلم القراءة بشكل صحيح</w:t>
      </w:r>
      <w:r w:rsidRPr="00E26787">
        <w:rPr>
          <w:rFonts w:asciiTheme="majorBidi" w:hAnsiTheme="majorBidi" w:cstheme="majorBidi"/>
          <w:i/>
          <w:iCs/>
          <w:sz w:val="24"/>
          <w:szCs w:val="24"/>
          <w:rtl/>
        </w:rPr>
        <w:t>."</w:t>
      </w:r>
      <w:r w:rsidRPr="00E26787">
        <w:rPr>
          <w:rFonts w:asciiTheme="majorBidi" w:hAnsiTheme="majorBidi" w:cstheme="majorBidi"/>
          <w:sz w:val="24"/>
          <w:szCs w:val="24"/>
          <w:rtl/>
        </w:rPr>
        <w:t xml:space="preserve"> </w:t>
      </w:r>
      <w:r w:rsidRPr="00E26787">
        <w:rPr>
          <w:rFonts w:asciiTheme="majorBidi" w:hAnsiTheme="majorBidi" w:cstheme="majorBidi"/>
          <w:sz w:val="24"/>
          <w:szCs w:val="24"/>
          <w:lang w:val="id-ID"/>
        </w:rPr>
        <w:t xml:space="preserve"> </w:t>
      </w:r>
      <w:sdt>
        <w:sdtPr>
          <w:rPr>
            <w:rFonts w:asciiTheme="majorBidi" w:hAnsiTheme="majorBidi" w:cstheme="majorBidi"/>
            <w:sz w:val="24"/>
            <w:szCs w:val="24"/>
            <w:rtl/>
            <w:lang w:val="id-ID"/>
          </w:rPr>
          <w:id w:val="1681159012"/>
          <w:citation/>
        </w:sdtPr>
        <w:sdtEndPr>
          <w:rPr>
            <w:rFonts w:ascii="Traditional Arabic" w:hAnsi="Traditional Arabic" w:cs="Traditional Arabic"/>
            <w:sz w:val="36"/>
            <w:szCs w:val="36"/>
          </w:rPr>
        </w:sdtEndPr>
        <w:sdtContent>
          <w:r w:rsidR="00E26787" w:rsidRPr="00E26787">
            <w:rPr>
              <w:rFonts w:asciiTheme="majorBidi" w:hAnsiTheme="majorBidi" w:cstheme="majorBidi"/>
              <w:sz w:val="24"/>
              <w:szCs w:val="24"/>
              <w:rtl/>
              <w:lang w:val="id-ID"/>
            </w:rPr>
            <w:fldChar w:fldCharType="begin"/>
          </w:r>
          <w:r w:rsidR="00E26787" w:rsidRPr="00E26787">
            <w:rPr>
              <w:rFonts w:asciiTheme="majorBidi" w:hAnsiTheme="majorBidi" w:cstheme="majorBidi"/>
              <w:sz w:val="24"/>
              <w:szCs w:val="24"/>
              <w:lang w:val="id-ID"/>
            </w:rPr>
            <w:instrText xml:space="preserve"> CITATION Suc24 \l 1057 </w:instrText>
          </w:r>
          <w:r w:rsidR="00E26787" w:rsidRPr="00E26787">
            <w:rPr>
              <w:rFonts w:asciiTheme="majorBidi" w:hAnsiTheme="majorBidi" w:cstheme="majorBidi"/>
              <w:sz w:val="24"/>
              <w:szCs w:val="24"/>
              <w:rtl/>
              <w:lang w:val="id-ID"/>
            </w:rPr>
            <w:fldChar w:fldCharType="separate"/>
          </w:r>
          <w:r w:rsidR="00E26787" w:rsidRPr="00E26787">
            <w:rPr>
              <w:rFonts w:asciiTheme="majorBidi" w:hAnsiTheme="majorBidi" w:cstheme="majorBidi"/>
              <w:noProof/>
              <w:sz w:val="24"/>
              <w:szCs w:val="24"/>
              <w:lang w:val="id-ID"/>
            </w:rPr>
            <w:t>(Suci, 2024)</w:t>
          </w:r>
          <w:r w:rsidR="00E26787" w:rsidRPr="00E26787">
            <w:rPr>
              <w:rFonts w:asciiTheme="majorBidi" w:hAnsiTheme="majorBidi" w:cstheme="majorBidi"/>
              <w:sz w:val="24"/>
              <w:szCs w:val="24"/>
              <w:rtl/>
              <w:lang w:val="id-ID"/>
            </w:rPr>
            <w:fldChar w:fldCharType="end"/>
          </w:r>
        </w:sdtContent>
      </w:sdt>
      <w:r w:rsidRPr="00274849">
        <w:rPr>
          <w:rFonts w:ascii="Traditional Arabic" w:hAnsi="Traditional Arabic" w:cs="Traditional Arabic"/>
          <w:sz w:val="36"/>
          <w:szCs w:val="36"/>
          <w:rtl/>
        </w:rPr>
        <w:t>كما أعرب بعض الطلاب عن رغبتهم في تخصيص وقت إضافي للتمارين قبل الامتحانات، ليكونوا أكثر استعدادًا وأقل توترًا</w:t>
      </w:r>
      <w:r w:rsidRPr="00274849">
        <w:rPr>
          <w:rFonts w:ascii="Traditional Arabic" w:hAnsi="Traditional Arabic" w:cs="Traditional Arabic"/>
          <w:sz w:val="36"/>
          <w:szCs w:val="36"/>
        </w:rPr>
        <w:t>.</w:t>
      </w:r>
    </w:p>
    <w:p w14:paraId="222C99B7" w14:textId="38A07C6E"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وإلى جانب الطلاب الذين أبدوا اهتمامًا وحماسة لتعلم مهارة القراءة، حصل الباحث أيضًا على آراء بعض الطلاب الذين يشعرون بالصعوبة وعدم التقبل لتعلّم اللغة العربية</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وقد أشار بعض الطلاب إلى أن تعلم اللغة العربية، وخاصة مهارة القراءة, يُعدّ صعبًا بالنسبة لهم، بسبب كثرة المفردات الجديدة، وبنية الجمل المختلفة عن اللغة الإندونيسية، بالإضافة إلى صعوبة نطق الحروف الهجائية بدقة. </w:t>
      </w:r>
      <w:sdt>
        <w:sdtPr>
          <w:rPr>
            <w:rFonts w:asciiTheme="majorBidi" w:hAnsiTheme="majorBidi" w:cstheme="majorBidi"/>
            <w:sz w:val="24"/>
            <w:szCs w:val="24"/>
            <w:rtl/>
          </w:rPr>
          <w:id w:val="-576903044"/>
          <w:citation/>
        </w:sdtPr>
        <w:sdtEndPr/>
        <w:sdtContent>
          <w:r w:rsidR="00E26787" w:rsidRPr="00E26787">
            <w:rPr>
              <w:rFonts w:asciiTheme="majorBidi" w:hAnsiTheme="majorBidi" w:cstheme="majorBidi"/>
              <w:sz w:val="24"/>
              <w:szCs w:val="24"/>
              <w:rtl/>
            </w:rPr>
            <w:fldChar w:fldCharType="begin"/>
          </w:r>
          <w:r w:rsidR="00E26787" w:rsidRPr="00E26787">
            <w:rPr>
              <w:rFonts w:asciiTheme="majorBidi" w:hAnsiTheme="majorBidi" w:cstheme="majorBidi"/>
              <w:sz w:val="24"/>
              <w:szCs w:val="24"/>
              <w:lang w:val="id-ID"/>
            </w:rPr>
            <w:instrText xml:space="preserve"> CITATION Ris241 \l 1057 </w:instrText>
          </w:r>
          <w:r w:rsidR="00E26787" w:rsidRPr="00E26787">
            <w:rPr>
              <w:rFonts w:asciiTheme="majorBidi" w:hAnsiTheme="majorBidi" w:cstheme="majorBidi"/>
              <w:sz w:val="24"/>
              <w:szCs w:val="24"/>
              <w:rtl/>
            </w:rPr>
            <w:fldChar w:fldCharType="separate"/>
          </w:r>
          <w:r w:rsidR="00E26787" w:rsidRPr="00E26787">
            <w:rPr>
              <w:rFonts w:asciiTheme="majorBidi" w:hAnsiTheme="majorBidi" w:cstheme="majorBidi"/>
              <w:noProof/>
              <w:sz w:val="24"/>
              <w:szCs w:val="24"/>
              <w:lang w:val="id-ID"/>
            </w:rPr>
            <w:t>(Risky, 2024)</w:t>
          </w:r>
          <w:r w:rsidR="00E26787" w:rsidRPr="00E26787">
            <w:rPr>
              <w:rFonts w:asciiTheme="majorBidi" w:hAnsiTheme="majorBidi" w:cstheme="majorBidi"/>
              <w:sz w:val="24"/>
              <w:szCs w:val="24"/>
              <w:rtl/>
            </w:rPr>
            <w:fldChar w:fldCharType="end"/>
          </w:r>
        </w:sdtContent>
      </w:sdt>
    </w:p>
    <w:p w14:paraId="2411C12C" w14:textId="41D40592"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وأشار طلاب آخرون إلى أن الطريقة التي يستخدمها المعلم غير مشوّقة، حيث إن تكرار قراءة النصوص الطويلة يشعرهم بالملل ويفقدهم التركيز بسرعة. وأعربوا عن أملهم في تنويع وسائل التعلم، مثل استخدام الفيديوهات، والصور، أو الألعاب اللغوية، لمساعدتهم على التعلم بطريقة أكثر متع</w:t>
      </w:r>
      <w:sdt>
        <w:sdtPr>
          <w:rPr>
            <w:rFonts w:ascii="Traditional Arabic" w:hAnsi="Traditional Arabic" w:cs="Traditional Arabic"/>
            <w:sz w:val="36"/>
            <w:szCs w:val="36"/>
            <w:rtl/>
          </w:rPr>
          <w:id w:val="1362087610"/>
          <w:citation/>
        </w:sdtPr>
        <w:sdtEndPr>
          <w:rPr>
            <w:rFonts w:asciiTheme="majorBidi" w:hAnsiTheme="majorBidi" w:cstheme="majorBidi"/>
            <w:sz w:val="24"/>
            <w:szCs w:val="24"/>
          </w:rPr>
        </w:sdtEndPr>
        <w:sdtContent>
          <w:r w:rsidR="00E26787" w:rsidRPr="00E26787">
            <w:rPr>
              <w:rFonts w:asciiTheme="majorBidi" w:hAnsiTheme="majorBidi" w:cstheme="majorBidi"/>
              <w:sz w:val="24"/>
              <w:szCs w:val="24"/>
              <w:rtl/>
            </w:rPr>
            <w:fldChar w:fldCharType="begin"/>
          </w:r>
          <w:r w:rsidR="00E26787" w:rsidRPr="00E26787">
            <w:rPr>
              <w:rFonts w:asciiTheme="majorBidi" w:hAnsiTheme="majorBidi" w:cstheme="majorBidi"/>
              <w:sz w:val="24"/>
              <w:szCs w:val="24"/>
              <w:lang w:val="id-ID"/>
            </w:rPr>
            <w:instrText xml:space="preserve"> CITATION Fah24 \l 1057 </w:instrText>
          </w:r>
          <w:r w:rsidR="00E26787" w:rsidRPr="00E26787">
            <w:rPr>
              <w:rFonts w:asciiTheme="majorBidi" w:hAnsiTheme="majorBidi" w:cstheme="majorBidi"/>
              <w:sz w:val="24"/>
              <w:szCs w:val="24"/>
              <w:rtl/>
            </w:rPr>
            <w:fldChar w:fldCharType="separate"/>
          </w:r>
          <w:r w:rsidR="00E26787" w:rsidRPr="00E26787">
            <w:rPr>
              <w:rFonts w:asciiTheme="majorBidi" w:hAnsiTheme="majorBidi" w:cstheme="majorBidi"/>
              <w:noProof/>
              <w:sz w:val="24"/>
              <w:szCs w:val="24"/>
              <w:lang w:val="id-ID"/>
            </w:rPr>
            <w:t xml:space="preserve"> (Fahrul, 2024)</w:t>
          </w:r>
          <w:r w:rsidR="00E26787" w:rsidRPr="00E26787">
            <w:rPr>
              <w:rFonts w:asciiTheme="majorBidi" w:hAnsiTheme="majorBidi" w:cstheme="majorBidi"/>
              <w:sz w:val="24"/>
              <w:szCs w:val="24"/>
              <w:rtl/>
            </w:rPr>
            <w:fldChar w:fldCharType="end"/>
          </w:r>
        </w:sdtContent>
      </w:sdt>
    </w:p>
    <w:p w14:paraId="1B6B3D70" w14:textId="08B16C56" w:rsidR="008D263B" w:rsidRDefault="008D263B" w:rsidP="00CD7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lastRenderedPageBreak/>
        <w:t>كما عبّر بعض الطلاب عن أنهم لا يراجعون مادة اللغة العربية في المنزل، ويعتمدون فقط على ما يتعلمونه في الصف. وذكروا أنهم يشعرون بعدم الثقة بالنفس عند الدراسة الذاتية دون وجود المعلم، مما يجعلهم يميلون إلى الحفظ دون الفهم الحقيقي للمحتوى</w:t>
      </w:r>
      <w:r w:rsidRPr="00274849">
        <w:rPr>
          <w:rFonts w:ascii="Traditional Arabic" w:hAnsi="Traditional Arabic" w:cs="Traditional Arabic"/>
          <w:sz w:val="36"/>
          <w:szCs w:val="36"/>
        </w:rPr>
        <w:t>.</w:t>
      </w:r>
    </w:p>
    <w:p w14:paraId="7DA7BBDE" w14:textId="055B5CB2" w:rsidR="00FD45C5" w:rsidRDefault="00FD45C5" w:rsidP="00FD45C5">
      <w:pPr>
        <w:bidi/>
        <w:rPr>
          <w:rFonts w:ascii="Traditional Arabic" w:hAnsi="Traditional Arabic" w:cs="Traditional Arabic"/>
          <w:sz w:val="36"/>
          <w:szCs w:val="36"/>
        </w:rPr>
      </w:pPr>
      <w:r>
        <w:rPr>
          <w:rFonts w:ascii="Traditional Arabic" w:hAnsi="Traditional Arabic" w:cs="Traditional Arabic"/>
          <w:sz w:val="36"/>
          <w:szCs w:val="36"/>
        </w:rPr>
        <w:tab/>
      </w:r>
      <w:r w:rsidRPr="00AF69CF">
        <w:rPr>
          <w:rFonts w:ascii="Traditional Arabic" w:hAnsi="Traditional Arabic" w:cs="Traditional Arabic"/>
          <w:sz w:val="36"/>
          <w:szCs w:val="36"/>
          <w:rtl/>
        </w:rPr>
        <w:t>فيما يلي جدول لتقييم مهارة القراءة لدى الطلاب، ويشمل التقديرات: جيد، مقبول، وغير جيد</w:t>
      </w:r>
    </w:p>
    <w:p w14:paraId="6178D0B0" w14:textId="5AB1E6A5" w:rsidR="00FD45C5" w:rsidRPr="001A0169" w:rsidRDefault="001A0169" w:rsidP="001A016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Traditional Arabic" w:hAnsi="Traditional Arabic" w:cs="Traditional Arabic"/>
          <w:color w:val="1F1F1F"/>
          <w:sz w:val="36"/>
          <w:szCs w:val="36"/>
          <w:shd w:val="clear" w:color="auto" w:fill="FFFFFF" w:themeFill="background1"/>
          <w:lang w:eastAsia="en-ID" w:bidi="ar"/>
        </w:rPr>
      </w:pPr>
      <w:r w:rsidRPr="00AF69CF">
        <w:rPr>
          <w:rFonts w:ascii="Traditional Arabic" w:hAnsi="Traditional Arabic" w:cs="Traditional Arabic"/>
          <w:color w:val="1F1F1F"/>
          <w:sz w:val="36"/>
          <w:szCs w:val="36"/>
          <w:shd w:val="clear" w:color="auto" w:fill="FFFFFF" w:themeFill="background1"/>
          <w:rtl/>
          <w:lang w:eastAsia="en-ID" w:bidi="ar"/>
        </w:rPr>
        <w:t xml:space="preserve">الجدول </w:t>
      </w:r>
      <w:r w:rsidRPr="003C4D76">
        <w:rPr>
          <w:rFonts w:ascii="Traditional Arabic" w:hAnsi="Traditional Arabic" w:cs="Traditional Arabic"/>
          <w:sz w:val="36"/>
          <w:szCs w:val="36"/>
          <w:rtl/>
          <w:lang w:eastAsia="en-ID"/>
        </w:rPr>
        <w:t>٢</w:t>
      </w:r>
      <w:r w:rsidRPr="00AF69CF">
        <w:rPr>
          <w:rFonts w:ascii="Traditional Arabic" w:hAnsi="Traditional Arabic" w:cs="Traditional Arabic"/>
          <w:color w:val="1F1F1F"/>
          <w:sz w:val="36"/>
          <w:szCs w:val="36"/>
          <w:shd w:val="clear" w:color="auto" w:fill="FFFFFF" w:themeFill="background1"/>
          <w:rtl/>
          <w:lang w:eastAsia="en-ID" w:bidi="ar"/>
        </w:rPr>
        <w:t>. تقييم قراءة الطلاب</w:t>
      </w:r>
    </w:p>
    <w:tbl>
      <w:tblPr>
        <w:tblStyle w:val="TableGrid"/>
        <w:bidiVisual/>
        <w:tblW w:w="0" w:type="auto"/>
        <w:tblInd w:w="892" w:type="dxa"/>
        <w:tblLook w:val="04A0" w:firstRow="1" w:lastRow="0" w:firstColumn="1" w:lastColumn="0" w:noHBand="0" w:noVBand="1"/>
      </w:tblPr>
      <w:tblGrid>
        <w:gridCol w:w="818"/>
        <w:gridCol w:w="2340"/>
        <w:gridCol w:w="2340"/>
        <w:gridCol w:w="2340"/>
      </w:tblGrid>
      <w:tr w:rsidR="00FD45C5" w14:paraId="08ACF77C" w14:textId="77777777" w:rsidTr="001A0169">
        <w:trPr>
          <w:trHeight w:val="516"/>
        </w:trPr>
        <w:tc>
          <w:tcPr>
            <w:tcW w:w="818" w:type="dxa"/>
            <w:vAlign w:val="center"/>
          </w:tcPr>
          <w:p w14:paraId="6D2EB4C6" w14:textId="77777777" w:rsidR="00FD45C5" w:rsidRPr="00F86C7B" w:rsidRDefault="00FD45C5" w:rsidP="00FD45C5">
            <w:pPr>
              <w:pStyle w:val="NormalWeb"/>
              <w:jc w:val="center"/>
              <w:rPr>
                <w:rFonts w:ascii="Traditional Arabic" w:hAnsi="Traditional Arabic" w:cs="Traditional Arabic"/>
                <w:b/>
                <w:bCs/>
                <w:sz w:val="36"/>
                <w:szCs w:val="36"/>
                <w:rtl/>
              </w:rPr>
            </w:pPr>
            <w:r w:rsidRPr="00F86C7B">
              <w:rPr>
                <w:rFonts w:ascii="Traditional Arabic" w:hAnsi="Traditional Arabic" w:cs="Traditional Arabic"/>
                <w:b/>
                <w:bCs/>
                <w:sz w:val="36"/>
                <w:szCs w:val="36"/>
                <w:rtl/>
              </w:rPr>
              <w:t xml:space="preserve">الرقم </w:t>
            </w:r>
          </w:p>
        </w:tc>
        <w:tc>
          <w:tcPr>
            <w:tcW w:w="2340" w:type="dxa"/>
            <w:vAlign w:val="center"/>
          </w:tcPr>
          <w:p w14:paraId="33D9F310" w14:textId="77777777" w:rsidR="00FD45C5" w:rsidRPr="00F86C7B" w:rsidRDefault="00FD45C5" w:rsidP="00FD45C5">
            <w:pPr>
              <w:bidi/>
              <w:jc w:val="center"/>
              <w:rPr>
                <w:rFonts w:ascii="Traditional Arabic" w:hAnsi="Traditional Arabic" w:cs="Traditional Arabic"/>
                <w:b/>
                <w:bCs/>
                <w:sz w:val="36"/>
                <w:szCs w:val="36"/>
                <w:rtl/>
              </w:rPr>
            </w:pPr>
            <w:r w:rsidRPr="00F86C7B">
              <w:rPr>
                <w:rFonts w:ascii="Traditional Arabic" w:hAnsi="Traditional Arabic" w:cs="Traditional Arabic"/>
                <w:b/>
                <w:bCs/>
                <w:sz w:val="36"/>
                <w:szCs w:val="36"/>
                <w:rtl/>
              </w:rPr>
              <w:t>اسم الطالب</w:t>
            </w:r>
          </w:p>
        </w:tc>
        <w:tc>
          <w:tcPr>
            <w:tcW w:w="2340" w:type="dxa"/>
            <w:vAlign w:val="center"/>
          </w:tcPr>
          <w:p w14:paraId="4B4E6C47" w14:textId="77777777" w:rsidR="00FD45C5" w:rsidRPr="00F86C7B" w:rsidRDefault="00FD45C5" w:rsidP="00FD45C5">
            <w:pPr>
              <w:bidi/>
              <w:jc w:val="center"/>
              <w:rPr>
                <w:rFonts w:ascii="Traditional Arabic" w:hAnsi="Traditional Arabic" w:cs="Traditional Arabic"/>
                <w:b/>
                <w:bCs/>
                <w:sz w:val="36"/>
                <w:szCs w:val="36"/>
                <w:rtl/>
              </w:rPr>
            </w:pPr>
            <w:r w:rsidRPr="00F86C7B">
              <w:rPr>
                <w:rFonts w:ascii="Traditional Arabic" w:hAnsi="Traditional Arabic" w:cs="Traditional Arabic"/>
                <w:b/>
                <w:bCs/>
                <w:sz w:val="36"/>
                <w:szCs w:val="36"/>
                <w:rtl/>
              </w:rPr>
              <w:t>الدرجة الكلّيّة</w:t>
            </w:r>
          </w:p>
        </w:tc>
        <w:tc>
          <w:tcPr>
            <w:tcW w:w="2340" w:type="dxa"/>
            <w:vAlign w:val="center"/>
          </w:tcPr>
          <w:p w14:paraId="1A9CB3DD" w14:textId="77777777" w:rsidR="00FD45C5" w:rsidRPr="00F86C7B" w:rsidRDefault="00FD45C5" w:rsidP="00FD45C5">
            <w:pPr>
              <w:bidi/>
              <w:jc w:val="center"/>
              <w:rPr>
                <w:rFonts w:ascii="Traditional Arabic" w:hAnsi="Traditional Arabic" w:cs="Traditional Arabic"/>
                <w:b/>
                <w:bCs/>
                <w:sz w:val="36"/>
                <w:szCs w:val="36"/>
                <w:rtl/>
              </w:rPr>
            </w:pPr>
            <w:r w:rsidRPr="00F86C7B">
              <w:rPr>
                <w:rFonts w:ascii="Traditional Arabic" w:hAnsi="Traditional Arabic" w:cs="Traditional Arabic"/>
                <w:b/>
                <w:bCs/>
                <w:sz w:val="36"/>
                <w:szCs w:val="36"/>
                <w:rtl/>
              </w:rPr>
              <w:t>الفئة</w:t>
            </w:r>
          </w:p>
        </w:tc>
      </w:tr>
      <w:tr w:rsidR="00FD45C5" w14:paraId="0E276711" w14:textId="77777777" w:rsidTr="001A0169">
        <w:tc>
          <w:tcPr>
            <w:tcW w:w="818" w:type="dxa"/>
          </w:tcPr>
          <w:p w14:paraId="6E9F0D7C"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١</w:t>
            </w:r>
          </w:p>
        </w:tc>
        <w:tc>
          <w:tcPr>
            <w:tcW w:w="2340" w:type="dxa"/>
          </w:tcPr>
          <w:p w14:paraId="66D54C26"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Dimas</w:t>
            </w:r>
          </w:p>
        </w:tc>
        <w:tc>
          <w:tcPr>
            <w:tcW w:w="2340" w:type="dxa"/>
          </w:tcPr>
          <w:p w14:paraId="1FD7429F" w14:textId="77777777" w:rsidR="00FD45C5" w:rsidRPr="00A5146E" w:rsidRDefault="00FD45C5" w:rsidP="00FD45C5">
            <w:pPr>
              <w:bidi/>
              <w:jc w:val="center"/>
              <w:rPr>
                <w:rFonts w:ascii="Traditional Arabic" w:hAnsi="Traditional Arabic" w:cs="Traditional Arabic"/>
                <w:rtl/>
              </w:rPr>
            </w:pPr>
            <w:r w:rsidRPr="00A5146E">
              <w:rPr>
                <w:rFonts w:ascii="Traditional Arabic" w:hAnsi="Traditional Arabic" w:cs="Traditional Arabic"/>
                <w:sz w:val="36"/>
                <w:szCs w:val="36"/>
                <w:rtl/>
                <w:lang w:eastAsia="en-ID"/>
              </w:rPr>
              <w:t>٦</w:t>
            </w:r>
          </w:p>
        </w:tc>
        <w:tc>
          <w:tcPr>
            <w:tcW w:w="2340" w:type="dxa"/>
          </w:tcPr>
          <w:p w14:paraId="2023880F"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295D8556" w14:textId="77777777" w:rsidTr="001A0169">
        <w:tc>
          <w:tcPr>
            <w:tcW w:w="818" w:type="dxa"/>
          </w:tcPr>
          <w:p w14:paraId="18A9B2D2"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٢</w:t>
            </w:r>
          </w:p>
        </w:tc>
        <w:tc>
          <w:tcPr>
            <w:tcW w:w="2340" w:type="dxa"/>
          </w:tcPr>
          <w:p w14:paraId="413DEC3E"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Arya</w:t>
            </w:r>
          </w:p>
        </w:tc>
        <w:tc>
          <w:tcPr>
            <w:tcW w:w="2340" w:type="dxa"/>
          </w:tcPr>
          <w:p w14:paraId="7F9CEB13" w14:textId="77777777" w:rsidR="00FD45C5" w:rsidRPr="00A5146E" w:rsidRDefault="00FD45C5" w:rsidP="00FD45C5">
            <w:pPr>
              <w:bidi/>
              <w:jc w:val="center"/>
              <w:rPr>
                <w:rFonts w:ascii="Traditional Arabic" w:hAnsi="Traditional Arabic" w:cs="Traditional Arabic"/>
                <w:rtl/>
              </w:rPr>
            </w:pPr>
            <w:r w:rsidRPr="00A5146E">
              <w:rPr>
                <w:rFonts w:ascii="Traditional Arabic" w:hAnsi="Traditional Arabic" w:cs="Traditional Arabic"/>
                <w:sz w:val="36"/>
                <w:szCs w:val="36"/>
                <w:rtl/>
                <w:lang w:eastAsia="en-ID"/>
              </w:rPr>
              <w:t>٧</w:t>
            </w:r>
          </w:p>
        </w:tc>
        <w:tc>
          <w:tcPr>
            <w:tcW w:w="2340" w:type="dxa"/>
          </w:tcPr>
          <w:p w14:paraId="41F32EF7"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04B339F4" w14:textId="77777777" w:rsidTr="001A0169">
        <w:tc>
          <w:tcPr>
            <w:tcW w:w="818" w:type="dxa"/>
          </w:tcPr>
          <w:p w14:paraId="03D0F249"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٣</w:t>
            </w:r>
          </w:p>
        </w:tc>
        <w:tc>
          <w:tcPr>
            <w:tcW w:w="2340" w:type="dxa"/>
          </w:tcPr>
          <w:p w14:paraId="01EB9D49"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Risky</w:t>
            </w:r>
          </w:p>
        </w:tc>
        <w:tc>
          <w:tcPr>
            <w:tcW w:w="2340" w:type="dxa"/>
          </w:tcPr>
          <w:p w14:paraId="46FDA6ED"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٥</w:t>
            </w:r>
          </w:p>
        </w:tc>
        <w:tc>
          <w:tcPr>
            <w:tcW w:w="2340" w:type="dxa"/>
          </w:tcPr>
          <w:p w14:paraId="0BF9AECA"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5E4E94D4" w14:textId="77777777" w:rsidTr="001A0169">
        <w:tc>
          <w:tcPr>
            <w:tcW w:w="818" w:type="dxa"/>
          </w:tcPr>
          <w:p w14:paraId="6AC2EC74"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٤</w:t>
            </w:r>
          </w:p>
        </w:tc>
        <w:tc>
          <w:tcPr>
            <w:tcW w:w="2340" w:type="dxa"/>
          </w:tcPr>
          <w:p w14:paraId="52F5FB6D"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Fahrul</w:t>
            </w:r>
          </w:p>
        </w:tc>
        <w:tc>
          <w:tcPr>
            <w:tcW w:w="2340" w:type="dxa"/>
          </w:tcPr>
          <w:p w14:paraId="41BB63E8"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٨</w:t>
            </w:r>
          </w:p>
        </w:tc>
        <w:tc>
          <w:tcPr>
            <w:tcW w:w="2340" w:type="dxa"/>
          </w:tcPr>
          <w:p w14:paraId="4CF496EB"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1FEBCBFB" w14:textId="77777777" w:rsidTr="001A0169">
        <w:tc>
          <w:tcPr>
            <w:tcW w:w="818" w:type="dxa"/>
          </w:tcPr>
          <w:p w14:paraId="07B07298"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٥</w:t>
            </w:r>
          </w:p>
        </w:tc>
        <w:tc>
          <w:tcPr>
            <w:tcW w:w="2340" w:type="dxa"/>
          </w:tcPr>
          <w:p w14:paraId="1728E213"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Husein</w:t>
            </w:r>
          </w:p>
        </w:tc>
        <w:tc>
          <w:tcPr>
            <w:tcW w:w="2340" w:type="dxa"/>
          </w:tcPr>
          <w:p w14:paraId="1675B6DD"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٦</w:t>
            </w:r>
          </w:p>
        </w:tc>
        <w:tc>
          <w:tcPr>
            <w:tcW w:w="2340" w:type="dxa"/>
          </w:tcPr>
          <w:p w14:paraId="3CF50C75"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3AE75D85" w14:textId="77777777" w:rsidTr="001A0169">
        <w:tc>
          <w:tcPr>
            <w:tcW w:w="818" w:type="dxa"/>
          </w:tcPr>
          <w:p w14:paraId="33FD301B"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٦</w:t>
            </w:r>
          </w:p>
        </w:tc>
        <w:tc>
          <w:tcPr>
            <w:tcW w:w="2340" w:type="dxa"/>
          </w:tcPr>
          <w:p w14:paraId="132B4012"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Suci</w:t>
            </w:r>
          </w:p>
        </w:tc>
        <w:tc>
          <w:tcPr>
            <w:tcW w:w="2340" w:type="dxa"/>
          </w:tcPr>
          <w:p w14:paraId="7D45B838"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٧</w:t>
            </w:r>
          </w:p>
        </w:tc>
        <w:tc>
          <w:tcPr>
            <w:tcW w:w="2340" w:type="dxa"/>
          </w:tcPr>
          <w:p w14:paraId="76B939B2"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53CA4653" w14:textId="77777777" w:rsidTr="001A0169">
        <w:tc>
          <w:tcPr>
            <w:tcW w:w="818" w:type="dxa"/>
          </w:tcPr>
          <w:p w14:paraId="58FB9AE5"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٧</w:t>
            </w:r>
          </w:p>
        </w:tc>
        <w:tc>
          <w:tcPr>
            <w:tcW w:w="2340" w:type="dxa"/>
          </w:tcPr>
          <w:p w14:paraId="47722C64"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Indah</w:t>
            </w:r>
          </w:p>
        </w:tc>
        <w:tc>
          <w:tcPr>
            <w:tcW w:w="2340" w:type="dxa"/>
          </w:tcPr>
          <w:p w14:paraId="021DD312"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٥</w:t>
            </w:r>
          </w:p>
        </w:tc>
        <w:tc>
          <w:tcPr>
            <w:tcW w:w="2340" w:type="dxa"/>
          </w:tcPr>
          <w:p w14:paraId="4D370BBE"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2A5C114B" w14:textId="77777777" w:rsidTr="001A0169">
        <w:tc>
          <w:tcPr>
            <w:tcW w:w="818" w:type="dxa"/>
          </w:tcPr>
          <w:p w14:paraId="11F8C7E1"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٨</w:t>
            </w:r>
          </w:p>
        </w:tc>
        <w:tc>
          <w:tcPr>
            <w:tcW w:w="2340" w:type="dxa"/>
          </w:tcPr>
          <w:p w14:paraId="1018C188"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Angga</w:t>
            </w:r>
          </w:p>
        </w:tc>
        <w:tc>
          <w:tcPr>
            <w:tcW w:w="2340" w:type="dxa"/>
            <w:vAlign w:val="center"/>
          </w:tcPr>
          <w:p w14:paraId="20C53A20"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٤</w:t>
            </w:r>
          </w:p>
        </w:tc>
        <w:tc>
          <w:tcPr>
            <w:tcW w:w="2340" w:type="dxa"/>
          </w:tcPr>
          <w:p w14:paraId="4953AE8C"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483E507C" w14:textId="77777777" w:rsidTr="001A0169">
        <w:tc>
          <w:tcPr>
            <w:tcW w:w="818" w:type="dxa"/>
          </w:tcPr>
          <w:p w14:paraId="29103B52"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٩</w:t>
            </w:r>
          </w:p>
        </w:tc>
        <w:tc>
          <w:tcPr>
            <w:tcW w:w="2340" w:type="dxa"/>
          </w:tcPr>
          <w:p w14:paraId="6EC080CB"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Putri</w:t>
            </w:r>
          </w:p>
        </w:tc>
        <w:tc>
          <w:tcPr>
            <w:tcW w:w="2340" w:type="dxa"/>
          </w:tcPr>
          <w:p w14:paraId="6A19DAF0"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١٠</w:t>
            </w:r>
          </w:p>
        </w:tc>
        <w:tc>
          <w:tcPr>
            <w:tcW w:w="2340" w:type="dxa"/>
          </w:tcPr>
          <w:p w14:paraId="7CF1184E"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rPr>
              <w:t>مقبول</w:t>
            </w:r>
          </w:p>
        </w:tc>
      </w:tr>
      <w:tr w:rsidR="00FD45C5" w14:paraId="70BBDE88" w14:textId="77777777" w:rsidTr="001A0169">
        <w:tc>
          <w:tcPr>
            <w:tcW w:w="818" w:type="dxa"/>
          </w:tcPr>
          <w:p w14:paraId="19A29179"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١٠</w:t>
            </w:r>
          </w:p>
        </w:tc>
        <w:tc>
          <w:tcPr>
            <w:tcW w:w="2340" w:type="dxa"/>
          </w:tcPr>
          <w:p w14:paraId="0CB37C11"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Maysarah</w:t>
            </w:r>
          </w:p>
        </w:tc>
        <w:tc>
          <w:tcPr>
            <w:tcW w:w="2340" w:type="dxa"/>
          </w:tcPr>
          <w:p w14:paraId="5CAB58FD"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١١</w:t>
            </w:r>
          </w:p>
        </w:tc>
        <w:tc>
          <w:tcPr>
            <w:tcW w:w="2340" w:type="dxa"/>
          </w:tcPr>
          <w:p w14:paraId="3481C052"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rPr>
              <w:t>مقبول</w:t>
            </w:r>
          </w:p>
        </w:tc>
      </w:tr>
      <w:tr w:rsidR="00FD45C5" w14:paraId="089B31B8" w14:textId="77777777" w:rsidTr="001A0169">
        <w:tc>
          <w:tcPr>
            <w:tcW w:w="818" w:type="dxa"/>
          </w:tcPr>
          <w:p w14:paraId="7254F1F4"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١١</w:t>
            </w:r>
          </w:p>
        </w:tc>
        <w:tc>
          <w:tcPr>
            <w:tcW w:w="2340" w:type="dxa"/>
          </w:tcPr>
          <w:p w14:paraId="3FD302DE"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Rania</w:t>
            </w:r>
          </w:p>
        </w:tc>
        <w:tc>
          <w:tcPr>
            <w:tcW w:w="2340" w:type="dxa"/>
          </w:tcPr>
          <w:p w14:paraId="1D21E7C6"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٧</w:t>
            </w:r>
          </w:p>
        </w:tc>
        <w:tc>
          <w:tcPr>
            <w:tcW w:w="2340" w:type="dxa"/>
          </w:tcPr>
          <w:p w14:paraId="38C56AB3"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43834EF9" w14:textId="77777777" w:rsidTr="001A0169">
        <w:tc>
          <w:tcPr>
            <w:tcW w:w="818" w:type="dxa"/>
          </w:tcPr>
          <w:p w14:paraId="44CF0768" w14:textId="77777777" w:rsidR="00FD45C5" w:rsidRPr="00F86C7B" w:rsidRDefault="00FD45C5" w:rsidP="00FD45C5">
            <w:pPr>
              <w:bidi/>
              <w:jc w:val="center"/>
              <w:rPr>
                <w:rFonts w:asciiTheme="majorBidi" w:hAnsiTheme="majorBidi" w:cstheme="majorBidi"/>
                <w:sz w:val="36"/>
                <w:szCs w:val="36"/>
                <w:rtl/>
              </w:rPr>
            </w:pPr>
            <w:r w:rsidRPr="00F86C7B">
              <w:rPr>
                <w:rFonts w:asciiTheme="majorBidi" w:hAnsiTheme="majorBidi" w:cstheme="majorBidi"/>
                <w:sz w:val="36"/>
                <w:szCs w:val="36"/>
                <w:rtl/>
                <w:lang w:eastAsia="en-ID"/>
              </w:rPr>
              <w:t>١٢</w:t>
            </w:r>
          </w:p>
        </w:tc>
        <w:tc>
          <w:tcPr>
            <w:tcW w:w="2340" w:type="dxa"/>
          </w:tcPr>
          <w:p w14:paraId="555BF706"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Joko</w:t>
            </w:r>
          </w:p>
        </w:tc>
        <w:tc>
          <w:tcPr>
            <w:tcW w:w="2340" w:type="dxa"/>
          </w:tcPr>
          <w:p w14:paraId="44207DA4"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٥</w:t>
            </w:r>
          </w:p>
        </w:tc>
        <w:tc>
          <w:tcPr>
            <w:tcW w:w="2340" w:type="dxa"/>
          </w:tcPr>
          <w:p w14:paraId="2D80DBF7"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09357421" w14:textId="77777777" w:rsidTr="001A0169">
        <w:trPr>
          <w:trHeight w:val="70"/>
        </w:trPr>
        <w:tc>
          <w:tcPr>
            <w:tcW w:w="818" w:type="dxa"/>
          </w:tcPr>
          <w:p w14:paraId="1F7981CC" w14:textId="77777777" w:rsidR="00FD45C5" w:rsidRPr="00F86C7B" w:rsidRDefault="00FD45C5" w:rsidP="00FD45C5">
            <w:pPr>
              <w:bidi/>
              <w:jc w:val="center"/>
              <w:rPr>
                <w:rFonts w:asciiTheme="majorBidi" w:hAnsiTheme="majorBidi" w:cstheme="majorBidi"/>
                <w:sz w:val="36"/>
                <w:szCs w:val="36"/>
                <w:rtl/>
                <w:lang w:eastAsia="en-ID"/>
              </w:rPr>
            </w:pPr>
            <w:r w:rsidRPr="00F86C7B">
              <w:rPr>
                <w:rFonts w:asciiTheme="majorBidi" w:hAnsiTheme="majorBidi" w:cstheme="majorBidi"/>
                <w:sz w:val="36"/>
                <w:szCs w:val="36"/>
                <w:rtl/>
                <w:lang w:eastAsia="en-ID"/>
              </w:rPr>
              <w:t>١٣</w:t>
            </w:r>
          </w:p>
        </w:tc>
        <w:tc>
          <w:tcPr>
            <w:tcW w:w="2340" w:type="dxa"/>
          </w:tcPr>
          <w:p w14:paraId="137532B3"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Cindy</w:t>
            </w:r>
          </w:p>
        </w:tc>
        <w:tc>
          <w:tcPr>
            <w:tcW w:w="2340" w:type="dxa"/>
          </w:tcPr>
          <w:p w14:paraId="1226AA5D"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٨</w:t>
            </w:r>
          </w:p>
        </w:tc>
        <w:tc>
          <w:tcPr>
            <w:tcW w:w="2340" w:type="dxa"/>
          </w:tcPr>
          <w:p w14:paraId="70626123"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r w:rsidR="00FD45C5" w14:paraId="2CAFEAAA" w14:textId="77777777" w:rsidTr="001A0169">
        <w:tc>
          <w:tcPr>
            <w:tcW w:w="818" w:type="dxa"/>
          </w:tcPr>
          <w:p w14:paraId="62B4C591" w14:textId="77777777" w:rsidR="00FD45C5" w:rsidRPr="00F86C7B" w:rsidRDefault="00FD45C5" w:rsidP="00FD45C5">
            <w:pPr>
              <w:bidi/>
              <w:jc w:val="center"/>
              <w:rPr>
                <w:rFonts w:asciiTheme="majorBidi" w:hAnsiTheme="majorBidi" w:cstheme="majorBidi"/>
                <w:sz w:val="36"/>
                <w:szCs w:val="36"/>
                <w:rtl/>
                <w:lang w:eastAsia="en-ID"/>
              </w:rPr>
            </w:pPr>
            <w:r w:rsidRPr="00F86C7B">
              <w:rPr>
                <w:rFonts w:asciiTheme="majorBidi" w:hAnsiTheme="majorBidi" w:cstheme="majorBidi"/>
                <w:sz w:val="36"/>
                <w:szCs w:val="36"/>
                <w:rtl/>
                <w:lang w:eastAsia="en-ID"/>
              </w:rPr>
              <w:t>١٤</w:t>
            </w:r>
          </w:p>
        </w:tc>
        <w:tc>
          <w:tcPr>
            <w:tcW w:w="2340" w:type="dxa"/>
          </w:tcPr>
          <w:p w14:paraId="4C0C32A0"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Bella</w:t>
            </w:r>
          </w:p>
        </w:tc>
        <w:tc>
          <w:tcPr>
            <w:tcW w:w="2340" w:type="dxa"/>
          </w:tcPr>
          <w:p w14:paraId="0AFF13FF"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٩</w:t>
            </w:r>
          </w:p>
        </w:tc>
        <w:tc>
          <w:tcPr>
            <w:tcW w:w="2340" w:type="dxa"/>
          </w:tcPr>
          <w:p w14:paraId="76AED861"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rPr>
              <w:t>مقبول</w:t>
            </w:r>
          </w:p>
        </w:tc>
      </w:tr>
      <w:tr w:rsidR="00FD45C5" w14:paraId="12E87E37" w14:textId="77777777" w:rsidTr="001A0169">
        <w:tc>
          <w:tcPr>
            <w:tcW w:w="818" w:type="dxa"/>
          </w:tcPr>
          <w:p w14:paraId="73CA451C" w14:textId="77777777" w:rsidR="00FD45C5" w:rsidRPr="00F86C7B" w:rsidRDefault="00FD45C5" w:rsidP="00FD45C5">
            <w:pPr>
              <w:bidi/>
              <w:jc w:val="center"/>
              <w:rPr>
                <w:rFonts w:asciiTheme="majorBidi" w:hAnsiTheme="majorBidi" w:cstheme="majorBidi"/>
                <w:sz w:val="36"/>
                <w:szCs w:val="36"/>
                <w:rtl/>
                <w:lang w:eastAsia="en-ID"/>
              </w:rPr>
            </w:pPr>
            <w:r w:rsidRPr="00F86C7B">
              <w:rPr>
                <w:rFonts w:asciiTheme="majorBidi" w:hAnsiTheme="majorBidi" w:cstheme="majorBidi"/>
                <w:sz w:val="36"/>
                <w:szCs w:val="36"/>
                <w:rtl/>
                <w:lang w:eastAsia="en-ID"/>
              </w:rPr>
              <w:t>١٥</w:t>
            </w:r>
          </w:p>
        </w:tc>
        <w:tc>
          <w:tcPr>
            <w:tcW w:w="2340" w:type="dxa"/>
          </w:tcPr>
          <w:p w14:paraId="31CA3CB5" w14:textId="77777777" w:rsidR="00FD45C5" w:rsidRPr="00F86C7B" w:rsidRDefault="00FD45C5" w:rsidP="00FD45C5">
            <w:pPr>
              <w:bidi/>
              <w:rPr>
                <w:rFonts w:asciiTheme="majorBidi" w:hAnsiTheme="majorBidi" w:cstheme="majorBidi"/>
                <w:sz w:val="24"/>
                <w:szCs w:val="24"/>
                <w:rtl/>
                <w:lang w:val="id-ID"/>
              </w:rPr>
            </w:pPr>
            <w:r w:rsidRPr="00F86C7B">
              <w:rPr>
                <w:rFonts w:asciiTheme="majorBidi" w:hAnsiTheme="majorBidi" w:cstheme="majorBidi"/>
                <w:sz w:val="24"/>
                <w:szCs w:val="24"/>
                <w:lang w:val="id-ID"/>
              </w:rPr>
              <w:t>Kartika</w:t>
            </w:r>
          </w:p>
        </w:tc>
        <w:tc>
          <w:tcPr>
            <w:tcW w:w="2340" w:type="dxa"/>
          </w:tcPr>
          <w:p w14:paraId="3687B735"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٥</w:t>
            </w:r>
          </w:p>
        </w:tc>
        <w:tc>
          <w:tcPr>
            <w:tcW w:w="2340" w:type="dxa"/>
          </w:tcPr>
          <w:p w14:paraId="0F8C42B9" w14:textId="77777777" w:rsidR="00FD45C5" w:rsidRPr="00A5146E" w:rsidRDefault="00FD45C5" w:rsidP="00FD45C5">
            <w:pPr>
              <w:bidi/>
              <w:jc w:val="center"/>
              <w:rPr>
                <w:rFonts w:ascii="Traditional Arabic" w:hAnsi="Traditional Arabic" w:cs="Traditional Arabic"/>
                <w:sz w:val="36"/>
                <w:szCs w:val="36"/>
                <w:rtl/>
              </w:rPr>
            </w:pPr>
            <w:r w:rsidRPr="00A5146E">
              <w:rPr>
                <w:rFonts w:ascii="Traditional Arabic" w:hAnsi="Traditional Arabic" w:cs="Traditional Arabic"/>
                <w:sz w:val="36"/>
                <w:szCs w:val="36"/>
                <w:rtl/>
                <w:lang w:eastAsia="en-ID"/>
              </w:rPr>
              <w:t>غير جيّد</w:t>
            </w:r>
          </w:p>
        </w:tc>
      </w:tr>
    </w:tbl>
    <w:p w14:paraId="3EF83869" w14:textId="39D3F15E" w:rsidR="001A0169" w:rsidRDefault="001A0169" w:rsidP="001A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pP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530"/>
        <w:gridCol w:w="848"/>
      </w:tblGrid>
      <w:tr w:rsidR="001A0169" w:rsidRPr="00CF1F93" w14:paraId="4FFC7336" w14:textId="77777777" w:rsidTr="00F44D52">
        <w:trPr>
          <w:tblHeader/>
          <w:tblCellSpacing w:w="15" w:type="dxa"/>
          <w:jc w:val="right"/>
        </w:trPr>
        <w:tc>
          <w:tcPr>
            <w:tcW w:w="0" w:type="auto"/>
            <w:vAlign w:val="center"/>
            <w:hideMark/>
          </w:tcPr>
          <w:p w14:paraId="1F6F1FCF" w14:textId="77777777" w:rsidR="001A0169" w:rsidRPr="00CF1F93" w:rsidRDefault="001A0169" w:rsidP="00F44D52">
            <w:pPr>
              <w:bidi/>
              <w:spacing w:after="0" w:line="240" w:lineRule="auto"/>
              <w:jc w:val="center"/>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lastRenderedPageBreak/>
              <w:t>مجموع الدرجات</w:t>
            </w:r>
          </w:p>
        </w:tc>
        <w:tc>
          <w:tcPr>
            <w:tcW w:w="0" w:type="auto"/>
            <w:vAlign w:val="center"/>
            <w:hideMark/>
          </w:tcPr>
          <w:p w14:paraId="0523F862" w14:textId="77777777" w:rsidR="001A0169" w:rsidRPr="00CF1F93" w:rsidRDefault="001A0169" w:rsidP="00F44D52">
            <w:pPr>
              <w:bidi/>
              <w:spacing w:after="0" w:line="240" w:lineRule="auto"/>
              <w:jc w:val="center"/>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الفئة</w:t>
            </w:r>
          </w:p>
        </w:tc>
      </w:tr>
      <w:tr w:rsidR="001A0169" w:rsidRPr="00CF1F93" w14:paraId="2D725DB4" w14:textId="77777777" w:rsidTr="00F44D52">
        <w:trPr>
          <w:tblCellSpacing w:w="15" w:type="dxa"/>
          <w:jc w:val="right"/>
        </w:trPr>
        <w:tc>
          <w:tcPr>
            <w:tcW w:w="0" w:type="auto"/>
            <w:vAlign w:val="center"/>
            <w:hideMark/>
          </w:tcPr>
          <w:p w14:paraId="22DCAD85"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١٣</w:t>
            </w:r>
            <w:r w:rsidRPr="00CF1F93">
              <w:rPr>
                <w:rFonts w:ascii="Traditional Arabic" w:hAnsi="Traditional Arabic" w:cs="Traditional Arabic"/>
                <w:sz w:val="36"/>
                <w:szCs w:val="36"/>
                <w:lang w:val="en-ID" w:eastAsia="en-ID"/>
              </w:rPr>
              <w:t xml:space="preserve"> – </w:t>
            </w:r>
            <w:r w:rsidRPr="00CF1F93">
              <w:rPr>
                <w:rFonts w:ascii="Traditional Arabic" w:hAnsi="Traditional Arabic" w:cs="Traditional Arabic"/>
                <w:sz w:val="36"/>
                <w:szCs w:val="36"/>
                <w:rtl/>
                <w:lang w:val="en-ID" w:eastAsia="en-ID"/>
              </w:rPr>
              <w:t>١٥</w:t>
            </w:r>
          </w:p>
        </w:tc>
        <w:tc>
          <w:tcPr>
            <w:tcW w:w="0" w:type="auto"/>
            <w:vAlign w:val="center"/>
            <w:hideMark/>
          </w:tcPr>
          <w:p w14:paraId="06F98510"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جيد</w:t>
            </w:r>
          </w:p>
        </w:tc>
      </w:tr>
      <w:tr w:rsidR="001A0169" w:rsidRPr="00CF1F93" w14:paraId="055C7CFC" w14:textId="77777777" w:rsidTr="00F44D52">
        <w:trPr>
          <w:tblCellSpacing w:w="15" w:type="dxa"/>
          <w:jc w:val="right"/>
        </w:trPr>
        <w:tc>
          <w:tcPr>
            <w:tcW w:w="0" w:type="auto"/>
            <w:vAlign w:val="center"/>
            <w:hideMark/>
          </w:tcPr>
          <w:p w14:paraId="17818049"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٩</w:t>
            </w:r>
            <w:r w:rsidRPr="00CF1F93">
              <w:rPr>
                <w:rFonts w:ascii="Traditional Arabic" w:hAnsi="Traditional Arabic" w:cs="Traditional Arabic"/>
                <w:sz w:val="36"/>
                <w:szCs w:val="36"/>
                <w:lang w:val="en-ID" w:eastAsia="en-ID"/>
              </w:rPr>
              <w:t xml:space="preserve"> – </w:t>
            </w:r>
            <w:r w:rsidRPr="00CF1F93">
              <w:rPr>
                <w:rFonts w:ascii="Traditional Arabic" w:hAnsi="Traditional Arabic" w:cs="Traditional Arabic"/>
                <w:sz w:val="36"/>
                <w:szCs w:val="36"/>
                <w:rtl/>
                <w:lang w:val="en-ID" w:eastAsia="en-ID"/>
              </w:rPr>
              <w:t>١٢</w:t>
            </w:r>
          </w:p>
        </w:tc>
        <w:tc>
          <w:tcPr>
            <w:tcW w:w="0" w:type="auto"/>
            <w:vAlign w:val="center"/>
            <w:hideMark/>
          </w:tcPr>
          <w:p w14:paraId="5E232558"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مقبول</w:t>
            </w:r>
          </w:p>
        </w:tc>
      </w:tr>
      <w:tr w:rsidR="001A0169" w:rsidRPr="00CF1F93" w14:paraId="7D2F6F85" w14:textId="77777777" w:rsidTr="00F44D52">
        <w:trPr>
          <w:tblCellSpacing w:w="15" w:type="dxa"/>
          <w:jc w:val="right"/>
        </w:trPr>
        <w:tc>
          <w:tcPr>
            <w:tcW w:w="0" w:type="auto"/>
            <w:vAlign w:val="center"/>
            <w:hideMark/>
          </w:tcPr>
          <w:p w14:paraId="4833851F"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٥</w:t>
            </w:r>
            <w:r w:rsidRPr="00CF1F93">
              <w:rPr>
                <w:rFonts w:ascii="Traditional Arabic" w:hAnsi="Traditional Arabic" w:cs="Traditional Arabic"/>
                <w:sz w:val="36"/>
                <w:szCs w:val="36"/>
                <w:lang w:val="en-ID" w:eastAsia="en-ID"/>
              </w:rPr>
              <w:t xml:space="preserve"> – </w:t>
            </w:r>
            <w:r w:rsidRPr="00CF1F93">
              <w:rPr>
                <w:rFonts w:ascii="Traditional Arabic" w:hAnsi="Traditional Arabic" w:cs="Traditional Arabic"/>
                <w:sz w:val="36"/>
                <w:szCs w:val="36"/>
                <w:rtl/>
                <w:lang w:val="en-ID" w:eastAsia="en-ID"/>
              </w:rPr>
              <w:t>٨</w:t>
            </w:r>
          </w:p>
        </w:tc>
        <w:tc>
          <w:tcPr>
            <w:tcW w:w="0" w:type="auto"/>
            <w:vAlign w:val="center"/>
            <w:hideMark/>
          </w:tcPr>
          <w:p w14:paraId="7B86CB3A" w14:textId="77777777" w:rsidR="001A0169" w:rsidRPr="00CF1F93" w:rsidRDefault="001A0169" w:rsidP="00F44D52">
            <w:pPr>
              <w:bidi/>
              <w:spacing w:after="0" w:line="240" w:lineRule="auto"/>
              <w:rPr>
                <w:rFonts w:ascii="Traditional Arabic" w:hAnsi="Traditional Arabic" w:cs="Traditional Arabic"/>
                <w:sz w:val="36"/>
                <w:szCs w:val="36"/>
                <w:lang w:val="en-ID" w:eastAsia="en-ID"/>
              </w:rPr>
            </w:pPr>
            <w:r w:rsidRPr="00CF1F93">
              <w:rPr>
                <w:rFonts w:ascii="Traditional Arabic" w:hAnsi="Traditional Arabic" w:cs="Traditional Arabic"/>
                <w:sz w:val="36"/>
                <w:szCs w:val="36"/>
                <w:rtl/>
                <w:lang w:val="en-ID" w:eastAsia="en-ID"/>
              </w:rPr>
              <w:t>غير جيد</w:t>
            </w:r>
          </w:p>
        </w:tc>
      </w:tr>
    </w:tbl>
    <w:p w14:paraId="12DF6397" w14:textId="581D8509" w:rsidR="001A0169" w:rsidRDefault="001A0169" w:rsidP="001A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444BC840" w14:textId="77777777" w:rsidR="001A0169" w:rsidRPr="00AF69CF" w:rsidRDefault="001A0169" w:rsidP="001A0169">
      <w:pPr>
        <w:bidi/>
        <w:rPr>
          <w:rFonts w:ascii="Traditional Arabic" w:hAnsi="Traditional Arabic" w:cs="Traditional Arabic"/>
          <w:b/>
          <w:bCs/>
          <w:sz w:val="36"/>
          <w:szCs w:val="36"/>
        </w:rPr>
      </w:pPr>
      <w:r w:rsidRPr="00AF69CF">
        <w:rPr>
          <w:rFonts w:ascii="Traditional Arabic" w:hAnsi="Traditional Arabic" w:cs="Traditional Arabic"/>
          <w:b/>
          <w:bCs/>
          <w:sz w:val="36"/>
          <w:szCs w:val="36"/>
          <w:rtl/>
        </w:rPr>
        <w:t>التحليل الكيفي</w:t>
      </w:r>
    </w:p>
    <w:p w14:paraId="2A4E2AC6" w14:textId="7538B445"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w:t>
      </w:r>
      <w:r w:rsidR="00A51705" w:rsidRPr="00CF1F93">
        <w:rPr>
          <w:rFonts w:ascii="Traditional Arabic" w:hAnsi="Traditional Arabic" w:cs="Traditional Arabic"/>
          <w:sz w:val="36"/>
          <w:szCs w:val="36"/>
          <w:rtl/>
          <w:lang w:val="en-ID" w:eastAsia="en-ID"/>
        </w:rPr>
        <w:t>١</w:t>
      </w:r>
      <w:r w:rsidR="00A51705">
        <w:rPr>
          <w:rFonts w:ascii="Traditional Arabic" w:hAnsi="Traditional Arabic" w:cs="Traditional Arabic"/>
          <w:sz w:val="36"/>
          <w:szCs w:val="36"/>
          <w:lang w:val="id-ID" w:eastAsia="en-ID"/>
        </w:rPr>
        <w:t xml:space="preserve">. </w:t>
      </w:r>
      <w:r w:rsidRPr="00AF69CF">
        <w:rPr>
          <w:rFonts w:ascii="Traditional Arabic" w:hAnsi="Traditional Arabic" w:cs="Traditional Arabic"/>
          <w:sz w:val="36"/>
          <w:szCs w:val="36"/>
          <w:rtl/>
        </w:rPr>
        <w:t xml:space="preserve">الطلاب غير المتقنة </w:t>
      </w:r>
    </w:p>
    <w:p w14:paraId="13CBBA82" w14:textId="77777777"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ab/>
      </w:r>
      <w:r w:rsidRPr="00AF69CF">
        <w:rPr>
          <w:rFonts w:ascii="Traditional Arabic" w:hAnsi="Traditional Arabic" w:cs="Traditional Arabic"/>
          <w:sz w:val="36"/>
          <w:szCs w:val="36"/>
          <w:rtl/>
        </w:rPr>
        <w:t>أظهرت نتائج التحليل أن غالبية الطلاب يعانون من ضعف واضح في مهارة القراءة، ويتمثل ذلك في</w:t>
      </w:r>
      <w:r w:rsidRPr="00AF69CF">
        <w:rPr>
          <w:rFonts w:ascii="Traditional Arabic" w:hAnsi="Traditional Arabic" w:cs="Traditional Arabic"/>
          <w:sz w:val="36"/>
          <w:szCs w:val="36"/>
        </w:rPr>
        <w:t>:</w:t>
      </w:r>
    </w:p>
    <w:p w14:paraId="09BED922" w14:textId="77777777"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 </w:t>
      </w:r>
      <w:r w:rsidRPr="00AF69CF">
        <w:rPr>
          <w:rFonts w:ascii="Traditional Arabic" w:hAnsi="Traditional Arabic" w:cs="Traditional Arabic"/>
          <w:sz w:val="36"/>
          <w:szCs w:val="36"/>
          <w:rtl/>
        </w:rPr>
        <w:t>ارتكاب عدد كبير من الأخطاء في مخارج الحروف والحركات</w:t>
      </w:r>
      <w:r w:rsidRPr="00AF69CF">
        <w:rPr>
          <w:rFonts w:ascii="Traditional Arabic" w:hAnsi="Traditional Arabic" w:cs="Traditional Arabic"/>
          <w:sz w:val="36"/>
          <w:szCs w:val="36"/>
        </w:rPr>
        <w:t xml:space="preserve">. </w:t>
      </w:r>
    </w:p>
    <w:p w14:paraId="799CA0E6" w14:textId="77777777"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w:t>
      </w:r>
      <w:r w:rsidRPr="00AF69CF">
        <w:rPr>
          <w:rFonts w:ascii="Traditional Arabic" w:hAnsi="Traditional Arabic" w:cs="Traditional Arabic"/>
          <w:sz w:val="36"/>
          <w:szCs w:val="36"/>
          <w:rtl/>
        </w:rPr>
        <w:t>عدم القدرة على التمييز بين التراكيب النحوية الأساسية</w:t>
      </w:r>
      <w:r w:rsidRPr="00AF69CF">
        <w:rPr>
          <w:rFonts w:ascii="Traditional Arabic" w:hAnsi="Traditional Arabic" w:cs="Traditional Arabic"/>
          <w:sz w:val="36"/>
          <w:szCs w:val="36"/>
        </w:rPr>
        <w:t xml:space="preserve">. </w:t>
      </w:r>
    </w:p>
    <w:p w14:paraId="08D59690" w14:textId="77777777"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w:t>
      </w:r>
      <w:r w:rsidRPr="00AF69CF">
        <w:rPr>
          <w:rFonts w:ascii="Traditional Arabic" w:hAnsi="Traditional Arabic" w:cs="Traditional Arabic"/>
          <w:sz w:val="36"/>
          <w:szCs w:val="36"/>
          <w:rtl/>
        </w:rPr>
        <w:t>القراءة بطريقة آلية دون فهم المعنى العام للنص</w:t>
      </w:r>
      <w:r w:rsidRPr="00AF69CF">
        <w:rPr>
          <w:rFonts w:ascii="Traditional Arabic" w:hAnsi="Traditional Arabic" w:cs="Traditional Arabic"/>
          <w:sz w:val="36"/>
          <w:szCs w:val="36"/>
        </w:rPr>
        <w:t xml:space="preserve">. </w:t>
      </w:r>
    </w:p>
    <w:p w14:paraId="04FDC14C" w14:textId="77777777" w:rsidR="001A0169" w:rsidRPr="00AF69CF"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w:t>
      </w:r>
      <w:r w:rsidRPr="00AF69CF">
        <w:rPr>
          <w:rFonts w:ascii="Traditional Arabic" w:hAnsi="Traditional Arabic" w:cs="Traditional Arabic"/>
          <w:sz w:val="36"/>
          <w:szCs w:val="36"/>
          <w:rtl/>
        </w:rPr>
        <w:t>محدودية الحصيلة اللغوية وغياب المهارة في استخراج الفكرة الرئيسة</w:t>
      </w:r>
      <w:r w:rsidRPr="00AF69CF">
        <w:rPr>
          <w:rFonts w:ascii="Traditional Arabic" w:hAnsi="Traditional Arabic" w:cs="Traditional Arabic"/>
          <w:sz w:val="36"/>
          <w:szCs w:val="36"/>
        </w:rPr>
        <w:t xml:space="preserve">. </w:t>
      </w:r>
    </w:p>
    <w:p w14:paraId="15ED2FD1" w14:textId="3A3FB30D" w:rsidR="001A0169" w:rsidRDefault="001A0169" w:rsidP="001A0169">
      <w:pPr>
        <w:bidi/>
        <w:rPr>
          <w:rFonts w:ascii="Traditional Arabic" w:hAnsi="Traditional Arabic" w:cs="Traditional Arabic"/>
          <w:sz w:val="36"/>
          <w:szCs w:val="36"/>
        </w:rPr>
      </w:pPr>
      <w:r w:rsidRPr="00AF69CF">
        <w:rPr>
          <w:rFonts w:ascii="Traditional Arabic" w:hAnsi="Traditional Arabic" w:cs="Traditional Arabic"/>
          <w:sz w:val="36"/>
          <w:szCs w:val="36"/>
        </w:rPr>
        <w:t xml:space="preserve">• </w:t>
      </w:r>
      <w:r w:rsidRPr="00AF69CF">
        <w:rPr>
          <w:rFonts w:ascii="Traditional Arabic" w:hAnsi="Traditional Arabic" w:cs="Traditional Arabic"/>
          <w:sz w:val="36"/>
          <w:szCs w:val="36"/>
          <w:rtl/>
        </w:rPr>
        <w:t>ضعف الدافعية وقلة التدريب خارج الفصل</w:t>
      </w:r>
      <w:r w:rsidRPr="00AF69CF">
        <w:rPr>
          <w:rFonts w:ascii="Traditional Arabic" w:hAnsi="Traditional Arabic" w:cs="Traditional Arabic"/>
          <w:sz w:val="36"/>
          <w:szCs w:val="36"/>
        </w:rPr>
        <w:t xml:space="preserve">. </w:t>
      </w:r>
      <w:r w:rsidRPr="00AF69CF">
        <w:rPr>
          <w:rFonts w:ascii="Traditional Arabic" w:hAnsi="Traditional Arabic" w:cs="Traditional Arabic"/>
          <w:sz w:val="36"/>
          <w:szCs w:val="36"/>
          <w:rtl/>
        </w:rPr>
        <w:t>يشير ذلك إلى أن مستوى المهارة القرائية لدى هذه المجموعة يقع في المرحلة الحرجة التي تتطلب تدخلاً تعليمياً عاجلاً</w:t>
      </w:r>
      <w:r w:rsidRPr="00AF69CF">
        <w:rPr>
          <w:rFonts w:ascii="Traditional Arabic" w:hAnsi="Traditional Arabic" w:cs="Traditional Arabic"/>
          <w:sz w:val="36"/>
          <w:szCs w:val="36"/>
        </w:rPr>
        <w:t>.</w:t>
      </w:r>
    </w:p>
    <w:p w14:paraId="41D70946" w14:textId="72679D31" w:rsidR="00A51705" w:rsidRPr="00A51705" w:rsidRDefault="00A51705" w:rsidP="00A51705">
      <w:pPr>
        <w:bidi/>
        <w:rPr>
          <w:rFonts w:ascii="Traditional Arabic" w:hAnsi="Traditional Arabic" w:cs="Traditional Arabic"/>
          <w:sz w:val="36"/>
          <w:szCs w:val="36"/>
          <w:lang w:val="id-ID"/>
        </w:rPr>
      </w:pPr>
      <w:r w:rsidRPr="00CF1F93">
        <w:rPr>
          <w:rFonts w:ascii="Traditional Arabic" w:hAnsi="Traditional Arabic" w:cs="Traditional Arabic"/>
          <w:sz w:val="36"/>
          <w:szCs w:val="36"/>
          <w:rtl/>
          <w:lang w:val="en-ID" w:eastAsia="en-ID"/>
        </w:rPr>
        <w:t>٢</w:t>
      </w:r>
      <w:r>
        <w:rPr>
          <w:rFonts w:ascii="Traditional Arabic" w:hAnsi="Traditional Arabic" w:cs="Traditional Arabic"/>
          <w:sz w:val="36"/>
          <w:szCs w:val="36"/>
          <w:lang w:val="id-ID" w:eastAsia="en-ID"/>
        </w:rPr>
        <w:t>.</w:t>
      </w:r>
      <w:r w:rsidRPr="00A51705">
        <w:rPr>
          <w:rFonts w:ascii="Traditional Arabic" w:hAnsi="Traditional Arabic" w:cs="Traditional Arabic"/>
          <w:sz w:val="36"/>
          <w:szCs w:val="36"/>
          <w:rtl/>
        </w:rPr>
        <w:t xml:space="preserve"> </w:t>
      </w:r>
      <w:r w:rsidRPr="00AF69CF">
        <w:rPr>
          <w:rFonts w:ascii="Traditional Arabic" w:hAnsi="Traditional Arabic" w:cs="Traditional Arabic"/>
          <w:sz w:val="36"/>
          <w:szCs w:val="36"/>
          <w:rtl/>
        </w:rPr>
        <w:t>الطلاب</w:t>
      </w:r>
      <w:r w:rsidRPr="003C4D76">
        <w:rPr>
          <w:rFonts w:ascii="Traditional Arabic" w:hAnsi="Traditional Arabic" w:cs="Traditional Arabic"/>
          <w:sz w:val="36"/>
          <w:szCs w:val="36"/>
          <w:rtl/>
        </w:rPr>
        <w:t xml:space="preserve"> المتوسطة</w:t>
      </w:r>
      <w:r>
        <w:rPr>
          <w:rFonts w:ascii="Traditional Arabic" w:hAnsi="Traditional Arabic" w:cs="Traditional Arabic"/>
          <w:sz w:val="36"/>
          <w:szCs w:val="36"/>
          <w:lang w:val="id-ID"/>
        </w:rPr>
        <w:t>)</w:t>
      </w:r>
      <w:r w:rsidRPr="00A51705">
        <w:rPr>
          <w:rFonts w:ascii="Traditional Arabic" w:hAnsi="Traditional Arabic" w:cs="Traditional Arabic"/>
          <w:sz w:val="36"/>
          <w:szCs w:val="36"/>
          <w:rtl/>
        </w:rPr>
        <w:t xml:space="preserve"> </w:t>
      </w:r>
      <w:r w:rsidRPr="00A5146E">
        <w:rPr>
          <w:rFonts w:ascii="Traditional Arabic" w:hAnsi="Traditional Arabic" w:cs="Traditional Arabic"/>
          <w:sz w:val="36"/>
          <w:szCs w:val="36"/>
          <w:rtl/>
        </w:rPr>
        <w:t>مقبول</w:t>
      </w:r>
      <w:r>
        <w:rPr>
          <w:rFonts w:ascii="Traditional Arabic" w:hAnsi="Traditional Arabic" w:cs="Traditional Arabic"/>
          <w:sz w:val="36"/>
          <w:szCs w:val="36"/>
          <w:lang w:val="id-ID"/>
        </w:rPr>
        <w:t>(</w:t>
      </w:r>
    </w:p>
    <w:p w14:paraId="718B97C5" w14:textId="77777777" w:rsidR="00A51705" w:rsidRPr="003C4D76" w:rsidRDefault="00A51705" w:rsidP="00A51705">
      <w:pPr>
        <w:bidi/>
        <w:rPr>
          <w:rFonts w:ascii="Traditional Arabic" w:hAnsi="Traditional Arabic" w:cs="Traditional Arabic"/>
          <w:sz w:val="36"/>
          <w:szCs w:val="36"/>
        </w:rPr>
      </w:pPr>
      <w:r w:rsidRPr="003C4D76">
        <w:rPr>
          <w:rFonts w:ascii="Traditional Arabic" w:hAnsi="Traditional Arabic" w:cs="Traditional Arabic"/>
          <w:sz w:val="36"/>
          <w:szCs w:val="36"/>
          <w:rtl/>
        </w:rPr>
        <w:t>هذه الفئة تمتلك القدرة على القراءة بصوت واضح، لكنها</w:t>
      </w:r>
      <w:r w:rsidRPr="003C4D76">
        <w:rPr>
          <w:rFonts w:ascii="Traditional Arabic" w:hAnsi="Traditional Arabic" w:cs="Traditional Arabic"/>
          <w:sz w:val="36"/>
          <w:szCs w:val="36"/>
        </w:rPr>
        <w:t>:</w:t>
      </w:r>
    </w:p>
    <w:p w14:paraId="134A5C80" w14:textId="77777777" w:rsidR="00A51705" w:rsidRPr="003C4D76" w:rsidRDefault="00A51705" w:rsidP="00A51705">
      <w:pPr>
        <w:bidi/>
        <w:rPr>
          <w:rFonts w:ascii="Traditional Arabic" w:hAnsi="Traditional Arabic" w:cs="Traditional Arabic"/>
          <w:sz w:val="36"/>
          <w:szCs w:val="36"/>
        </w:rPr>
      </w:pPr>
      <w:r w:rsidRPr="003C4D76">
        <w:rPr>
          <w:rFonts w:ascii="Traditional Arabic" w:hAnsi="Traditional Arabic" w:cs="Traditional Arabic"/>
          <w:sz w:val="36"/>
          <w:szCs w:val="36"/>
          <w:rtl/>
        </w:rPr>
        <w:t>تتوقف عند الكلمات الجديدة</w:t>
      </w:r>
      <w:r w:rsidRPr="003C4D76">
        <w:rPr>
          <w:rFonts w:ascii="Traditional Arabic" w:hAnsi="Traditional Arabic" w:cs="Traditional Arabic"/>
          <w:sz w:val="36"/>
          <w:szCs w:val="36"/>
        </w:rPr>
        <w:t>.</w:t>
      </w:r>
    </w:p>
    <w:p w14:paraId="26CB5EC3" w14:textId="77777777" w:rsidR="00A51705" w:rsidRPr="003C4D76" w:rsidRDefault="00A51705" w:rsidP="00A51705">
      <w:pPr>
        <w:bidi/>
        <w:rPr>
          <w:rFonts w:ascii="Traditional Arabic" w:hAnsi="Traditional Arabic" w:cs="Traditional Arabic"/>
          <w:sz w:val="36"/>
          <w:szCs w:val="36"/>
        </w:rPr>
      </w:pPr>
      <w:r w:rsidRPr="003C4D76">
        <w:rPr>
          <w:rFonts w:ascii="Traditional Arabic" w:hAnsi="Traditional Arabic" w:cs="Traditional Arabic"/>
          <w:sz w:val="36"/>
          <w:szCs w:val="36"/>
          <w:rtl/>
        </w:rPr>
        <w:t>تعتمد على شرح المعلم لفهم المعنى</w:t>
      </w:r>
      <w:r w:rsidRPr="003C4D76">
        <w:rPr>
          <w:rFonts w:ascii="Traditional Arabic" w:hAnsi="Traditional Arabic" w:cs="Traditional Arabic"/>
          <w:sz w:val="36"/>
          <w:szCs w:val="36"/>
        </w:rPr>
        <w:t>.</w:t>
      </w:r>
    </w:p>
    <w:p w14:paraId="62FF2485" w14:textId="77777777" w:rsidR="00A51705" w:rsidRPr="003C4D76" w:rsidRDefault="00A51705" w:rsidP="00A51705">
      <w:pPr>
        <w:bidi/>
        <w:rPr>
          <w:rFonts w:ascii="Traditional Arabic" w:hAnsi="Traditional Arabic" w:cs="Traditional Arabic"/>
          <w:sz w:val="36"/>
          <w:szCs w:val="36"/>
        </w:rPr>
      </w:pPr>
      <w:r w:rsidRPr="003C4D76">
        <w:rPr>
          <w:rFonts w:ascii="Traditional Arabic" w:hAnsi="Traditional Arabic" w:cs="Traditional Arabic"/>
          <w:sz w:val="36"/>
          <w:szCs w:val="36"/>
          <w:rtl/>
        </w:rPr>
        <w:t>لم تصل بعد إلى مرحلة القراءة التحليلية أو الاستنتاجية</w:t>
      </w:r>
      <w:r w:rsidRPr="003C4D76">
        <w:rPr>
          <w:rFonts w:ascii="Traditional Arabic" w:hAnsi="Traditional Arabic" w:cs="Traditional Arabic"/>
          <w:sz w:val="36"/>
          <w:szCs w:val="36"/>
        </w:rPr>
        <w:t>.</w:t>
      </w:r>
    </w:p>
    <w:p w14:paraId="55457240" w14:textId="6E6F5BB5" w:rsidR="001A0169" w:rsidRDefault="00A51705" w:rsidP="00A51705">
      <w:pPr>
        <w:bidi/>
        <w:rPr>
          <w:sz w:val="24"/>
          <w:szCs w:val="24"/>
          <w:lang w:eastAsia="en-ID"/>
        </w:rPr>
      </w:pPr>
      <w:r w:rsidRPr="003C4D76">
        <w:rPr>
          <w:rFonts w:ascii="Traditional Arabic" w:hAnsi="Traditional Arabic" w:cs="Traditional Arabic"/>
          <w:sz w:val="36"/>
          <w:szCs w:val="36"/>
          <w:rtl/>
        </w:rPr>
        <w:lastRenderedPageBreak/>
        <w:t>يمثل هؤلاء الطلاب قاعدة قابلة للتطوير إذا تم توفير أدوات تعليمية مناسبة</w:t>
      </w:r>
      <w:r w:rsidRPr="009241AD">
        <w:rPr>
          <w:sz w:val="24"/>
          <w:szCs w:val="24"/>
          <w:lang w:eastAsia="en-ID"/>
        </w:rPr>
        <w:t>.</w:t>
      </w:r>
    </w:p>
    <w:p w14:paraId="411E21D8" w14:textId="77777777" w:rsidR="00A51705" w:rsidRPr="00A51705" w:rsidRDefault="00A51705" w:rsidP="00A51705">
      <w:pPr>
        <w:bidi/>
        <w:rPr>
          <w:sz w:val="24"/>
          <w:szCs w:val="24"/>
          <w:lang w:eastAsia="en-ID"/>
        </w:rPr>
      </w:pPr>
    </w:p>
    <w:p w14:paraId="7C20BED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b/>
          <w:bCs/>
          <w:sz w:val="36"/>
          <w:szCs w:val="36"/>
          <w:rtl/>
        </w:rPr>
        <w:t xml:space="preserve">الصعوبات التي يواجهها طلاب مدرسة متوسطة </w:t>
      </w:r>
      <w:r w:rsidRPr="00274849">
        <w:rPr>
          <w:rFonts w:ascii="Traditional Arabic" w:hAnsi="Traditional Arabic" w:cs="Traditional Arabic"/>
          <w:b/>
          <w:bCs/>
          <w:color w:val="000000"/>
          <w:sz w:val="36"/>
          <w:szCs w:val="36"/>
          <w:rtl/>
          <w:lang w:val="id-ID"/>
        </w:rPr>
        <w:t>آل</w:t>
      </w:r>
      <w:r w:rsidRPr="00274849">
        <w:rPr>
          <w:rFonts w:ascii="Traditional Arabic" w:hAnsi="Traditional Arabic" w:cs="Traditional Arabic"/>
          <w:sz w:val="36"/>
          <w:szCs w:val="36"/>
          <w:rtl/>
        </w:rPr>
        <w:t xml:space="preserve"> </w:t>
      </w:r>
      <w:r w:rsidRPr="00274849">
        <w:rPr>
          <w:rFonts w:ascii="Traditional Arabic" w:hAnsi="Traditional Arabic" w:cs="Traditional Arabic"/>
          <w:b/>
          <w:bCs/>
          <w:sz w:val="36"/>
          <w:szCs w:val="36"/>
          <w:rtl/>
        </w:rPr>
        <w:t xml:space="preserve">عمران </w:t>
      </w:r>
    </w:p>
    <w:p w14:paraId="0F47019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ظهرت نتائج الملاحظة الصفية في الصف التاسع بمدرسة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بالإضافة إلى المقابلات مع معلم اللغة العربية وبعض الطلاب، أنّ هناك عدة عوائق لا يزال الطلاب يواجهونها في اكتساب مهارة القراءة. وتشمل هذه الصعوبات ليس فقط الجوانب الفنية اللغوية، بل تمتدّ أيضًا إلى تصوّرهم الذهني حول مادة اللغة العربية نفسها</w:t>
      </w:r>
      <w:r w:rsidRPr="00274849">
        <w:rPr>
          <w:rFonts w:ascii="Traditional Arabic" w:hAnsi="Traditional Arabic" w:cs="Traditional Arabic"/>
          <w:sz w:val="36"/>
          <w:szCs w:val="36"/>
        </w:rPr>
        <w:t>.</w:t>
      </w:r>
    </w:p>
    <w:p w14:paraId="32141D6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أ. صعوبات صوتية وأخطاء في النطق</w:t>
      </w:r>
    </w:p>
    <w:p w14:paraId="48B99AD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لا يزال الطلاب يعانون من صعوبة في نطق الحروف العربية بشكل صحيح. ومن أكثر الأخطاء شيوعًا تلك المتعلقة بالحروف المتقاربة في الصوت، مثل: الشين مع السين، أو الحاء مع الخاء، أو الثاء مع التاء. وغالبًا ما يقرأ الطلاب النصوص دون مراعاة مخارج الحروف بدقة. وفي الواقع، فإنّ مثل هذه الأخطاء لا تُصحح دائمًا لأنّ الطلاب غير معتادين على قراءة النصوص العربية خارج نطاق القرآن الكريم (ملاحظة صفية – الصف التاسع، ٢٠٢٤م)</w:t>
      </w:r>
      <w:r w:rsidRPr="00274849">
        <w:rPr>
          <w:rFonts w:ascii="Traditional Arabic" w:hAnsi="Traditional Arabic" w:cs="Traditional Arabic"/>
          <w:sz w:val="36"/>
          <w:szCs w:val="36"/>
        </w:rPr>
        <w:t>.</w:t>
      </w:r>
    </w:p>
    <w:p w14:paraId="1376057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ب. قلة المفردات وصعوبة التراكيب</w:t>
      </w:r>
    </w:p>
    <w:p w14:paraId="31BBAA00"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لا يستطيع العديد من الطلاب فهم مضمون النصوص بسبب فقر رصيدهم من المفردات. وقد ذكر بعض الطلاب في المقابلات أنهم يستطيعون قراءة الحروف العربية، لكنهم لا يعرفون معاني الكلمات، مما يجعل قراءتهم آلية وخالية من الفهم</w:t>
      </w:r>
      <w:r w:rsidRPr="00274849">
        <w:rPr>
          <w:rFonts w:ascii="Traditional Arabic" w:hAnsi="Traditional Arabic" w:cs="Traditional Arabic"/>
          <w:sz w:val="36"/>
          <w:szCs w:val="36"/>
        </w:rPr>
        <w:t>.</w:t>
      </w:r>
    </w:p>
    <w:p w14:paraId="077595B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قال أحد الطلاب:</w:t>
      </w:r>
    </w:p>
    <w:p w14:paraId="44FCA362"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i/>
          <w:iCs/>
          <w:sz w:val="36"/>
          <w:szCs w:val="36"/>
          <w:rtl/>
        </w:rPr>
        <w:t>"أنا أستطيع القراءة لأني متعود على تلاوة القرآن، لكني لا أفهم المعنى. كأني فقط أقلّد</w:t>
      </w:r>
      <w:r w:rsidRPr="00274849">
        <w:rPr>
          <w:rFonts w:ascii="Traditional Arabic" w:hAnsi="Traditional Arabic" w:cs="Traditional Arabic"/>
          <w:i/>
          <w:iCs/>
          <w:sz w:val="36"/>
          <w:szCs w:val="36"/>
        </w:rPr>
        <w:t>."</w:t>
      </w:r>
      <w:r w:rsidRPr="00274849">
        <w:rPr>
          <w:rFonts w:ascii="Traditional Arabic" w:hAnsi="Traditional Arabic" w:cs="Traditional Arabic"/>
          <w:sz w:val="36"/>
          <w:szCs w:val="36"/>
          <w:rtl/>
        </w:rPr>
        <w:t xml:space="preserve"> </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tl/>
        </w:rPr>
        <w:t>مقابلة مع أحد طلاب الصف التاسع، ٢٠٢٤م</w:t>
      </w:r>
      <w:r w:rsidRPr="00274849">
        <w:rPr>
          <w:rFonts w:ascii="Traditional Arabic" w:hAnsi="Traditional Arabic" w:cs="Traditional Arabic"/>
          <w:sz w:val="36"/>
          <w:szCs w:val="36"/>
          <w:lang w:val="id-ID"/>
        </w:rPr>
        <w:t>(</w:t>
      </w:r>
    </w:p>
    <w:p w14:paraId="2B14B8A6"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ج. التصور الخاطئ: مساواة اللغة العربية بالقرآن الكريم</w:t>
      </w:r>
    </w:p>
    <w:p w14:paraId="54FC8E2C"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lastRenderedPageBreak/>
        <w:tab/>
      </w:r>
      <w:r w:rsidRPr="00274849">
        <w:rPr>
          <w:rFonts w:ascii="Traditional Arabic" w:hAnsi="Traditional Arabic" w:cs="Traditional Arabic"/>
          <w:sz w:val="36"/>
          <w:szCs w:val="36"/>
          <w:rtl/>
        </w:rPr>
        <w:t>يرى كثير من الطلاب أن قراءة النصوص العربية في الصف لا تختلف عن تلاوة القرآن الكريم. لذا فهم يركّزون على أحكام التجويد والترتيل، دون أن يدركوا أن نصوص مادة اللغة العربية التعليمية تتبع بناءً لغويًا مختلفًا عن القرآن. ونتيجة لذلك، يقرؤون بأسلوب تلاوة لا بأسلوب قراءة معلوماتية</w:t>
      </w:r>
      <w:r w:rsidRPr="00274849">
        <w:rPr>
          <w:rFonts w:ascii="Traditional Arabic" w:hAnsi="Traditional Arabic" w:cs="Traditional Arabic"/>
          <w:sz w:val="36"/>
          <w:szCs w:val="36"/>
        </w:rPr>
        <w:t>.</w:t>
      </w:r>
    </w:p>
    <w:p w14:paraId="77E70DF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وقد صرّح المعلم قائلًا</w:t>
      </w:r>
      <w:r w:rsidRPr="00274849">
        <w:rPr>
          <w:rFonts w:ascii="Traditional Arabic" w:hAnsi="Traditional Arabic" w:cs="Traditional Arabic"/>
          <w:sz w:val="36"/>
          <w:szCs w:val="36"/>
        </w:rPr>
        <w:t>:</w:t>
      </w:r>
    </w:p>
    <w:p w14:paraId="760FB0B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i/>
          <w:iCs/>
          <w:sz w:val="36"/>
          <w:szCs w:val="36"/>
        </w:rPr>
        <w:t>"</w:t>
      </w:r>
      <w:r w:rsidRPr="00274849">
        <w:rPr>
          <w:rFonts w:ascii="Traditional Arabic" w:hAnsi="Traditional Arabic" w:cs="Traditional Arabic"/>
          <w:i/>
          <w:iCs/>
          <w:sz w:val="36"/>
          <w:szCs w:val="36"/>
          <w:rtl/>
        </w:rPr>
        <w:t>بعض الطلاب يظنون أن قراءة النص العربي في الدرس هي نفسها تلاوة القرآن، مع أن الوظيفة والهدف مختلفان تمامًا. وهذا ما يجعلهم يقرأون بشكل جامد ويظنون أنهم ملزمون بالتجويد بدلًا من التركيز على الفهم</w:t>
      </w:r>
      <w:r w:rsidRPr="00274849">
        <w:rPr>
          <w:rFonts w:ascii="Traditional Arabic" w:hAnsi="Traditional Arabic" w:cs="Traditional Arabic"/>
          <w:sz w:val="36"/>
          <w:szCs w:val="36"/>
          <w:lang w:val="id-ID"/>
        </w:rPr>
        <w:t>)</w:t>
      </w:r>
      <w:r w:rsidRPr="00274849">
        <w:rPr>
          <w:rFonts w:ascii="Traditional Arabic" w:hAnsi="Traditional Arabic" w:cs="Traditional Arabic"/>
          <w:sz w:val="36"/>
          <w:szCs w:val="36"/>
        </w:rPr>
        <w:t>.</w:t>
      </w:r>
      <w:r w:rsidRPr="00274849">
        <w:rPr>
          <w:rFonts w:ascii="Traditional Arabic" w:hAnsi="Traditional Arabic" w:cs="Traditional Arabic"/>
          <w:i/>
          <w:iCs/>
          <w:sz w:val="36"/>
          <w:szCs w:val="36"/>
        </w:rPr>
        <w:t>"</w:t>
      </w:r>
      <w:r w:rsidRPr="00274849">
        <w:rPr>
          <w:rFonts w:ascii="Traditional Arabic" w:hAnsi="Traditional Arabic" w:cs="Traditional Arabic"/>
          <w:sz w:val="36"/>
          <w:szCs w:val="36"/>
          <w:rtl/>
        </w:rPr>
        <w:t>مقابلة مع معلم اللغة العربية، ٢٠٢٤م</w:t>
      </w:r>
      <w:r w:rsidRPr="00274849">
        <w:rPr>
          <w:rFonts w:ascii="Traditional Arabic" w:hAnsi="Traditional Arabic" w:cs="Traditional Arabic"/>
          <w:sz w:val="36"/>
          <w:szCs w:val="36"/>
          <w:lang w:val="id-ID"/>
        </w:rPr>
        <w:t>(</w:t>
      </w:r>
    </w:p>
    <w:p w14:paraId="52FB6393"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بالإضافة إلى ذلك، فإنّ الطلاب الذين تلقوا تعليمًا دينيًا مبكرًا أو درسوا في المعاهد أو المدارس الدينية يكونون أكثر ألفة مع النصوص القرآنية والكتب التقليدية، لذا يشعرون بالغربة عند قراءة الحوارات أو السرديات الحديثة في كتب اللغة العربية المعاصرة</w:t>
      </w:r>
      <w:r w:rsidRPr="00274849">
        <w:rPr>
          <w:rFonts w:ascii="Traditional Arabic" w:hAnsi="Traditional Arabic" w:cs="Traditional Arabic"/>
          <w:sz w:val="36"/>
          <w:szCs w:val="36"/>
        </w:rPr>
        <w:t>.</w:t>
      </w:r>
    </w:p>
    <w:p w14:paraId="1127EB6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د. عوامل نفسية وقلة الثقة بالنفس</w:t>
      </w:r>
    </w:p>
    <w:p w14:paraId="437F731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يعاني بعض الطلاب من ضعف الثقة بالنفس عند قراءة النصوص أمام زملائهم في الصف. ويشعرون بالخوف من الوقوع في الخطأ أثناء النطق، خاصة عند مقارنتهم بزملاء أكثر طلاقة في القراءة. وهذا يجعلهم يميلون إلى الصمت وعدم المشاركة الفعالة أثناء دروس القراءة</w:t>
      </w:r>
      <w:r w:rsidRPr="00274849">
        <w:rPr>
          <w:rFonts w:ascii="Traditional Arabic" w:hAnsi="Traditional Arabic" w:cs="Traditional Arabic"/>
          <w:sz w:val="36"/>
          <w:szCs w:val="36"/>
        </w:rPr>
        <w:t xml:space="preserve"> </w:t>
      </w:r>
      <w:r w:rsidRPr="00274849">
        <w:rPr>
          <w:rFonts w:ascii="Traditional Arabic" w:hAnsi="Traditional Arabic" w:cs="Traditional Arabic"/>
          <w:sz w:val="36"/>
          <w:szCs w:val="36"/>
          <w:lang w:val="id-ID"/>
        </w:rPr>
        <w:t>) .</w:t>
      </w:r>
      <w:r w:rsidRPr="00274849">
        <w:rPr>
          <w:rFonts w:ascii="Traditional Arabic" w:hAnsi="Traditional Arabic" w:cs="Traditional Arabic"/>
          <w:sz w:val="36"/>
          <w:szCs w:val="36"/>
          <w:rtl/>
        </w:rPr>
        <w:t>ملاحظة صفية – الصف التاسع، ٢٠٢٤م</w:t>
      </w:r>
      <w:r w:rsidRPr="00274849">
        <w:rPr>
          <w:rFonts w:ascii="Traditional Arabic" w:hAnsi="Traditional Arabic" w:cs="Traditional Arabic"/>
          <w:sz w:val="36"/>
          <w:szCs w:val="36"/>
          <w:lang w:val="id-ID"/>
        </w:rPr>
        <w:t>(</w:t>
      </w:r>
    </w:p>
    <w:p w14:paraId="0B6EFF91"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tl/>
        </w:rPr>
        <w:t>هـ. طرق التدريس غير المتنوعة</w:t>
      </w:r>
    </w:p>
    <w:p w14:paraId="3C4F18B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كما عبّر الطلاب عن أن الطريقة التي يستخدمها المعلم أحيانًا تكون مملة ومتكررة. إذ إن قراءة النصوص الطويلة بشكل متكرر دون تنويع الأنشطة تسبب الملل وتُضعف دافعهم للتعلّم. وقد اقترحوا استخدام وسائل تعليمية إضافية مثل تسجيلات صوتية، وفيديوهات، أو ألعاب لغوية</w:t>
      </w:r>
      <w:r w:rsidRPr="00274849">
        <w:rPr>
          <w:rFonts w:ascii="Traditional Arabic" w:hAnsi="Traditional Arabic" w:cs="Traditional Arabic"/>
          <w:sz w:val="36"/>
          <w:szCs w:val="36"/>
        </w:rPr>
        <w:t>.</w:t>
      </w:r>
      <w:r w:rsidRPr="00274849">
        <w:rPr>
          <w:rFonts w:ascii="Traditional Arabic" w:hAnsi="Traditional Arabic" w:cs="Traditional Arabic"/>
          <w:sz w:val="36"/>
          <w:szCs w:val="36"/>
          <w:rtl/>
        </w:rPr>
        <w:t xml:space="preserve"> قال أحد الطلاب</w:t>
      </w:r>
      <w:r w:rsidRPr="00274849">
        <w:rPr>
          <w:rFonts w:ascii="Traditional Arabic" w:hAnsi="Traditional Arabic" w:cs="Traditional Arabic"/>
          <w:sz w:val="36"/>
          <w:szCs w:val="36"/>
        </w:rPr>
        <w:t>:</w:t>
      </w:r>
    </w:p>
    <w:p w14:paraId="20739674" w14:textId="0D4FD40C"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lang w:val="id-ID"/>
        </w:rPr>
      </w:pPr>
      <w:r w:rsidRPr="00274849">
        <w:rPr>
          <w:rFonts w:ascii="Traditional Arabic" w:hAnsi="Traditional Arabic" w:cs="Traditional Arabic"/>
          <w:i/>
          <w:iCs/>
          <w:sz w:val="36"/>
          <w:szCs w:val="36"/>
        </w:rPr>
        <w:t>"</w:t>
      </w:r>
      <w:r w:rsidRPr="00274849">
        <w:rPr>
          <w:rFonts w:ascii="Traditional Arabic" w:hAnsi="Traditional Arabic" w:cs="Traditional Arabic"/>
          <w:i/>
          <w:iCs/>
          <w:sz w:val="36"/>
          <w:szCs w:val="36"/>
          <w:rtl/>
        </w:rPr>
        <w:t>إذا كانت القراءة دائمًا طويلة ومكررة، نتعب ولا نفهم شيئًا. لو كانت هناك تسجيلات صوتية أو ألعاب، سيكون الأمر ممتعًا ولن نشعر بالنعاس</w:t>
      </w:r>
      <w:r w:rsidRPr="00274849">
        <w:rPr>
          <w:rFonts w:ascii="Traditional Arabic" w:hAnsi="Traditional Arabic" w:cs="Traditional Arabic"/>
          <w:sz w:val="36"/>
          <w:szCs w:val="36"/>
          <w:lang w:val="id-ID"/>
        </w:rPr>
        <w:t>)</w:t>
      </w:r>
      <w:r w:rsidRPr="00274849">
        <w:rPr>
          <w:rFonts w:ascii="Traditional Arabic" w:hAnsi="Traditional Arabic" w:cs="Traditional Arabic"/>
          <w:i/>
          <w:iCs/>
          <w:sz w:val="36"/>
          <w:szCs w:val="36"/>
          <w:lang w:val="id-ID"/>
        </w:rPr>
        <w:t>”</w:t>
      </w:r>
      <w:r w:rsidRPr="00274849">
        <w:rPr>
          <w:rFonts w:ascii="Traditional Arabic" w:hAnsi="Traditional Arabic" w:cs="Traditional Arabic"/>
          <w:i/>
          <w:iCs/>
          <w:sz w:val="36"/>
          <w:szCs w:val="36"/>
        </w:rPr>
        <w:t>.</w:t>
      </w:r>
      <w:r w:rsidRPr="00274849">
        <w:rPr>
          <w:rFonts w:ascii="Traditional Arabic" w:hAnsi="Traditional Arabic" w:cs="Traditional Arabic"/>
          <w:sz w:val="36"/>
          <w:szCs w:val="36"/>
          <w:rtl/>
        </w:rPr>
        <w:t>مقابلة مع أحد طلاب الصف التاسع، ٢٠٢٤م</w:t>
      </w:r>
      <w:r w:rsidRPr="00274849">
        <w:rPr>
          <w:rFonts w:ascii="Traditional Arabic" w:hAnsi="Traditional Arabic" w:cs="Traditional Arabic"/>
          <w:sz w:val="36"/>
          <w:szCs w:val="36"/>
          <w:lang w:val="id-ID"/>
        </w:rPr>
        <w:t xml:space="preserve"> (</w:t>
      </w:r>
    </w:p>
    <w:p w14:paraId="0D5FADD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فعالية أساليب تدريس اللغة العربية في الصف التاسع بمدرسة متوسطة </w:t>
      </w:r>
      <w:r w:rsidRPr="00274849">
        <w:rPr>
          <w:rFonts w:ascii="Traditional Arabic" w:hAnsi="Traditional Arabic" w:cs="Traditional Arabic"/>
          <w:b/>
          <w:bCs/>
          <w:color w:val="000000"/>
          <w:sz w:val="36"/>
          <w:szCs w:val="36"/>
          <w:rtl/>
          <w:lang w:val="id-ID"/>
        </w:rPr>
        <w:t>آل</w:t>
      </w:r>
      <w:r w:rsidRPr="00274849">
        <w:rPr>
          <w:rFonts w:ascii="Traditional Arabic" w:hAnsi="Traditional Arabic" w:cs="Traditional Arabic"/>
          <w:b/>
          <w:bCs/>
          <w:sz w:val="36"/>
          <w:szCs w:val="36"/>
          <w:rtl/>
        </w:rPr>
        <w:t xml:space="preserve"> عمران</w:t>
      </w:r>
    </w:p>
    <w:p w14:paraId="2A9CF8CF"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lastRenderedPageBreak/>
        <w:tab/>
      </w:r>
      <w:r w:rsidRPr="00274849">
        <w:rPr>
          <w:rFonts w:ascii="Traditional Arabic" w:hAnsi="Traditional Arabic" w:cs="Traditional Arabic"/>
          <w:sz w:val="36"/>
          <w:szCs w:val="36"/>
          <w:rtl/>
        </w:rPr>
        <w:t xml:space="preserve">بناءً على نتائج الملاحظة في الصف التاسع بمدرسة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يمكن تصنيف فعالية أساليب تدريس اللغة العربية بأنها ضعيفة. ويتجلى ذلك في انخفاض مشاركة الطلاب النشطة خلال عملية التعلم، بالإضافة إلى محدودية تنوع الأساليب التي يعتمدها المعلم. فقد لوحظ أن الأسلوب المستخدم في معظم اللقاءات يقتصر على المحاضرة وحفظ المفردات، دون مصاحبة ذلك بتمارين تطبيقية معمّقة مثل الحوار أو فهم النصوص في سياقها</w:t>
      </w:r>
      <w:r w:rsidRPr="00274849">
        <w:rPr>
          <w:rFonts w:ascii="Traditional Arabic" w:hAnsi="Traditional Arabic" w:cs="Traditional Arabic"/>
          <w:sz w:val="36"/>
          <w:szCs w:val="36"/>
        </w:rPr>
        <w:t>.</w:t>
      </w:r>
    </w:p>
    <w:p w14:paraId="6301DFA9"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كما أظهرت المقابلات مع معلم اللغة العربية أن استخدام هذه الأساليب التقليدية يعود إلى قصر الوقت، ونقص الوسائل التعليمية، واعتقاد المعلم بأن الطلاب غير قادرين بعد على استيعاب أساليب أكثر تعقيدًا. وصرّح المعلم قائلاً: </w:t>
      </w:r>
      <w:r w:rsidRPr="00274849">
        <w:rPr>
          <w:rFonts w:ascii="Traditional Arabic" w:hAnsi="Traditional Arabic" w:cs="Traditional Arabic"/>
          <w:i/>
          <w:iCs/>
          <w:sz w:val="36"/>
          <w:szCs w:val="36"/>
          <w:rtl/>
        </w:rPr>
        <w:t>"نستخدم أساليب بسيطة لأن الطلاب لم يتمكنوا بعد من الفهم إذا قُدّمت لهم مواد أو أنشطة معقدة ومتنوعة</w:t>
      </w:r>
      <w:r w:rsidRPr="00274849">
        <w:rPr>
          <w:rFonts w:ascii="Traditional Arabic" w:hAnsi="Traditional Arabic" w:cs="Traditional Arabic"/>
          <w:i/>
          <w:iCs/>
          <w:sz w:val="36"/>
          <w:szCs w:val="36"/>
        </w:rPr>
        <w:t>."</w:t>
      </w:r>
    </w:p>
    <w:p w14:paraId="59EE34A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إلا أن هذا الرأي لا يتوافق كليًّا مع تجارب الطلاب أنفسهم، إذ بيّنت مقابلات مع بعضهم أنهم يشعرون بالملل وعدم الحماس لتعلُّم اللغة العربية، بسبب الطابع السلبي والرتيب للأساليب التعليمية المستخدمة. فقد قال أحد الطلاب: </w:t>
      </w:r>
      <w:r w:rsidRPr="00274849">
        <w:rPr>
          <w:rFonts w:ascii="Traditional Arabic" w:hAnsi="Traditional Arabic" w:cs="Traditional Arabic"/>
          <w:i/>
          <w:iCs/>
          <w:sz w:val="36"/>
          <w:szCs w:val="36"/>
          <w:rtl/>
        </w:rPr>
        <w:t>"نحن فقط ننسخ ونحفظ الكلمات، لكننا لا نعرف كيف نستخدمها في جمل. كأننا نتعلّم بلا هدف."</w:t>
      </w:r>
      <w:r w:rsidRPr="00274849">
        <w:rPr>
          <w:rFonts w:ascii="Traditional Arabic" w:hAnsi="Traditional Arabic" w:cs="Traditional Arabic"/>
          <w:sz w:val="36"/>
          <w:szCs w:val="36"/>
          <w:rtl/>
        </w:rPr>
        <w:t xml:space="preserve"> ويُظهر هذا أن عملية التعليم لم تُفعّل مهارات اللغة لدى الطلاب بشكل شامل، وخاصة في جانب القراءة وفهم النصوص ضمن سياقها</w:t>
      </w:r>
      <w:r w:rsidRPr="00274849">
        <w:rPr>
          <w:rFonts w:ascii="Traditional Arabic" w:hAnsi="Traditional Arabic" w:cs="Traditional Arabic"/>
          <w:sz w:val="36"/>
          <w:szCs w:val="36"/>
        </w:rPr>
        <w:t>.</w:t>
      </w:r>
    </w:p>
    <w:p w14:paraId="2266D7D7"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كما أظهرت الملاحظة أن الطلاب لا يحصلون على فرص كافية للنقاش، أو التعبير عن آرائهم، أو قراءة النصوص بتوجيه مباشر من المعلم. فغالبية أنشطة التعليم تتخذ طابعًا أحادي الاتجاه، حيث يقدّم المعلم المادة ويكتفي الطلاب بالتلقي، مما يؤثر سلبًا على حماسهم ودافعيتهم نحو التعلُّم، ويؤدي إلى ضعف في اكتساب تراكيب الجمل والمفردات ضمن سياقاتها الصحيحة</w:t>
      </w:r>
      <w:r w:rsidRPr="00274849">
        <w:rPr>
          <w:rFonts w:ascii="Traditional Arabic" w:hAnsi="Traditional Arabic" w:cs="Traditional Arabic"/>
          <w:sz w:val="36"/>
          <w:szCs w:val="36"/>
        </w:rPr>
        <w:t>.</w:t>
      </w:r>
    </w:p>
    <w:p w14:paraId="5E731F88"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ومن خلال هذه النتائج، يمكن الاستنتاج أن أساليب تدريس اللغة العربية في الصف التاسع بمدرسة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ما تزال غير فعالة في تشجيع مشاركة الطلاب النشطة وتطوير مهاراتهم اللغوية في سياقات واقعية. ولذلك، لا بد من تحديث الأساليب المتّبعة، وتدريب المعلمين على تنويع طرق التعليم التواصلي، وتوفير الوسائل التعليمية المناسبة لجعل تعلم اللغة العربية أكثر حيوية وفاعلية</w:t>
      </w:r>
      <w:r w:rsidRPr="00274849">
        <w:rPr>
          <w:rFonts w:ascii="Traditional Arabic" w:hAnsi="Traditional Arabic" w:cs="Traditional Arabic"/>
          <w:sz w:val="36"/>
          <w:szCs w:val="36"/>
        </w:rPr>
        <w:t>.</w:t>
      </w:r>
    </w:p>
    <w:p w14:paraId="018D88BD"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p>
    <w:p w14:paraId="2DC37674" w14:textId="77777777" w:rsidR="008D263B" w:rsidRPr="00274849" w:rsidRDefault="008D263B"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 xml:space="preserve">الخاتمة </w:t>
      </w:r>
    </w:p>
    <w:p w14:paraId="383AD2B8" w14:textId="4A869A77" w:rsidR="008D263B" w:rsidRPr="00274849" w:rsidRDefault="008D263B" w:rsidP="00E26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sz w:val="36"/>
          <w:szCs w:val="36"/>
        </w:rPr>
      </w:pPr>
      <w:r w:rsidRPr="00274849">
        <w:rPr>
          <w:rFonts w:ascii="Traditional Arabic" w:hAnsi="Traditional Arabic" w:cs="Traditional Arabic"/>
          <w:sz w:val="36"/>
          <w:szCs w:val="36"/>
        </w:rPr>
        <w:tab/>
      </w:r>
      <w:r w:rsidRPr="00274849">
        <w:rPr>
          <w:rFonts w:ascii="Traditional Arabic" w:hAnsi="Traditional Arabic" w:cs="Traditional Arabic"/>
          <w:sz w:val="36"/>
          <w:szCs w:val="36"/>
          <w:rtl/>
        </w:rPr>
        <w:t xml:space="preserve">أظهرت نتائج البحث أن مهارة القراءة لدى طلاب الصف التاسع في مدرسة متوسطة </w:t>
      </w:r>
      <w:r w:rsidRPr="00274849">
        <w:rPr>
          <w:rFonts w:ascii="Traditional Arabic" w:hAnsi="Traditional Arabic" w:cs="Traditional Arabic"/>
          <w:color w:val="000000"/>
          <w:sz w:val="36"/>
          <w:szCs w:val="36"/>
          <w:rtl/>
          <w:lang w:val="id-ID"/>
        </w:rPr>
        <w:t>آل</w:t>
      </w:r>
      <w:r w:rsidRPr="00274849">
        <w:rPr>
          <w:rFonts w:ascii="Traditional Arabic" w:hAnsi="Traditional Arabic" w:cs="Traditional Arabic"/>
          <w:sz w:val="36"/>
          <w:szCs w:val="36"/>
          <w:rtl/>
        </w:rPr>
        <w:t xml:space="preserve"> عمران لا تزال في مستوى منخفض نسبيًا، ويتضح ذلك من ضعف الفهم لتراكيب الجمل، وقلة اكتساب المفردات، وصعوبة القراءة بطلاقة. ومن بين العوامل التي ساهمت في هذا الواقع: محدودية تنوع أساليب التعليم، وقلة التمارين الموجهة في القراءة، وضعف مشاركة الطلاب في أنشطة القراءة المستقلة. ومن منظور نظريات تعليم اللغة العربية للناطقين بغيرها، فإن المنهج السياقي والتواصلي يُعدّ أكثر فاعلية في تطوير مهارة القراءة، إذ يسمح للطلاب بربط المادة بالسياق الواقعي ويعزز مشاركتهم النشطة في فهم النصوص</w:t>
      </w:r>
      <w:r w:rsidRPr="00274849">
        <w:rPr>
          <w:rFonts w:ascii="Traditional Arabic" w:hAnsi="Traditional Arabic" w:cs="Traditional Arabic"/>
          <w:sz w:val="36"/>
          <w:szCs w:val="36"/>
        </w:rPr>
        <w:t>.</w:t>
      </w:r>
    </w:p>
    <w:p w14:paraId="588F49B5" w14:textId="77777777" w:rsidR="00530EFD" w:rsidRDefault="00530EFD" w:rsidP="00274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p>
    <w:p w14:paraId="3B60461C" w14:textId="717230FE" w:rsidR="00530EFD" w:rsidRPr="007A456F" w:rsidRDefault="008D263B" w:rsidP="007A4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Traditional Arabic" w:hAnsi="Traditional Arabic" w:cs="Traditional Arabic"/>
          <w:b/>
          <w:bCs/>
          <w:sz w:val="36"/>
          <w:szCs w:val="36"/>
        </w:rPr>
      </w:pPr>
      <w:r w:rsidRPr="00274849">
        <w:rPr>
          <w:rFonts w:ascii="Traditional Arabic" w:hAnsi="Traditional Arabic" w:cs="Traditional Arabic"/>
          <w:b/>
          <w:bCs/>
          <w:sz w:val="36"/>
          <w:szCs w:val="36"/>
          <w:rtl/>
        </w:rPr>
        <w:t>التوصيات</w:t>
      </w:r>
    </w:p>
    <w:p w14:paraId="65E98423" w14:textId="6446A1D7" w:rsidR="00530EFD" w:rsidRDefault="007A456F" w:rsidP="007A456F">
      <w:pPr>
        <w:tabs>
          <w:tab w:val="left" w:pos="6016"/>
        </w:tabs>
        <w:autoSpaceDE w:val="0"/>
        <w:autoSpaceDN w:val="0"/>
        <w:bidi/>
        <w:spacing w:line="276" w:lineRule="auto"/>
        <w:jc w:val="both"/>
        <w:rPr>
          <w:rFonts w:asciiTheme="majorBidi" w:hAnsiTheme="majorBidi" w:cstheme="majorBidi"/>
          <w:b/>
          <w:bCs/>
          <w:sz w:val="24"/>
          <w:szCs w:val="24"/>
        </w:rPr>
      </w:pPr>
      <w:r>
        <w:rPr>
          <w:rFonts w:ascii="Traditional Arabic" w:hAnsi="Traditional Arabic" w:cs="Traditional Arabic"/>
          <w:sz w:val="36"/>
          <w:szCs w:val="36"/>
          <w:lang w:val="id-ID"/>
        </w:rPr>
        <w:t xml:space="preserve">         </w:t>
      </w:r>
      <w:r w:rsidRPr="007A456F">
        <w:rPr>
          <w:rFonts w:ascii="Traditional Arabic" w:hAnsi="Traditional Arabic" w:cs="Traditional Arabic"/>
          <w:sz w:val="36"/>
          <w:szCs w:val="36"/>
          <w:rtl/>
        </w:rPr>
        <w:t>يوصي هذا البحث بضرورة توحيد الجهود بين المعلم والطالب والمؤسسة التعليمية والباحثين القادمين للنهوض بمهارة القراءة لدى الطلاب غير الناطقين بالعربية؛ إذ ينبغي للمعلمين اعتماد أساليب تدريس تواصلية وسياقية تفاعلية تُسهِّل فهم النصوص وتحفِّز الطلاب على المشاركة النشطة، كما يُستحسن أن يُظهر الطلاب مزيدًا من الجهد في ممارسة القراءة داخل الصف وخارجه لتعزيز الطلاقة والاستيعاب اللغوي. ومن جهة أخرى، يُطلب من المدرسة توفير مصادر قرائية متنوعة تتناسب مع مستويات الطلاب وتوفير بيئة تعليمية محفِّزة تدعم تنمية مهارات القراءة بشكل مستمر. ويُوصى الباحثون القادمون بالقيام بدراسات تطبيقية ميدانية، مثل بحوث الفعل الصفي أو الدراسات الكمية، لقياس فعالية النماذج التعليمية المقترحة في تحسين الكفاءة القرائية لدى الطلاب بصورة عملية ودقيقة</w:t>
      </w:r>
      <w:r>
        <w:t>.</w:t>
      </w:r>
    </w:p>
    <w:p w14:paraId="4D190A98" w14:textId="77777777" w:rsidR="00530EFD" w:rsidRDefault="00530EFD" w:rsidP="00802E1E">
      <w:pPr>
        <w:tabs>
          <w:tab w:val="left" w:pos="6016"/>
        </w:tabs>
        <w:autoSpaceDE w:val="0"/>
        <w:autoSpaceDN w:val="0"/>
        <w:spacing w:line="276" w:lineRule="auto"/>
        <w:rPr>
          <w:rFonts w:asciiTheme="majorBidi" w:hAnsiTheme="majorBidi" w:cstheme="majorBidi"/>
          <w:b/>
          <w:bCs/>
          <w:sz w:val="24"/>
          <w:szCs w:val="24"/>
        </w:rPr>
      </w:pPr>
    </w:p>
    <w:p w14:paraId="13DE1D64" w14:textId="4CE43E71" w:rsidR="00802E1E" w:rsidRPr="00802E1E" w:rsidRDefault="0073366C" w:rsidP="0073366C">
      <w:pPr>
        <w:tabs>
          <w:tab w:val="left" w:pos="6016"/>
        </w:tabs>
        <w:autoSpaceDE w:val="0"/>
        <w:autoSpaceDN w:val="0"/>
        <w:spacing w:line="276" w:lineRule="auto"/>
        <w:jc w:val="center"/>
        <w:rPr>
          <w:rFonts w:ascii="Traditional Arabic" w:hAnsi="Traditional Arabic" w:cs="Traditional Arabic"/>
          <w:b/>
          <w:bCs/>
          <w:sz w:val="40"/>
          <w:szCs w:val="40"/>
        </w:rPr>
      </w:pPr>
      <w:r w:rsidRPr="0073366C">
        <w:rPr>
          <w:rFonts w:ascii="Traditional Arabic" w:hAnsi="Traditional Arabic" w:cs="Traditional Arabic"/>
          <w:b/>
          <w:bCs/>
          <w:sz w:val="40"/>
          <w:szCs w:val="40"/>
          <w:rtl/>
        </w:rPr>
        <w:t>المراجع</w:t>
      </w:r>
      <w:bookmarkStart w:id="3" w:name="_GoBack"/>
      <w:bookmarkEnd w:id="3"/>
    </w:p>
    <w:p w14:paraId="2B6A30AE" w14:textId="1458E7A6" w:rsidR="009B7836" w:rsidRPr="00B70095" w:rsidRDefault="00C437BC" w:rsidP="009B7836">
      <w:pPr>
        <w:widowControl w:val="0"/>
        <w:autoSpaceDE w:val="0"/>
        <w:autoSpaceDN w:val="0"/>
        <w:adjustRightInd w:val="0"/>
        <w:ind w:left="480" w:hanging="480"/>
        <w:jc w:val="both"/>
        <w:rPr>
          <w:rFonts w:asciiTheme="majorBidi" w:hAnsiTheme="majorBidi" w:cstheme="majorBidi"/>
          <w:noProof/>
          <w:sz w:val="24"/>
          <w:szCs w:val="24"/>
          <w:lang w:val="id-ID"/>
        </w:rPr>
      </w:pPr>
      <w:r w:rsidRPr="00B70095">
        <w:rPr>
          <w:rFonts w:asciiTheme="majorBidi" w:hAnsiTheme="majorBidi" w:cstheme="majorBidi"/>
          <w:b/>
          <w:bCs/>
          <w:sz w:val="24"/>
          <w:szCs w:val="24"/>
          <w:lang w:val="id-ID"/>
        </w:rPr>
        <w:fldChar w:fldCharType="begin" w:fldLock="1"/>
      </w:r>
      <w:r w:rsidRPr="00B70095">
        <w:rPr>
          <w:rFonts w:asciiTheme="majorBidi" w:hAnsiTheme="majorBidi" w:cstheme="majorBidi"/>
          <w:b/>
          <w:bCs/>
          <w:sz w:val="24"/>
          <w:szCs w:val="24"/>
          <w:lang w:val="id-ID"/>
        </w:rPr>
        <w:instrText xml:space="preserve">ADDIN Mendeley Bibliography CSL_BIBLIOGRAPHY </w:instrText>
      </w:r>
      <w:r w:rsidRPr="00B70095">
        <w:rPr>
          <w:rFonts w:asciiTheme="majorBidi" w:hAnsiTheme="majorBidi" w:cstheme="majorBidi"/>
          <w:b/>
          <w:bCs/>
          <w:sz w:val="24"/>
          <w:szCs w:val="24"/>
          <w:lang w:val="id-ID"/>
        </w:rPr>
        <w:fldChar w:fldCharType="separate"/>
      </w:r>
      <w:r w:rsidR="009B7836" w:rsidRPr="00B70095">
        <w:rPr>
          <w:rFonts w:asciiTheme="majorBidi" w:hAnsiTheme="majorBidi" w:cstheme="majorBidi"/>
          <w:b/>
          <w:bCs/>
          <w:sz w:val="24"/>
          <w:szCs w:val="24"/>
          <w:lang w:val="id-ID"/>
        </w:rPr>
        <w:fldChar w:fldCharType="begin" w:fldLock="1"/>
      </w:r>
      <w:r w:rsidR="009B7836" w:rsidRPr="00B70095">
        <w:rPr>
          <w:rFonts w:asciiTheme="majorBidi" w:hAnsiTheme="majorBidi" w:cstheme="majorBidi"/>
          <w:b/>
          <w:bCs/>
          <w:sz w:val="24"/>
          <w:szCs w:val="24"/>
          <w:lang w:val="id-ID"/>
        </w:rPr>
        <w:instrText xml:space="preserve">ADDIN Mendeley Bibliography CSL_BIBLIOGRAPHY </w:instrText>
      </w:r>
      <w:r w:rsidR="009B7836" w:rsidRPr="00B70095">
        <w:rPr>
          <w:rFonts w:asciiTheme="majorBidi" w:hAnsiTheme="majorBidi" w:cstheme="majorBidi"/>
          <w:b/>
          <w:bCs/>
          <w:sz w:val="24"/>
          <w:szCs w:val="24"/>
          <w:lang w:val="id-ID"/>
        </w:rPr>
        <w:fldChar w:fldCharType="separate"/>
      </w:r>
      <w:r w:rsidR="009B7836" w:rsidRPr="00B70095">
        <w:rPr>
          <w:rFonts w:asciiTheme="majorBidi" w:hAnsiTheme="majorBidi" w:cstheme="majorBidi"/>
          <w:noProof/>
          <w:sz w:val="24"/>
          <w:szCs w:val="24"/>
          <w:lang w:val="id-ID"/>
        </w:rPr>
        <w:t xml:space="preserve">Abd Wahab Rosyidi, M. N. (2020). </w:t>
      </w:r>
      <w:r w:rsidR="009B7836" w:rsidRPr="00B70095">
        <w:rPr>
          <w:rFonts w:asciiTheme="majorBidi" w:hAnsiTheme="majorBidi" w:cstheme="majorBidi"/>
          <w:i/>
          <w:iCs/>
          <w:noProof/>
          <w:sz w:val="24"/>
          <w:szCs w:val="24"/>
          <w:lang w:val="id-ID"/>
        </w:rPr>
        <w:t>Memahami konsep dasar pembelajaran Bahasa Arab</w:t>
      </w:r>
      <w:r w:rsidR="009B7836" w:rsidRPr="00B70095">
        <w:rPr>
          <w:rFonts w:asciiTheme="majorBidi" w:hAnsiTheme="majorBidi" w:cstheme="majorBidi"/>
          <w:noProof/>
          <w:sz w:val="24"/>
          <w:szCs w:val="24"/>
          <w:lang w:val="id-ID"/>
        </w:rPr>
        <w:t>. Malang: UIN Malang Press.</w:t>
      </w:r>
    </w:p>
    <w:p w14:paraId="23DA3FD4"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Adhi Kusumastuti, A. M. K. (2020). </w:t>
      </w:r>
      <w:r w:rsidRPr="00B70095">
        <w:rPr>
          <w:rFonts w:asciiTheme="majorBidi" w:hAnsiTheme="majorBidi" w:cstheme="majorBidi"/>
          <w:i/>
          <w:iCs/>
          <w:noProof/>
          <w:sz w:val="24"/>
          <w:szCs w:val="24"/>
          <w:lang w:val="id-ID"/>
        </w:rPr>
        <w:t xml:space="preserve">Merancang penelitian kualitatif: Dasar, deskriptif dan studi </w:t>
      </w:r>
      <w:r w:rsidRPr="00B70095">
        <w:rPr>
          <w:rFonts w:asciiTheme="majorBidi" w:hAnsiTheme="majorBidi" w:cstheme="majorBidi"/>
          <w:i/>
          <w:iCs/>
          <w:noProof/>
          <w:sz w:val="24"/>
          <w:szCs w:val="24"/>
          <w:lang w:val="id-ID"/>
        </w:rPr>
        <w:lastRenderedPageBreak/>
        <w:t>kasus</w:t>
      </w:r>
      <w:r w:rsidRPr="00B70095">
        <w:rPr>
          <w:rFonts w:asciiTheme="majorBidi" w:hAnsiTheme="majorBidi" w:cstheme="majorBidi"/>
          <w:noProof/>
          <w:sz w:val="24"/>
          <w:szCs w:val="24"/>
          <w:lang w:val="id-ID"/>
        </w:rPr>
        <w:t>. Semarang: Universitas Negeri Semarang Press.</w:t>
      </w:r>
    </w:p>
    <w:p w14:paraId="06CF7FD6"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Ainin, M. (2019). Strategi pembelajaran Bahasa Arab di Madrasah Aliyah. </w:t>
      </w:r>
      <w:r w:rsidRPr="00B70095">
        <w:rPr>
          <w:rFonts w:asciiTheme="majorBidi" w:hAnsiTheme="majorBidi" w:cstheme="majorBidi"/>
          <w:i/>
          <w:iCs/>
          <w:noProof/>
          <w:sz w:val="24"/>
          <w:szCs w:val="24"/>
          <w:lang w:val="id-ID"/>
        </w:rPr>
        <w:t>Jurnal Pendidikan Bahasa Arab</w:t>
      </w:r>
      <w:r w:rsidRPr="00B70095">
        <w:rPr>
          <w:rFonts w:asciiTheme="majorBidi" w:hAnsiTheme="majorBidi" w:cstheme="majorBidi"/>
          <w:noProof/>
          <w:sz w:val="24"/>
          <w:szCs w:val="24"/>
          <w:lang w:val="id-ID"/>
        </w:rPr>
        <w:t xml:space="preserve">, 3(2), 147–158. </w:t>
      </w:r>
      <w:r w:rsidRPr="00C437BC">
        <w:rPr>
          <w:rFonts w:asciiTheme="majorBidi" w:hAnsiTheme="majorBidi" w:cstheme="majorBidi"/>
          <w:noProof/>
          <w:color w:val="0070C0"/>
          <w:sz w:val="24"/>
          <w:szCs w:val="24"/>
          <w:u w:val="single"/>
          <w:lang w:val="id-ID"/>
        </w:rPr>
        <w:t xml:space="preserve">https://doi.org/10.1234/jpba.v3i2.147 </w:t>
      </w:r>
    </w:p>
    <w:p w14:paraId="6167E3B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Al-’Arabiyyah, M. al-L. (2004). </w:t>
      </w:r>
      <w:r w:rsidRPr="00B70095">
        <w:rPr>
          <w:rFonts w:asciiTheme="majorBidi" w:hAnsiTheme="majorBidi" w:cstheme="majorBidi"/>
          <w:i/>
          <w:iCs/>
          <w:noProof/>
          <w:sz w:val="24"/>
          <w:szCs w:val="24"/>
          <w:lang w:val="id-ID"/>
        </w:rPr>
        <w:t>Al-Mu’jam al-Wasith</w:t>
      </w:r>
      <w:r w:rsidRPr="00B70095">
        <w:rPr>
          <w:rFonts w:asciiTheme="majorBidi" w:hAnsiTheme="majorBidi" w:cstheme="majorBidi"/>
          <w:noProof/>
          <w:sz w:val="24"/>
          <w:szCs w:val="24"/>
          <w:lang w:val="id-ID"/>
        </w:rPr>
        <w:t>. Kairo: Dar al-Da’wah.</w:t>
      </w:r>
    </w:p>
    <w:p w14:paraId="699805C6" w14:textId="77777777" w:rsidR="009B7836" w:rsidRDefault="009B7836" w:rsidP="009B7836">
      <w:pPr>
        <w:widowControl w:val="0"/>
        <w:autoSpaceDE w:val="0"/>
        <w:autoSpaceDN w:val="0"/>
        <w:adjustRightInd w:val="0"/>
        <w:spacing w:line="240" w:lineRule="auto"/>
        <w:ind w:left="480" w:hanging="480"/>
        <w:jc w:val="both"/>
        <w:rPr>
          <w:rFonts w:asciiTheme="majorBidi" w:hAnsiTheme="majorBidi" w:cstheme="majorBidi"/>
          <w:noProof/>
          <w:color w:val="0070C0"/>
          <w:sz w:val="24"/>
          <w:szCs w:val="24"/>
          <w:u w:val="single"/>
          <w:lang w:val="id-ID"/>
        </w:rPr>
      </w:pPr>
      <w:r w:rsidRPr="00B70095">
        <w:rPr>
          <w:rFonts w:asciiTheme="majorBidi" w:hAnsiTheme="majorBidi" w:cstheme="majorBidi"/>
          <w:noProof/>
          <w:sz w:val="24"/>
          <w:szCs w:val="24"/>
          <w:lang w:val="id-ID"/>
        </w:rPr>
        <w:t xml:space="preserve">Alimudin, A., Dania, I., &amp; Saputri Hidayat, A. A. (2023). Analisis bahan ajar maharah qira’ah di SMP Muhammadiyah 3 Yogyakarta berbasis CEFR. </w:t>
      </w:r>
      <w:r w:rsidRPr="00B70095">
        <w:rPr>
          <w:rFonts w:asciiTheme="majorBidi" w:hAnsiTheme="majorBidi" w:cstheme="majorBidi"/>
          <w:i/>
          <w:iCs/>
          <w:noProof/>
          <w:sz w:val="24"/>
          <w:szCs w:val="24"/>
          <w:lang w:val="id-ID"/>
        </w:rPr>
        <w:t>Al-Hikmah: Jurnal Agama dan Ilmu Pengetahuan</w:t>
      </w:r>
      <w:r w:rsidRPr="00B70095">
        <w:rPr>
          <w:rFonts w:asciiTheme="majorBidi" w:hAnsiTheme="majorBidi" w:cstheme="majorBidi"/>
          <w:noProof/>
          <w:sz w:val="24"/>
          <w:szCs w:val="24"/>
          <w:lang w:val="id-ID"/>
        </w:rPr>
        <w:t xml:space="preserve">, 20(1), 38–51. </w:t>
      </w:r>
      <w:r w:rsidRPr="00C437BC">
        <w:rPr>
          <w:rFonts w:asciiTheme="majorBidi" w:hAnsiTheme="majorBidi" w:cstheme="majorBidi"/>
          <w:noProof/>
          <w:color w:val="0070C0"/>
          <w:sz w:val="24"/>
          <w:szCs w:val="24"/>
          <w:u w:val="single"/>
          <w:lang w:val="id-ID"/>
        </w:rPr>
        <w:t>https://doi.org/10.36728/alhikmah.v20i1.11655</w:t>
      </w:r>
    </w:p>
    <w:p w14:paraId="0822676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Asari, A.-R. (2024). Penguatan strategi pembelajaran Bahasa Arab bagi non-Arab. </w:t>
      </w:r>
      <w:r w:rsidRPr="00B70095">
        <w:rPr>
          <w:rFonts w:asciiTheme="majorBidi" w:hAnsiTheme="majorBidi" w:cstheme="majorBidi"/>
          <w:i/>
          <w:iCs/>
          <w:noProof/>
          <w:sz w:val="24"/>
          <w:szCs w:val="24"/>
          <w:lang w:val="id-ID"/>
        </w:rPr>
        <w:t>Jurnal Arabiyat</w:t>
      </w:r>
      <w:r w:rsidRPr="00B70095">
        <w:rPr>
          <w:rFonts w:asciiTheme="majorBidi" w:hAnsiTheme="majorBidi" w:cstheme="majorBidi"/>
          <w:noProof/>
          <w:sz w:val="24"/>
          <w:szCs w:val="24"/>
          <w:lang w:val="id-ID"/>
        </w:rPr>
        <w:t>, 6(2), 112–125.</w:t>
      </w:r>
      <w:r w:rsidRPr="00605CB2">
        <w:rPr>
          <w:rFonts w:asciiTheme="majorBidi" w:hAnsiTheme="majorBidi" w:cstheme="majorBidi"/>
          <w:noProof/>
          <w:color w:val="0070C0"/>
          <w:sz w:val="24"/>
          <w:szCs w:val="24"/>
          <w:u w:val="single"/>
          <w:lang w:val="id-ID"/>
        </w:rPr>
        <w:t xml:space="preserve"> https://doi.org/10.15408/a.v6i2.5000</w:t>
      </w:r>
    </w:p>
    <w:p w14:paraId="2AE5B88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9B7836">
        <w:rPr>
          <w:rFonts w:asciiTheme="majorBidi" w:hAnsiTheme="majorBidi" w:cstheme="majorBidi"/>
          <w:noProof/>
          <w:sz w:val="24"/>
          <w:szCs w:val="24"/>
        </w:rPr>
        <w:t xml:space="preserve">Aziz, G. A. (2022). </w:t>
      </w:r>
      <w:r w:rsidRPr="009B7836">
        <w:rPr>
          <w:rFonts w:asciiTheme="majorBidi" w:hAnsiTheme="majorBidi" w:cstheme="majorBidi"/>
          <w:i/>
          <w:iCs/>
          <w:noProof/>
          <w:sz w:val="24"/>
          <w:szCs w:val="24"/>
        </w:rPr>
        <w:t>Nilai-nilai literasi dalam Al-Qur’an Surat Al-‘Alaq ayat 1–5 (Analisis tafsir bi ar-ra’yi)</w:t>
      </w:r>
      <w:r w:rsidRPr="009B7836">
        <w:rPr>
          <w:rFonts w:asciiTheme="majorBidi" w:hAnsiTheme="majorBidi" w:cstheme="majorBidi"/>
          <w:noProof/>
          <w:sz w:val="24"/>
          <w:szCs w:val="24"/>
        </w:rPr>
        <w:t>. Yogyakarta: Pustaka Al-Karim</w:t>
      </w:r>
      <w:r w:rsidRPr="00B70095">
        <w:rPr>
          <w:rFonts w:asciiTheme="majorBidi" w:hAnsiTheme="majorBidi" w:cstheme="majorBidi"/>
          <w:noProof/>
          <w:sz w:val="24"/>
          <w:szCs w:val="24"/>
          <w:lang w:val="id-ID"/>
        </w:rPr>
        <w:t>.</w:t>
      </w:r>
    </w:p>
    <w:p w14:paraId="49E4F247"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Diah, H., &amp; Ni’mah, M. A. (2023). Metode contextual teaching and learning dalam pembelajaran maharah qira’ah. </w:t>
      </w:r>
      <w:r w:rsidRPr="00B70095">
        <w:rPr>
          <w:rFonts w:asciiTheme="majorBidi" w:hAnsiTheme="majorBidi" w:cstheme="majorBidi"/>
          <w:i/>
          <w:iCs/>
          <w:noProof/>
          <w:sz w:val="24"/>
          <w:szCs w:val="24"/>
          <w:lang w:val="id-ID"/>
        </w:rPr>
        <w:t>Revorma: Jurnal Pendidikan dan Pemikiran</w:t>
      </w:r>
      <w:r w:rsidRPr="00B70095">
        <w:rPr>
          <w:rFonts w:asciiTheme="majorBidi" w:hAnsiTheme="majorBidi" w:cstheme="majorBidi"/>
          <w:noProof/>
          <w:sz w:val="24"/>
          <w:szCs w:val="24"/>
          <w:lang w:val="id-ID"/>
        </w:rPr>
        <w:t xml:space="preserve">, 3(1), 26–41. </w:t>
      </w:r>
      <w:r w:rsidRPr="00C437BC">
        <w:rPr>
          <w:rFonts w:asciiTheme="majorBidi" w:hAnsiTheme="majorBidi" w:cstheme="majorBidi"/>
          <w:noProof/>
          <w:color w:val="0070C0"/>
          <w:sz w:val="24"/>
          <w:szCs w:val="24"/>
          <w:u w:val="single"/>
          <w:lang w:val="id-ID"/>
        </w:rPr>
        <w:t>https://doi.org/10.31219/osf.io/35rev</w:t>
      </w:r>
    </w:p>
    <w:p w14:paraId="6F2F6276"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Ekawati, D., &amp; Arifin, A. (2022). Pendekatan dalam pembelajaran Bahasa Arab: Teori, konsep, dan implementasi. </w:t>
      </w:r>
      <w:r w:rsidRPr="00B70095">
        <w:rPr>
          <w:rFonts w:asciiTheme="majorBidi" w:hAnsiTheme="majorBidi" w:cstheme="majorBidi"/>
          <w:i/>
          <w:iCs/>
          <w:noProof/>
          <w:sz w:val="24"/>
          <w:szCs w:val="24"/>
          <w:lang w:val="id-ID"/>
        </w:rPr>
        <w:t>An Nabighoh</w:t>
      </w:r>
      <w:r w:rsidRPr="00B70095">
        <w:rPr>
          <w:rFonts w:asciiTheme="majorBidi" w:hAnsiTheme="majorBidi" w:cstheme="majorBidi"/>
          <w:noProof/>
          <w:sz w:val="24"/>
          <w:szCs w:val="24"/>
          <w:lang w:val="id-ID"/>
        </w:rPr>
        <w:t xml:space="preserve">, 24(1), 111–121. </w:t>
      </w:r>
      <w:r w:rsidRPr="00C437BC">
        <w:rPr>
          <w:rFonts w:asciiTheme="majorBidi" w:hAnsiTheme="majorBidi" w:cstheme="majorBidi"/>
          <w:noProof/>
          <w:color w:val="0070C0"/>
          <w:sz w:val="24"/>
          <w:szCs w:val="24"/>
          <w:u w:val="single"/>
          <w:lang w:val="id-ID"/>
        </w:rPr>
        <w:t>https://doi.org/10.21580/nabighoh.2022.24.1.4818</w:t>
      </w:r>
    </w:p>
    <w:p w14:paraId="07E12C73"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Fadhli, F., Wahyudi, H., &amp; Rusdi, R. (2024). Analisis kemampuan maharatul qira’ah siswa kelas X MAN 1 Kepulauan Meranti. </w:t>
      </w:r>
      <w:r w:rsidRPr="00B70095">
        <w:rPr>
          <w:rFonts w:asciiTheme="majorBidi" w:hAnsiTheme="majorBidi" w:cstheme="majorBidi"/>
          <w:i/>
          <w:iCs/>
          <w:noProof/>
          <w:sz w:val="24"/>
          <w:szCs w:val="24"/>
          <w:lang w:val="id-ID"/>
        </w:rPr>
        <w:t>Jurnal Pendidikan Educandum</w:t>
      </w:r>
      <w:r w:rsidRPr="00B70095">
        <w:rPr>
          <w:rFonts w:asciiTheme="majorBidi" w:hAnsiTheme="majorBidi" w:cstheme="majorBidi"/>
          <w:noProof/>
          <w:sz w:val="24"/>
          <w:szCs w:val="24"/>
          <w:lang w:val="id-ID"/>
        </w:rPr>
        <w:t xml:space="preserve">, 4(2), 22–35. </w:t>
      </w:r>
      <w:r w:rsidRPr="00C437BC">
        <w:rPr>
          <w:rFonts w:asciiTheme="majorBidi" w:hAnsiTheme="majorBidi" w:cstheme="majorBidi"/>
          <w:noProof/>
          <w:color w:val="0070C0"/>
          <w:sz w:val="24"/>
          <w:szCs w:val="24"/>
          <w:u w:val="single"/>
          <w:lang w:val="id-ID"/>
        </w:rPr>
        <w:t>https://doi.org/10.5678/jpe.v4i2.210</w:t>
      </w:r>
    </w:p>
    <w:p w14:paraId="6472FAB0"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Fatkurrohima, A. F., &amp; Alwi, I. M. (2025). Learning strategy for Arabic language (maharah qira’ah) at MTs 05 Kalikuning. </w:t>
      </w:r>
      <w:r w:rsidRPr="00B70095">
        <w:rPr>
          <w:rFonts w:asciiTheme="majorBidi" w:hAnsiTheme="majorBidi" w:cstheme="majorBidi"/>
          <w:i/>
          <w:iCs/>
          <w:noProof/>
          <w:sz w:val="24"/>
          <w:szCs w:val="24"/>
          <w:lang w:val="id-ID"/>
        </w:rPr>
        <w:t>Yasin</w:t>
      </w:r>
      <w:r w:rsidRPr="00B70095">
        <w:rPr>
          <w:rFonts w:asciiTheme="majorBidi" w:hAnsiTheme="majorBidi" w:cstheme="majorBidi"/>
          <w:noProof/>
          <w:sz w:val="24"/>
          <w:szCs w:val="24"/>
          <w:lang w:val="id-ID"/>
        </w:rPr>
        <w:t xml:space="preserve">, 5(1), 1849–1863. </w:t>
      </w:r>
      <w:r w:rsidRPr="00605CB2">
        <w:rPr>
          <w:rFonts w:asciiTheme="majorBidi" w:hAnsiTheme="majorBidi" w:cstheme="majorBidi"/>
          <w:noProof/>
          <w:color w:val="0070C0"/>
          <w:sz w:val="24"/>
          <w:szCs w:val="24"/>
          <w:u w:val="single"/>
          <w:lang w:val="id-ID"/>
        </w:rPr>
        <w:t>https://doi.org/10.32512/yasin.v5i1.1849</w:t>
      </w:r>
    </w:p>
    <w:p w14:paraId="2A0813A5"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Fidani, R., Ghifary, M. F., &amp; Indriana, D. (2023). Peran metode qira’ah dalam meningkatkan literasi Bahasa Arab di Prodi Pendidikan Bahasa Arab. </w:t>
      </w:r>
      <w:r w:rsidRPr="00B70095">
        <w:rPr>
          <w:rFonts w:asciiTheme="majorBidi" w:hAnsiTheme="majorBidi" w:cstheme="majorBidi"/>
          <w:i/>
          <w:iCs/>
          <w:noProof/>
          <w:sz w:val="24"/>
          <w:szCs w:val="24"/>
          <w:lang w:val="id-ID"/>
        </w:rPr>
        <w:t>Al Maghazi: Arabic Language in Higher Education</w:t>
      </w:r>
      <w:r w:rsidRPr="00B70095">
        <w:rPr>
          <w:rFonts w:asciiTheme="majorBidi" w:hAnsiTheme="majorBidi" w:cstheme="majorBidi"/>
          <w:noProof/>
          <w:sz w:val="24"/>
          <w:szCs w:val="24"/>
          <w:lang w:val="id-ID"/>
        </w:rPr>
        <w:t xml:space="preserve">, 1(1), 17–29. </w:t>
      </w:r>
      <w:r w:rsidRPr="00C437BC">
        <w:rPr>
          <w:rFonts w:asciiTheme="majorBidi" w:hAnsiTheme="majorBidi" w:cstheme="majorBidi"/>
          <w:noProof/>
          <w:color w:val="0070C0"/>
          <w:sz w:val="24"/>
          <w:szCs w:val="24"/>
          <w:u w:val="single"/>
          <w:lang w:val="id-ID"/>
        </w:rPr>
        <w:t>https://doi.org/10.55012/almaghazi.v1i1.687</w:t>
      </w:r>
    </w:p>
    <w:p w14:paraId="12E67563"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Hermawan, A. (2011). </w:t>
      </w:r>
      <w:r w:rsidRPr="00B70095">
        <w:rPr>
          <w:rFonts w:asciiTheme="majorBidi" w:hAnsiTheme="majorBidi" w:cstheme="majorBidi"/>
          <w:i/>
          <w:iCs/>
          <w:noProof/>
          <w:sz w:val="24"/>
          <w:szCs w:val="24"/>
          <w:lang w:val="id-ID"/>
        </w:rPr>
        <w:t>Metodologi pembelajaran Bahasa Arab</w:t>
      </w:r>
      <w:r w:rsidRPr="00B70095">
        <w:rPr>
          <w:rFonts w:asciiTheme="majorBidi" w:hAnsiTheme="majorBidi" w:cstheme="majorBidi"/>
          <w:noProof/>
          <w:sz w:val="24"/>
          <w:szCs w:val="24"/>
          <w:lang w:val="id-ID"/>
        </w:rPr>
        <w:t>. Bandung: PT Remaja Rosdakarya.</w:t>
      </w:r>
    </w:p>
    <w:p w14:paraId="2E3225A4"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Himmawan, D. (2021). Pelaksanaan metode active learning dalam pembelajaran Bahasa Arab di MTs Al-Ghozali Jatibarang Kabupaten Indramayu. </w:t>
      </w:r>
      <w:r w:rsidRPr="00B70095">
        <w:rPr>
          <w:rFonts w:asciiTheme="majorBidi" w:hAnsiTheme="majorBidi" w:cstheme="majorBidi"/>
          <w:i/>
          <w:iCs/>
          <w:noProof/>
          <w:sz w:val="24"/>
          <w:szCs w:val="24"/>
          <w:lang w:val="id-ID"/>
        </w:rPr>
        <w:t>Journal Islamic Pedagogia</w:t>
      </w:r>
      <w:r w:rsidRPr="00B70095">
        <w:rPr>
          <w:rFonts w:asciiTheme="majorBidi" w:hAnsiTheme="majorBidi" w:cstheme="majorBidi"/>
          <w:noProof/>
          <w:sz w:val="24"/>
          <w:szCs w:val="24"/>
          <w:lang w:val="id-ID"/>
        </w:rPr>
        <w:t>, 1(2), 31–39.</w:t>
      </w:r>
    </w:p>
    <w:p w14:paraId="54DAD3C7"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Huda, M. N., Nurrosyid, A. F., &amp; Aji, A. B. (2024). Implementasi metode qira’ah dalam pembelajaran Bahasa Arab di Madrasah Hidayatul Mubtadiin Lirboyo Kediri. </w:t>
      </w:r>
      <w:r w:rsidRPr="00B70095">
        <w:rPr>
          <w:rFonts w:asciiTheme="majorBidi" w:hAnsiTheme="majorBidi" w:cstheme="majorBidi"/>
          <w:i/>
          <w:iCs/>
          <w:noProof/>
          <w:sz w:val="24"/>
          <w:szCs w:val="24"/>
          <w:lang w:val="id-ID"/>
        </w:rPr>
        <w:t>Alfakkaar: Jurnal Pendidikan Bahasa Arab</w:t>
      </w:r>
      <w:r w:rsidRPr="00B70095">
        <w:rPr>
          <w:rFonts w:asciiTheme="majorBidi" w:hAnsiTheme="majorBidi" w:cstheme="majorBidi"/>
          <w:noProof/>
          <w:sz w:val="24"/>
          <w:szCs w:val="24"/>
          <w:lang w:val="id-ID"/>
        </w:rPr>
        <w:t xml:space="preserve">, 5(1), 79–93. </w:t>
      </w:r>
      <w:r w:rsidRPr="00605CB2">
        <w:rPr>
          <w:rFonts w:asciiTheme="majorBidi" w:hAnsiTheme="majorBidi" w:cstheme="majorBidi"/>
          <w:noProof/>
          <w:color w:val="0070C0"/>
          <w:sz w:val="24"/>
          <w:szCs w:val="24"/>
          <w:u w:val="single"/>
          <w:lang w:val="id-ID"/>
        </w:rPr>
        <w:t>https://doi.org/10.32512/alfakkaar.v5i1.4123</w:t>
      </w:r>
    </w:p>
    <w:p w14:paraId="69FB52E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Iza, L. R., &amp; Sultoni, A. (2025). Pengaruh penguasaan maharah qira’ah terhadap kemampuan membaca Al-Qur’an santri pondok pesantren. </w:t>
      </w:r>
      <w:r w:rsidRPr="00B70095">
        <w:rPr>
          <w:rFonts w:asciiTheme="majorBidi" w:hAnsiTheme="majorBidi" w:cstheme="majorBidi"/>
          <w:i/>
          <w:iCs/>
          <w:noProof/>
          <w:sz w:val="24"/>
          <w:szCs w:val="24"/>
          <w:lang w:val="id-ID"/>
        </w:rPr>
        <w:t>Journal of Language Literature and Arts</w:t>
      </w:r>
      <w:r w:rsidRPr="00B70095">
        <w:rPr>
          <w:rFonts w:asciiTheme="majorBidi" w:hAnsiTheme="majorBidi" w:cstheme="majorBidi"/>
          <w:noProof/>
          <w:sz w:val="24"/>
          <w:szCs w:val="24"/>
          <w:lang w:val="id-ID"/>
        </w:rPr>
        <w:t>, 5(6), 631–641.</w:t>
      </w:r>
      <w:r w:rsidRPr="00605CB2">
        <w:rPr>
          <w:rFonts w:asciiTheme="majorBidi" w:hAnsiTheme="majorBidi" w:cstheme="majorBidi"/>
          <w:noProof/>
          <w:color w:val="0070C0"/>
          <w:sz w:val="24"/>
          <w:szCs w:val="24"/>
          <w:u w:val="single"/>
          <w:lang w:val="id-ID"/>
        </w:rPr>
        <w:t xml:space="preserve"> https://doi.org/10.18860/jlla.v5i6.2872</w:t>
      </w:r>
    </w:p>
    <w:p w14:paraId="69A87169"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Khoiriyyah, L., Arifin, M. M., &amp; Mardani, D. (2023). Analisis maharatul qira’ah siswa Madrasah Tsanawiyah. </w:t>
      </w:r>
      <w:r w:rsidRPr="00B70095">
        <w:rPr>
          <w:rFonts w:asciiTheme="majorBidi" w:hAnsiTheme="majorBidi" w:cstheme="majorBidi"/>
          <w:i/>
          <w:iCs/>
          <w:noProof/>
          <w:sz w:val="24"/>
          <w:szCs w:val="24"/>
          <w:lang w:val="id-ID"/>
        </w:rPr>
        <w:t>Edukatif: Jurnal Ilmu Pendidikan</w:t>
      </w:r>
      <w:r w:rsidRPr="00B70095">
        <w:rPr>
          <w:rFonts w:asciiTheme="majorBidi" w:hAnsiTheme="majorBidi" w:cstheme="majorBidi"/>
          <w:noProof/>
          <w:sz w:val="24"/>
          <w:szCs w:val="24"/>
          <w:lang w:val="id-ID"/>
        </w:rPr>
        <w:t xml:space="preserve">, 5(2), 961–971. </w:t>
      </w:r>
      <w:r w:rsidRPr="00605CB2">
        <w:rPr>
          <w:rFonts w:asciiTheme="majorBidi" w:hAnsiTheme="majorBidi" w:cstheme="majorBidi"/>
          <w:noProof/>
          <w:color w:val="0070C0"/>
          <w:sz w:val="24"/>
          <w:szCs w:val="24"/>
          <w:u w:val="single"/>
          <w:lang w:val="id-ID"/>
        </w:rPr>
        <w:t>https://doi.org/10.31004/edukatif.v5i2.4853</w:t>
      </w:r>
    </w:p>
    <w:p w14:paraId="7E13AEE5"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9B7836">
        <w:rPr>
          <w:rFonts w:asciiTheme="majorBidi" w:hAnsiTheme="majorBidi" w:cstheme="majorBidi"/>
          <w:noProof/>
          <w:sz w:val="24"/>
          <w:szCs w:val="24"/>
        </w:rPr>
        <w:t xml:space="preserve">Khotimah, H., Sofa, A. R., &amp; Timur, J. (2025). Strategi analisis maharah qira’ah untuk pemahaman Bahasa Arab di Madrasah Aliyah Al-Masduqiyah. </w:t>
      </w:r>
      <w:r w:rsidRPr="009B7836">
        <w:rPr>
          <w:rFonts w:asciiTheme="majorBidi" w:hAnsiTheme="majorBidi" w:cstheme="majorBidi"/>
          <w:i/>
          <w:iCs/>
          <w:noProof/>
          <w:sz w:val="24"/>
          <w:szCs w:val="24"/>
        </w:rPr>
        <w:t>Jurnal Motivasi</w:t>
      </w:r>
      <w:r w:rsidRPr="009B7836">
        <w:rPr>
          <w:rFonts w:asciiTheme="majorBidi" w:hAnsiTheme="majorBidi" w:cstheme="majorBidi"/>
          <w:noProof/>
          <w:sz w:val="24"/>
          <w:szCs w:val="24"/>
        </w:rPr>
        <w:t xml:space="preserve">, 3(1), 44–56. </w:t>
      </w:r>
      <w:r w:rsidRPr="009B7836">
        <w:rPr>
          <w:rFonts w:asciiTheme="majorBidi" w:hAnsiTheme="majorBidi" w:cstheme="majorBidi"/>
          <w:noProof/>
          <w:color w:val="0070C0"/>
          <w:sz w:val="24"/>
          <w:szCs w:val="24"/>
          <w:u w:val="single"/>
        </w:rPr>
        <w:t>https://doi.org/10.59581/jmpb-widyakarya.v3i1.4806</w:t>
      </w:r>
      <w:r w:rsidRPr="009B7836">
        <w:rPr>
          <w:rFonts w:asciiTheme="majorBidi" w:hAnsiTheme="majorBidi" w:cstheme="majorBidi"/>
          <w:noProof/>
          <w:color w:val="0070C0"/>
          <w:sz w:val="24"/>
          <w:szCs w:val="24"/>
          <w:u w:val="single"/>
          <w:lang w:val="id-ID"/>
        </w:rPr>
        <w:t>.</w:t>
      </w:r>
    </w:p>
    <w:p w14:paraId="54297AA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lastRenderedPageBreak/>
        <w:t xml:space="preserve">Munawarah, M., &amp; Zulkiflih, Z. (2021). Pembelajaran keterampilan menulis (maharah al-kitabah) dalam Bahasa Arab. </w:t>
      </w:r>
      <w:r w:rsidRPr="00B70095">
        <w:rPr>
          <w:rFonts w:asciiTheme="majorBidi" w:hAnsiTheme="majorBidi" w:cstheme="majorBidi"/>
          <w:i/>
          <w:iCs/>
          <w:noProof/>
          <w:sz w:val="24"/>
          <w:szCs w:val="24"/>
          <w:lang w:val="id-ID"/>
        </w:rPr>
        <w:t>Loghat Arabi: Jurnal Bahasa Arab dan Pendidikan Bahasa Arab</w:t>
      </w:r>
      <w:r w:rsidRPr="00B70095">
        <w:rPr>
          <w:rFonts w:asciiTheme="majorBidi" w:hAnsiTheme="majorBidi" w:cstheme="majorBidi"/>
          <w:noProof/>
          <w:sz w:val="24"/>
          <w:szCs w:val="24"/>
          <w:lang w:val="id-ID"/>
        </w:rPr>
        <w:t xml:space="preserve">, 1(2), 22–33. </w:t>
      </w:r>
      <w:r w:rsidRPr="00605CB2">
        <w:rPr>
          <w:rFonts w:asciiTheme="majorBidi" w:hAnsiTheme="majorBidi" w:cstheme="majorBidi"/>
          <w:noProof/>
          <w:color w:val="0070C0"/>
          <w:sz w:val="24"/>
          <w:szCs w:val="24"/>
          <w:u w:val="single"/>
          <w:lang w:val="id-ID"/>
        </w:rPr>
        <w:t>https://doi.org/10.31219/osf.io/loghat22</w:t>
      </w:r>
    </w:p>
    <w:p w14:paraId="5653556C"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Mustofa. (2011). </w:t>
      </w:r>
      <w:r w:rsidRPr="00B70095">
        <w:rPr>
          <w:rFonts w:asciiTheme="majorBidi" w:hAnsiTheme="majorBidi" w:cstheme="majorBidi"/>
          <w:i/>
          <w:iCs/>
          <w:noProof/>
          <w:sz w:val="24"/>
          <w:szCs w:val="24"/>
          <w:lang w:val="id-ID"/>
        </w:rPr>
        <w:t>Model pembelajaran Bahasa Arab untuk Madrasah Tsanawiyah</w:t>
      </w:r>
      <w:r w:rsidRPr="00B70095">
        <w:rPr>
          <w:rFonts w:asciiTheme="majorBidi" w:hAnsiTheme="majorBidi" w:cstheme="majorBidi"/>
          <w:noProof/>
          <w:sz w:val="24"/>
          <w:szCs w:val="24"/>
          <w:lang w:val="id-ID"/>
        </w:rPr>
        <w:t>. Jakarta: Direktorat Pendidikan Madrasah, Kementerian Agama RI.</w:t>
      </w:r>
    </w:p>
    <w:p w14:paraId="5600FAA2"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Nasution, S., Asari, H., Al-Rasyid, H., Dalimunthe, R. A., &amp; Rahman, A. (2024). Learning Arabic language sciences based on technology in traditional Islamic boarding schools in Indonesia. </w:t>
      </w:r>
      <w:r w:rsidRPr="00B70095">
        <w:rPr>
          <w:rFonts w:asciiTheme="majorBidi" w:hAnsiTheme="majorBidi" w:cstheme="majorBidi"/>
          <w:i/>
          <w:iCs/>
          <w:noProof/>
          <w:sz w:val="24"/>
          <w:szCs w:val="24"/>
          <w:lang w:val="id-ID"/>
        </w:rPr>
        <w:t>Nazhruna: Jurnal Pendidikan Islam</w:t>
      </w:r>
      <w:r w:rsidRPr="00B70095">
        <w:rPr>
          <w:rFonts w:asciiTheme="majorBidi" w:hAnsiTheme="majorBidi" w:cstheme="majorBidi"/>
          <w:noProof/>
          <w:sz w:val="24"/>
          <w:szCs w:val="24"/>
          <w:lang w:val="id-ID"/>
        </w:rPr>
        <w:t xml:space="preserve">, 7(1), 77–102. </w:t>
      </w:r>
      <w:r w:rsidRPr="00605CB2">
        <w:rPr>
          <w:rFonts w:asciiTheme="majorBidi" w:hAnsiTheme="majorBidi" w:cstheme="majorBidi"/>
          <w:noProof/>
          <w:color w:val="0070C0"/>
          <w:sz w:val="24"/>
          <w:szCs w:val="24"/>
          <w:u w:val="single"/>
          <w:lang w:val="id-ID"/>
        </w:rPr>
        <w:t>https://doi.org/10.35316/nazhruna.v7i1.4222</w:t>
      </w:r>
    </w:p>
    <w:p w14:paraId="7E9BEFFD" w14:textId="77777777" w:rsidR="009B7836"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965B9E">
        <w:rPr>
          <w:rFonts w:asciiTheme="majorBidi" w:hAnsiTheme="majorBidi" w:cstheme="majorBidi"/>
          <w:noProof/>
          <w:sz w:val="24"/>
          <w:szCs w:val="24"/>
          <w:lang w:val="id-ID"/>
        </w:rPr>
        <w:t xml:space="preserve">Nasution, S. (2024). </w:t>
      </w:r>
      <w:r w:rsidRPr="00B70095">
        <w:rPr>
          <w:rFonts w:asciiTheme="majorBidi" w:hAnsiTheme="majorBidi" w:cstheme="majorBidi"/>
          <w:noProof/>
          <w:sz w:val="24"/>
          <w:szCs w:val="24"/>
          <w:rtl/>
          <w:lang w:val="id-ID"/>
        </w:rPr>
        <w:t>مقدمة في فضل اللغة العربية: دراسة تحليلية</w:t>
      </w:r>
      <w:r w:rsidRPr="00965B9E">
        <w:rPr>
          <w:rFonts w:asciiTheme="majorBidi" w:hAnsiTheme="majorBidi" w:cstheme="majorBidi"/>
          <w:noProof/>
          <w:sz w:val="24"/>
          <w:szCs w:val="24"/>
          <w:lang w:val="id-ID"/>
        </w:rPr>
        <w:t xml:space="preserve"> tentang urgensi bahasa Arab dalam pendidikan Islam modern. </w:t>
      </w:r>
      <w:r w:rsidRPr="00B70095">
        <w:rPr>
          <w:rFonts w:asciiTheme="majorBidi" w:hAnsiTheme="majorBidi" w:cstheme="majorBidi"/>
          <w:i/>
          <w:iCs/>
          <w:noProof/>
          <w:sz w:val="24"/>
          <w:szCs w:val="24"/>
        </w:rPr>
        <w:t>Jurnal Studi Bahasa dan Pendidikan Islam</w:t>
      </w:r>
      <w:r w:rsidRPr="00B70095">
        <w:rPr>
          <w:rFonts w:asciiTheme="majorBidi" w:hAnsiTheme="majorBidi" w:cstheme="majorBidi"/>
          <w:noProof/>
          <w:sz w:val="24"/>
          <w:szCs w:val="24"/>
        </w:rPr>
        <w:t>, 8(2), 145–160.</w:t>
      </w:r>
    </w:p>
    <w:p w14:paraId="3F52C6A1"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Rachman, Y. E. (2021). Faktor-faktor penghambat dalam memahami Bahasa Arab. </w:t>
      </w:r>
      <w:r w:rsidRPr="00B70095">
        <w:rPr>
          <w:rFonts w:asciiTheme="majorBidi" w:hAnsiTheme="majorBidi" w:cstheme="majorBidi"/>
          <w:i/>
          <w:iCs/>
          <w:noProof/>
          <w:sz w:val="24"/>
          <w:szCs w:val="24"/>
          <w:lang w:val="id-ID"/>
        </w:rPr>
        <w:t>El-Ibtikar: Jurnal Pendidikan Bahasa Arab</w:t>
      </w:r>
      <w:r w:rsidRPr="00B70095">
        <w:rPr>
          <w:rFonts w:asciiTheme="majorBidi" w:hAnsiTheme="majorBidi" w:cstheme="majorBidi"/>
          <w:noProof/>
          <w:sz w:val="24"/>
          <w:szCs w:val="24"/>
          <w:lang w:val="id-ID"/>
        </w:rPr>
        <w:t xml:space="preserve">, 10(1), 39–52. </w:t>
      </w:r>
      <w:hyperlink r:id="rId10" w:tgtFrame="_new" w:history="1">
        <w:r w:rsidRPr="00605CB2">
          <w:rPr>
            <w:rStyle w:val="Hyperlink"/>
            <w:rFonts w:asciiTheme="majorBidi" w:hAnsiTheme="majorBidi" w:cstheme="majorBidi"/>
            <w:noProof/>
            <w:color w:val="0070C0"/>
            <w:sz w:val="24"/>
            <w:szCs w:val="24"/>
            <w:lang w:val="id-ID"/>
          </w:rPr>
          <w:t>https://doi.org/10.47467/ibtikar.v10i1.7725</w:t>
        </w:r>
      </w:hyperlink>
    </w:p>
    <w:p w14:paraId="659AE2EE"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9B7836">
        <w:rPr>
          <w:rFonts w:asciiTheme="majorBidi" w:hAnsiTheme="majorBidi" w:cstheme="majorBidi"/>
          <w:noProof/>
          <w:sz w:val="24"/>
          <w:szCs w:val="24"/>
        </w:rPr>
        <w:t xml:space="preserve">Rahmaini, R. (2015). Strategi pembelajaran maharah kalam bagi non-Arab. </w:t>
      </w:r>
      <w:r w:rsidRPr="009B7836">
        <w:rPr>
          <w:rFonts w:asciiTheme="majorBidi" w:hAnsiTheme="majorBidi" w:cstheme="majorBidi"/>
          <w:i/>
          <w:iCs/>
          <w:noProof/>
          <w:sz w:val="24"/>
          <w:szCs w:val="24"/>
        </w:rPr>
        <w:t>Ihya Al Arabiyah</w:t>
      </w:r>
      <w:r w:rsidRPr="009B7836">
        <w:rPr>
          <w:rFonts w:asciiTheme="majorBidi" w:hAnsiTheme="majorBidi" w:cstheme="majorBidi"/>
          <w:noProof/>
          <w:sz w:val="24"/>
          <w:szCs w:val="24"/>
        </w:rPr>
        <w:t xml:space="preserve">, 1(2), 227–233. </w:t>
      </w:r>
      <w:r w:rsidRPr="009B7836">
        <w:rPr>
          <w:rFonts w:asciiTheme="majorBidi" w:hAnsiTheme="majorBidi" w:cstheme="majorBidi"/>
          <w:noProof/>
          <w:color w:val="0070C0"/>
          <w:sz w:val="24"/>
          <w:szCs w:val="24"/>
          <w:u w:val="single"/>
        </w:rPr>
        <w:t>http://dx.doi.org/10.30821/ihya.v1i2.1529</w:t>
      </w:r>
      <w:r w:rsidRPr="00B70095">
        <w:rPr>
          <w:rFonts w:asciiTheme="majorBidi" w:hAnsiTheme="majorBidi" w:cstheme="majorBidi"/>
          <w:noProof/>
          <w:sz w:val="24"/>
          <w:szCs w:val="24"/>
          <w:lang w:val="id-ID"/>
        </w:rPr>
        <w:t>.</w:t>
      </w:r>
    </w:p>
    <w:p w14:paraId="0200B981"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Rajalani, S., Prodi, M., Bahasa, P., &amp; Fakultas, A. (2020). Metode pembelajaran dalam meningkatkan keterampilan berbicara Bahasa Arab. </w:t>
      </w:r>
      <w:r w:rsidRPr="00B70095">
        <w:rPr>
          <w:rFonts w:asciiTheme="majorBidi" w:hAnsiTheme="majorBidi" w:cstheme="majorBidi"/>
          <w:i/>
          <w:iCs/>
          <w:noProof/>
          <w:sz w:val="24"/>
          <w:szCs w:val="24"/>
          <w:lang w:val="id-ID"/>
        </w:rPr>
        <w:t>Jurnal Pendidikan</w:t>
      </w:r>
      <w:r w:rsidRPr="00B70095">
        <w:rPr>
          <w:rFonts w:asciiTheme="majorBidi" w:hAnsiTheme="majorBidi" w:cstheme="majorBidi"/>
          <w:noProof/>
          <w:sz w:val="24"/>
          <w:szCs w:val="24"/>
          <w:lang w:val="id-ID"/>
        </w:rPr>
        <w:t xml:space="preserve">, 1(1), 56–64. </w:t>
      </w:r>
      <w:r w:rsidRPr="00605CB2">
        <w:rPr>
          <w:rFonts w:asciiTheme="majorBidi" w:hAnsiTheme="majorBidi" w:cstheme="majorBidi"/>
          <w:noProof/>
          <w:color w:val="0070C0"/>
          <w:sz w:val="24"/>
          <w:szCs w:val="24"/>
          <w:u w:val="single"/>
          <w:lang w:val="id-ID"/>
        </w:rPr>
        <w:t>https://doi.org/10.31219/osf.io/raj2020</w:t>
      </w:r>
    </w:p>
    <w:p w14:paraId="70D932B2"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Refdahria, R. (2022). </w:t>
      </w:r>
      <w:r w:rsidRPr="00B70095">
        <w:rPr>
          <w:rFonts w:asciiTheme="majorBidi" w:hAnsiTheme="majorBidi" w:cstheme="majorBidi"/>
          <w:i/>
          <w:iCs/>
          <w:noProof/>
          <w:sz w:val="24"/>
          <w:szCs w:val="24"/>
          <w:lang w:val="id-ID"/>
        </w:rPr>
        <w:t>Problematika pembelajaran Bahasa Arab maharah qira’ah di MTs Ma’arif NU 2 Cilongok Kabupaten Banyumas</w:t>
      </w:r>
      <w:r w:rsidRPr="00B70095">
        <w:rPr>
          <w:rFonts w:asciiTheme="majorBidi" w:hAnsiTheme="majorBidi" w:cstheme="majorBidi"/>
          <w:noProof/>
          <w:sz w:val="24"/>
          <w:szCs w:val="24"/>
          <w:lang w:val="id-ID"/>
        </w:rPr>
        <w:t xml:space="preserve"> (Skripsi). Universitas Muhammadiyah Purwokerto.</w:t>
      </w:r>
    </w:p>
    <w:p w14:paraId="577AD6A5"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Rukminingsih. (2020). </w:t>
      </w:r>
      <w:r w:rsidRPr="00B70095">
        <w:rPr>
          <w:rFonts w:asciiTheme="majorBidi" w:hAnsiTheme="majorBidi" w:cstheme="majorBidi"/>
          <w:i/>
          <w:iCs/>
          <w:noProof/>
          <w:sz w:val="24"/>
          <w:szCs w:val="24"/>
          <w:lang w:val="id-ID"/>
        </w:rPr>
        <w:t>Metode penelitian kuantitatif &amp; kualitatif</w:t>
      </w:r>
      <w:r w:rsidRPr="00B70095">
        <w:rPr>
          <w:rFonts w:asciiTheme="majorBidi" w:hAnsiTheme="majorBidi" w:cstheme="majorBidi"/>
          <w:noProof/>
          <w:sz w:val="24"/>
          <w:szCs w:val="24"/>
          <w:lang w:val="id-ID"/>
        </w:rPr>
        <w:t>. Surakarta: Cakra Media.</w:t>
      </w:r>
    </w:p>
    <w:p w14:paraId="1E894BCA" w14:textId="77777777" w:rsidR="009B7836"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Saharuddin. (2024). Strategi pembelajaran Bahasa Arab berbasis literasi. </w:t>
      </w:r>
      <w:r w:rsidRPr="00B70095">
        <w:rPr>
          <w:rFonts w:asciiTheme="majorBidi" w:hAnsiTheme="majorBidi" w:cstheme="majorBidi"/>
          <w:i/>
          <w:iCs/>
          <w:noProof/>
          <w:sz w:val="24"/>
          <w:szCs w:val="24"/>
          <w:lang w:val="id-ID"/>
        </w:rPr>
        <w:t>Al Maraji’: Jurnal Pendidikan Bahasa Arab</w:t>
      </w:r>
      <w:r w:rsidRPr="00B70095">
        <w:rPr>
          <w:rFonts w:asciiTheme="majorBidi" w:hAnsiTheme="majorBidi" w:cstheme="majorBidi"/>
          <w:noProof/>
          <w:sz w:val="24"/>
          <w:szCs w:val="24"/>
          <w:lang w:val="id-ID"/>
        </w:rPr>
        <w:t>, 3(1), 55–70.</w:t>
      </w:r>
    </w:p>
    <w:p w14:paraId="142D41AD"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9B7836">
        <w:rPr>
          <w:rFonts w:asciiTheme="majorBidi" w:hAnsiTheme="majorBidi" w:cstheme="majorBidi"/>
          <w:noProof/>
          <w:sz w:val="24"/>
          <w:szCs w:val="24"/>
        </w:rPr>
        <w:t xml:space="preserve">Sidiq, U., &amp; Choiri, M. M. (2019). </w:t>
      </w:r>
      <w:r w:rsidRPr="009B7836">
        <w:rPr>
          <w:rFonts w:asciiTheme="majorBidi" w:hAnsiTheme="majorBidi" w:cstheme="majorBidi"/>
          <w:i/>
          <w:iCs/>
          <w:noProof/>
          <w:sz w:val="24"/>
          <w:szCs w:val="24"/>
        </w:rPr>
        <w:t>Metode penelitian kualitatif di bidang pendidikan</w:t>
      </w:r>
      <w:r w:rsidRPr="009B7836">
        <w:rPr>
          <w:rFonts w:asciiTheme="majorBidi" w:hAnsiTheme="majorBidi" w:cstheme="majorBidi"/>
          <w:noProof/>
          <w:sz w:val="24"/>
          <w:szCs w:val="24"/>
        </w:rPr>
        <w:t>. Jakarta: RajaGrafindo Persada</w:t>
      </w:r>
    </w:p>
    <w:p w14:paraId="273D53A7"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Sugiyono. (2021). </w:t>
      </w:r>
      <w:r w:rsidRPr="00B70095">
        <w:rPr>
          <w:rFonts w:asciiTheme="majorBidi" w:hAnsiTheme="majorBidi" w:cstheme="majorBidi"/>
          <w:i/>
          <w:iCs/>
          <w:noProof/>
          <w:sz w:val="24"/>
          <w:szCs w:val="24"/>
          <w:lang w:val="id-ID"/>
        </w:rPr>
        <w:t>Metode penelitian kuantitatif, kualitatif dan R&amp;D</w:t>
      </w:r>
      <w:r w:rsidRPr="00B70095">
        <w:rPr>
          <w:rFonts w:asciiTheme="majorBidi" w:hAnsiTheme="majorBidi" w:cstheme="majorBidi"/>
          <w:noProof/>
          <w:sz w:val="24"/>
          <w:szCs w:val="24"/>
          <w:lang w:val="id-ID"/>
        </w:rPr>
        <w:t>. Bandung: Alfabeta.</w:t>
      </w:r>
    </w:p>
    <w:p w14:paraId="76BF0448"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Susiawati, I., Mardani, D., &amp; Syahda Nissa, F. (2022). Pembelajaran maharah qira’ah untuk penguasaan makna teks tentang pendidikan karakter. </w:t>
      </w:r>
      <w:r w:rsidRPr="00B70095">
        <w:rPr>
          <w:rFonts w:asciiTheme="majorBidi" w:hAnsiTheme="majorBidi" w:cstheme="majorBidi"/>
          <w:i/>
          <w:iCs/>
          <w:noProof/>
          <w:sz w:val="24"/>
          <w:szCs w:val="24"/>
          <w:lang w:val="id-ID"/>
        </w:rPr>
        <w:t>Edukasi Islami: Jurnal Pendidikan Islam</w:t>
      </w:r>
      <w:r w:rsidRPr="00B70095">
        <w:rPr>
          <w:rFonts w:asciiTheme="majorBidi" w:hAnsiTheme="majorBidi" w:cstheme="majorBidi"/>
          <w:noProof/>
          <w:sz w:val="24"/>
          <w:szCs w:val="24"/>
          <w:lang w:val="id-ID"/>
        </w:rPr>
        <w:t>, 11(1), 21–33.</w:t>
      </w:r>
    </w:p>
    <w:p w14:paraId="19143D76"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Syihabul, M., Al, I., &amp; Mufidah, N. (2024). Pembelajaran efektif maharah qira’ah untuk siswa non-pesantren. </w:t>
      </w:r>
      <w:r w:rsidRPr="00B70095">
        <w:rPr>
          <w:rFonts w:asciiTheme="majorBidi" w:hAnsiTheme="majorBidi" w:cstheme="majorBidi"/>
          <w:i/>
          <w:iCs/>
          <w:noProof/>
          <w:sz w:val="24"/>
          <w:szCs w:val="24"/>
          <w:lang w:val="id-ID"/>
        </w:rPr>
        <w:t>Al Mi’yar: Jurnal Ilmiah Pembelajaran Bahasa Arab dan Kebahasaaraban</w:t>
      </w:r>
      <w:r w:rsidRPr="00B70095">
        <w:rPr>
          <w:rFonts w:asciiTheme="majorBidi" w:hAnsiTheme="majorBidi" w:cstheme="majorBidi"/>
          <w:noProof/>
          <w:sz w:val="24"/>
          <w:szCs w:val="24"/>
          <w:lang w:val="id-ID"/>
        </w:rPr>
        <w:t xml:space="preserve">, 7(2), 740–748. </w:t>
      </w:r>
      <w:r w:rsidRPr="00605CB2">
        <w:rPr>
          <w:rFonts w:asciiTheme="majorBidi" w:hAnsiTheme="majorBidi" w:cstheme="majorBidi"/>
          <w:noProof/>
          <w:color w:val="0070C0"/>
          <w:sz w:val="24"/>
          <w:szCs w:val="24"/>
          <w:u w:val="single"/>
          <w:lang w:val="id-ID"/>
        </w:rPr>
        <w:t>https://doi.org/10.31332/miyar.v7i2.7420</w:t>
      </w:r>
    </w:p>
    <w:p w14:paraId="3886A2B9"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B70095">
        <w:rPr>
          <w:rFonts w:asciiTheme="majorBidi" w:hAnsiTheme="majorBidi" w:cstheme="majorBidi"/>
          <w:noProof/>
          <w:sz w:val="24"/>
          <w:szCs w:val="24"/>
          <w:lang w:val="id-ID"/>
        </w:rPr>
        <w:t xml:space="preserve">Umar Sidiq, M. M. C. (2019). </w:t>
      </w:r>
      <w:r w:rsidRPr="00B70095">
        <w:rPr>
          <w:rFonts w:asciiTheme="majorBidi" w:hAnsiTheme="majorBidi" w:cstheme="majorBidi"/>
          <w:i/>
          <w:iCs/>
          <w:noProof/>
          <w:sz w:val="24"/>
          <w:szCs w:val="24"/>
          <w:lang w:val="id-ID"/>
        </w:rPr>
        <w:t>Metode penelitian kualitatif di bidang pendidikan</w:t>
      </w:r>
      <w:r w:rsidRPr="00B70095">
        <w:rPr>
          <w:rFonts w:asciiTheme="majorBidi" w:hAnsiTheme="majorBidi" w:cstheme="majorBidi"/>
          <w:noProof/>
          <w:sz w:val="24"/>
          <w:szCs w:val="24"/>
          <w:lang w:val="id-ID"/>
        </w:rPr>
        <w:t>. Jakarta: RajaGrafindo Persada.</w:t>
      </w:r>
    </w:p>
    <w:p w14:paraId="201D584B" w14:textId="77777777" w:rsidR="009B7836" w:rsidRPr="00B70095" w:rsidRDefault="009B7836" w:rsidP="009B7836">
      <w:pPr>
        <w:widowControl w:val="0"/>
        <w:autoSpaceDE w:val="0"/>
        <w:autoSpaceDN w:val="0"/>
        <w:adjustRightInd w:val="0"/>
        <w:spacing w:line="240" w:lineRule="auto"/>
        <w:ind w:left="480" w:hanging="480"/>
        <w:jc w:val="both"/>
        <w:rPr>
          <w:rFonts w:asciiTheme="majorBidi" w:hAnsiTheme="majorBidi" w:cstheme="majorBidi"/>
          <w:noProof/>
          <w:sz w:val="24"/>
          <w:szCs w:val="24"/>
        </w:rPr>
      </w:pPr>
    </w:p>
    <w:p w14:paraId="7E4329C9" w14:textId="20D0FADB" w:rsidR="00C437BC" w:rsidRPr="00B70095" w:rsidRDefault="009B7836" w:rsidP="009B7836">
      <w:pPr>
        <w:widowControl w:val="0"/>
        <w:autoSpaceDE w:val="0"/>
        <w:autoSpaceDN w:val="0"/>
        <w:adjustRightInd w:val="0"/>
        <w:ind w:left="480" w:hanging="480"/>
        <w:jc w:val="both"/>
        <w:rPr>
          <w:rFonts w:asciiTheme="majorBidi" w:hAnsiTheme="majorBidi" w:cstheme="majorBidi"/>
          <w:noProof/>
          <w:sz w:val="24"/>
          <w:szCs w:val="24"/>
        </w:rPr>
      </w:pPr>
      <w:r w:rsidRPr="00B70095">
        <w:rPr>
          <w:rFonts w:asciiTheme="majorBidi" w:hAnsiTheme="majorBidi" w:cstheme="majorBidi"/>
          <w:b/>
          <w:bCs/>
          <w:sz w:val="24"/>
          <w:szCs w:val="24"/>
          <w:lang w:val="id-ID"/>
        </w:rPr>
        <w:fldChar w:fldCharType="end"/>
      </w:r>
    </w:p>
    <w:p w14:paraId="71A7124E" w14:textId="77777777" w:rsidR="00C437BC" w:rsidRPr="00B70095" w:rsidRDefault="00C437BC" w:rsidP="00C437BC">
      <w:pPr>
        <w:autoSpaceDE w:val="0"/>
        <w:autoSpaceDN w:val="0"/>
        <w:ind w:left="-1280"/>
        <w:jc w:val="both"/>
        <w:rPr>
          <w:rFonts w:asciiTheme="majorBidi" w:hAnsiTheme="majorBidi" w:cstheme="majorBidi"/>
          <w:b/>
          <w:bCs/>
          <w:sz w:val="24"/>
          <w:szCs w:val="24"/>
          <w:lang w:val="id-ID"/>
        </w:rPr>
      </w:pPr>
      <w:r w:rsidRPr="00B70095">
        <w:rPr>
          <w:rFonts w:asciiTheme="majorBidi" w:hAnsiTheme="majorBidi" w:cstheme="majorBidi"/>
          <w:b/>
          <w:bCs/>
          <w:sz w:val="24"/>
          <w:szCs w:val="24"/>
          <w:lang w:val="id-ID"/>
        </w:rPr>
        <w:fldChar w:fldCharType="end"/>
      </w:r>
    </w:p>
    <w:p w14:paraId="3C6D5DEE" w14:textId="2AA8A5DC" w:rsidR="00935777" w:rsidRPr="008D263B" w:rsidRDefault="00935777" w:rsidP="001146EF">
      <w:pPr>
        <w:ind w:left="851" w:hanging="709"/>
      </w:pPr>
    </w:p>
    <w:sectPr w:rsidR="00935777" w:rsidRPr="008D263B" w:rsidSect="008D263B">
      <w:headerReference w:type="even" r:id="rId11"/>
      <w:headerReference w:type="default" r:id="rId12"/>
      <w:footerReference w:type="even" r:id="rId13"/>
      <w:footerReference w:type="default" r:id="rId14"/>
      <w:pgSz w:w="11907" w:h="16839" w:code="9"/>
      <w:pgMar w:top="1134" w:right="1134" w:bottom="1134" w:left="1134" w:header="1134" w:footer="73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B612E" w14:textId="77777777" w:rsidR="008B1BBA" w:rsidRDefault="008B1BBA">
      <w:pPr>
        <w:spacing w:after="0" w:line="240" w:lineRule="auto"/>
      </w:pPr>
      <w:r>
        <w:separator/>
      </w:r>
    </w:p>
  </w:endnote>
  <w:endnote w:type="continuationSeparator" w:id="0">
    <w:p w14:paraId="3B37E5C6" w14:textId="77777777" w:rsidR="008B1BBA" w:rsidRDefault="008B1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opperplate Gothic Bold">
    <w:altName w:val="Copperplate Gothic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0C796" w14:textId="0E13E692" w:rsidR="00F44D52" w:rsidRPr="00065CE2" w:rsidRDefault="00F44D52" w:rsidP="00FD45C5">
    <w:pPr>
      <w:pStyle w:val="Footer"/>
      <w:tabs>
        <w:tab w:val="clear" w:pos="4680"/>
        <w:tab w:val="clear" w:pos="9360"/>
      </w:tabs>
      <w:rPr>
        <w:sz w:val="20"/>
        <w:szCs w:val="20"/>
      </w:rPr>
    </w:pPr>
    <w:r>
      <w:rPr>
        <w:noProof/>
      </w:rPr>
      <mc:AlternateContent>
        <mc:Choice Requires="wps">
          <w:drawing>
            <wp:anchor distT="0" distB="0" distL="114300" distR="114300" simplePos="0" relativeHeight="251664384" behindDoc="0" locked="0" layoutInCell="1" allowOverlap="1" wp14:anchorId="670CB45A" wp14:editId="3B49822E">
              <wp:simplePos x="0" y="0"/>
              <wp:positionH relativeFrom="column">
                <wp:posOffset>2336800</wp:posOffset>
              </wp:positionH>
              <wp:positionV relativeFrom="paragraph">
                <wp:posOffset>34925</wp:posOffset>
              </wp:positionV>
              <wp:extent cx="2875915" cy="269875"/>
              <wp:effectExtent l="0" t="0" r="0" b="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915" cy="269875"/>
                      </a:xfrm>
                      <a:prstGeom prst="rect">
                        <a:avLst/>
                      </a:prstGeom>
                      <a:noFill/>
                      <a:ln w="12700" cap="flat" cmpd="sng" algn="ctr">
                        <a:noFill/>
                        <a:prstDash val="solid"/>
                        <a:miter lim="800000"/>
                      </a:ln>
                      <a:effectLst/>
                    </wps:spPr>
                    <wps:txbx>
                      <w:txbxContent>
                        <w:p w14:paraId="50C9145C" w14:textId="77777777" w:rsidR="00F44D52" w:rsidRPr="00065CE2" w:rsidRDefault="00F44D52" w:rsidP="00FD45C5">
                          <w:pPr>
                            <w:jc w:val="right"/>
                            <w:rPr>
                              <w:rFonts w:ascii="Garamond" w:hAnsi="Garamond"/>
                              <w:sz w:val="20"/>
                              <w:szCs w:val="20"/>
                            </w:rPr>
                          </w:pPr>
                          <w:r>
                            <w:t>ARABIYAT, ISSN: 2356-153X, E-ISSN: 2442-9473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rect w14:anchorId="670CB45A" id="Rectangle 10" o:spid="_x0000_s1028" style="position:absolute;margin-left:184pt;margin-top:2.75pt;width:226.45pt;height:2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" filled="f" stroked="f" strokeweight="1pt">
              <v:textbox>
                <w:txbxContent>
                  <w:p w14:paraId="50C9145C" w14:textId="77777777" w:rsidR="00F44D52" w:rsidRPr="00065CE2" w:rsidRDefault="00F44D52" w:rsidP="00FD45C5">
                    <w:pPr>
                      <w:jc w:val="right"/>
                      <w:rPr>
                        <w:rFonts w:ascii="Garamond" w:hAnsi="Garamond"/>
                        <w:sz w:val="20"/>
                        <w:szCs w:val="20"/>
                      </w:rPr>
                    </w:pPr>
                    <w:r>
                      <w:t>ARABIYAT, ISSN: 2356-153X, E-ISSN: 2442-9473</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6D6FDCB3" wp14:editId="652CD5AB">
              <wp:simplePos x="0" y="0"/>
              <wp:positionH relativeFrom="column">
                <wp:posOffset>30480</wp:posOffset>
              </wp:positionH>
              <wp:positionV relativeFrom="paragraph">
                <wp:posOffset>35560</wp:posOffset>
              </wp:positionV>
              <wp:extent cx="470535" cy="309880"/>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txbx>
                      <w:txbxContent>
                        <w:p w14:paraId="33D1BB93" w14:textId="77777777" w:rsidR="00F44D52" w:rsidRPr="00065CE2" w:rsidRDefault="00F44D52" w:rsidP="00FD45C5">
                          <w:pPr>
                            <w:jc w:val="center"/>
                            <w:rPr>
                              <w:sz w:val="18"/>
                              <w:szCs w:val="18"/>
                            </w:rPr>
                          </w:pPr>
                          <w:r w:rsidRPr="00065CE2">
                            <w:rPr>
                              <w:rFonts w:ascii="Garamond" w:hAnsi="Garamond"/>
                              <w:sz w:val="20"/>
                              <w:szCs w:val="20"/>
                            </w:rPr>
                            <w:fldChar w:fldCharType="begin"/>
                          </w:r>
                          <w:r w:rsidRPr="00065CE2">
                            <w:rPr>
                              <w:rFonts w:ascii="Garamond" w:hAnsi="Garamond"/>
                              <w:sz w:val="20"/>
                              <w:szCs w:val="20"/>
                            </w:rPr>
                            <w:instrText xml:space="preserve"> PAGE   \* MERGEFORMAT </w:instrText>
                          </w:r>
                          <w:r w:rsidRPr="00065CE2">
                            <w:rPr>
                              <w:rFonts w:ascii="Garamond" w:hAnsi="Garamond"/>
                              <w:sz w:val="20"/>
                              <w:szCs w:val="20"/>
                            </w:rPr>
                            <w:fldChar w:fldCharType="separate"/>
                          </w:r>
                          <w:r>
                            <w:rPr>
                              <w:rFonts w:ascii="Garamond" w:hAnsi="Garamond"/>
                              <w:noProof/>
                              <w:sz w:val="20"/>
                              <w:szCs w:val="20"/>
                            </w:rPr>
                            <w:t>4</w:t>
                          </w:r>
                          <w:r w:rsidRPr="00065CE2">
                            <w:rPr>
                              <w:rFonts w:ascii="Garamond" w:hAnsi="Garamond"/>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6D6FDCB3" id="_x0000_t202" coordsize="21600,21600" o:spt="202" path="m,l,21600r21600,l21600,xe">
              <v:stroke joinstyle="miter"/>
              <v:path gradientshapeok="t" o:connecttype="rect"/>
            </v:shapetype>
            <v:shape id="Text Box 8" o:spid="_x0000_s1029" type="#_x0000_t202" style="position:absolute;margin-left:2.4pt;margin-top:2.8pt;width:37.05pt;height: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" filled="f" stroked="f" strokeweight=".5pt">
              <v:textbox>
                <w:txbxContent>
                  <w:p w14:paraId="33D1BB93" w14:textId="77777777" w:rsidR="00F44D52" w:rsidRPr="00065CE2" w:rsidRDefault="00F44D52" w:rsidP="00FD45C5">
                    <w:pPr>
                      <w:jc w:val="center"/>
                      <w:rPr>
                        <w:sz w:val="18"/>
                        <w:szCs w:val="18"/>
                      </w:rPr>
                    </w:pPr>
                    <w:r w:rsidRPr="00065CE2">
                      <w:rPr>
                        <w:rFonts w:ascii="Garamond" w:hAnsi="Garamond"/>
                        <w:sz w:val="20"/>
                        <w:szCs w:val="20"/>
                      </w:rPr>
                      <w:fldChar w:fldCharType="begin"/>
                    </w:r>
                    <w:r w:rsidRPr="00065CE2">
                      <w:rPr>
                        <w:rFonts w:ascii="Garamond" w:hAnsi="Garamond"/>
                        <w:sz w:val="20"/>
                        <w:szCs w:val="20"/>
                      </w:rPr>
                      <w:instrText xml:space="preserve"> PAGE   \* MERGEFORMAT </w:instrText>
                    </w:r>
                    <w:r w:rsidRPr="00065CE2">
                      <w:rPr>
                        <w:rFonts w:ascii="Garamond" w:hAnsi="Garamond"/>
                        <w:sz w:val="20"/>
                        <w:szCs w:val="20"/>
                      </w:rPr>
                      <w:fldChar w:fldCharType="separate"/>
                    </w:r>
                    <w:r>
                      <w:rPr>
                        <w:rFonts w:ascii="Garamond" w:hAnsi="Garamond"/>
                        <w:noProof/>
                        <w:sz w:val="20"/>
                        <w:szCs w:val="20"/>
                      </w:rPr>
                      <w:t>4</w:t>
                    </w:r>
                    <w:r w:rsidRPr="00065CE2">
                      <w:rPr>
                        <w:rFonts w:ascii="Garamond" w:hAnsi="Garamond"/>
                        <w:sz w:val="20"/>
                        <w:szCs w:val="20"/>
                      </w:rPr>
                      <w:fldChar w:fldCharType="end"/>
                    </w:r>
                  </w:p>
                </w:txbxContent>
              </v:textbox>
            </v:shape>
          </w:pict>
        </mc:Fallback>
      </mc:AlternateContent>
    </w:r>
    <w:r>
      <w:rPr>
        <w:noProof/>
      </w:rPr>
      <w:drawing>
        <wp:anchor distT="0" distB="0" distL="114300" distR="114300" simplePos="0" relativeHeight="251660288" behindDoc="1" locked="0" layoutInCell="1" allowOverlap="1" wp14:anchorId="7772B077" wp14:editId="7288F32B">
          <wp:simplePos x="0" y="0"/>
          <wp:positionH relativeFrom="column">
            <wp:posOffset>36830</wp:posOffset>
          </wp:positionH>
          <wp:positionV relativeFrom="paragraph">
            <wp:posOffset>-81280</wp:posOffset>
          </wp:positionV>
          <wp:extent cx="463550" cy="461010"/>
          <wp:effectExtent l="0" t="0" r="0" b="0"/>
          <wp:wrapNone/>
          <wp:docPr id="947646948" name="Picture 6" descr="logo arabiy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arabiy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55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5483">
      <w:rPr>
        <w:rFonts w:ascii="Garamond" w:hAnsi="Garamond"/>
        <w:b/>
        <w:bCs/>
        <w:i/>
        <w:iCs/>
        <w:sz w:val="24"/>
        <w:szCs w:val="24"/>
      </w:rPr>
      <w:t xml:space="preserve"> </w:t>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9846B" w14:textId="2FC984B6" w:rsidR="00F44D52" w:rsidRPr="00065CE2" w:rsidRDefault="00F44D52" w:rsidP="00FD45C5">
    <w:pPr>
      <w:pStyle w:val="Footer"/>
      <w:tabs>
        <w:tab w:val="clear" w:pos="4680"/>
        <w:tab w:val="clear" w:pos="9360"/>
      </w:tabs>
      <w:rPr>
        <w:rFonts w:ascii="Garamond" w:hAnsi="Garamond"/>
        <w:sz w:val="20"/>
        <w:szCs w:val="20"/>
      </w:rPr>
    </w:pPr>
    <w:r>
      <w:rPr>
        <w:noProof/>
      </w:rPr>
      <mc:AlternateContent>
        <mc:Choice Requires="wps">
          <w:drawing>
            <wp:anchor distT="0" distB="0" distL="114300" distR="114300" simplePos="0" relativeHeight="251661312" behindDoc="0" locked="0" layoutInCell="1" allowOverlap="1" wp14:anchorId="4DF6848E" wp14:editId="60F515FA">
              <wp:simplePos x="0" y="0"/>
              <wp:positionH relativeFrom="column">
                <wp:posOffset>4666615</wp:posOffset>
              </wp:positionH>
              <wp:positionV relativeFrom="paragraph">
                <wp:posOffset>43815</wp:posOffset>
              </wp:positionV>
              <wp:extent cx="389255" cy="325755"/>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txbx>
                      <w:txbxContent>
                        <w:p w14:paraId="2FD3B3E9" w14:textId="77777777" w:rsidR="00F44D52" w:rsidRPr="00065CE2" w:rsidRDefault="00F44D52" w:rsidP="00FD45C5">
                          <w:pPr>
                            <w:jc w:val="center"/>
                            <w:rPr>
                              <w:sz w:val="18"/>
                              <w:szCs w:val="18"/>
                            </w:rPr>
                          </w:pPr>
                          <w:r w:rsidRPr="00065CE2">
                            <w:rPr>
                              <w:rFonts w:ascii="Garamond" w:hAnsi="Garamond"/>
                              <w:sz w:val="20"/>
                              <w:szCs w:val="20"/>
                            </w:rPr>
                            <w:fldChar w:fldCharType="begin"/>
                          </w:r>
                          <w:r w:rsidRPr="00065CE2">
                            <w:rPr>
                              <w:rFonts w:ascii="Garamond" w:hAnsi="Garamond"/>
                              <w:sz w:val="20"/>
                              <w:szCs w:val="20"/>
                            </w:rPr>
                            <w:instrText xml:space="preserve"> PAGE   \* MERGEFORMAT </w:instrText>
                          </w:r>
                          <w:r w:rsidRPr="00065CE2">
                            <w:rPr>
                              <w:rFonts w:ascii="Garamond" w:hAnsi="Garamond"/>
                              <w:sz w:val="20"/>
                              <w:szCs w:val="20"/>
                            </w:rPr>
                            <w:fldChar w:fldCharType="separate"/>
                          </w:r>
                          <w:r>
                            <w:rPr>
                              <w:rFonts w:ascii="Garamond" w:hAnsi="Garamond"/>
                              <w:noProof/>
                              <w:sz w:val="20"/>
                              <w:szCs w:val="20"/>
                            </w:rPr>
                            <w:t>2</w:t>
                          </w:r>
                          <w:r w:rsidRPr="00065CE2">
                            <w:rPr>
                              <w:rFonts w:ascii="Garamond" w:hAnsi="Garamond"/>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4DF6848E" id="_x0000_t202" coordsize="21600,21600" o:spt="202" path="m,l,21600r21600,l21600,xe">
              <v:stroke joinstyle="miter"/>
              <v:path gradientshapeok="t" o:connecttype="rect"/>
            </v:shapetype>
            <v:shape id="Text Box 13" o:spid="_x0000_s1030"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" filled="f" stroked="f" strokeweight=".5pt">
              <v:textbox>
                <w:txbxContent>
                  <w:p w14:paraId="2FD3B3E9" w14:textId="77777777" w:rsidR="00F44D52" w:rsidRPr="00065CE2" w:rsidRDefault="00F44D52" w:rsidP="00FD45C5">
                    <w:pPr>
                      <w:jc w:val="center"/>
                      <w:rPr>
                        <w:sz w:val="18"/>
                        <w:szCs w:val="18"/>
                      </w:rPr>
                    </w:pPr>
                    <w:r w:rsidRPr="00065CE2">
                      <w:rPr>
                        <w:rFonts w:ascii="Garamond" w:hAnsi="Garamond"/>
                        <w:sz w:val="20"/>
                        <w:szCs w:val="20"/>
                      </w:rPr>
                      <w:fldChar w:fldCharType="begin"/>
                    </w:r>
                    <w:r w:rsidRPr="00065CE2">
                      <w:rPr>
                        <w:rFonts w:ascii="Garamond" w:hAnsi="Garamond"/>
                        <w:sz w:val="20"/>
                        <w:szCs w:val="20"/>
                      </w:rPr>
                      <w:instrText xml:space="preserve"> PAGE   \* MERGEFORMAT </w:instrText>
                    </w:r>
                    <w:r w:rsidRPr="00065CE2">
                      <w:rPr>
                        <w:rFonts w:ascii="Garamond" w:hAnsi="Garamond"/>
                        <w:sz w:val="20"/>
                        <w:szCs w:val="20"/>
                      </w:rPr>
                      <w:fldChar w:fldCharType="separate"/>
                    </w:r>
                    <w:r>
                      <w:rPr>
                        <w:rFonts w:ascii="Garamond" w:hAnsi="Garamond"/>
                        <w:noProof/>
                        <w:sz w:val="20"/>
                        <w:szCs w:val="20"/>
                      </w:rPr>
                      <w:t>2</w:t>
                    </w:r>
                    <w:r w:rsidRPr="00065CE2">
                      <w:rPr>
                        <w:rFonts w:ascii="Garamond" w:hAnsi="Garamond"/>
                        <w:sz w:val="20"/>
                        <w:szCs w:val="20"/>
                      </w:rPr>
                      <w:fldChar w:fldCharType="end"/>
                    </w:r>
                  </w:p>
                </w:txbxContent>
              </v:textbox>
            </v:shape>
          </w:pict>
        </mc:Fallback>
      </mc:AlternateContent>
    </w:r>
    <w:r>
      <w:rPr>
        <w:noProof/>
      </w:rPr>
      <w:drawing>
        <wp:anchor distT="0" distB="0" distL="114300" distR="114300" simplePos="0" relativeHeight="251659264" behindDoc="1" locked="0" layoutInCell="1" allowOverlap="1" wp14:anchorId="05480B77" wp14:editId="00F90C42">
          <wp:simplePos x="0" y="0"/>
          <wp:positionH relativeFrom="column">
            <wp:posOffset>4617720</wp:posOffset>
          </wp:positionH>
          <wp:positionV relativeFrom="paragraph">
            <wp:posOffset>-74930</wp:posOffset>
          </wp:positionV>
          <wp:extent cx="479425" cy="476885"/>
          <wp:effectExtent l="0" t="0" r="0" b="0"/>
          <wp:wrapNone/>
          <wp:docPr id="1699146018" name="Picture 11" descr="logo arabiy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arabiy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9425" cy="476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5CE2">
      <w:rPr>
        <w:rFonts w:ascii="Garamond" w:hAnsi="Garamond"/>
        <w:sz w:val="20"/>
        <w:szCs w:val="20"/>
      </w:rPr>
      <w:tab/>
    </w:r>
    <w:r w:rsidRPr="00065CE2">
      <w:rPr>
        <w:rFonts w:ascii="Garamond" w:hAnsi="Garamond"/>
        <w:sz w:val="20"/>
        <w:szCs w:val="20"/>
      </w:rPr>
      <w:tab/>
    </w:r>
    <w:r w:rsidRPr="00065CE2">
      <w:rPr>
        <w:rFonts w:ascii="Garamond" w:hAnsi="Garamond"/>
        <w:sz w:val="20"/>
        <w:szCs w:val="20"/>
      </w:rPr>
      <w:tab/>
    </w:r>
    <w:r w:rsidRPr="00065CE2">
      <w:rPr>
        <w:rFonts w:ascii="Garamond" w:hAnsi="Garamond"/>
        <w:sz w:val="20"/>
        <w:szCs w:val="20"/>
      </w:rPr>
      <w:tab/>
    </w:r>
    <w:r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EB864A" w14:textId="77777777" w:rsidR="008B1BBA" w:rsidRDefault="008B1BBA">
      <w:pPr>
        <w:spacing w:after="0" w:line="240" w:lineRule="auto"/>
      </w:pPr>
      <w:r>
        <w:separator/>
      </w:r>
    </w:p>
  </w:footnote>
  <w:footnote w:type="continuationSeparator" w:id="0">
    <w:p w14:paraId="2FAA539A" w14:textId="77777777" w:rsidR="008B1BBA" w:rsidRDefault="008B1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A6C20" w14:textId="0E7228E3" w:rsidR="00F44D52" w:rsidRDefault="00F44D52">
    <w:pPr>
      <w:pStyle w:val="Header"/>
    </w:pPr>
    <w:r>
      <w:rPr>
        <w:noProof/>
      </w:rPr>
      <mc:AlternateContent>
        <mc:Choice Requires="wps">
          <w:drawing>
            <wp:anchor distT="0" distB="0" distL="114300" distR="114300" simplePos="0" relativeHeight="251665408" behindDoc="0" locked="0" layoutInCell="1" allowOverlap="1" wp14:anchorId="4526A6F0" wp14:editId="082BAC00">
              <wp:simplePos x="0" y="0"/>
              <wp:positionH relativeFrom="column">
                <wp:posOffset>-720090</wp:posOffset>
              </wp:positionH>
              <wp:positionV relativeFrom="paragraph">
                <wp:posOffset>-587375</wp:posOffset>
              </wp:positionV>
              <wp:extent cx="6550660" cy="340995"/>
              <wp:effectExtent l="0" t="0" r="0" b="190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txbx>
                      <w:txbxContent>
                        <w:p w14:paraId="37EC7978" w14:textId="77777777" w:rsidR="00F44D52" w:rsidRPr="00D43907" w:rsidRDefault="00F44D52" w:rsidP="00FD45C5">
                          <w:pPr>
                            <w:jc w:val="center"/>
                            <w:rPr>
                              <w:rFonts w:ascii="Myriad Pro" w:hAnsi="Myriad Pro"/>
                            </w:rPr>
                          </w:pPr>
                          <w:r w:rsidRPr="00D43907">
                            <w:rPr>
                              <w:rFonts w:ascii="Monotype Corsiva" w:hAnsi="Monotype Corsiva"/>
                              <w:b/>
                              <w:bCs/>
                              <w:spacing w:val="20"/>
                              <w:sz w:val="28"/>
                              <w:szCs w:val="28"/>
                            </w:rPr>
                            <w:t>Ar</w:t>
                          </w:r>
                          <w:r>
                            <w:rPr>
                              <w:rFonts w:ascii="Monotype Corsiva" w:hAnsi="Monotype Corsiva"/>
                              <w:b/>
                              <w:bCs/>
                              <w:spacing w:val="20"/>
                              <w:sz w:val="28"/>
                              <w:szCs w:val="28"/>
                            </w:rPr>
                            <w:t>a</w:t>
                          </w:r>
                          <w:r w:rsidRPr="00D43907">
                            <w:rPr>
                              <w:rFonts w:ascii="Monotype Corsiva" w:hAnsi="Monotype Corsiva"/>
                              <w:b/>
                              <w:bCs/>
                              <w:spacing w:val="20"/>
                              <w:sz w:val="28"/>
                              <w:szCs w:val="28"/>
                            </w:rPr>
                            <w:t>biyât</w:t>
                          </w:r>
                          <w:r>
                            <w:rPr>
                              <w:rFonts w:ascii="Monotype Corsiva" w:hAnsi="Monotype Corsiva"/>
                            </w:rPr>
                            <w:t xml:space="preserve"> </w:t>
                          </w:r>
                          <w:r w:rsidRPr="00D43907">
                            <w:rPr>
                              <w:rFonts w:ascii="Myriad Pro" w:hAnsi="Myriad Pro"/>
                              <w:sz w:val="19"/>
                              <w:szCs w:val="19"/>
                            </w:rPr>
                            <w:t xml:space="preserve">Jurnal Pendidikan Bahasa Arab dan Kebahasaaraban, </w:t>
                          </w:r>
                          <w:r>
                            <w:rPr>
                              <w:rFonts w:ascii="Myriad Pro" w:hAnsi="Myriad Pro"/>
                              <w:sz w:val="19"/>
                              <w:szCs w:val="19"/>
                            </w:rPr>
                            <w:t>6</w:t>
                          </w:r>
                          <w:r w:rsidRPr="00D43907">
                            <w:rPr>
                              <w:rFonts w:ascii="Myriad Pro" w:hAnsi="Myriad Pro"/>
                              <w:sz w:val="19"/>
                              <w:szCs w:val="19"/>
                            </w:rPr>
                            <w:t xml:space="preserve"> (</w:t>
                          </w:r>
                          <w:r>
                            <w:rPr>
                              <w:rFonts w:ascii="Myriad Pro" w:hAnsi="Myriad Pro"/>
                              <w:sz w:val="19"/>
                              <w:szCs w:val="19"/>
                            </w:rPr>
                            <w:t>2</w:t>
                          </w:r>
                          <w:r w:rsidRPr="00D43907">
                            <w:rPr>
                              <w:rFonts w:ascii="Myriad Pro" w:hAnsi="Myriad Pro"/>
                              <w:sz w:val="19"/>
                              <w:szCs w:val="19"/>
                            </w:rPr>
                            <w:t>), 201</w:t>
                          </w:r>
                          <w:r>
                            <w:rPr>
                              <w:rFonts w:ascii="Myriad Pro" w:hAnsi="Myriad Pro"/>
                              <w:sz w:val="19"/>
                              <w:szCs w:val="19"/>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4526A6F0" id="_x0000_t202" coordsize="21600,21600" o:spt="202" path="m,l,21600r21600,l21600,xe">
              <v:stroke joinstyle="miter"/>
              <v:path gradientshapeok="t" o:connecttype="rect"/>
            </v:shapetype>
            <v:shape id="Text Box 3" o:spid="_x0000_s1026" type="#_x0000_t202" style="position:absolute;margin-left:-56.7pt;margin-top:-46.25pt;width:515.8pt;height:2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" filled="f" stroked="f" strokeweight=".5pt">
              <v:textbox>
                <w:txbxContent>
                  <w:p w14:paraId="37EC7978" w14:textId="77777777" w:rsidR="00F44D52" w:rsidRPr="00D43907" w:rsidRDefault="00F44D52" w:rsidP="00FD45C5">
                    <w:pPr>
                      <w:jc w:val="center"/>
                      <w:rPr>
                        <w:rFonts w:ascii="Myriad Pro" w:hAnsi="Myriad Pro"/>
                      </w:rPr>
                    </w:pPr>
                    <w:proofErr w:type="spellStart"/>
                    <w:r w:rsidRPr="00D43907">
                      <w:rPr>
                        <w:rFonts w:ascii="Monotype Corsiva" w:hAnsi="Monotype Corsiva"/>
                        <w:b/>
                        <w:bCs/>
                        <w:spacing w:val="20"/>
                        <w:sz w:val="28"/>
                        <w:szCs w:val="28"/>
                      </w:rPr>
                      <w:t>Ar</w:t>
                    </w:r>
                    <w:r>
                      <w:rPr>
                        <w:rFonts w:ascii="Monotype Corsiva" w:hAnsi="Monotype Corsiva"/>
                        <w:b/>
                        <w:bCs/>
                        <w:spacing w:val="20"/>
                        <w:sz w:val="28"/>
                        <w:szCs w:val="28"/>
                      </w:rPr>
                      <w:t>a</w:t>
                    </w:r>
                    <w:r w:rsidRPr="00D43907">
                      <w:rPr>
                        <w:rFonts w:ascii="Monotype Corsiva" w:hAnsi="Monotype Corsiva"/>
                        <w:b/>
                        <w:bCs/>
                        <w:spacing w:val="20"/>
                        <w:sz w:val="28"/>
                        <w:szCs w:val="28"/>
                      </w:rPr>
                      <w:t>biyât</w:t>
                    </w:r>
                    <w:proofErr w:type="spellEnd"/>
                    <w:r>
                      <w:rPr>
                        <w:rFonts w:ascii="Monotype Corsiva" w:hAnsi="Monotype Corsiva"/>
                      </w:rPr>
                      <w:t xml:space="preserve"> </w:t>
                    </w:r>
                    <w:proofErr w:type="spellStart"/>
                    <w:r w:rsidRPr="00D43907">
                      <w:rPr>
                        <w:rFonts w:ascii="Myriad Pro" w:hAnsi="Myriad Pro"/>
                        <w:sz w:val="19"/>
                        <w:szCs w:val="19"/>
                      </w:rPr>
                      <w:t>Jurnal</w:t>
                    </w:r>
                    <w:proofErr w:type="spellEnd"/>
                    <w:r w:rsidRPr="00D43907">
                      <w:rPr>
                        <w:rFonts w:ascii="Myriad Pro" w:hAnsi="Myriad Pro"/>
                        <w:sz w:val="19"/>
                        <w:szCs w:val="19"/>
                      </w:rPr>
                      <w:t xml:space="preserve"> Pendidikan Bahasa Arab dan </w:t>
                    </w:r>
                    <w:proofErr w:type="spellStart"/>
                    <w:r w:rsidRPr="00D43907">
                      <w:rPr>
                        <w:rFonts w:ascii="Myriad Pro" w:hAnsi="Myriad Pro"/>
                        <w:sz w:val="19"/>
                        <w:szCs w:val="19"/>
                      </w:rPr>
                      <w:t>Kebahasaaraban</w:t>
                    </w:r>
                    <w:proofErr w:type="spellEnd"/>
                    <w:r w:rsidRPr="00D43907">
                      <w:rPr>
                        <w:rFonts w:ascii="Myriad Pro" w:hAnsi="Myriad Pro"/>
                        <w:sz w:val="19"/>
                        <w:szCs w:val="19"/>
                      </w:rPr>
                      <w:t xml:space="preserve">, </w:t>
                    </w:r>
                    <w:r>
                      <w:rPr>
                        <w:rFonts w:ascii="Myriad Pro" w:hAnsi="Myriad Pro"/>
                        <w:sz w:val="19"/>
                        <w:szCs w:val="19"/>
                      </w:rPr>
                      <w:t>6</w:t>
                    </w:r>
                    <w:r w:rsidRPr="00D43907">
                      <w:rPr>
                        <w:rFonts w:ascii="Myriad Pro" w:hAnsi="Myriad Pro"/>
                        <w:sz w:val="19"/>
                        <w:szCs w:val="19"/>
                      </w:rPr>
                      <w:t xml:space="preserve"> (</w:t>
                    </w:r>
                    <w:r>
                      <w:rPr>
                        <w:rFonts w:ascii="Myriad Pro" w:hAnsi="Myriad Pro"/>
                        <w:sz w:val="19"/>
                        <w:szCs w:val="19"/>
                      </w:rPr>
                      <w:t>2</w:t>
                    </w:r>
                    <w:r w:rsidRPr="00D43907">
                      <w:rPr>
                        <w:rFonts w:ascii="Myriad Pro" w:hAnsi="Myriad Pro"/>
                        <w:sz w:val="19"/>
                        <w:szCs w:val="19"/>
                      </w:rPr>
                      <w:t>), 201</w:t>
                    </w:r>
                    <w:r>
                      <w:rPr>
                        <w:rFonts w:ascii="Myriad Pro" w:hAnsi="Myriad Pro"/>
                        <w:sz w:val="19"/>
                        <w:szCs w:val="19"/>
                      </w:rPr>
                      <w:t>9</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0F737" w14:textId="77777777" w:rsidR="00F44D52" w:rsidRPr="000C4459" w:rsidRDefault="00F44D52" w:rsidP="000C4459">
    <w:pPr>
      <w:jc w:val="center"/>
      <w:rPr>
        <w:rFonts w:ascii="Myriad Pro" w:hAnsi="Myriad Pro"/>
        <w:color w:val="2E74B5" w:themeColor="accent1" w:themeShade="BF"/>
        <w:sz w:val="20"/>
        <w:szCs w:val="20"/>
        <w:lang w:val="id-ID"/>
      </w:rPr>
    </w:pPr>
    <w:r w:rsidRPr="000C4459">
      <w:rPr>
        <w:rFonts w:ascii="Copperplate Gothic Bold" w:hAnsi="Copperplate Gothic Bold"/>
        <w:b/>
        <w:bCs/>
        <w:color w:val="2E74B5" w:themeColor="accent1" w:themeShade="BF"/>
        <w:spacing w:val="20"/>
        <w:sz w:val="20"/>
        <w:szCs w:val="20"/>
      </w:rPr>
      <w:t>IHYA AL-ARABIYAH; JURNAL PENDIDIKAN BAHASA DAN SASTRA ARAB</w:t>
    </w:r>
  </w:p>
  <w:p w14:paraId="372208CD" w14:textId="73B4812E" w:rsidR="00F44D52" w:rsidRPr="000C4459" w:rsidRDefault="00F44D52" w:rsidP="00FD45C5">
    <w:pPr>
      <w:pStyle w:val="Header"/>
      <w:jc w:val="right"/>
      <w:rPr>
        <w:rFonts w:ascii="Garamond" w:hAnsi="Garamond"/>
        <w:color w:val="2E74B5" w:themeColor="accent1" w:themeShade="BF"/>
      </w:rPr>
    </w:pPr>
    <w:r w:rsidRPr="000C4459">
      <w:rPr>
        <w:noProof/>
        <w:color w:val="2E74B5" w:themeColor="accent1" w:themeShade="BF"/>
      </w:rPr>
      <mc:AlternateContent>
        <mc:Choice Requires="wps">
          <w:drawing>
            <wp:anchor distT="0" distB="0" distL="114300" distR="114300" simplePos="0" relativeHeight="251666432" behindDoc="0" locked="0" layoutInCell="1" allowOverlap="1" wp14:anchorId="76DF13EF" wp14:editId="319D1ED4">
              <wp:simplePos x="0" y="0"/>
              <wp:positionH relativeFrom="column">
                <wp:posOffset>-724535</wp:posOffset>
              </wp:positionH>
              <wp:positionV relativeFrom="paragraph">
                <wp:posOffset>-584835</wp:posOffset>
              </wp:positionV>
              <wp:extent cx="6550660" cy="340995"/>
              <wp:effectExtent l="0" t="0" r="0" b="190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txbx>
                      <w:txbxContent>
                        <w:p w14:paraId="4F8423C3" w14:textId="11402DEA" w:rsidR="00F44D52" w:rsidRPr="00D43907" w:rsidRDefault="00F44D52" w:rsidP="00FD45C5">
                          <w:pPr>
                            <w:jc w:val="center"/>
                            <w:rPr>
                              <w:rFonts w:ascii="Myriad Pro" w:hAnsi="Myriad 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76DF13EF" id="_x0000_t202" coordsize="21600,21600" o:spt="202" path="m,l,21600r21600,l21600,xe">
              <v:stroke joinstyle="miter"/>
              <v:path gradientshapeok="t" o:connecttype="rect"/>
            </v:shapetype>
            <v:shape id="Text Box 5" o:spid="_x0000_s1027" type="#_x0000_t202" style="position:absolute;left:0;text-align:left;margin-left:-57.05pt;margin-top:-46.05pt;width:515.8pt;height:2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" filled="f" stroked="f" strokeweight=".5pt">
              <v:textbox>
                <w:txbxContent>
                  <w:p w14:paraId="4F8423C3" w14:textId="11402DEA" w:rsidR="00F44D52" w:rsidRPr="00D43907" w:rsidRDefault="00F44D52" w:rsidP="00FD45C5">
                    <w:pPr>
                      <w:jc w:val="center"/>
                      <w:rPr>
                        <w:rFonts w:ascii="Myriad Pro" w:hAnsi="Myriad Pro"/>
                      </w:rPr>
                    </w:pPr>
                  </w:p>
                </w:txbxContent>
              </v:textbox>
            </v:shape>
          </w:pict>
        </mc:Fallback>
      </mc:AlternateContent>
    </w:r>
    <w:r w:rsidRPr="000C4459">
      <w:rPr>
        <w:rFonts w:ascii="Garamond" w:hAnsi="Garamond"/>
        <w:color w:val="2E74B5" w:themeColor="accent1" w:themeShade="B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3093F"/>
    <w:multiLevelType w:val="hybridMultilevel"/>
    <w:tmpl w:val="E778ACA2"/>
    <w:lvl w:ilvl="0" w:tplc="04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311F2A84"/>
    <w:multiLevelType w:val="hybridMultilevel"/>
    <w:tmpl w:val="990A7E0E"/>
    <w:lvl w:ilvl="0" w:tplc="0409000F">
      <w:start w:val="1"/>
      <w:numFmt w:val="decimal"/>
      <w:lvlText w:val="%1."/>
      <w:lvlJc w:val="left"/>
      <w:pPr>
        <w:ind w:left="971" w:hanging="360"/>
      </w:pPr>
    </w:lvl>
    <w:lvl w:ilvl="1" w:tplc="04090019" w:tentative="1">
      <w:start w:val="1"/>
      <w:numFmt w:val="lowerLetter"/>
      <w:lvlText w:val="%2."/>
      <w:lvlJc w:val="left"/>
      <w:pPr>
        <w:ind w:left="1691" w:hanging="360"/>
      </w:pPr>
    </w:lvl>
    <w:lvl w:ilvl="2" w:tplc="0409001B" w:tentative="1">
      <w:start w:val="1"/>
      <w:numFmt w:val="lowerRoman"/>
      <w:lvlText w:val="%3."/>
      <w:lvlJc w:val="right"/>
      <w:pPr>
        <w:ind w:left="2411" w:hanging="180"/>
      </w:pPr>
    </w:lvl>
    <w:lvl w:ilvl="3" w:tplc="0409000F" w:tentative="1">
      <w:start w:val="1"/>
      <w:numFmt w:val="decimal"/>
      <w:lvlText w:val="%4."/>
      <w:lvlJc w:val="left"/>
      <w:pPr>
        <w:ind w:left="3131" w:hanging="360"/>
      </w:pPr>
    </w:lvl>
    <w:lvl w:ilvl="4" w:tplc="04090019" w:tentative="1">
      <w:start w:val="1"/>
      <w:numFmt w:val="lowerLetter"/>
      <w:lvlText w:val="%5."/>
      <w:lvlJc w:val="left"/>
      <w:pPr>
        <w:ind w:left="3851" w:hanging="360"/>
      </w:pPr>
    </w:lvl>
    <w:lvl w:ilvl="5" w:tplc="0409001B" w:tentative="1">
      <w:start w:val="1"/>
      <w:numFmt w:val="lowerRoman"/>
      <w:lvlText w:val="%6."/>
      <w:lvlJc w:val="right"/>
      <w:pPr>
        <w:ind w:left="4571" w:hanging="180"/>
      </w:pPr>
    </w:lvl>
    <w:lvl w:ilvl="6" w:tplc="0409000F" w:tentative="1">
      <w:start w:val="1"/>
      <w:numFmt w:val="decimal"/>
      <w:lvlText w:val="%7."/>
      <w:lvlJc w:val="left"/>
      <w:pPr>
        <w:ind w:left="5291" w:hanging="360"/>
      </w:pPr>
    </w:lvl>
    <w:lvl w:ilvl="7" w:tplc="04090019" w:tentative="1">
      <w:start w:val="1"/>
      <w:numFmt w:val="lowerLetter"/>
      <w:lvlText w:val="%8."/>
      <w:lvlJc w:val="left"/>
      <w:pPr>
        <w:ind w:left="6011" w:hanging="360"/>
      </w:pPr>
    </w:lvl>
    <w:lvl w:ilvl="8" w:tplc="0409001B" w:tentative="1">
      <w:start w:val="1"/>
      <w:numFmt w:val="lowerRoman"/>
      <w:lvlText w:val="%9."/>
      <w:lvlJc w:val="right"/>
      <w:pPr>
        <w:ind w:left="6731" w:hanging="180"/>
      </w:pPr>
    </w:lvl>
  </w:abstractNum>
  <w:abstractNum w:abstractNumId="2" w15:restartNumberingAfterBreak="0">
    <w:nsid w:val="3A631882"/>
    <w:multiLevelType w:val="multilevel"/>
    <w:tmpl w:val="58AAF84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B331AAA"/>
    <w:multiLevelType w:val="hybridMultilevel"/>
    <w:tmpl w:val="0C6874E6"/>
    <w:lvl w:ilvl="0" w:tplc="1BD04B02">
      <w:start w:val="1"/>
      <w:numFmt w:val="arabicAlpha"/>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CE067C5"/>
    <w:multiLevelType w:val="hybridMultilevel"/>
    <w:tmpl w:val="C4021F3A"/>
    <w:lvl w:ilvl="0" w:tplc="A3F22B34">
      <w:numFmt w:val="bullet"/>
      <w:lvlText w:val="-"/>
      <w:lvlJc w:val="left"/>
      <w:pPr>
        <w:ind w:left="608" w:hanging="360"/>
      </w:pPr>
      <w:rPr>
        <w:rFonts w:ascii="Traditional Arabic" w:eastAsia="Times New Roman" w:hAnsi="Traditional Arabic" w:cs="Traditional Arabic" w:hint="default"/>
      </w:rPr>
    </w:lvl>
    <w:lvl w:ilvl="1" w:tplc="04090003" w:tentative="1">
      <w:start w:val="1"/>
      <w:numFmt w:val="bullet"/>
      <w:lvlText w:val="o"/>
      <w:lvlJc w:val="left"/>
      <w:pPr>
        <w:ind w:left="1328" w:hanging="360"/>
      </w:pPr>
      <w:rPr>
        <w:rFonts w:ascii="Courier New" w:hAnsi="Courier New" w:cs="Courier New" w:hint="default"/>
      </w:rPr>
    </w:lvl>
    <w:lvl w:ilvl="2" w:tplc="04090005" w:tentative="1">
      <w:start w:val="1"/>
      <w:numFmt w:val="bullet"/>
      <w:lvlText w:val=""/>
      <w:lvlJc w:val="left"/>
      <w:pPr>
        <w:ind w:left="2048" w:hanging="360"/>
      </w:pPr>
      <w:rPr>
        <w:rFonts w:ascii="Wingdings" w:hAnsi="Wingdings" w:hint="default"/>
      </w:rPr>
    </w:lvl>
    <w:lvl w:ilvl="3" w:tplc="04090001" w:tentative="1">
      <w:start w:val="1"/>
      <w:numFmt w:val="bullet"/>
      <w:lvlText w:val=""/>
      <w:lvlJc w:val="left"/>
      <w:pPr>
        <w:ind w:left="2768" w:hanging="360"/>
      </w:pPr>
      <w:rPr>
        <w:rFonts w:ascii="Symbol" w:hAnsi="Symbol" w:hint="default"/>
      </w:rPr>
    </w:lvl>
    <w:lvl w:ilvl="4" w:tplc="04090003" w:tentative="1">
      <w:start w:val="1"/>
      <w:numFmt w:val="bullet"/>
      <w:lvlText w:val="o"/>
      <w:lvlJc w:val="left"/>
      <w:pPr>
        <w:ind w:left="3488" w:hanging="360"/>
      </w:pPr>
      <w:rPr>
        <w:rFonts w:ascii="Courier New" w:hAnsi="Courier New" w:cs="Courier New" w:hint="default"/>
      </w:rPr>
    </w:lvl>
    <w:lvl w:ilvl="5" w:tplc="04090005" w:tentative="1">
      <w:start w:val="1"/>
      <w:numFmt w:val="bullet"/>
      <w:lvlText w:val=""/>
      <w:lvlJc w:val="left"/>
      <w:pPr>
        <w:ind w:left="4208" w:hanging="360"/>
      </w:pPr>
      <w:rPr>
        <w:rFonts w:ascii="Wingdings" w:hAnsi="Wingdings" w:hint="default"/>
      </w:rPr>
    </w:lvl>
    <w:lvl w:ilvl="6" w:tplc="04090001" w:tentative="1">
      <w:start w:val="1"/>
      <w:numFmt w:val="bullet"/>
      <w:lvlText w:val=""/>
      <w:lvlJc w:val="left"/>
      <w:pPr>
        <w:ind w:left="4928" w:hanging="360"/>
      </w:pPr>
      <w:rPr>
        <w:rFonts w:ascii="Symbol" w:hAnsi="Symbol" w:hint="default"/>
      </w:rPr>
    </w:lvl>
    <w:lvl w:ilvl="7" w:tplc="04090003" w:tentative="1">
      <w:start w:val="1"/>
      <w:numFmt w:val="bullet"/>
      <w:lvlText w:val="o"/>
      <w:lvlJc w:val="left"/>
      <w:pPr>
        <w:ind w:left="5648" w:hanging="360"/>
      </w:pPr>
      <w:rPr>
        <w:rFonts w:ascii="Courier New" w:hAnsi="Courier New" w:cs="Courier New" w:hint="default"/>
      </w:rPr>
    </w:lvl>
    <w:lvl w:ilvl="8" w:tplc="04090005" w:tentative="1">
      <w:start w:val="1"/>
      <w:numFmt w:val="bullet"/>
      <w:lvlText w:val=""/>
      <w:lvlJc w:val="left"/>
      <w:pPr>
        <w:ind w:left="6368" w:hanging="360"/>
      </w:pPr>
      <w:rPr>
        <w:rFonts w:ascii="Wingdings" w:hAnsi="Wingdings" w:hint="default"/>
      </w:rPr>
    </w:lvl>
  </w:abstractNum>
  <w:abstractNum w:abstractNumId="5" w15:restartNumberingAfterBreak="0">
    <w:nsid w:val="704145C9"/>
    <w:multiLevelType w:val="hybridMultilevel"/>
    <w:tmpl w:val="7EA62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3B"/>
    <w:rsid w:val="00081B95"/>
    <w:rsid w:val="00090BD6"/>
    <w:rsid w:val="00096173"/>
    <w:rsid w:val="000A518B"/>
    <w:rsid w:val="000C4459"/>
    <w:rsid w:val="000F3AD5"/>
    <w:rsid w:val="001146EF"/>
    <w:rsid w:val="001A0169"/>
    <w:rsid w:val="0021407A"/>
    <w:rsid w:val="0026599B"/>
    <w:rsid w:val="00274849"/>
    <w:rsid w:val="00280483"/>
    <w:rsid w:val="00347AAD"/>
    <w:rsid w:val="00361090"/>
    <w:rsid w:val="00483237"/>
    <w:rsid w:val="004F02EE"/>
    <w:rsid w:val="0050246D"/>
    <w:rsid w:val="00530EFD"/>
    <w:rsid w:val="00557B0A"/>
    <w:rsid w:val="0057688D"/>
    <w:rsid w:val="00605CB2"/>
    <w:rsid w:val="0062273D"/>
    <w:rsid w:val="006411D5"/>
    <w:rsid w:val="006A55D6"/>
    <w:rsid w:val="007072A6"/>
    <w:rsid w:val="0073366C"/>
    <w:rsid w:val="00787457"/>
    <w:rsid w:val="007A456F"/>
    <w:rsid w:val="007C254F"/>
    <w:rsid w:val="00802E1E"/>
    <w:rsid w:val="00805780"/>
    <w:rsid w:val="00856CF2"/>
    <w:rsid w:val="008B1BBA"/>
    <w:rsid w:val="008B2740"/>
    <w:rsid w:val="008B5209"/>
    <w:rsid w:val="008D263B"/>
    <w:rsid w:val="008F7A81"/>
    <w:rsid w:val="009024CB"/>
    <w:rsid w:val="00905FE8"/>
    <w:rsid w:val="00935777"/>
    <w:rsid w:val="009441C7"/>
    <w:rsid w:val="00961BBF"/>
    <w:rsid w:val="00965B9E"/>
    <w:rsid w:val="00987F5A"/>
    <w:rsid w:val="009B7836"/>
    <w:rsid w:val="00A4126C"/>
    <w:rsid w:val="00A51705"/>
    <w:rsid w:val="00A8587E"/>
    <w:rsid w:val="00AC12D8"/>
    <w:rsid w:val="00B04A47"/>
    <w:rsid w:val="00B24808"/>
    <w:rsid w:val="00B27F58"/>
    <w:rsid w:val="00B95FCF"/>
    <w:rsid w:val="00BB49B8"/>
    <w:rsid w:val="00C06EC1"/>
    <w:rsid w:val="00C12593"/>
    <w:rsid w:val="00C416F5"/>
    <w:rsid w:val="00C437BC"/>
    <w:rsid w:val="00C44E3C"/>
    <w:rsid w:val="00C6689B"/>
    <w:rsid w:val="00C74D81"/>
    <w:rsid w:val="00C94BFB"/>
    <w:rsid w:val="00CA4829"/>
    <w:rsid w:val="00CC3434"/>
    <w:rsid w:val="00CD714B"/>
    <w:rsid w:val="00CE405A"/>
    <w:rsid w:val="00D31253"/>
    <w:rsid w:val="00D832F4"/>
    <w:rsid w:val="00D951AA"/>
    <w:rsid w:val="00DF2308"/>
    <w:rsid w:val="00E26787"/>
    <w:rsid w:val="00F36D93"/>
    <w:rsid w:val="00F44D52"/>
    <w:rsid w:val="00F477E9"/>
    <w:rsid w:val="00F5247D"/>
    <w:rsid w:val="00FA17F3"/>
    <w:rsid w:val="00FA3260"/>
    <w:rsid w:val="00FD45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01F98"/>
  <w15:chartTrackingRefBased/>
  <w15:docId w15:val="{668C3245-46D7-49C7-BBD2-18DC763F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593"/>
    <w:pPr>
      <w:spacing w:line="259" w:lineRule="auto"/>
    </w:pPr>
    <w:rPr>
      <w:rFonts w:ascii="Calibri" w:eastAsia="Times New Roman" w:hAnsi="Calibri" w:cs="Arial"/>
      <w:kern w:val="0"/>
      <w:sz w:val="22"/>
      <w:szCs w:val="22"/>
      <w14:ligatures w14:val="none"/>
    </w:rPr>
  </w:style>
  <w:style w:type="paragraph" w:styleId="Heading1">
    <w:name w:val="heading 1"/>
    <w:basedOn w:val="Normal"/>
    <w:next w:val="Normal"/>
    <w:link w:val="Heading1Char"/>
    <w:uiPriority w:val="9"/>
    <w:qFormat/>
    <w:rsid w:val="008D263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D263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D263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D263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D263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D26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6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6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6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6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D26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D26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D263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D263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D2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63B"/>
    <w:rPr>
      <w:rFonts w:eastAsiaTheme="majorEastAsia" w:cstheme="majorBidi"/>
      <w:color w:val="272727" w:themeColor="text1" w:themeTint="D8"/>
    </w:rPr>
  </w:style>
  <w:style w:type="paragraph" w:styleId="Title">
    <w:name w:val="Title"/>
    <w:basedOn w:val="Normal"/>
    <w:next w:val="Normal"/>
    <w:link w:val="TitleChar"/>
    <w:uiPriority w:val="10"/>
    <w:qFormat/>
    <w:rsid w:val="008D2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6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6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63B"/>
    <w:pPr>
      <w:spacing w:before="160"/>
      <w:jc w:val="center"/>
    </w:pPr>
    <w:rPr>
      <w:i/>
      <w:iCs/>
      <w:color w:val="404040" w:themeColor="text1" w:themeTint="BF"/>
    </w:rPr>
  </w:style>
  <w:style w:type="character" w:customStyle="1" w:styleId="QuoteChar">
    <w:name w:val="Quote Char"/>
    <w:basedOn w:val="DefaultParagraphFont"/>
    <w:link w:val="Quote"/>
    <w:uiPriority w:val="29"/>
    <w:rsid w:val="008D263B"/>
    <w:rPr>
      <w:i/>
      <w:iCs/>
      <w:color w:val="404040" w:themeColor="text1" w:themeTint="BF"/>
    </w:rPr>
  </w:style>
  <w:style w:type="paragraph" w:styleId="ListParagraph">
    <w:name w:val="List Paragraph"/>
    <w:basedOn w:val="Normal"/>
    <w:uiPriority w:val="34"/>
    <w:qFormat/>
    <w:rsid w:val="008D263B"/>
    <w:pPr>
      <w:ind w:left="720"/>
      <w:contextualSpacing/>
    </w:pPr>
  </w:style>
  <w:style w:type="character" w:styleId="IntenseEmphasis">
    <w:name w:val="Intense Emphasis"/>
    <w:basedOn w:val="DefaultParagraphFont"/>
    <w:uiPriority w:val="21"/>
    <w:qFormat/>
    <w:rsid w:val="008D263B"/>
    <w:rPr>
      <w:i/>
      <w:iCs/>
      <w:color w:val="2E74B5" w:themeColor="accent1" w:themeShade="BF"/>
    </w:rPr>
  </w:style>
  <w:style w:type="paragraph" w:styleId="IntenseQuote">
    <w:name w:val="Intense Quote"/>
    <w:basedOn w:val="Normal"/>
    <w:next w:val="Normal"/>
    <w:link w:val="IntenseQuoteChar"/>
    <w:uiPriority w:val="30"/>
    <w:qFormat/>
    <w:rsid w:val="008D26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D263B"/>
    <w:rPr>
      <w:i/>
      <w:iCs/>
      <w:color w:val="2E74B5" w:themeColor="accent1" w:themeShade="BF"/>
    </w:rPr>
  </w:style>
  <w:style w:type="character" w:styleId="IntenseReference">
    <w:name w:val="Intense Reference"/>
    <w:basedOn w:val="DefaultParagraphFont"/>
    <w:uiPriority w:val="32"/>
    <w:qFormat/>
    <w:rsid w:val="008D263B"/>
    <w:rPr>
      <w:b/>
      <w:bCs/>
      <w:smallCaps/>
      <w:color w:val="2E74B5" w:themeColor="accent1" w:themeShade="BF"/>
      <w:spacing w:val="5"/>
    </w:rPr>
  </w:style>
  <w:style w:type="paragraph" w:styleId="Header">
    <w:name w:val="header"/>
    <w:basedOn w:val="Normal"/>
    <w:link w:val="HeaderChar"/>
    <w:uiPriority w:val="99"/>
    <w:unhideWhenUsed/>
    <w:rsid w:val="008D2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63B"/>
    <w:rPr>
      <w:rFonts w:ascii="Calibri" w:eastAsia="Times New Roman" w:hAnsi="Calibri" w:cs="Arial"/>
      <w:kern w:val="0"/>
      <w:sz w:val="22"/>
      <w:szCs w:val="22"/>
      <w14:ligatures w14:val="none"/>
    </w:rPr>
  </w:style>
  <w:style w:type="paragraph" w:styleId="Footer">
    <w:name w:val="footer"/>
    <w:basedOn w:val="Normal"/>
    <w:link w:val="FooterChar"/>
    <w:uiPriority w:val="99"/>
    <w:unhideWhenUsed/>
    <w:rsid w:val="008D2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63B"/>
    <w:rPr>
      <w:rFonts w:ascii="Calibri" w:eastAsia="Times New Roman" w:hAnsi="Calibri" w:cs="Arial"/>
      <w:kern w:val="0"/>
      <w:sz w:val="22"/>
      <w:szCs w:val="22"/>
      <w14:ligatures w14:val="none"/>
    </w:rPr>
  </w:style>
  <w:style w:type="character" w:styleId="Hyperlink">
    <w:name w:val="Hyperlink"/>
    <w:unhideWhenUsed/>
    <w:rsid w:val="008D263B"/>
    <w:rPr>
      <w:rFonts w:cs="Times New Roman"/>
      <w:color w:val="0563C1"/>
      <w:u w:val="single"/>
    </w:rPr>
  </w:style>
  <w:style w:type="character" w:styleId="CommentReference">
    <w:name w:val="annotation reference"/>
    <w:uiPriority w:val="99"/>
    <w:semiHidden/>
    <w:unhideWhenUsed/>
    <w:rsid w:val="008D263B"/>
    <w:rPr>
      <w:rFonts w:cs="Times New Roman"/>
      <w:sz w:val="16"/>
      <w:szCs w:val="16"/>
    </w:rPr>
  </w:style>
  <w:style w:type="paragraph" w:styleId="NormalWeb">
    <w:name w:val="Normal (Web)"/>
    <w:basedOn w:val="Normal"/>
    <w:uiPriority w:val="99"/>
    <w:unhideWhenUsed/>
    <w:rsid w:val="008D263B"/>
    <w:pPr>
      <w:spacing w:before="100" w:beforeAutospacing="1" w:after="100" w:afterAutospacing="1" w:line="240" w:lineRule="auto"/>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8D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8D263B"/>
    <w:rPr>
      <w:rFonts w:ascii="Courier New" w:eastAsia="Times New Roman" w:hAnsi="Courier New" w:cs="Courier New"/>
      <w:kern w:val="0"/>
      <w:sz w:val="20"/>
      <w:szCs w:val="20"/>
      <w:lang w:val="en-ID" w:eastAsia="en-ID"/>
      <w14:ligatures w14:val="none"/>
    </w:rPr>
  </w:style>
  <w:style w:type="character" w:customStyle="1" w:styleId="y2iqfc">
    <w:name w:val="y2iqfc"/>
    <w:rsid w:val="008D263B"/>
  </w:style>
  <w:style w:type="character" w:customStyle="1" w:styleId="value">
    <w:name w:val="value"/>
    <w:basedOn w:val="DefaultParagraphFont"/>
    <w:rsid w:val="00CC3434"/>
  </w:style>
  <w:style w:type="paragraph" w:styleId="FootnoteText">
    <w:name w:val="footnote text"/>
    <w:basedOn w:val="Normal"/>
    <w:link w:val="FootnoteTextChar"/>
    <w:uiPriority w:val="99"/>
    <w:semiHidden/>
    <w:unhideWhenUsed/>
    <w:rsid w:val="001146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46EF"/>
    <w:rPr>
      <w:rFonts w:ascii="Calibri" w:eastAsia="Times New Roman" w:hAnsi="Calibri" w:cs="Arial"/>
      <w:kern w:val="0"/>
      <w:sz w:val="20"/>
      <w:szCs w:val="20"/>
      <w14:ligatures w14:val="none"/>
    </w:rPr>
  </w:style>
  <w:style w:type="character" w:styleId="FootnoteReference">
    <w:name w:val="footnote reference"/>
    <w:basedOn w:val="DefaultParagraphFont"/>
    <w:uiPriority w:val="99"/>
    <w:semiHidden/>
    <w:unhideWhenUsed/>
    <w:rsid w:val="001146EF"/>
    <w:rPr>
      <w:vertAlign w:val="superscript"/>
    </w:rPr>
  </w:style>
  <w:style w:type="paragraph" w:styleId="BalloonText">
    <w:name w:val="Balloon Text"/>
    <w:basedOn w:val="Normal"/>
    <w:link w:val="BalloonTextChar"/>
    <w:uiPriority w:val="99"/>
    <w:semiHidden/>
    <w:unhideWhenUsed/>
    <w:rsid w:val="00214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07A"/>
    <w:rPr>
      <w:rFonts w:ascii="Segoe UI" w:eastAsia="Times New Roman" w:hAnsi="Segoe UI" w:cs="Segoe UI"/>
      <w:kern w:val="0"/>
      <w:sz w:val="18"/>
      <w:szCs w:val="18"/>
      <w14:ligatures w14:val="none"/>
    </w:rPr>
  </w:style>
  <w:style w:type="character" w:styleId="UnresolvedMention">
    <w:name w:val="Unresolved Mention"/>
    <w:basedOn w:val="DefaultParagraphFont"/>
    <w:uiPriority w:val="99"/>
    <w:semiHidden/>
    <w:unhideWhenUsed/>
    <w:rsid w:val="00DF2308"/>
    <w:rPr>
      <w:color w:val="605E5C"/>
      <w:shd w:val="clear" w:color="auto" w:fill="E1DFDD"/>
    </w:rPr>
  </w:style>
  <w:style w:type="character" w:styleId="FollowedHyperlink">
    <w:name w:val="FollowedHyperlink"/>
    <w:basedOn w:val="DefaultParagraphFont"/>
    <w:uiPriority w:val="99"/>
    <w:semiHidden/>
    <w:unhideWhenUsed/>
    <w:rsid w:val="00DF2308"/>
    <w:rPr>
      <w:color w:val="954F72" w:themeColor="followedHyperlink"/>
      <w:u w:val="single"/>
    </w:rPr>
  </w:style>
  <w:style w:type="table" w:styleId="TableGrid">
    <w:name w:val="Table Grid"/>
    <w:basedOn w:val="TableNormal"/>
    <w:uiPriority w:val="39"/>
    <w:rsid w:val="00FD45C5"/>
    <w:pPr>
      <w:spacing w:after="0" w:line="240" w:lineRule="auto"/>
    </w:pPr>
    <w:rPr>
      <w:kern w:val="0"/>
      <w:sz w:val="22"/>
      <w:szCs w:val="22"/>
      <w:lang w:val="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905FE8"/>
    <w:pPr>
      <w:spacing w:line="240" w:lineRule="auto"/>
    </w:pPr>
    <w:rPr>
      <w:sz w:val="20"/>
      <w:szCs w:val="20"/>
    </w:rPr>
  </w:style>
  <w:style w:type="character" w:customStyle="1" w:styleId="CommentTextChar">
    <w:name w:val="Comment Text Char"/>
    <w:basedOn w:val="DefaultParagraphFont"/>
    <w:link w:val="CommentText"/>
    <w:uiPriority w:val="99"/>
    <w:semiHidden/>
    <w:rsid w:val="00905FE8"/>
    <w:rPr>
      <w:rFonts w:ascii="Calibri" w:eastAsia="Times New Roman"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5FE8"/>
    <w:rPr>
      <w:b/>
      <w:bCs/>
    </w:rPr>
  </w:style>
  <w:style w:type="character" w:customStyle="1" w:styleId="CommentSubjectChar">
    <w:name w:val="Comment Subject Char"/>
    <w:basedOn w:val="CommentTextChar"/>
    <w:link w:val="CommentSubject"/>
    <w:uiPriority w:val="99"/>
    <w:semiHidden/>
    <w:rsid w:val="00905FE8"/>
    <w:rPr>
      <w:rFonts w:ascii="Calibri" w:eastAsia="Times New Roman" w:hAnsi="Calibri" w:cs="Arial"/>
      <w:b/>
      <w:bCs/>
      <w:kern w:val="0"/>
      <w:sz w:val="20"/>
      <w:szCs w:val="20"/>
      <w14:ligatures w14:val="none"/>
    </w:rPr>
  </w:style>
  <w:style w:type="numbering" w:customStyle="1" w:styleId="CurrentList1">
    <w:name w:val="Current List1"/>
    <w:uiPriority w:val="99"/>
    <w:rsid w:val="00965B9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040877">
      <w:bodyDiv w:val="1"/>
      <w:marLeft w:val="0"/>
      <w:marRight w:val="0"/>
      <w:marTop w:val="0"/>
      <w:marBottom w:val="0"/>
      <w:divBdr>
        <w:top w:val="none" w:sz="0" w:space="0" w:color="auto"/>
        <w:left w:val="none" w:sz="0" w:space="0" w:color="auto"/>
        <w:bottom w:val="none" w:sz="0" w:space="0" w:color="auto"/>
        <w:right w:val="none" w:sz="0" w:space="0" w:color="auto"/>
      </w:divBdr>
    </w:div>
    <w:div w:id="746919609">
      <w:bodyDiv w:val="1"/>
      <w:marLeft w:val="0"/>
      <w:marRight w:val="0"/>
      <w:marTop w:val="0"/>
      <w:marBottom w:val="0"/>
      <w:divBdr>
        <w:top w:val="none" w:sz="0" w:space="0" w:color="auto"/>
        <w:left w:val="none" w:sz="0" w:space="0" w:color="auto"/>
        <w:bottom w:val="none" w:sz="0" w:space="0" w:color="auto"/>
        <w:right w:val="none" w:sz="0" w:space="0" w:color="auto"/>
      </w:divBdr>
    </w:div>
    <w:div w:id="795486564">
      <w:bodyDiv w:val="1"/>
      <w:marLeft w:val="0"/>
      <w:marRight w:val="0"/>
      <w:marTop w:val="0"/>
      <w:marBottom w:val="0"/>
      <w:divBdr>
        <w:top w:val="none" w:sz="0" w:space="0" w:color="auto"/>
        <w:left w:val="none" w:sz="0" w:space="0" w:color="auto"/>
        <w:bottom w:val="none" w:sz="0" w:space="0" w:color="auto"/>
        <w:right w:val="none" w:sz="0" w:space="0" w:color="auto"/>
      </w:divBdr>
    </w:div>
    <w:div w:id="1037971348">
      <w:bodyDiv w:val="1"/>
      <w:marLeft w:val="0"/>
      <w:marRight w:val="0"/>
      <w:marTop w:val="0"/>
      <w:marBottom w:val="0"/>
      <w:divBdr>
        <w:top w:val="none" w:sz="0" w:space="0" w:color="auto"/>
        <w:left w:val="none" w:sz="0" w:space="0" w:color="auto"/>
        <w:bottom w:val="none" w:sz="0" w:space="0" w:color="auto"/>
        <w:right w:val="none" w:sz="0" w:space="0" w:color="auto"/>
      </w:divBdr>
    </w:div>
    <w:div w:id="1055741359">
      <w:bodyDiv w:val="1"/>
      <w:marLeft w:val="0"/>
      <w:marRight w:val="0"/>
      <w:marTop w:val="0"/>
      <w:marBottom w:val="0"/>
      <w:divBdr>
        <w:top w:val="none" w:sz="0" w:space="0" w:color="auto"/>
        <w:left w:val="none" w:sz="0" w:space="0" w:color="auto"/>
        <w:bottom w:val="none" w:sz="0" w:space="0" w:color="auto"/>
        <w:right w:val="none" w:sz="0" w:space="0" w:color="auto"/>
      </w:divBdr>
    </w:div>
    <w:div w:id="1230383242">
      <w:bodyDiv w:val="1"/>
      <w:marLeft w:val="0"/>
      <w:marRight w:val="0"/>
      <w:marTop w:val="0"/>
      <w:marBottom w:val="0"/>
      <w:divBdr>
        <w:top w:val="none" w:sz="0" w:space="0" w:color="auto"/>
        <w:left w:val="none" w:sz="0" w:space="0" w:color="auto"/>
        <w:bottom w:val="none" w:sz="0" w:space="0" w:color="auto"/>
        <w:right w:val="none" w:sz="0" w:space="0" w:color="auto"/>
      </w:divBdr>
    </w:div>
    <w:div w:id="1261570715">
      <w:bodyDiv w:val="1"/>
      <w:marLeft w:val="0"/>
      <w:marRight w:val="0"/>
      <w:marTop w:val="0"/>
      <w:marBottom w:val="0"/>
      <w:divBdr>
        <w:top w:val="none" w:sz="0" w:space="0" w:color="auto"/>
        <w:left w:val="none" w:sz="0" w:space="0" w:color="auto"/>
        <w:bottom w:val="none" w:sz="0" w:space="0" w:color="auto"/>
        <w:right w:val="none" w:sz="0" w:space="0" w:color="auto"/>
      </w:divBdr>
    </w:div>
    <w:div w:id="131479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lfahri0302203056@uinsu.ac.id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47467/ibtikar.v10i1.77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B9BA6F-090D-4A66-92BD-EF4996B874DA}">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y name="MENDELEY_BIBLIOGRAPHY_IS_DIRTY" value="true"/>
    <we:property name="MENDELEY_BIBLIOGRAPHY_LAST_MODIFIED" value="1758139257300"/>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Suc24</b:Tag>
    <b:SourceType>JournalArticle</b:SourceType>
    <b:Guid>{260DDBCF-722E-4254-AE7C-BECFD1E48421}</b:Guid>
    <b:Author>
      <b:Author>
        <b:NameList>
          <b:Person>
            <b:Last>Suci</b:Last>
          </b:Person>
        </b:NameList>
      </b:Author>
    </b:Author>
    <b:Year>2024</b:Year>
    <b:RefOrder>1</b:RefOrder>
  </b:Source>
  <b:Source>
    <b:Tag>Ris241</b:Tag>
    <b:SourceType>JournalArticle</b:SourceType>
    <b:Guid>{396F62EA-49A1-465A-9724-64B32A81265D}</b:Guid>
    <b:Author>
      <b:Author>
        <b:NameList>
          <b:Person>
            <b:Last>Risky</b:Last>
          </b:Person>
        </b:NameList>
      </b:Author>
    </b:Author>
    <b:Year>2024</b:Year>
    <b:RefOrder>2</b:RefOrder>
  </b:Source>
  <b:Source>
    <b:Tag>Fah24</b:Tag>
    <b:SourceType>JournalArticle</b:SourceType>
    <b:Guid>{55876836-17DB-4A85-B501-C247C5A49083}</b:Guid>
    <b:Author>
      <b:Author>
        <b:NameList>
          <b:Person>
            <b:Last>Fahrul</b:Last>
          </b:Person>
        </b:NameList>
      </b:Author>
    </b:Author>
    <b:Year>2024</b:Year>
    <b:RefOrder>3</b:RefOrder>
  </b:Source>
</b:Sources>
</file>

<file path=customXml/itemProps1.xml><?xml version="1.0" encoding="utf-8"?>
<ds:datastoreItem xmlns:ds="http://schemas.openxmlformats.org/officeDocument/2006/customXml" ds:itemID="{EDA812E7-9528-429A-9F91-ECF42724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17231</Words>
  <Characters>98221</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 S14</dc:creator>
  <cp:keywords/>
  <dc:description/>
  <cp:lastModifiedBy>may ramadhani</cp:lastModifiedBy>
  <cp:revision>2</cp:revision>
  <dcterms:created xsi:type="dcterms:W3CDTF">2025-12-15T06:16:00Z</dcterms:created>
  <dcterms:modified xsi:type="dcterms:W3CDTF">2025-12-15T06:16:00Z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https://csl.mendeley.com/styles/27274591/kjs</vt:lpwstr>
  </property>
  <property fmtid="{D5CDD505-2E9C-101B-9397-08002B2CF9AE}" pid="7" name="Mendeley Recent Style Name 2_1">
    <vt:lpwstr>American Psychological Association 7th edition - Aprilia Nur Tasfiyati</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http://www.zotero.org/styles/numerical-algorithms</vt:lpwstr>
  </property>
  <property fmtid="{D5CDD505-2E9C-101B-9397-08002B2CF9AE}" pid="19" name="Mendeley Recent Style Name 8_1">
    <vt:lpwstr>Numerical Algorithms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d328741f-cbe1-3487-ae9b-23e9e71484d3</vt:lpwstr>
  </property>
  <property fmtid="{D5CDD505-2E9C-101B-9397-08002B2CF9AE}" pid="24" name="Mendeley Citation Style_1">
    <vt:lpwstr>http://www.zotero.org/styles/apa</vt:lpwstr>
  </property>
</Properties>
</file>