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057B9" w14:textId="1B80F78D" w:rsidR="008E0A66" w:rsidRPr="00337926" w:rsidRDefault="00FC29E3" w:rsidP="00FC29E3">
      <w:pPr>
        <w:spacing w:after="0" w:line="240" w:lineRule="auto"/>
        <w:jc w:val="center"/>
        <w:rPr>
          <w:rFonts w:asciiTheme="majorBidi" w:hAnsiTheme="majorBidi" w:cstheme="majorBidi"/>
          <w:b/>
          <w:sz w:val="28"/>
          <w:szCs w:val="28"/>
          <w:lang w:val="sv-SE"/>
        </w:rPr>
      </w:pPr>
      <w:r w:rsidRPr="00337926">
        <w:rPr>
          <w:rFonts w:asciiTheme="majorBidi" w:hAnsiTheme="majorBidi" w:cstheme="majorBidi"/>
          <w:b/>
          <w:sz w:val="28"/>
          <w:szCs w:val="28"/>
          <w:lang w:val="sv-SE"/>
        </w:rPr>
        <w:t>Ihya Al-Arabiyah; Jurnal Pendidikan Bahasa dan Sastra Arab</w:t>
      </w:r>
    </w:p>
    <w:p w14:paraId="683227E6" w14:textId="527E46F1" w:rsidR="00D75483" w:rsidRPr="00FC29E3" w:rsidRDefault="00D75483" w:rsidP="00FC29E3">
      <w:pPr>
        <w:spacing w:after="0" w:line="240" w:lineRule="auto"/>
        <w:jc w:val="center"/>
        <w:rPr>
          <w:rFonts w:asciiTheme="majorBidi" w:hAnsiTheme="majorBidi" w:cstheme="majorBidi"/>
          <w:bCs/>
          <w:sz w:val="24"/>
          <w:szCs w:val="24"/>
          <w:lang w:val="id-ID"/>
        </w:rPr>
      </w:pPr>
      <w:r w:rsidRPr="00FC29E3">
        <w:rPr>
          <w:rFonts w:asciiTheme="majorBidi" w:hAnsiTheme="majorBidi" w:cstheme="majorBidi"/>
          <w:bCs/>
          <w:sz w:val="24"/>
          <w:szCs w:val="24"/>
        </w:rPr>
        <w:t xml:space="preserve">Vol. </w:t>
      </w:r>
      <w:r w:rsidR="00DB04E4" w:rsidRPr="00FC29E3">
        <w:rPr>
          <w:rFonts w:asciiTheme="majorBidi" w:hAnsiTheme="majorBidi" w:cstheme="majorBidi"/>
          <w:bCs/>
          <w:sz w:val="24"/>
          <w:szCs w:val="24"/>
        </w:rPr>
        <w:t>3</w:t>
      </w:r>
      <w:r w:rsidRPr="00FC29E3">
        <w:rPr>
          <w:rFonts w:asciiTheme="majorBidi" w:hAnsiTheme="majorBidi" w:cstheme="majorBidi"/>
          <w:bCs/>
          <w:sz w:val="24"/>
          <w:szCs w:val="24"/>
        </w:rPr>
        <w:t xml:space="preserve"> No. </w:t>
      </w:r>
      <w:r w:rsidR="00BD4107" w:rsidRPr="00FC29E3">
        <w:rPr>
          <w:rFonts w:asciiTheme="majorBidi" w:hAnsiTheme="majorBidi" w:cstheme="majorBidi"/>
          <w:bCs/>
          <w:sz w:val="24"/>
          <w:szCs w:val="24"/>
        </w:rPr>
        <w:t>1</w:t>
      </w:r>
      <w:r w:rsidRPr="00FC29E3">
        <w:rPr>
          <w:rFonts w:asciiTheme="majorBidi" w:hAnsiTheme="majorBidi" w:cstheme="majorBidi"/>
          <w:bCs/>
          <w:sz w:val="24"/>
          <w:szCs w:val="24"/>
        </w:rPr>
        <w:t xml:space="preserve"> </w:t>
      </w:r>
      <w:r w:rsidR="005E697D" w:rsidRPr="00FC29E3">
        <w:rPr>
          <w:rFonts w:asciiTheme="majorBidi" w:hAnsiTheme="majorBidi" w:cstheme="majorBidi"/>
          <w:bCs/>
          <w:sz w:val="24"/>
          <w:szCs w:val="24"/>
        </w:rPr>
        <w:t>April</w:t>
      </w:r>
      <w:r w:rsidRPr="00FC29E3">
        <w:rPr>
          <w:rFonts w:asciiTheme="majorBidi" w:hAnsiTheme="majorBidi" w:cstheme="majorBidi"/>
          <w:bCs/>
          <w:sz w:val="24"/>
          <w:szCs w:val="24"/>
        </w:rPr>
        <w:t xml:space="preserve"> 20</w:t>
      </w:r>
      <w:r w:rsidR="00835DFF" w:rsidRPr="00FC29E3">
        <w:rPr>
          <w:rFonts w:asciiTheme="majorBidi" w:hAnsiTheme="majorBidi" w:cstheme="majorBidi"/>
          <w:bCs/>
          <w:sz w:val="24"/>
          <w:szCs w:val="24"/>
        </w:rPr>
        <w:t>2</w:t>
      </w:r>
      <w:r w:rsidR="00DB04E4" w:rsidRPr="00FC29E3">
        <w:rPr>
          <w:rFonts w:asciiTheme="majorBidi" w:hAnsiTheme="majorBidi" w:cstheme="majorBidi"/>
          <w:bCs/>
          <w:sz w:val="24"/>
          <w:szCs w:val="24"/>
          <w:lang w:val="id-ID"/>
        </w:rPr>
        <w:t>5</w:t>
      </w:r>
    </w:p>
    <w:p w14:paraId="2A36F728" w14:textId="400BEF90" w:rsidR="00FC29E3" w:rsidRPr="00FC29E3" w:rsidRDefault="00FC29E3" w:rsidP="00FC29E3">
      <w:pPr>
        <w:spacing w:after="0" w:line="240" w:lineRule="auto"/>
        <w:jc w:val="center"/>
        <w:rPr>
          <w:rFonts w:asciiTheme="majorBidi" w:hAnsiTheme="majorBidi" w:cstheme="majorBidi"/>
          <w:bCs/>
          <w:sz w:val="24"/>
          <w:szCs w:val="24"/>
        </w:rPr>
      </w:pPr>
      <w:r w:rsidRPr="00FC29E3">
        <w:rPr>
          <w:rFonts w:asciiTheme="majorBidi" w:hAnsiTheme="majorBidi" w:cstheme="majorBidi"/>
          <w:bCs/>
          <w:sz w:val="24"/>
          <w:szCs w:val="24"/>
        </w:rPr>
        <w:t>P-ISSN:  2442-8353</w:t>
      </w:r>
      <w:r w:rsidR="00BB18FE">
        <w:rPr>
          <w:rFonts w:asciiTheme="majorBidi" w:hAnsiTheme="majorBidi" w:cstheme="majorBidi"/>
          <w:bCs/>
          <w:sz w:val="24"/>
          <w:szCs w:val="24"/>
        </w:rPr>
        <w:t xml:space="preserve"> |</w:t>
      </w:r>
      <w:r w:rsidRPr="00FC29E3">
        <w:rPr>
          <w:rFonts w:asciiTheme="majorBidi" w:hAnsiTheme="majorBidi" w:cstheme="majorBidi"/>
          <w:bCs/>
          <w:sz w:val="24"/>
          <w:szCs w:val="24"/>
        </w:rPr>
        <w:t xml:space="preserve"> E- ISSN: 2685-2209</w:t>
      </w:r>
    </w:p>
    <w:p w14:paraId="759FA542" w14:textId="032B387B" w:rsidR="001C08D3" w:rsidRPr="00FC29E3" w:rsidRDefault="008F1686" w:rsidP="00FC29E3">
      <w:pPr>
        <w:spacing w:after="0" w:line="240" w:lineRule="auto"/>
        <w:jc w:val="center"/>
        <w:rPr>
          <w:rStyle w:val="value"/>
          <w:rFonts w:asciiTheme="majorBidi" w:hAnsiTheme="majorBidi" w:cstheme="majorBidi"/>
          <w:bCs/>
          <w:sz w:val="24"/>
          <w:szCs w:val="24"/>
        </w:rPr>
      </w:pPr>
      <w:r w:rsidRPr="00FC29E3">
        <w:rPr>
          <w:rFonts w:asciiTheme="majorBidi" w:hAnsiTheme="majorBidi" w:cstheme="majorBidi"/>
          <w:bCs/>
          <w:sz w:val="24"/>
          <w:szCs w:val="24"/>
          <w:lang w:val="id-ID"/>
        </w:rPr>
        <w:t>DOI</w:t>
      </w:r>
      <w:r w:rsidR="00D75483" w:rsidRPr="00FC29E3">
        <w:rPr>
          <w:rFonts w:asciiTheme="majorBidi" w:hAnsiTheme="majorBidi" w:cstheme="majorBidi"/>
          <w:bCs/>
          <w:sz w:val="24"/>
          <w:szCs w:val="24"/>
        </w:rPr>
        <w:t xml:space="preserve">: </w:t>
      </w:r>
      <w:r w:rsidR="00BB18FE">
        <w:rPr>
          <w:rFonts w:asciiTheme="majorBidi" w:hAnsiTheme="majorBidi" w:cstheme="majorBidi"/>
          <w:sz w:val="24"/>
          <w:szCs w:val="24"/>
        </w:rPr>
        <w:t>https://doi.org/xxxx-xxxx</w:t>
      </w:r>
    </w:p>
    <w:p w14:paraId="29CDBE63" w14:textId="29B4C129" w:rsidR="00FE35B8" w:rsidRPr="00FC29E3" w:rsidRDefault="00FE35B8" w:rsidP="00337926">
      <w:pPr>
        <w:spacing w:after="0" w:line="240" w:lineRule="auto"/>
        <w:rPr>
          <w:rFonts w:asciiTheme="majorBidi" w:hAnsiTheme="majorBidi" w:cstheme="majorBidi"/>
          <w:sz w:val="28"/>
          <w:szCs w:val="28"/>
          <w:lang w:eastAsia="id-ID"/>
        </w:rPr>
      </w:pPr>
    </w:p>
    <w:p w14:paraId="550DB787" w14:textId="50BECFEF" w:rsidR="00FE35B8" w:rsidRPr="00FC29E3" w:rsidRDefault="00337926" w:rsidP="00337926">
      <w:pPr>
        <w:spacing w:after="0" w:line="240" w:lineRule="auto"/>
        <w:jc w:val="center"/>
        <w:rPr>
          <w:rFonts w:asciiTheme="majorBidi" w:hAnsiTheme="majorBidi" w:cstheme="majorBidi"/>
          <w:sz w:val="28"/>
          <w:szCs w:val="28"/>
          <w:lang w:eastAsia="id-ID"/>
        </w:rPr>
      </w:pPr>
      <w:r w:rsidRPr="00337926">
        <w:rPr>
          <w:rFonts w:asciiTheme="majorBidi" w:hAnsiTheme="majorBidi" w:cstheme="majorBidi"/>
          <w:b/>
          <w:bCs/>
          <w:color w:val="000000"/>
          <w:sz w:val="28"/>
          <w:szCs w:val="28"/>
          <w:lang w:val="id-ID" w:eastAsia="id-ID"/>
        </w:rPr>
        <w:t xml:space="preserve">CONTRASTIVE ANALYSIS OF </w:t>
      </w:r>
      <w:r w:rsidRPr="00337926">
        <w:rPr>
          <w:rFonts w:asciiTheme="majorBidi" w:hAnsiTheme="majorBidi" w:cstheme="majorBidi"/>
          <w:b/>
          <w:bCs/>
          <w:i/>
          <w:iCs/>
          <w:color w:val="000000"/>
          <w:sz w:val="28"/>
          <w:szCs w:val="28"/>
          <w:lang w:val="id-ID" w:eastAsia="id-ID"/>
        </w:rPr>
        <w:t>AL-IBĀRĀT AL-ISTILĀHIYYAH</w:t>
      </w:r>
      <w:r w:rsidRPr="00337926">
        <w:rPr>
          <w:rFonts w:asciiTheme="majorBidi" w:hAnsiTheme="majorBidi" w:cstheme="majorBidi"/>
          <w:b/>
          <w:bCs/>
          <w:color w:val="000000"/>
          <w:sz w:val="28"/>
          <w:szCs w:val="28"/>
          <w:lang w:val="id-ID" w:eastAsia="id-ID"/>
        </w:rPr>
        <w:t xml:space="preserve"> ARABIC–ENGLISH–FRENCH–INDONESIAN: A SEMANTIC STUDY</w:t>
      </w:r>
    </w:p>
    <w:p w14:paraId="0A468E89" w14:textId="77777777" w:rsidR="00077B41" w:rsidRPr="00FC29E3" w:rsidRDefault="00077B41" w:rsidP="00FC29E3">
      <w:pPr>
        <w:spacing w:after="0" w:line="240" w:lineRule="auto"/>
        <w:jc w:val="both"/>
        <w:rPr>
          <w:rFonts w:asciiTheme="majorBidi" w:hAnsiTheme="majorBidi" w:cstheme="majorBidi"/>
          <w:sz w:val="24"/>
          <w:szCs w:val="24"/>
        </w:rPr>
      </w:pPr>
    </w:p>
    <w:p w14:paraId="4FD6E51A" w14:textId="6E173302" w:rsidR="00077B41" w:rsidRPr="00FC29E3" w:rsidRDefault="00337926" w:rsidP="00337926">
      <w:pPr>
        <w:spacing w:after="0" w:line="240" w:lineRule="auto"/>
        <w:jc w:val="center"/>
        <w:rPr>
          <w:rFonts w:asciiTheme="majorBidi" w:hAnsiTheme="majorBidi" w:cstheme="majorBidi"/>
          <w:b/>
          <w:bCs/>
          <w:sz w:val="24"/>
          <w:szCs w:val="24"/>
        </w:rPr>
      </w:pPr>
      <w:r w:rsidRPr="00337926">
        <w:rPr>
          <w:rFonts w:asciiTheme="majorBidi" w:hAnsiTheme="majorBidi" w:cstheme="majorBidi"/>
          <w:b/>
          <w:bCs/>
          <w:sz w:val="24"/>
          <w:szCs w:val="24"/>
          <w:lang w:val="id-ID"/>
        </w:rPr>
        <w:t>Shadiqul Wahdi</w:t>
      </w:r>
      <w:r w:rsidR="008D5CFC" w:rsidRPr="00FC29E3">
        <w:rPr>
          <w:rFonts w:asciiTheme="majorBidi" w:hAnsiTheme="majorBidi" w:cstheme="majorBidi"/>
          <w:b/>
          <w:bCs/>
          <w:sz w:val="24"/>
          <w:szCs w:val="24"/>
        </w:rPr>
        <w:t xml:space="preserve">, </w:t>
      </w:r>
      <w:r w:rsidRPr="00337926">
        <w:rPr>
          <w:rFonts w:asciiTheme="majorBidi" w:hAnsiTheme="majorBidi" w:cstheme="majorBidi"/>
          <w:b/>
          <w:bCs/>
          <w:sz w:val="24"/>
          <w:szCs w:val="24"/>
          <w:lang w:val="id-ID"/>
        </w:rPr>
        <w:t>Uyun Thayyibah</w:t>
      </w:r>
      <w:r w:rsidR="008D5CFC" w:rsidRPr="00FC29E3">
        <w:rPr>
          <w:rFonts w:asciiTheme="majorBidi" w:hAnsiTheme="majorBidi" w:cstheme="majorBidi"/>
          <w:b/>
          <w:bCs/>
          <w:sz w:val="24"/>
          <w:szCs w:val="24"/>
        </w:rPr>
        <w:t xml:space="preserve">, </w:t>
      </w:r>
      <w:r w:rsidRPr="00337926">
        <w:rPr>
          <w:rFonts w:asciiTheme="majorBidi" w:hAnsiTheme="majorBidi" w:cstheme="majorBidi"/>
          <w:b/>
          <w:bCs/>
          <w:sz w:val="24"/>
          <w:szCs w:val="24"/>
          <w:lang w:val="id-ID"/>
        </w:rPr>
        <w:t>Ira Ainul Latifah</w:t>
      </w:r>
      <w:r>
        <w:rPr>
          <w:rFonts w:asciiTheme="majorBidi" w:hAnsiTheme="majorBidi" w:cstheme="majorBidi"/>
          <w:b/>
          <w:bCs/>
          <w:sz w:val="24"/>
          <w:szCs w:val="24"/>
          <w:lang w:val="id-ID"/>
        </w:rPr>
        <w:t>, Ahmad Dardiri, Wati Susiawati</w:t>
      </w:r>
    </w:p>
    <w:p w14:paraId="7F4F069A" w14:textId="1B26F867" w:rsidR="00337926" w:rsidRPr="00337926" w:rsidRDefault="00337926" w:rsidP="00337926">
      <w:pPr>
        <w:spacing w:after="0" w:line="240" w:lineRule="auto"/>
        <w:jc w:val="center"/>
        <w:rPr>
          <w:rFonts w:asciiTheme="majorBidi" w:eastAsiaTheme="majorEastAsia" w:hAnsiTheme="majorBidi" w:cstheme="majorBidi"/>
          <w:i/>
          <w:iCs/>
          <w:sz w:val="24"/>
          <w:szCs w:val="24"/>
          <w:lang w:val="id-ID"/>
        </w:rPr>
      </w:pPr>
      <w:r w:rsidRPr="00337926">
        <w:rPr>
          <w:rFonts w:asciiTheme="majorBidi" w:eastAsiaTheme="majorEastAsia" w:hAnsiTheme="majorBidi" w:cstheme="majorBidi"/>
          <w:i/>
          <w:iCs/>
          <w:sz w:val="24"/>
          <w:szCs w:val="24"/>
          <w:lang w:val="id-ID"/>
        </w:rPr>
        <w:t>State Islamic University Syarif Hidayatullah Jakarta, Indonesia</w:t>
      </w:r>
    </w:p>
    <w:p w14:paraId="2EA35F38" w14:textId="016D7A3D" w:rsidR="0027030C" w:rsidRDefault="009E3E7D" w:rsidP="0027030C">
      <w:pPr>
        <w:bidi/>
        <w:spacing w:after="0" w:line="240" w:lineRule="auto"/>
        <w:ind w:hanging="2"/>
        <w:jc w:val="center"/>
        <w:rPr>
          <w:rFonts w:ascii="Cambria" w:eastAsia="Cambria" w:hAnsi="Cambria" w:cs="Cambria"/>
          <w:i/>
          <w:color w:val="000000"/>
        </w:rPr>
      </w:pPr>
      <w:r w:rsidRPr="00FC29E3">
        <w:rPr>
          <w:rFonts w:asciiTheme="majorBidi" w:eastAsiaTheme="majorEastAsia" w:hAnsiTheme="majorBidi" w:cstheme="majorBidi"/>
          <w:i/>
          <w:iCs/>
          <w:sz w:val="24"/>
          <w:szCs w:val="24"/>
        </w:rPr>
        <w:t xml:space="preserve">Corresponding E-mail: </w:t>
      </w:r>
      <w:hyperlink r:id="rId8" w:history="1">
        <w:r w:rsidR="005B6AD5" w:rsidRPr="0007769A">
          <w:rPr>
            <w:rStyle w:val="Hyperlink"/>
            <w:rFonts w:ascii="Cambria" w:eastAsia="Cambria" w:hAnsi="Cambria" w:cs="Cambria"/>
            <w:i/>
            <w:lang w:val="en-ID"/>
          </w:rPr>
          <w:t>shadiqulwahdi@gmail.com</w:t>
        </w:r>
      </w:hyperlink>
      <w:r w:rsidR="00C2027F">
        <w:rPr>
          <w:rFonts w:ascii="Cambria" w:eastAsia="Cambria" w:hAnsi="Cambria" w:cs="Cambria"/>
          <w:i/>
          <w:color w:val="000000"/>
        </w:rPr>
        <w:t xml:space="preserve"> </w:t>
      </w:r>
    </w:p>
    <w:p w14:paraId="70636980" w14:textId="4C88C467" w:rsidR="0027030C" w:rsidRPr="005B6AD5" w:rsidRDefault="0027030C" w:rsidP="0027030C">
      <w:pPr>
        <w:bidi/>
        <w:spacing w:after="0" w:line="240" w:lineRule="auto"/>
        <w:ind w:hanging="2"/>
        <w:jc w:val="center"/>
        <w:rPr>
          <w:rFonts w:ascii="Cambria" w:eastAsia="Cambria" w:hAnsi="Cambria" w:cs="Cambria"/>
          <w:i/>
          <w:color w:val="000000"/>
        </w:rPr>
      </w:pPr>
    </w:p>
    <w:p w14:paraId="12778CC4" w14:textId="41DFD4D2" w:rsidR="00224FA2" w:rsidRPr="00C2027F" w:rsidRDefault="00224FA2" w:rsidP="00FC29E3">
      <w:pPr>
        <w:spacing w:after="0" w:line="240" w:lineRule="auto"/>
        <w:jc w:val="center"/>
        <w:rPr>
          <w:rFonts w:ascii="Palatino Linotype" w:eastAsiaTheme="majorEastAsia" w:hAnsi="Palatino Linotype" w:cs="Times New Roman"/>
          <w:i/>
          <w:iCs/>
          <w:sz w:val="24"/>
          <w:szCs w:val="24"/>
        </w:rPr>
      </w:pPr>
    </w:p>
    <w:p w14:paraId="653EE794" w14:textId="77B7E5EC" w:rsidR="00224FA2" w:rsidRPr="00FC29E3" w:rsidRDefault="00224FA2" w:rsidP="00FC29E3">
      <w:pPr>
        <w:spacing w:after="0" w:line="240" w:lineRule="auto"/>
        <w:jc w:val="center"/>
        <w:rPr>
          <w:rFonts w:asciiTheme="majorBidi" w:eastAsiaTheme="majorEastAsia" w:hAnsiTheme="majorBidi" w:cstheme="majorBidi"/>
          <w:i/>
          <w:iCs/>
          <w:sz w:val="24"/>
          <w:szCs w:val="24"/>
          <w:lang w:val="id-ID"/>
        </w:rPr>
      </w:pPr>
    </w:p>
    <w:tbl>
      <w:tblPr>
        <w:tblW w:w="9576" w:type="dxa"/>
        <w:tblInd w:w="-459" w:type="dxa"/>
        <w:tblBorders>
          <w:top w:val="nil"/>
          <w:left w:val="nil"/>
          <w:bottom w:val="nil"/>
          <w:right w:val="nil"/>
          <w:insideH w:val="nil"/>
          <w:insideV w:val="nil"/>
        </w:tblBorders>
        <w:tblLayout w:type="fixed"/>
        <w:tblLook w:val="0400" w:firstRow="0" w:lastRow="0" w:firstColumn="0" w:lastColumn="0" w:noHBand="0" w:noVBand="1"/>
      </w:tblPr>
      <w:tblGrid>
        <w:gridCol w:w="9576"/>
      </w:tblGrid>
      <w:tr w:rsidR="0027030C" w:rsidRPr="00FC29E3" w14:paraId="4A0C46EC" w14:textId="77777777" w:rsidTr="00FE4EB7">
        <w:trPr>
          <w:cantSplit/>
          <w:tblHeader/>
        </w:trPr>
        <w:tc>
          <w:tcPr>
            <w:tcW w:w="9576" w:type="dxa"/>
            <w:tcBorders>
              <w:top w:val="single" w:sz="18" w:space="0" w:color="000000"/>
              <w:bottom w:val="single" w:sz="12" w:space="0" w:color="000000"/>
            </w:tcBorders>
          </w:tcPr>
          <w:p w14:paraId="59B684AA" w14:textId="3F902947" w:rsidR="0027030C" w:rsidRPr="00FC29E3" w:rsidRDefault="0027030C" w:rsidP="00FE4EB7">
            <w:pPr>
              <w:pStyle w:val="Heading1"/>
              <w:spacing w:before="0" w:line="240" w:lineRule="auto"/>
              <w:ind w:hanging="2"/>
              <w:rPr>
                <w:rFonts w:asciiTheme="majorBidi" w:hAnsiTheme="majorBidi" w:cstheme="majorBidi"/>
                <w:color w:val="auto"/>
                <w:sz w:val="24"/>
                <w:szCs w:val="24"/>
              </w:rPr>
            </w:pPr>
            <w:r w:rsidRPr="00FC29E3">
              <w:rPr>
                <w:rFonts w:asciiTheme="majorBidi" w:hAnsiTheme="majorBidi" w:cstheme="majorBidi"/>
                <w:color w:val="auto"/>
                <w:sz w:val="24"/>
                <w:szCs w:val="24"/>
              </w:rPr>
              <w:t>ABSTRA</w:t>
            </w:r>
            <w:r>
              <w:rPr>
                <w:rFonts w:asciiTheme="majorBidi" w:hAnsiTheme="majorBidi" w:cstheme="majorBidi"/>
                <w:color w:val="auto"/>
                <w:sz w:val="24"/>
                <w:szCs w:val="24"/>
              </w:rPr>
              <w:t>K</w:t>
            </w:r>
          </w:p>
        </w:tc>
      </w:tr>
      <w:tr w:rsidR="0027030C" w:rsidRPr="00AF6052" w14:paraId="71C657C3" w14:textId="77777777" w:rsidTr="00FE4EB7">
        <w:trPr>
          <w:cantSplit/>
          <w:tblHeader/>
        </w:trPr>
        <w:tc>
          <w:tcPr>
            <w:tcW w:w="9576" w:type="dxa"/>
            <w:tcBorders>
              <w:top w:val="single" w:sz="18" w:space="0" w:color="000000"/>
              <w:bottom w:val="single" w:sz="12" w:space="0" w:color="000000"/>
            </w:tcBorders>
          </w:tcPr>
          <w:p w14:paraId="0A73D367" w14:textId="71118A35" w:rsidR="00AF6052" w:rsidRPr="00AF6052" w:rsidRDefault="00AF6052" w:rsidP="00AF6052">
            <w:pPr>
              <w:spacing w:after="0" w:line="240" w:lineRule="auto"/>
              <w:ind w:hanging="2"/>
              <w:jc w:val="both"/>
              <w:rPr>
                <w:rFonts w:asciiTheme="majorBidi" w:hAnsiTheme="majorBidi" w:cstheme="majorBidi"/>
                <w:i/>
                <w:color w:val="000000"/>
                <w:sz w:val="24"/>
                <w:szCs w:val="24"/>
                <w:lang w:val="sv-SE"/>
              </w:rPr>
            </w:pPr>
            <w:r w:rsidRPr="00AF6052">
              <w:rPr>
                <w:rFonts w:asciiTheme="majorBidi" w:hAnsiTheme="majorBidi" w:cstheme="majorBidi"/>
                <w:i/>
                <w:color w:val="000000"/>
                <w:sz w:val="24"/>
                <w:szCs w:val="24"/>
                <w:lang w:val="sv-SE"/>
              </w:rPr>
              <w:t xml:space="preserve">Penelitian ini berangkat dari persoalan perbedaan makna idiom antarbahasa yang sering menimbulkan kesulitan dalam memahami dan menerjemahkan ungkapan non-literal. Idiom dalam bahasa Arab, Inggris, Prancis, dan Indonesia memiliki latar budaya dan metafora yang berbeda sehingga perlu dianalisis secara komparatif. Penelitian ini bertujuan membandingkan lima idiom berbahasa Arab yang terdapat dalam buku </w:t>
            </w:r>
            <w:r w:rsidRPr="00AF6052">
              <w:rPr>
                <w:rFonts w:asciiTheme="majorBidi" w:hAnsiTheme="majorBidi" w:cstheme="majorBidi"/>
                <w:i/>
                <w:iCs/>
                <w:color w:val="000000"/>
                <w:sz w:val="24"/>
                <w:szCs w:val="24"/>
                <w:lang w:val="sv-SE"/>
              </w:rPr>
              <w:t>Al-ʿIbārāt Al-Iṣṭilāḥiyyah fī Al-Lughah Al-ʿArabiyyah Al-Mu’āṣirah Tsalātsi Lughāt</w:t>
            </w:r>
            <w:r w:rsidRPr="00AF6052">
              <w:rPr>
                <w:rFonts w:asciiTheme="majorBidi" w:hAnsiTheme="majorBidi" w:cstheme="majorBidi"/>
                <w:i/>
                <w:color w:val="000000"/>
                <w:sz w:val="24"/>
                <w:szCs w:val="24"/>
                <w:lang w:val="sv-SE"/>
              </w:rPr>
              <w:t xml:space="preserve"> karya Mamdouh Khassara dkk., bersama padanan maknanya dalam bahasa Inggris dan Prancis, serta mencari padanannya dalam bahasa Indonesia. Penelitian menggunakan metode deskriptif kualitatif dengan studi kepustakaan. Data dikumpulkan melalui pembacaan seluruh entri idiom dalam buku, identifikasi bentuk dan makna idiom Arab–Inggris–Prancis, lalu pencarian padanan idiomatis yang paling sepadan dalam bahasa Indonesia. Hasil penelitian menunjukkan adanya perbedaan pola metafora: bahasa Arab didominasi metafora budaya dan gramatikal, bahasa Inggris dan Prancis memakai metafora visual, sementara bahasa Indonesia menggunakan metafora emosional dan keseharian. Temuan ini menegaskan bahwa idiom sangat dipengaruhi budaya penuturnya.</w:t>
            </w:r>
          </w:p>
          <w:p w14:paraId="1201FFFD" w14:textId="34BAD9EE" w:rsidR="0027030C" w:rsidRPr="00AF6052" w:rsidRDefault="0027030C" w:rsidP="0027030C">
            <w:pPr>
              <w:spacing w:line="240" w:lineRule="auto"/>
              <w:ind w:hanging="2"/>
              <w:jc w:val="both"/>
              <w:rPr>
                <w:rFonts w:asciiTheme="majorBidi" w:hAnsiTheme="majorBidi" w:cstheme="majorBidi"/>
                <w:sz w:val="24"/>
                <w:szCs w:val="24"/>
                <w:lang w:val="sv-SE"/>
              </w:rPr>
            </w:pPr>
            <w:r w:rsidRPr="00AF6052">
              <w:rPr>
                <w:rFonts w:asciiTheme="majorBidi" w:hAnsiTheme="majorBidi" w:cstheme="majorBidi"/>
                <w:color w:val="000000"/>
                <w:sz w:val="24"/>
                <w:szCs w:val="24"/>
                <w:lang w:val="sv-SE"/>
              </w:rPr>
              <w:t xml:space="preserve">Keywords: </w:t>
            </w:r>
            <w:r w:rsidRPr="0027030C">
              <w:rPr>
                <w:rFonts w:asciiTheme="majorBidi" w:hAnsiTheme="majorBidi" w:cstheme="majorBidi"/>
                <w:i/>
                <w:iCs/>
                <w:color w:val="000000"/>
                <w:sz w:val="24"/>
                <w:szCs w:val="24"/>
                <w:lang w:val="sv-SE"/>
              </w:rPr>
              <w:t>al-ibārāt al-iṣṭilāḥiyyah, analisis komparatif, kajian semantik</w:t>
            </w:r>
          </w:p>
        </w:tc>
      </w:tr>
      <w:tr w:rsidR="0027030C" w:rsidRPr="00FC29E3" w14:paraId="66B43FA4" w14:textId="77777777" w:rsidTr="00FE4EB7">
        <w:trPr>
          <w:cantSplit/>
          <w:tblHeader/>
        </w:trPr>
        <w:tc>
          <w:tcPr>
            <w:tcW w:w="9576" w:type="dxa"/>
            <w:tcBorders>
              <w:top w:val="single" w:sz="12" w:space="0" w:color="000000"/>
              <w:bottom w:val="single" w:sz="18" w:space="0" w:color="000000"/>
            </w:tcBorders>
            <w:vAlign w:val="center"/>
          </w:tcPr>
          <w:p w14:paraId="6121BF49" w14:textId="77777777" w:rsidR="0027030C" w:rsidRPr="00FC29E3" w:rsidRDefault="0027030C" w:rsidP="00FE4EB7">
            <w:pPr>
              <w:spacing w:after="0" w:line="240" w:lineRule="auto"/>
              <w:ind w:hanging="2"/>
              <w:jc w:val="both"/>
              <w:rPr>
                <w:rFonts w:asciiTheme="majorBidi" w:hAnsiTheme="majorBidi" w:cstheme="majorBidi"/>
              </w:rPr>
            </w:pPr>
            <w:r w:rsidRPr="00FC29E3">
              <w:rPr>
                <w:rFonts w:asciiTheme="majorBidi" w:hAnsiTheme="majorBidi" w:cstheme="majorBidi"/>
                <w:noProof/>
                <w:highlight w:val="white"/>
              </w:rPr>
              <w:drawing>
                <wp:anchor distT="0" distB="0" distL="114300" distR="114300" simplePos="0" relativeHeight="251660800" behindDoc="1" locked="0" layoutInCell="1" allowOverlap="1" wp14:anchorId="2BFA548A" wp14:editId="3D8A036E">
                  <wp:simplePos x="0" y="0"/>
                  <wp:positionH relativeFrom="column">
                    <wp:posOffset>107315</wp:posOffset>
                  </wp:positionH>
                  <wp:positionV relativeFrom="paragraph">
                    <wp:posOffset>52070</wp:posOffset>
                  </wp:positionV>
                  <wp:extent cx="419100" cy="228600"/>
                  <wp:effectExtent l="0" t="0" r="0" b="0"/>
                  <wp:wrapThrough wrapText="bothSides">
                    <wp:wrapPolygon edited="0">
                      <wp:start x="0" y="0"/>
                      <wp:lineTo x="0" y="19800"/>
                      <wp:lineTo x="20618" y="19800"/>
                      <wp:lineTo x="20618" y="0"/>
                      <wp:lineTo x="0" y="0"/>
                    </wp:wrapPolygon>
                  </wp:wrapThrough>
                  <wp:docPr id="1277282942" name="image2.png" descr="C:\Users\UserPC\AppData\Local\Microsoft\Windows\INetCache\Content.MSO\3AF082D3.tmp"/>
                  <wp:cNvGraphicFramePr/>
                  <a:graphic xmlns:a="http://schemas.openxmlformats.org/drawingml/2006/main">
                    <a:graphicData uri="http://schemas.openxmlformats.org/drawingml/2006/picture">
                      <pic:pic xmlns:pic="http://schemas.openxmlformats.org/drawingml/2006/picture">
                        <pic:nvPicPr>
                          <pic:cNvPr id="0" name="image2.png" descr="C:\Users\UserPC\AppData\Local\Microsoft\Windows\INetCache\Content.MSO\3AF082D3.tmp"/>
                          <pic:cNvPicPr preferRelativeResize="0"/>
                        </pic:nvPicPr>
                        <pic:blipFill>
                          <a:blip r:embed="rId9"/>
                          <a:srcRect/>
                          <a:stretch>
                            <a:fillRect/>
                          </a:stretch>
                        </pic:blipFill>
                        <pic:spPr>
                          <a:xfrm>
                            <a:off x="0" y="0"/>
                            <a:ext cx="419100" cy="228600"/>
                          </a:xfrm>
                          <a:prstGeom prst="rect">
                            <a:avLst/>
                          </a:prstGeom>
                          <a:ln/>
                        </pic:spPr>
                      </pic:pic>
                    </a:graphicData>
                  </a:graphic>
                  <wp14:sizeRelH relativeFrom="page">
                    <wp14:pctWidth>0</wp14:pctWidth>
                  </wp14:sizeRelH>
                  <wp14:sizeRelV relativeFrom="page">
                    <wp14:pctHeight>0</wp14:pctHeight>
                  </wp14:sizeRelV>
                </wp:anchor>
              </w:drawing>
            </w:r>
            <w:r w:rsidRPr="00FC29E3">
              <w:rPr>
                <w:rFonts w:asciiTheme="majorBidi" w:hAnsiTheme="majorBidi" w:cstheme="majorBidi"/>
                <w:highlight w:val="white"/>
              </w:rPr>
              <w:t>This work is licensed under Creative Commons Attribution License 4.0 CC-BY International license</w:t>
            </w:r>
            <w:r w:rsidRPr="00FC29E3">
              <w:rPr>
                <w:rFonts w:asciiTheme="majorBidi" w:hAnsiTheme="majorBidi" w:cstheme="majorBidi"/>
              </w:rPr>
              <w:t xml:space="preserve"> E- ISSN</w:t>
            </w:r>
            <w:r w:rsidRPr="00FC29E3">
              <w:rPr>
                <w:rFonts w:asciiTheme="majorBidi" w:hAnsiTheme="majorBidi" w:cstheme="majorBidi"/>
                <w:lang w:val="id-ID"/>
              </w:rPr>
              <w:t>:</w:t>
            </w:r>
            <w:r w:rsidRPr="00FC29E3">
              <w:rPr>
                <w:rFonts w:asciiTheme="majorBidi" w:hAnsiTheme="majorBidi" w:cstheme="majorBidi"/>
              </w:rPr>
              <w:t xml:space="preserve"> 2</w:t>
            </w:r>
            <w:r w:rsidRPr="00FC29E3">
              <w:rPr>
                <w:rFonts w:asciiTheme="majorBidi" w:hAnsiTheme="majorBidi" w:cstheme="majorBidi"/>
                <w:lang w:val="id-ID"/>
              </w:rPr>
              <w:t>987</w:t>
            </w:r>
            <w:r w:rsidRPr="00FC29E3">
              <w:rPr>
                <w:rFonts w:asciiTheme="majorBidi" w:hAnsiTheme="majorBidi" w:cstheme="majorBidi"/>
              </w:rPr>
              <w:t>-</w:t>
            </w:r>
            <w:r w:rsidRPr="00FC29E3">
              <w:rPr>
                <w:rFonts w:asciiTheme="majorBidi" w:hAnsiTheme="majorBidi" w:cstheme="majorBidi"/>
                <w:lang w:val="id-ID"/>
              </w:rPr>
              <w:t>0909</w:t>
            </w:r>
            <w:r w:rsidRPr="00FC29E3">
              <w:rPr>
                <w:rFonts w:asciiTheme="majorBidi" w:hAnsiTheme="majorBidi" w:cstheme="majorBidi"/>
              </w:rPr>
              <w:t>, DOI: 10.</w:t>
            </w:r>
            <w:r w:rsidRPr="00FC29E3">
              <w:rPr>
                <w:rFonts w:asciiTheme="majorBidi" w:hAnsiTheme="majorBidi" w:cstheme="majorBidi"/>
                <w:lang w:val="id-ID"/>
              </w:rPr>
              <w:t>59548</w:t>
            </w:r>
            <w:r w:rsidRPr="00FC29E3">
              <w:rPr>
                <w:rFonts w:asciiTheme="majorBidi" w:hAnsiTheme="majorBidi" w:cstheme="majorBidi"/>
              </w:rPr>
              <w:t>/</w:t>
            </w:r>
            <w:proofErr w:type="gramStart"/>
            <w:r w:rsidRPr="00FC29E3">
              <w:rPr>
                <w:rFonts w:asciiTheme="majorBidi" w:hAnsiTheme="majorBidi" w:cstheme="majorBidi"/>
                <w:lang w:val="id-ID"/>
              </w:rPr>
              <w:t>je.</w:t>
            </w:r>
            <w:r w:rsidRPr="00FC29E3">
              <w:rPr>
                <w:rFonts w:asciiTheme="majorBidi" w:hAnsiTheme="majorBidi" w:cstheme="majorBidi"/>
              </w:rPr>
              <w:t>v</w:t>
            </w:r>
            <w:r w:rsidRPr="00FC29E3">
              <w:rPr>
                <w:rFonts w:asciiTheme="majorBidi" w:hAnsiTheme="majorBidi" w:cstheme="majorBidi"/>
                <w:lang w:val="id-ID"/>
              </w:rPr>
              <w:t>3i1.xx</w:t>
            </w:r>
            <w:proofErr w:type="gramEnd"/>
          </w:p>
        </w:tc>
      </w:tr>
    </w:tbl>
    <w:p w14:paraId="39471286" w14:textId="77777777" w:rsidR="00224FA2" w:rsidRPr="0027030C" w:rsidRDefault="00224FA2" w:rsidP="00FC29E3">
      <w:pPr>
        <w:spacing w:after="0" w:line="240" w:lineRule="auto"/>
        <w:jc w:val="center"/>
        <w:rPr>
          <w:rFonts w:asciiTheme="majorBidi" w:eastAsiaTheme="majorEastAsia" w:hAnsiTheme="majorBidi" w:cstheme="majorBidi"/>
          <w:i/>
          <w:iCs/>
          <w:sz w:val="24"/>
          <w:szCs w:val="24"/>
        </w:rPr>
      </w:pPr>
    </w:p>
    <w:p w14:paraId="5F74E6AD" w14:textId="4DE06B25" w:rsidR="00DB04E4" w:rsidRPr="00FC29E3" w:rsidRDefault="00337926" w:rsidP="00337926">
      <w:pPr>
        <w:spacing w:after="0" w:line="240" w:lineRule="auto"/>
        <w:rPr>
          <w:rFonts w:asciiTheme="majorBidi" w:hAnsiTheme="majorBidi" w:cstheme="majorBidi"/>
          <w:b/>
          <w:bCs/>
          <w:sz w:val="24"/>
          <w:szCs w:val="24"/>
          <w:lang w:val="id-ID"/>
        </w:rPr>
      </w:pPr>
      <w:r w:rsidRPr="00337926">
        <w:rPr>
          <w:rFonts w:asciiTheme="majorBidi" w:hAnsiTheme="majorBidi" w:cstheme="majorBidi"/>
          <w:b/>
          <w:bCs/>
          <w:sz w:val="24"/>
          <w:szCs w:val="24"/>
          <w:lang w:val="id-ID"/>
        </w:rPr>
        <w:t>Introduction</w:t>
      </w:r>
      <w:r w:rsidR="00F670C5" w:rsidRPr="00FC29E3">
        <w:rPr>
          <w:rFonts w:asciiTheme="majorBidi" w:hAnsiTheme="majorBidi" w:cstheme="majorBidi"/>
          <w:b/>
          <w:bCs/>
          <w:sz w:val="24"/>
          <w:szCs w:val="24"/>
          <w:lang w:val="id-ID"/>
        </w:rPr>
        <w:t xml:space="preserve"> </w:t>
      </w:r>
    </w:p>
    <w:p w14:paraId="1F77C763" w14:textId="04AD27B2" w:rsidR="00337926" w:rsidRPr="00337926" w:rsidRDefault="00337926" w:rsidP="00337926">
      <w:pPr>
        <w:spacing w:after="0" w:line="240" w:lineRule="auto"/>
        <w:ind w:firstLine="284"/>
        <w:jc w:val="both"/>
        <w:rPr>
          <w:rFonts w:asciiTheme="majorBidi" w:hAnsiTheme="majorBidi" w:cstheme="majorBidi"/>
          <w:color w:val="000000"/>
          <w:sz w:val="24"/>
          <w:szCs w:val="24"/>
          <w:lang w:val="en-ID" w:eastAsia="id-ID"/>
        </w:rPr>
      </w:pPr>
      <w:r w:rsidRPr="00337926">
        <w:rPr>
          <w:rFonts w:asciiTheme="majorBidi" w:hAnsiTheme="majorBidi" w:cstheme="majorBidi"/>
          <w:color w:val="000000"/>
          <w:sz w:val="24"/>
          <w:szCs w:val="24"/>
          <w:lang w:val="id-ID" w:eastAsia="id-ID"/>
        </w:rPr>
        <w:t xml:space="preserve">Idiomatic expressions, or al-ibārāt al-iṣṭilāḥiyyah, constitute one of the forms of expressive and semantic richness in the Arabic language. Speakers of any language possess various ways to convey feelings or describe events in a manner that can be easily understood by others. One common way is through the use of special expressions, which are known as idioms. </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author":[{"dropping-particle":"","family":"Vula","given":"Elsa","non-dropping-particle":"","parse-names":false,"suffix":""},{"dropping-particle":"","family":"TyfekÃ","given":"Nazli","non-dropping-particle":"","parse-names":false,"suffix":""}],"container-title":"Academic Journal of Interdisciplinary Studies","id":"ITEM-1","issued":{"date-parts":[["2024"]]},"publisher":"Richtmann Publishing Ltd","title":"Navigating non-literal language: The complexities of translating idioms across cultural boundaries","type":"article-journal","volume":"13"},"uris":["http://www.mendeley.com/documents/?uuid=c6e09cf2-5c0b-4b21-b82a-f0de101848ec"]}],"mendeley":{"formattedCitation":"(Vula &amp; TyfekÃ, 2024)","plainTextFormattedCitation":"(Vula &amp; TyfekÃ, 2024)","previouslyFormattedCitation":"(Vula &amp; TyfekÃ, 2024)"},"properties":{"noteIndex":0},"schema":"https://github.com/citation-style-language/schema/raw/master/csl-citation.json"}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(Vula &amp; TyfekÃ, 2024)</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 In the context of Arabic linguistics, idiomatic meaning often presents its own challenges because such expressions cannot be understood directly from the literal meanings of their individual words. </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ISSN":"2722-1199","author":[{"dropping-particle":"","family":"Munawarah","given":"Munawarah","non-dropping-particle":"","parse-names":false,"suffix":""},{"dropping-particle":"","family":"Zulkiflih","given":"Zulkiflih","non-dropping-particle":"","parse-names":false,"suffix":""}],"container-title":"Loghat Arabi: Jurnal Bahasa Arab Dan Pendidikan Bahasa Arab","id":"ITEM-1","issue":"2","issued":{"date-parts":[["2021"]]},"page":"22-34","title":"Pembelajaran Keterampilan Menulis (Maharah al-Kitabah) dalam Bahasa Arab","type":"article-journal","volume":"1"},"uris":["http://www.mendeley.com/documents/?uuid=d70c4896-e29c-4a6f-abbb-0264599eff50"]}],"mendeley":{"formattedCitation":"(Munawarah &amp; Zulkiflih, 2021)","plainTextFormattedCitation":"(Munawarah &amp; Zulkiflih, 2021)","previouslyFormattedCitation":"(Munawarah &amp; Zulkiflih, 2021)"},"properties":{"noteIndex":0},"schema":"https://github.com/citation-style-language/schema/raw/master/csl-citation.json"}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(Munawarah &amp; Zulkiflih, 2021)</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fldChar w:fldCharType="begin" w:fldLock="1"/>
      </w:r>
      <w:r w:rsidR="00087735">
        <w:rPr>
          <w:rFonts w:asciiTheme="majorBidi" w:hAnsiTheme="majorBidi" w:cstheme="majorBidi"/>
          <w:color w:val="000000"/>
          <w:sz w:val="24"/>
          <w:szCs w:val="24"/>
          <w:lang w:val="id-ID" w:eastAsia="id-ID"/>
        </w:rPr>
        <w:instrText>ADDIN CSL_CITATION {"citationItems":[{"id":"ITEM-1","itemData":{"ISSN":"2502-2482","author":[{"dropping-particle":"","family":"Sodik","given":"Achmad Ja'far","non-dropping-particle":"","parse-names":false,"suffix":""},{"dropping-particle":"","family":"Bahruddin","given":"Uril","non-dropping-particle":"","parse-names":false,"suffix":""},{"dropping-particle":"","family":"Agustina","given":"Rahmah Fadhilah","non-dropping-particle":"","parse-names":false,"suffix":""}],"container-title":"Arabia: Jurnal Pendidikan Bahasa Arab","id":"ITEM-1","issue":"2","issued":{"date-parts":[["2022"]]},"page":"303-320","publisher":"Program Studi Pendidikan Bahasa Aarab Jurusan Tarbiyah IAIN Kudus","title":"Musykilāt tarjamah al-Nuṣuṣ al-‘Arabiyyah ila al-Lugah al-Indūnīsiyyah li tullāb al-Madrasah al-Ṡānawiyyah Jā’al-Haqq Bengkulu","type":"article-journal","volume":"14"},"uris":["http://www.mendeley.com/documents/?uuid=a019e92c-d375-40d3-b547-66c90dc30fee"]}],"mendeley":{"formattedCitation":"(Sodik et al., 2022)","plainTextFormattedCitation":"(Sodik et al., 2022)","previouslyFormattedCitation":"(Sodik et al., 2022)"},"properties":{"noteIndex":0},"schema":"https://github.com/citation-style-language/schema/raw/master/csl-citation.json"}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00087735" w:rsidRPr="00087735">
        <w:rPr>
          <w:rFonts w:asciiTheme="majorBidi" w:hAnsiTheme="majorBidi" w:cstheme="majorBidi"/>
          <w:noProof/>
          <w:color w:val="000000"/>
          <w:sz w:val="24"/>
          <w:szCs w:val="24"/>
          <w:lang w:val="id-ID" w:eastAsia="id-ID"/>
        </w:rPr>
        <w:t>(Sodik et al., 2022)</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 Rather, they form a distinctive and unified meaning. (Karim Zaki Hisyamuddin in </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{"citationItems":[{"id":"ITEM-1","itemData":{"author":[{"dropping-particle":"","family":"Tawfık","given":"Ahmed Mahmoud Zakaria","non-dropping-particle":"","parse-names":false,"suffix":""}],"container-title":"Harran Theology Journal","id":"ITEM-1","issued":{"date-parts":[["2024"]]},"title":"</w:instrText>
      </w:r>
      <w:r w:rsidRPr="00337926">
        <w:rPr>
          <w:rFonts w:asciiTheme="majorBidi" w:hAnsiTheme="majorBidi" w:cstheme="majorBidi"/>
          <w:color w:val="000000"/>
          <w:sz w:val="24"/>
          <w:szCs w:val="24"/>
          <w:rtl/>
          <w:lang w:eastAsia="id-ID"/>
        </w:rPr>
        <w:instrText>التعابير الاصطلاحية في لغة الإعلام. دراسة تقابلية بين العربية والتركية</w:instrText>
      </w:r>
      <w:r w:rsidRPr="00337926">
        <w:rPr>
          <w:rFonts w:asciiTheme="majorBidi" w:hAnsiTheme="majorBidi" w:cstheme="majorBidi"/>
          <w:color w:val="000000"/>
          <w:sz w:val="24"/>
          <w:szCs w:val="24"/>
          <w:lang w:val="id-ID" w:eastAsia="id-ID"/>
        </w:rPr>
        <w:instrText>","type":"article-journal"},"uris":["http://www.mendeley.com/documents/?uuid=974c92cd-594d-4ca9-b889-1bfd6ca1a24c"]}],"mendeley":{"formattedCitation":"(Tawfık, 2024)","plainTextFormattedCitation":"(Tawfık, 2024)","previouslyFormattedCitation":"(Tawfık, 2024)"},"properties":{"noteIndex":0},"schema":"https://github.com/citation-style-language/schema/raw/master/csl-citation.json"}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(Tawfık, 2024)</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 In other words, an idiom is a type of expression whose meaning differs from the combined literal meanings of the elements </w:t>
      </w:r>
      <w:r w:rsidRPr="00337926">
        <w:rPr>
          <w:rFonts w:asciiTheme="majorBidi" w:hAnsiTheme="majorBidi" w:cstheme="majorBidi"/>
          <w:color w:val="000000"/>
          <w:sz w:val="24"/>
          <w:szCs w:val="24"/>
          <w:lang w:val="id-ID" w:eastAsia="id-ID"/>
        </w:rPr>
        <w:lastRenderedPageBreak/>
        <w:t xml:space="preserve">that compose it. </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{"citationItems":[{"id":"ITEM-1","itemData":{"author":[{"dropping-particle":"","family":"Al-Khūlī","given":"Muḥammad ‘Ali","non-dropping-particle":"","parse-names":false,"suffix":""}],"id":"ITEM-1","issued":{"date-parts":[["2000"]]},"publisher":"Darul Falah","publisher-place":"Amman","title":"‘Ilmu Ad-Dilālah ‘Ilmu Al-Ma’nā","type":"book"},"locator":"125","uris":["http://www.mendeley.com/documents/?uuid=25c9346d-a012-4a2e-be53-92b62fba6337"]}],"mendeley":{"formattedCitation":"(Al-Khūlī, 2000, p. 125)","plainTextFormattedCitation":"(Al-Khūlī, 2000, p. 125)","previouslyFormattedCitation":"(Al-Khūlī, 2000, p. 125)"},"properties":{"noteIndex":0},"schema":"https://github.com/citation-style-language/schema/raw/master/csl-citation.json"}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(Al-Khūlī, 2000, p. 125)</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 For example, the expression </w:t>
      </w:r>
      <w:r w:rsidRPr="00337926">
        <w:rPr>
          <w:rFonts w:asciiTheme="majorBidi" w:hAnsiTheme="majorBidi" w:cstheme="majorBidi"/>
          <w:color w:val="000000"/>
          <w:sz w:val="24"/>
          <w:szCs w:val="24"/>
          <w:rtl/>
          <w:lang w:eastAsia="id-ID"/>
        </w:rPr>
        <w:t>اِنْفَتَحَ بَابُ السَّمَاءِ</w:t>
      </w:r>
      <w:r w:rsidRPr="00337926">
        <w:rPr>
          <w:rFonts w:asciiTheme="majorBidi" w:hAnsiTheme="majorBidi" w:cstheme="majorBidi"/>
          <w:color w:val="000000"/>
          <w:sz w:val="24"/>
          <w:szCs w:val="24"/>
          <w:lang w:val="id-ID" w:eastAsia="id-ID"/>
        </w:rPr>
        <w:t xml:space="preserve"> (infataḥa bāb as-samā’), which literally means “the gate of the sky has opened,” actually signifies that good fortune has arrived. Such expressions are used in language to convey ideas and meanings indirectly and are often linked to particular cultural or social contexts. </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{"citationItems":[{"id":"ITEM-1","itemData":{"author":[{"dropping-particle":"","family":"Tawfık","given":"Ahmed Mahmoud Zakaria","non-dropping-particle":"","parse-names":false,"suffix":""}],"container-title":"Harran Theology Journal","id":"ITEM-1","issued":{"date-parts":[["2024"]]},"title":"</w:instrText>
      </w:r>
      <w:r w:rsidRPr="00337926">
        <w:rPr>
          <w:rFonts w:asciiTheme="majorBidi" w:hAnsiTheme="majorBidi" w:cstheme="majorBidi"/>
          <w:color w:val="000000"/>
          <w:sz w:val="24"/>
          <w:szCs w:val="24"/>
          <w:rtl/>
          <w:lang w:eastAsia="id-ID"/>
        </w:rPr>
        <w:instrText>التعابير الاصطلاحية في لغة الإعلام. دراسة تقابلية بين العربية والتركية</w:instrText>
      </w:r>
      <w:r w:rsidRPr="00337926">
        <w:rPr>
          <w:rFonts w:asciiTheme="majorBidi" w:hAnsiTheme="majorBidi" w:cstheme="majorBidi"/>
          <w:color w:val="000000"/>
          <w:sz w:val="24"/>
          <w:szCs w:val="24"/>
          <w:lang w:val="id-ID" w:eastAsia="id-ID"/>
        </w:rPr>
        <w:instrText>","type":"article-journal"},"uris":["http://www.mendeley.com/documents/?uuid=974c92cd-594d-4ca9-b889-1bfd6ca1a24c"]}],"mendeley":{"formattedCitation":"(Tawfık, 2024)","plainTextFormattedCitation":"(Tawfık, 2024)","previouslyFormattedCitation":"(Tawfık, 2024)"},"properties":{"noteIndex":0},"schema":"https://github.com/citation-style-language/schema/raw/master/csl-citation.json"}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(Tawfık, 2024)</w:t>
      </w:r>
      <w:r w:rsidRPr="00337926">
        <w:rPr>
          <w:rFonts w:asciiTheme="majorBidi" w:hAnsiTheme="majorBidi" w:cstheme="majorBidi"/>
          <w:color w:val="000000"/>
          <w:sz w:val="24"/>
          <w:szCs w:val="24"/>
          <w:lang w:eastAsia="id-ID"/>
        </w:rPr>
        <w:fldChar w:fldCharType="end"/>
      </w:r>
    </w:p>
    <w:p w14:paraId="5128E393" w14:textId="55229C84" w:rsidR="00337926" w:rsidRPr="00337926" w:rsidRDefault="00337926" w:rsidP="00337926">
      <w:pPr>
        <w:spacing w:after="0" w:line="240" w:lineRule="auto"/>
        <w:ind w:firstLine="284"/>
        <w:jc w:val="both"/>
        <w:rPr>
          <w:rFonts w:asciiTheme="majorBidi" w:hAnsiTheme="majorBidi" w:cstheme="majorBidi"/>
          <w:color w:val="000000"/>
          <w:sz w:val="24"/>
          <w:szCs w:val="24"/>
          <w:lang w:val="id-ID" w:eastAsia="id-ID"/>
        </w:rPr>
      </w:pPr>
      <w:r w:rsidRPr="00337926">
        <w:rPr>
          <w:rFonts w:asciiTheme="majorBidi" w:hAnsiTheme="majorBidi" w:cstheme="majorBidi"/>
          <w:color w:val="000000"/>
          <w:sz w:val="24"/>
          <w:szCs w:val="24"/>
          <w:lang w:val="id-ID" w:eastAsia="id-ID"/>
        </w:rPr>
        <w:t>The constituent elements of Arabic idioms are generally derived from vocabulary that is familiar and widely used within Arabic-speaking communities. This illustrates that idioms are inherently intertwined with the cultural background of their speakers. El-Bathal asserts that culture reflects the conceptual frameworks and modes of life upheld by a linguistic community, each of which develops a distinct outlook on the surrounding reality. The selection of particular lexical items in idiomatic expressions thus embodies cultural values and conveys connotative meanings specific to that community.</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ISSN":"2580-0728","author":[{"dropping-particle":"","family":"Oktariza","given":"Dodi","non-dropping-particle":"","parse-names":false,"suffix":""},{"dropping-particle":"","family":"Efendi","given":"Dedi","non-dropping-particle":"","parse-names":false,"suffix":""}],"container-title":"Krinok: Jurnal Linguistik Budaya","id":"ITEM-1","issue":"1","issued":{"date-parts":[["2024"]]},"page":"36-56","title":"UNGKAPAN IDIOMATIS BAHASA MELAYU JAMBI DIALEK MELAYU BUNGO PERSPEKTIF ANTROPOLINGUISTIK: SEBUAH PENULUSURAN AWAL","type":"article-journal","volume":"8"},"uris":["http://www.mendeley.com/documents/?uuid=04db068d-9d15-4846-8457-555d816956b9"]}],"mendeley":{"formattedCitation":"(Oktariza &amp; Efendi, 2024)","plainTextFormattedCitation":"(Oktariza &amp; Efendi, 2024)","previouslyFormattedCitation":"(Oktariza &amp; Efendi, 2024)"},"properties":{"noteIndex":0},"schema":"https://github.com/citation-style-language/schema/raw/master/csl-citation.json"}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(Oktariza &amp; Efendi, 2024)</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 Accordingly, idioms typically employ vocabulary associated with the environment in which the language emerges and develops. Language, in its essence, is not merely an assemblage of lexical units; rather, it constitutes a symbolic system through which meanings are constructed, shaped by the social, cultural, and historical experiences of a society. </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{"citationItems":[{"id":"ITEM-1","itemData":{"DOI":"10.22515/allais.v1i2.5633","ISSN":"2964-0709, 2985-5179","author":[{"dropping-particle":"","family":"Fatikhin","given":"Roro","non-dropping-particle":"","parse-names":false,"suffix":""}],"container-title":"ALLAIS Journal of Arabic Language and Literature","id":"ITEM-1","issue":"2","issued":{"date-parts":[["2022"]]},"page":"1-19","publisher":"IAIN Surakarta","title":"</w:instrText>
      </w:r>
      <w:r w:rsidRPr="00337926">
        <w:rPr>
          <w:rFonts w:asciiTheme="majorBidi" w:hAnsiTheme="majorBidi" w:cstheme="majorBidi"/>
          <w:color w:val="000000"/>
          <w:sz w:val="24"/>
          <w:szCs w:val="24"/>
          <w:rtl/>
          <w:lang w:eastAsia="id-ID"/>
        </w:rPr>
        <w:instrText>ترجمة التعبير الإصطلاحي المعلق بالأفعال المتعدية بحرف جر في كتاب وصف الجنة والنار لوحيد عبد السالم بالي</w:instrText>
      </w:r>
      <w:r w:rsidRPr="00337926">
        <w:rPr>
          <w:rFonts w:asciiTheme="majorBidi" w:hAnsiTheme="majorBidi" w:cstheme="majorBidi"/>
          <w:color w:val="000000"/>
          <w:sz w:val="24"/>
          <w:szCs w:val="24"/>
          <w:lang w:val="id-ID" w:eastAsia="id-ID"/>
        </w:rPr>
        <w:instrText>","type":"article-journal","volume":"1"},"locator":"1","uris":["http://www.mendeley.com/documents/?uuid=c0815fca-95d6-4557-987c-0426a2796d82"]}],"mendeley":{"formattedCitation":"(Fatikhin, 2022, p. 1)","plainTextFormattedCitation":"(Fatikhin, 2022, p. 1)","previouslyFormattedCitation":"(Fatikhin, 2022, p. 1)"},"properties":{"noteIndex":0},"schema":"https://github.com/citation-style-language/schema/raw/master/csl-citation.json"}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(Fatikhin, 2022, p. 1)</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 In linguistic scholarship, idioms al-‘ibārāt al-istiṣlāḥiyyah represent a particularly noteworthy phenomenon, as their meanings cannot be inferred exclusively from their constituent lexical components. </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{"citationItems":[{"id":"ITEM-1","itemData":{"DOI":"10.1057/s41599-024-02961-2","ISSN":"2662-9992","author":[{"dropping-particle":"","family":"Lahiani","given":"Raja","non-dropping-particle":"","parse-names":false,"suffix":""}],"container-title":"Humanities and Social Sciences Communications","id":"ITEM-1","issue":"1","issued":{"date-parts":[["2024"]]},"publisher":"Palgrave Macmillan","title":"Recreating relevance: translated Arabic idioms through a relevance theory lens","type":"article-journal","volume":"11"},"uris":["http://www.mendeley.com/documents/?uuid=31c63583-63f8-4603-9be1-a062d4ae294e"]}],"mendeley":{"formattedCitation":"(Lahiani, 2024)","plainTextFormattedCitation":"(Lahiani, 2024)","previouslyFormattedCitation":"(Lahiani, 2024)"},"properties":{"noteIndex":0},"schema":"https://github.com/citation-style-language/schema/raw/master/csl-citation.json"}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(Lahiani, 2024)</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 Arabic, English, French, and Indonesian each possess distinct linguistic traditions and conceptual systems. </w:t>
      </w:r>
      <w:r w:rsidRPr="00337926">
        <w:rPr>
          <w:rFonts w:asciiTheme="majorBidi" w:hAnsiTheme="majorBidi" w:cstheme="majorBidi"/>
          <w:color w:val="000000"/>
          <w:sz w:val="24"/>
          <w:szCs w:val="24"/>
          <w:lang w:val="id-ID" w:eastAsia="id-ID"/>
        </w:rPr>
        <w:fldChar w:fldCharType="begin" w:fldLock="1"/>
      </w:r>
      <w:r w:rsidR="00087735">
        <w:rPr>
          <w:rFonts w:asciiTheme="majorBidi" w:hAnsiTheme="majorBidi" w:cstheme="majorBidi"/>
          <w:color w:val="000000"/>
          <w:sz w:val="24"/>
          <w:szCs w:val="24"/>
          <w:lang w:val="id-ID" w:eastAsia="id-ID"/>
        </w:rPr>
        <w:instrText>ADDIN CSL_CITATION {"citationItems":[{"id":"ITEM-1","itemData":{"DOI":"10.15408/a.v11i2.41665","ISSN":"2356-153X, 2442-9473","author":[{"dropping-particle":"","family":"R.U.","given":"Nafisatul Izza","non-dropping-particle":"","parse-names":false,"suffix":""},{"dropping-particle":"","family":"Mahliatussikah","given":"Hanik","non-dropping-particle":"","parse-names":false,"suffix":""},{"dropping-particle":"","family":"Ahsanuddin","given":"Mohammad","non-dropping-particle":"","parse-names":false,"suffix":""}],"container-title":"ARABIYAT Jurnal Pendidikan Bahasa Arab dan Kebahasaaraban","id":"ITEM-1","issue":"2","issued":{"date-parts":[["2025"]]},"page":"234-244","publisher":"Jakarta State Islamic University","title":"Students' Perception of the Development of a Digital Dictionary of Arabic Idioms Based on Corpus Linguistics","type":"article-journal","volume":"11"},"locator":"23","uris":["http://www.mendeley.com/documents/?uuid=356631ad-79b6-4984-bb1e-ffb766926d4b"]}],"mendeley":{"formattedCitation":"(R.U. et al., 2025, p. 23)","plainTextFormattedCitation":"(R.U. et al., 2025, p. 23)","previouslyFormattedCitation":"(R.U. et al., 2025, p. 23)"},"properties":{"noteIndex":0},"schema":"https://github.com/citation-style-language/schema/raw/master/csl-citation.json"}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00087735" w:rsidRPr="00087735">
        <w:rPr>
          <w:rFonts w:asciiTheme="majorBidi" w:hAnsiTheme="majorBidi" w:cstheme="majorBidi"/>
          <w:noProof/>
          <w:color w:val="000000"/>
          <w:sz w:val="24"/>
          <w:szCs w:val="24"/>
          <w:lang w:val="id-ID" w:eastAsia="id-ID"/>
        </w:rPr>
        <w:t>(R.U. et al., 2025, p. 23)</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 Arabic is characterized by its balāghah and classical metaphorical structures; English and French by Western traditions shaped through the evolution of literacy and modern philosophical discourse; and Indonesian by its multiethnic and multicultural influences. These divergences render idioms a substantial challenge in both language learning and translation. </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{"citationItems":[{"id":"ITEM-1","itemData":{"DOI":"10.33633/lite.v18i1.5549","ISSN":"1907-3607, 2548-9488","author":[{"dropping-particle":"","family":"Hanim","given":"Lutfia","non-dropping-particle":"","parse-names":false,"suffix":""}],"container-title":"LITE Jurnal Bahasa Sastra dan Budaya","id":"ITEM-1","issue":"1","issued":{"date-parts":[["2022"]]},"page":"34-42","publisher":"Nuswantoro Dian University","title":"The Translation of Idiomatic Expressions in ‘The Adventures of Huckleberry Finn’ Novel from English into Indonesian","type":"article-journal","volume":"18"},"locator":"35","uris":["http://www.mendeley.com/documents/?uuid=fa1102d1-50a4-4029-8a54-93e298499712"]}],"mendeley":{"formattedCitation":"(Hanim, 2022, p. 35)","plainTextFormattedCitation":"(Hanim, 2022, p. 35)","previouslyFormattedCitation":"(Hanim, 2022, p. 35)"},"properties":{"noteIndex":0},"schema":"https://github.com/citation-style-language/schema/raw/master/csl-citation.json"}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(Hanim, 2022, p. 35)</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 Consequently, contrastive analysis becomes fundamental for identifying semantic correspondences and disparities among idioms across languages, thereby elucidating the ways in which cultural differences shape linguistic forms. </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{"citationItems":[{"id":"ITEM-1","itemData":{"DOI":"10.15294/jsi.v9i3.39876","ISSN":"2252-6315, 2685-9599","author":[{"dropping-particle":"","family":"Khasanah","given":"Sofia Nur","non-dropping-particle":"","parse-names":false,"suffix":""},{"dropping-particle":"","family":"Baehaqie","given":"Imam","non-dropping-particle":"","parse-names":false,"suffix":""}],"container-title":"Jurnal Sastra Indonesia","id":"ITEM-1","issue":"3","issued":{"date-parts":[["2020"]]},"page":"172-179","publisher":"State University of Semarang","title":"Penanda Makna Jamak Bahasa Indonesia dan Bahasa Arab Pada Aspek Morfologis (Analisis Kontrastif)","type":"article-journal","volume":"9"},"locator":"135","uris":["http://www.mendeley.com/documents/?uuid=eba52c5f-0f77-4310-b534-19d36ac90232"]}],"mendeley":{"formattedCitation":"(Khasanah &amp; Baehaqie, 2020, p. 135)","plainTextFormattedCitation":"(Khasanah &amp; Baehaqie, 2020, p. 135)","previouslyFormattedCitation":"(Khasanah &amp; Baehaqie, 2020, p. 135)"},"properties":{"noteIndex":0},"schema":"https://github.com/citation-style-language/schema/raw/master/csl-citation.json"}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(Khasanah &amp; Baehaqie, 2020, p. 135)</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 </w:t>
      </w:r>
    </w:p>
    <w:p w14:paraId="28AF6A9A" w14:textId="77777777" w:rsidR="00337926" w:rsidRPr="00337926" w:rsidRDefault="00337926" w:rsidP="00337926">
      <w:pPr>
        <w:spacing w:after="0" w:line="240" w:lineRule="auto"/>
        <w:ind w:firstLine="284"/>
        <w:jc w:val="both"/>
        <w:rPr>
          <w:rFonts w:asciiTheme="majorBidi" w:hAnsiTheme="majorBidi" w:cstheme="majorBidi"/>
          <w:color w:val="000000"/>
          <w:sz w:val="24"/>
          <w:szCs w:val="24"/>
          <w:lang w:val="id-ID" w:eastAsia="id-ID"/>
        </w:rPr>
      </w:pPr>
      <w:r w:rsidRPr="00337926">
        <w:rPr>
          <w:rFonts w:asciiTheme="majorBidi" w:hAnsiTheme="majorBidi" w:cstheme="majorBidi"/>
          <w:color w:val="000000"/>
          <w:sz w:val="24"/>
          <w:szCs w:val="24"/>
          <w:lang w:val="id-ID" w:eastAsia="id-ID"/>
        </w:rPr>
        <w:t xml:space="preserve">This study will conduct an in-depth analysis of al-ibarāt al-istiṣlāḥiyyah in the four languages through a semantic approach, utilising contrastive analysis to reveal structural and semantic similarities and differences. </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{"citationItems":[{"id":"ITEM-1","itemData":{"DOI":"10.15548/diwan.v13i2.711","ISSN":"2339-2088, 2599-2023","author":[{"dropping-particle":"","family":"Fajariyah","given":"Lukman","non-dropping-particle":"","parse-names":false,"suffix":""}],"container-title":"Diwan Jurnal Bahasa dan Sastra Arab","id":"ITEM-1","issue":"2","issued":{"date-parts":[["2022"]]},"page":"100-115","title":"Studi Analisis Kontrastif Padanan Peribahasa Arab dan Inggris Perspektif Hermeneutika Budaya","type":"article-journal","volume":"13"},"uris":["http://www.mendeley.com/documents/?uuid=d71e2d21-66a8-4623-9b53-75cfbd34a887"]}],"mendeley":{"formattedCitation":"(Fajariyah, 2022)","plainTextFormattedCitation":"(Fajariyah, 2022)","previouslyFormattedCitation":"(Fajariyah, 2022)"},"properties":{"noteIndex":0},"schema":"https://github.com/citation-style-language/schema/raw/master/csl-citation.json"}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(Fajariyah, 2022)</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 Various studies on idioms have been conducted with different focuses, but all of them point to the importance of cross-linguistic semantic analysis. Fikriyah </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{"citationItems":[{"id":"ITEM-1","itemData":{"ISSN":"2615-3890","author":[{"dropping-particle":"","family":"Fikriyah","given":"Inayatul","non-dropping-particle":"","parse-names":false,"suffix":""}],"container-title":"Jurnal Al-Maqayis","id":"ITEM-1","issue":"1","issued":{"date-parts":[["2022"]]},"page":"55-69","title":"Idioms Between Arabic and Indonesian (a comparative analysis)/</w:instrText>
      </w:r>
      <w:r w:rsidRPr="00337926">
        <w:rPr>
          <w:rFonts w:asciiTheme="majorBidi" w:hAnsiTheme="majorBidi" w:cstheme="majorBidi"/>
          <w:color w:val="000000"/>
          <w:sz w:val="24"/>
          <w:szCs w:val="24"/>
          <w:rtl/>
          <w:lang w:eastAsia="id-ID"/>
        </w:rPr>
        <w:instrText>التعبير الاصطلاحي بين اللغة العربية واللغة الإندونيسية</w:instrText>
      </w:r>
      <w:r w:rsidRPr="00337926">
        <w:rPr>
          <w:rFonts w:asciiTheme="majorBidi" w:hAnsiTheme="majorBidi" w:cstheme="majorBidi"/>
          <w:color w:val="000000"/>
          <w:sz w:val="24"/>
          <w:szCs w:val="24"/>
          <w:lang w:val="id-ID" w:eastAsia="id-ID"/>
        </w:rPr>
        <w:instrText>","type":"article-journal","volume":"9"},"uris":["http://www.mendeley.com/documents/?uuid=6b94f852-7ab1-434c-8891-031751f09559"]}],"mendeley":{"formattedCitation":"(Fikriyah, 2022)","manualFormatting":"(2022)","plainTextFormattedCitation":"(Fikriyah, 2022)","previouslyFormattedCitation":"(Fikriyah, 2022)"},"properties":{"noteIndex":0},"schema":"https://github.com/citation-style-language/schema/raw/master/csl-citation.json"}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(2022)</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 examined Arabic–Indonesian idioms and found that structure, cultural metaphors, and pragmatic context greatly influence the differences in meaning between the two languages. Nursalam </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{"citationItems":[{"id":"ITEM-1","itemData":{"ISSN":"2745-4584","author":[{"dropping-particle":"","family":"Nursalam","given":"Yufridal Fitri","non-dropping-particle":"","parse-names":false,"suffix":""}],"container-title":"AL-MIKRAJ Jurnal Studi Islam dan Humaniora (E-ISSN 2745-4584)","id":"ITEM-1","issue":"2","issued":{"date-parts":[["2022"]]},"page":"1-10","title":"Analisis Tarjamah Idiomatik","type":"article-journal","volume":"2"},"uris":["http://www.mendeley.com/documents/?uuid=3df42174-cb6f-4b8c-a97b-89ad57f2a75a"]}],"mendeley":{"formattedCitation":"(Nursalam, 2022)","manualFormatting":"(2022)","plainTextFormattedCitation":"(Nursalam, 2022)","previouslyFormattedCitation":"(Nursalam, 2022)"},"properties":{"noteIndex":0},"schema":"https://github.com/citation-style-language/schema/raw/master/csl-citation.json"}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(2022)</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 added that the translation of Arabic–Indonesian idioms often results in meaning deviations due to differences in idiomaticity and the lack of direct semantic equivalents. Meanwhile, Sulaiman et al., through a study of English–Indonesian body idioms, emphasised that the concept of body metaphors is universal but their idiomatic meanings are highly dependent on culture. Krisandini &amp; Sutrisno's </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{"citationItems":[{"id":"ITEM-1","itemData":{"ISSN":"2746-2668","author":[{"dropping-particle":"","family":"Krisandini","given":"Margarete Theda Kalyca","non-dropping-particle":"","parse-names":false,"suffix":""},{"dropping-particle":"","family":"Sutrisno","given":"Adi","non-dropping-particle":"","parse-names":false,"suffix":""}],"container-title":"Lexicon","id":"ITEM-1","issue":"1","issued":{"date-parts":[["2022"]]},"page":"24-32","title":"The Translation of Idioms from English into Indonesian: The Case of JK Rowling’s Harry Potter and the Half-Blood Prince","type":"article-journal","volume":"8"},"uris":["http://www.mendeley.com/documents/?uuid=b513e154-7e28-47ee-aa3e-9ca3f7f622af"]}],"mendeley":{"formattedCitation":"(Krisandini &amp; Sutrisno, 2022)","manualFormatting":"(2022)","plainTextFormattedCitation":"(Krisandini &amp; Sutrisno, 2022)","previouslyFormattedCitation":"(Krisandini &amp; Sutrisno, 2022)"},"properties":{"noteIndex":0},"schema":"https://github.com/citation-style-language/schema/raw/master/csl-citation.json"}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(2022)</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study of idioms in Harry Potter also showed that translators must use strategies such as paraphrasing, idiom equivalence, or cultural substitution to preserve the semantic effect of the source text. More recent international research, such as the article Recreating Relevance: Translated Arabic Idioms Through a Relevance Theory Lens, </w:t>
      </w:r>
      <w:r w:rsidRPr="00337926">
        <w:rPr>
          <w:rFonts w:asciiTheme="majorBidi" w:hAnsiTheme="majorBidi" w:cstheme="majorBidi"/>
          <w:color w:val="000000"/>
          <w:sz w:val="24"/>
          <w:szCs w:val="24"/>
          <w:lang w:val="id-ID" w:eastAsia="id-ID"/>
        </w:rPr>
        <w:fldChar w:fldCharType="begin" w:fldLock="1"/>
      </w:r>
      <w:r w:rsidRPr="00337926">
        <w:rPr>
          <w:rFonts w:asciiTheme="majorBidi" w:hAnsiTheme="majorBidi" w:cstheme="majorBidi"/>
          <w:color w:val="000000"/>
          <w:sz w:val="24"/>
          <w:szCs w:val="24"/>
          <w:lang w:val="id-ID" w:eastAsia="id-ID"/>
        </w:rPr>
        <w:instrText>ADDIN CSL_CITATION {"citationItems":[{"id":"ITEM-1","itemData":{"DOI":"10.1057/s41599-024-02961-2","ISSN":"2662-9992","author":[{"dropping-particle":"","family":"Lahiani","given":"Raja","non-dropping-particle":"","parse-names":false,"suffix":""}],"container-title":"Humanities and Social Sciences Communications","id":"ITEM-1","issue":"1","issued":{"date-parts":[["2024"]]},"publisher":"Palgrave Macmillan","title":"Recreating relevance: translated Arabic idioms through a relevance theory lens","type":"article-journal","volume":"11"},"uris":["http://www.mendeley.com/documents/?uuid=31c63583-63f8-4603-9be1-a062d4ae294e"]}],"mendeley":{"formattedCitation":"(Lahiani, 2024)","plainTextFormattedCitation":"(Lahiani, 2024)","previouslyFormattedCitation":"(Lahiani, 2024)"},"properties":{"noteIndex":0},"schema":"https://github.com/citation-style-language/schema/raw/master/csl-citation.json"}</w:instrText>
      </w:r>
      <w:r w:rsidRPr="00337926">
        <w:rPr>
          <w:rFonts w:asciiTheme="majorBidi" w:hAnsiTheme="majorBidi" w:cstheme="majorBidi"/>
          <w:color w:val="000000"/>
          <w:sz w:val="24"/>
          <w:szCs w:val="24"/>
          <w:lang w:val="id-ID" w:eastAsia="id-ID"/>
        </w:rPr>
        <w:fldChar w:fldCharType="separate"/>
      </w:r>
      <w:r w:rsidRPr="00337926">
        <w:rPr>
          <w:rFonts w:asciiTheme="majorBidi" w:hAnsiTheme="majorBidi" w:cstheme="majorBidi"/>
          <w:noProof/>
          <w:color w:val="000000"/>
          <w:sz w:val="24"/>
          <w:szCs w:val="24"/>
          <w:lang w:val="id-ID" w:eastAsia="id-ID"/>
        </w:rPr>
        <w:t>(Lahiani, 2024)</w:t>
      </w:r>
      <w:r w:rsidRPr="00337926">
        <w:rPr>
          <w:rFonts w:asciiTheme="majorBidi" w:hAnsiTheme="majorBidi" w:cstheme="majorBidi"/>
          <w:color w:val="000000"/>
          <w:sz w:val="24"/>
          <w:szCs w:val="24"/>
          <w:lang w:eastAsia="id-ID"/>
        </w:rPr>
        <w:fldChar w:fldCharType="end"/>
      </w:r>
      <w:r w:rsidRPr="00337926">
        <w:rPr>
          <w:rFonts w:asciiTheme="majorBidi" w:hAnsiTheme="majorBidi" w:cstheme="majorBidi"/>
          <w:color w:val="000000"/>
          <w:sz w:val="24"/>
          <w:szCs w:val="24"/>
          <w:lang w:val="id-ID" w:eastAsia="id-ID"/>
        </w:rPr>
        <w:t xml:space="preserve"> highlights how Arabic idioms are translated through the principle of relevance, emphasising the importance of cognitive context in interpreting cross-linguistic idioms. However, these studies are still limited to two languages at a time, leaving room for new research in the form of a contrastive analysis of Arabic–English–French–Indonesian idioms in an integrated semantic study.</w:t>
      </w:r>
    </w:p>
    <w:p w14:paraId="302237EC" w14:textId="6C995482" w:rsidR="00F670C5" w:rsidRPr="00337926" w:rsidRDefault="00337926" w:rsidP="00337926">
      <w:pPr>
        <w:spacing w:after="0" w:line="240" w:lineRule="auto"/>
        <w:ind w:firstLine="284"/>
        <w:jc w:val="both"/>
        <w:rPr>
          <w:rFonts w:asciiTheme="majorBidi" w:hAnsiTheme="majorBidi" w:cstheme="majorBidi"/>
          <w:sz w:val="24"/>
          <w:szCs w:val="24"/>
          <w:lang w:val="en-ID" w:eastAsia="id-ID"/>
        </w:rPr>
      </w:pPr>
      <w:r w:rsidRPr="00337926">
        <w:rPr>
          <w:rFonts w:asciiTheme="majorBidi" w:hAnsiTheme="majorBidi" w:cstheme="majorBidi"/>
          <w:color w:val="000000"/>
          <w:sz w:val="24"/>
          <w:szCs w:val="24"/>
          <w:lang w:val="id-ID" w:eastAsia="id-ID"/>
        </w:rPr>
        <w:lastRenderedPageBreak/>
        <w:t>Based on the urgency and gaps in research, this study entitled ‘Contrastive Analysis of Arabic–English–French–Indonesian Idioms: A Semantic Study’ aims to compare idioms in four languages and analyse their differences and similarities. This research is expected to broaden the academic discourse on cross-linguistic idioms, increase the cultural sensitivity of learners and translators, and provide a theoretical basis for further research.</w:t>
      </w:r>
    </w:p>
    <w:p w14:paraId="2BC8234A" w14:textId="77777777" w:rsidR="00B53E40" w:rsidRPr="00337926" w:rsidRDefault="00B53E40" w:rsidP="00FC29E3">
      <w:pPr>
        <w:autoSpaceDE w:val="0"/>
        <w:autoSpaceDN w:val="0"/>
        <w:adjustRightInd w:val="0"/>
        <w:spacing w:after="0" w:line="240" w:lineRule="auto"/>
        <w:rPr>
          <w:rFonts w:asciiTheme="majorBidi" w:hAnsiTheme="majorBidi" w:cstheme="majorBidi"/>
          <w:b/>
          <w:bCs/>
          <w:color w:val="FF0000"/>
          <w:sz w:val="24"/>
          <w:szCs w:val="24"/>
          <w:lang w:val="en-ID"/>
        </w:rPr>
      </w:pPr>
    </w:p>
    <w:p w14:paraId="37FE9D75" w14:textId="2CDEE6D9" w:rsidR="007B4A77" w:rsidRPr="00FC29E3" w:rsidRDefault="00337926" w:rsidP="00FC29E3">
      <w:pPr>
        <w:autoSpaceDE w:val="0"/>
        <w:autoSpaceDN w:val="0"/>
        <w:adjustRightInd w:val="0"/>
        <w:spacing w:after="0" w:line="240" w:lineRule="auto"/>
        <w:rPr>
          <w:rFonts w:asciiTheme="majorBidi" w:hAnsiTheme="majorBidi" w:cstheme="majorBidi"/>
          <w:b/>
          <w:bCs/>
          <w:sz w:val="24"/>
          <w:szCs w:val="24"/>
          <w:lang w:val="id-ID"/>
        </w:rPr>
      </w:pPr>
      <w:r>
        <w:rPr>
          <w:rFonts w:ascii="Cambria" w:eastAsia="Cambria" w:hAnsi="Cambria" w:cs="Cambria"/>
          <w:b/>
          <w:sz w:val="24"/>
          <w:szCs w:val="24"/>
        </w:rPr>
        <w:t>Method</w:t>
      </w:r>
    </w:p>
    <w:p w14:paraId="0AF2271C" w14:textId="63FF8EEF" w:rsidR="005819F3" w:rsidRPr="00FC29E3" w:rsidRDefault="00337926" w:rsidP="00337926">
      <w:pPr>
        <w:autoSpaceDE w:val="0"/>
        <w:autoSpaceDN w:val="0"/>
        <w:adjustRightInd w:val="0"/>
        <w:spacing w:after="0" w:line="240" w:lineRule="auto"/>
        <w:ind w:firstLine="284"/>
        <w:jc w:val="both"/>
        <w:rPr>
          <w:rFonts w:asciiTheme="majorBidi" w:hAnsiTheme="majorBidi" w:cstheme="majorBidi"/>
          <w:sz w:val="24"/>
          <w:szCs w:val="24"/>
          <w:lang w:val="id-ID"/>
        </w:rPr>
      </w:pPr>
      <w:r w:rsidRPr="00337926">
        <w:rPr>
          <w:rFonts w:asciiTheme="majorBidi" w:hAnsiTheme="majorBidi" w:cstheme="majorBidi"/>
          <w:sz w:val="24"/>
          <w:szCs w:val="24"/>
          <w:lang w:val="id-ID"/>
        </w:rPr>
        <w:t xml:space="preserve">The research methodology used in this study is descriptive qualitative with a library research approach. </w:t>
      </w:r>
      <w:r w:rsidRPr="00337926">
        <w:rPr>
          <w:rFonts w:asciiTheme="majorBidi" w:hAnsiTheme="majorBidi" w:cstheme="majorBidi"/>
          <w:sz w:val="24"/>
          <w:szCs w:val="24"/>
          <w:lang w:val="id-ID"/>
        </w:rPr>
        <w:fldChar w:fldCharType="begin" w:fldLock="1"/>
      </w:r>
      <w:r w:rsidRPr="00337926">
        <w:rPr>
          <w:rFonts w:asciiTheme="majorBidi" w:hAnsiTheme="majorBidi" w:cstheme="majorBidi"/>
          <w:sz w:val="24"/>
          <w:szCs w:val="24"/>
          <w:lang w:val="id-ID"/>
        </w:rPr>
        <w:instrText>ADDIN CSL_CITATION {"citationItems":[{"id":"ITEM-1","itemData":{"author":[{"dropping-particle":"","family":"Sugiono","given":"","non-dropping-particle":"","parse-names":false,"suffix":""}],"id":"ITEM-1","issued":{"date-parts":[["2017"]]},"number-of-pages":"85","publisher":"CV. Alfabeta","publisher-place":"Bandung","title":"Metode Penelitian Kuantitatif, Kualitatif dan R&amp;D","type":"book"},"uris":["http://www.mendeley.com/documents/?uuid=c4111946-b31b-4db4-9e30-9a1ba71bc203"]}],"mendeley":{"formattedCitation":"(Sugiono, 2017)","plainTextFormattedCitation":"(Sugiono, 2017)","previouslyFormattedCitation":"(Sugiono, 2017)"},"properties":{"noteIndex":0},"schema":"https://github.com/citation-style-language/schema/raw/master/csl-citation.json"}</w:instrText>
      </w:r>
      <w:r w:rsidRPr="00337926">
        <w:rPr>
          <w:rFonts w:asciiTheme="majorBidi" w:hAnsiTheme="majorBidi" w:cstheme="majorBidi"/>
          <w:sz w:val="24"/>
          <w:szCs w:val="24"/>
          <w:lang w:val="id-ID"/>
        </w:rPr>
        <w:fldChar w:fldCharType="separate"/>
      </w:r>
      <w:r w:rsidRPr="00337926">
        <w:rPr>
          <w:rFonts w:asciiTheme="majorBidi" w:hAnsiTheme="majorBidi" w:cstheme="majorBidi"/>
          <w:noProof/>
          <w:sz w:val="24"/>
          <w:szCs w:val="24"/>
          <w:lang w:val="id-ID"/>
        </w:rPr>
        <w:t>(Sugiono, 2017)</w:t>
      </w:r>
      <w:r w:rsidRPr="00337926">
        <w:rPr>
          <w:rFonts w:asciiTheme="majorBidi" w:hAnsiTheme="majorBidi" w:cstheme="majorBidi"/>
          <w:sz w:val="24"/>
          <w:szCs w:val="24"/>
          <w:lang w:val="id-ID"/>
        </w:rPr>
        <w:fldChar w:fldCharType="end"/>
      </w:r>
      <w:r w:rsidRPr="00337926">
        <w:rPr>
          <w:rFonts w:asciiTheme="majorBidi" w:hAnsiTheme="majorBidi" w:cstheme="majorBidi"/>
          <w:sz w:val="24"/>
          <w:szCs w:val="24"/>
          <w:lang w:val="id-ID"/>
        </w:rPr>
        <w:t xml:space="preserve"> The focus of this research is the analysis of idioms found in the compilation book titled Al-ʿIbārāt Al-Iṣṭilāḥiyyah Fī Al-Lughati Al-ʿArabiyyah Al-Mu’āṣirah Tsalāsti Lughāt: ʿArabī-Injlīzī-Faransī, authored by Mamdouh Khassara et al, as the primary data source. This book was used as the main corpus because it explicitly presents a list of cross-language idioms whose meanings can be traced. Data collection was carried out through several systematic steps. First, the researcher applied the observation method by reading all idiom entries in the book thoroughly to understand the structure of the idioms and the context of their use. Second, all Arabic, English, and French idioms were identified and recorded based on their linguistic form and potential idiomatic meaning. Third, the researcher searched for and determined the idiomatic equivalents in Indonesian. Fourth, the data was classified based on semantic categories, including literal meaning, idiomatic meaning, and cross-language equivalence relationships. The results of the analysis were presented descriptively, displaying a mapping of Arabic–English–French–Indonesian idioms and explanations of their idiomatic meanings.</w:t>
      </w:r>
    </w:p>
    <w:p w14:paraId="06D31E70" w14:textId="77777777" w:rsidR="00F670C5" w:rsidRPr="00FC29E3" w:rsidRDefault="00F670C5" w:rsidP="00FC29E3">
      <w:pPr>
        <w:autoSpaceDE w:val="0"/>
        <w:autoSpaceDN w:val="0"/>
        <w:adjustRightInd w:val="0"/>
        <w:spacing w:after="0" w:line="240" w:lineRule="auto"/>
        <w:jc w:val="both"/>
        <w:rPr>
          <w:rFonts w:asciiTheme="majorBidi" w:hAnsiTheme="majorBidi" w:cstheme="majorBidi"/>
          <w:sz w:val="24"/>
          <w:szCs w:val="24"/>
          <w:lang w:val="id-ID"/>
        </w:rPr>
      </w:pPr>
    </w:p>
    <w:p w14:paraId="6C436A2E" w14:textId="606296CD" w:rsidR="00C81A6C" w:rsidRPr="00FC29E3" w:rsidRDefault="00087735" w:rsidP="00087735">
      <w:pPr>
        <w:autoSpaceDE w:val="0"/>
        <w:autoSpaceDN w:val="0"/>
        <w:adjustRightInd w:val="0"/>
        <w:spacing w:after="0" w:line="240" w:lineRule="auto"/>
        <w:jc w:val="both"/>
        <w:rPr>
          <w:rFonts w:asciiTheme="majorBidi" w:hAnsiTheme="majorBidi" w:cstheme="majorBidi"/>
          <w:sz w:val="24"/>
          <w:szCs w:val="24"/>
          <w:lang w:val="id-ID"/>
        </w:rPr>
      </w:pPr>
      <w:r w:rsidRPr="00087735">
        <w:rPr>
          <w:rFonts w:asciiTheme="majorBidi" w:hAnsiTheme="majorBidi" w:cstheme="majorBidi"/>
          <w:b/>
          <w:bCs/>
          <w:sz w:val="24"/>
          <w:szCs w:val="24"/>
          <w:lang w:val="id-ID"/>
        </w:rPr>
        <w:t>Results and Discussion</w:t>
      </w:r>
    </w:p>
    <w:p w14:paraId="56834044" w14:textId="317A7E52"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Linguistically, the word 'ibarah  (</w:t>
      </w:r>
      <w:r w:rsidRPr="00087735">
        <w:rPr>
          <w:rFonts w:asciiTheme="majorBidi" w:hAnsiTheme="majorBidi" w:cstheme="majorBidi"/>
          <w:color w:val="000000"/>
          <w:sz w:val="24"/>
          <w:szCs w:val="24"/>
          <w:rtl/>
          <w:lang w:val="id-ID" w:eastAsia="id-ID"/>
        </w:rPr>
        <w:t>العبارة</w:t>
      </w:r>
      <w:r w:rsidRPr="00087735">
        <w:rPr>
          <w:rFonts w:asciiTheme="majorBidi" w:hAnsiTheme="majorBidi" w:cstheme="majorBidi"/>
          <w:color w:val="000000"/>
          <w:sz w:val="24"/>
          <w:szCs w:val="24"/>
          <w:lang w:val="id-ID" w:eastAsia="id-ID"/>
        </w:rPr>
        <w:t>) means an expression or statement used to convey a specific meaning. Meanwhile, Istilahiyah (</w:t>
      </w:r>
      <w:r w:rsidRPr="00087735">
        <w:rPr>
          <w:rFonts w:asciiTheme="majorBidi" w:hAnsiTheme="majorBidi" w:cstheme="majorBidi"/>
          <w:color w:val="000000"/>
          <w:sz w:val="24"/>
          <w:szCs w:val="24"/>
          <w:rtl/>
          <w:lang w:val="id-ID" w:eastAsia="id-ID"/>
        </w:rPr>
        <w:t>اصطلاحية</w:t>
      </w:r>
      <w:r w:rsidRPr="00087735">
        <w:rPr>
          <w:rFonts w:asciiTheme="majorBidi" w:hAnsiTheme="majorBidi" w:cstheme="majorBidi"/>
          <w:color w:val="000000"/>
          <w:sz w:val="24"/>
          <w:szCs w:val="24"/>
          <w:lang w:val="id-ID" w:eastAsia="id-ID"/>
        </w:rPr>
        <w:t xml:space="preserve">) comes from the word ṣulḥ, which means ‘agreement’. Therefore, in terms of terminology, Ibarah Al Istilahiyyah can be interpreted as an expression that has a specific meaning based on an agreement among speakers of the language, not only based on its literal meaning. </w:t>
      </w:r>
      <w:r w:rsidRPr="00087735">
        <w:rPr>
          <w:rFonts w:asciiTheme="majorBidi" w:hAnsiTheme="majorBidi" w:cstheme="majorBidi"/>
          <w:color w:val="000000"/>
          <w:sz w:val="24"/>
          <w:szCs w:val="24"/>
          <w:lang w:val="id-ID" w:eastAsia="id-ID"/>
        </w:rPr>
        <w:fldChar w:fldCharType="begin" w:fldLock="1"/>
      </w:r>
      <w:r w:rsidRPr="00087735">
        <w:rPr>
          <w:rFonts w:asciiTheme="majorBidi" w:hAnsiTheme="majorBidi" w:cstheme="majorBidi"/>
          <w:color w:val="000000"/>
          <w:sz w:val="24"/>
          <w:szCs w:val="24"/>
          <w:lang w:val="id-ID" w:eastAsia="id-ID"/>
        </w:rPr>
        <w:instrText>ADDIN CSL_CITATION {"citationItems":[{"id":"ITEM-1","itemData":{"author":[{"dropping-particle":"","family":"Mandzur","given":"Ibnu","non-dropping-particle":"","parse-names":false,"suffix":""}],"id":"ITEM-1","issued":{"date-parts":[["1119"]]},"publisher":"Darr al-Maarif","publisher-place":"Mesir","title":"Lisan al-Arab","type":"book"},"locator":"42","uris":["http://www.mendeley.com/documents/?uuid=5ecffd51-3250-4495-bcbc-950f8798af1b"]}],"mendeley":{"formattedCitation":"(Mandzur, 1119, p. 42)","plainTextFormattedCitation":"(Mandzur, 1119, p. 42)","previouslyFormattedCitation":"(Mandzur, 1119, p. 42)"},"properties":{"noteIndex":0},"schema":"https://github.com/citation-style-language/schema/raw/master/csl-citation.json"}</w:instrText>
      </w:r>
      <w:r w:rsidRPr="00087735">
        <w:rPr>
          <w:rFonts w:asciiTheme="majorBidi" w:hAnsiTheme="majorBidi" w:cstheme="majorBidi"/>
          <w:color w:val="000000"/>
          <w:sz w:val="24"/>
          <w:szCs w:val="24"/>
          <w:lang w:val="id-ID" w:eastAsia="id-ID"/>
        </w:rPr>
        <w:fldChar w:fldCharType="separate"/>
      </w:r>
      <w:r w:rsidRPr="00087735">
        <w:rPr>
          <w:rFonts w:asciiTheme="majorBidi" w:hAnsiTheme="majorBidi" w:cstheme="majorBidi"/>
          <w:noProof/>
          <w:color w:val="000000"/>
          <w:sz w:val="24"/>
          <w:szCs w:val="24"/>
          <w:lang w:val="id-ID" w:eastAsia="id-ID"/>
        </w:rPr>
        <w:t>(Mandzur, 1119, p. 42)</w:t>
      </w:r>
      <w:r w:rsidRPr="00087735">
        <w:rPr>
          <w:rFonts w:asciiTheme="majorBidi" w:hAnsiTheme="majorBidi" w:cstheme="majorBidi"/>
          <w:color w:val="000000"/>
          <w:sz w:val="24"/>
          <w:szCs w:val="24"/>
          <w:lang w:val="id-ID" w:eastAsia="id-ID"/>
        </w:rPr>
        <w:fldChar w:fldCharType="end"/>
      </w:r>
      <w:r w:rsidRPr="00087735">
        <w:rPr>
          <w:rFonts w:asciiTheme="majorBidi" w:hAnsiTheme="majorBidi" w:cstheme="majorBidi"/>
          <w:color w:val="000000"/>
          <w:sz w:val="24"/>
          <w:szCs w:val="24"/>
          <w:lang w:val="id-ID" w:eastAsia="id-ID"/>
        </w:rPr>
        <w:t xml:space="preserve"> The position of nahwu and sharaf in Arabic language learning is very important because errors in pronunciation or changes in harakat can significantly alter the meaning of a phrase or sentence.</w:t>
      </w:r>
      <w:r w:rsidRPr="00087735">
        <w:rPr>
          <w:rFonts w:asciiTheme="majorBidi" w:hAnsiTheme="majorBidi" w:cstheme="majorBidi"/>
          <w:color w:val="000000"/>
          <w:sz w:val="24"/>
          <w:szCs w:val="24"/>
          <w:lang w:val="id-ID" w:eastAsia="id-ID"/>
        </w:rPr>
        <w:fldChar w:fldCharType="begin" w:fldLock="1"/>
      </w:r>
      <w:r>
        <w:rPr>
          <w:rFonts w:asciiTheme="majorBidi" w:hAnsiTheme="majorBidi" w:cstheme="majorBidi"/>
          <w:color w:val="000000"/>
          <w:sz w:val="24"/>
          <w:szCs w:val="24"/>
          <w:lang w:val="id-ID" w:eastAsia="id-ID"/>
        </w:rPr>
        <w:instrText>ADDIN CSL_CITATION {"citationItems":[{"id":"ITEM-1","itemData":{"author":[{"dropping-particle":"","family":"Fitryani","given":"Laily","non-dropping-particle":"","parse-names":false,"suffix":""},{"dropping-particle":"","family":"Maulana","given":"Universitas","non-dropping-particle":"","parse-names":false,"suffix":""},{"dropping-particle":"","family":"Ibrahim","given":"Malik","non-dropping-particle":"","parse-names":false,"suffix":""}],"id":"ITEM-1","issue":"1","issued":{"date-parts":[["2024"]]},"page":"79-90","title":"Analysis of Nahwu Errors in Learning Arabic Text Reading Skills","type":"article-journal","volume":"16"},"uris":["http://www.mendeley.com/documents/?uuid=4f53310f-f542-443f-97df-adaffd872844"]}],"mendeley":{"formattedCitation":"(Fitryani et al., 2024)","plainTextFormattedCitation":"(Fitryani et al., 2024)","previouslyFormattedCitation":"(Fitryani et al., 2024)"},"properties":{"noteIndex":0},"schema":"https://github.com/citation-style-language/schema/raw/master/csl-citation.json"}</w:instrText>
      </w:r>
      <w:r w:rsidRPr="00087735">
        <w:rPr>
          <w:rFonts w:asciiTheme="majorBidi" w:hAnsiTheme="majorBidi" w:cstheme="majorBidi"/>
          <w:color w:val="000000"/>
          <w:sz w:val="24"/>
          <w:szCs w:val="24"/>
          <w:lang w:val="id-ID" w:eastAsia="id-ID"/>
        </w:rPr>
        <w:fldChar w:fldCharType="separate"/>
      </w:r>
      <w:r w:rsidRPr="00087735">
        <w:rPr>
          <w:rFonts w:asciiTheme="majorBidi" w:hAnsiTheme="majorBidi" w:cstheme="majorBidi"/>
          <w:noProof/>
          <w:color w:val="000000"/>
          <w:sz w:val="24"/>
          <w:szCs w:val="24"/>
          <w:lang w:val="id-ID" w:eastAsia="id-ID"/>
        </w:rPr>
        <w:t>(Fitryani et al., 2024)</w:t>
      </w:r>
      <w:r w:rsidRPr="00087735">
        <w:rPr>
          <w:rFonts w:asciiTheme="majorBidi" w:hAnsiTheme="majorBidi" w:cstheme="majorBidi"/>
          <w:color w:val="000000"/>
          <w:sz w:val="24"/>
          <w:szCs w:val="24"/>
          <w:lang w:val="id-ID" w:eastAsia="id-ID"/>
        </w:rPr>
        <w:fldChar w:fldCharType="end"/>
      </w:r>
      <w:r w:rsidRPr="00087735">
        <w:rPr>
          <w:rFonts w:asciiTheme="majorBidi" w:hAnsiTheme="majorBidi" w:cstheme="majorBidi"/>
          <w:color w:val="000000"/>
          <w:sz w:val="24"/>
          <w:szCs w:val="24"/>
          <w:lang w:val="id-ID" w:eastAsia="id-ID"/>
        </w:rPr>
        <w:t xml:space="preserve"> This is in line with the findings of Suja et al. </w:t>
      </w:r>
      <w:r w:rsidRPr="00087735">
        <w:rPr>
          <w:rFonts w:asciiTheme="majorBidi" w:hAnsiTheme="majorBidi" w:cstheme="majorBidi"/>
          <w:color w:val="000000"/>
          <w:sz w:val="24"/>
          <w:szCs w:val="24"/>
          <w:lang w:val="id-ID" w:eastAsia="id-ID"/>
        </w:rPr>
        <w:fldChar w:fldCharType="begin" w:fldLock="1"/>
      </w:r>
      <w:r w:rsidRPr="00087735">
        <w:rPr>
          <w:rFonts w:asciiTheme="majorBidi" w:hAnsiTheme="majorBidi" w:cstheme="majorBidi"/>
          <w:color w:val="000000"/>
          <w:sz w:val="24"/>
          <w:szCs w:val="24"/>
          <w:lang w:val="id-ID" w:eastAsia="id-ID"/>
        </w:rPr>
        <w:instrText>ADDIN CSL_CITATION {"citationItems":[{"id":"ITEM-1","itemData":{"author":[{"dropping-particle":"","family":"Suja","given":"Aidillah","non-dropping-particle":"","parse-names":false,"suffix":""},{"dropping-particle":"","family":"Sofian","given":"Ganjar Yusup","non-dropping-particle":"","parse-names":false,"suffix":""},{"dropping-particle":"","family":"Bahruddin","given":"Uril","non-dropping-particle":"","parse-names":false,"suffix":""},{"dropping-particle":"","family":"Islam","given":"Universitas","non-dropping-particle":"","parse-names":false,"suffix":""},{"dropping-particle":"","family":"Maulana","given":"Negeri","non-dropping-particle":"","parse-names":false,"suffix":""},{"dropping-particle":"","family":"Ibrahim","given":"Malik","non-dropping-particle":"","parse-names":false,"suffix":""},{"dropping-particle":"","family":"Fadhel","given":"Ahmad","non-dropping-particle":"","parse-names":false,"suffix":""},{"dropping-particle":"","family":"Hidayat","given":"Syakir","non-dropping-particle":"","parse-names":false,"suffix":""},{"dropping-particle":"","family":"Ridho","given":"Ali","non-dropping-particle":"","parse-names":false,"suffix":""}],"id":"ITEM-1","issue":"1","issued":{"date-parts":[["2025"]]},"page":"1-16","title":"The Role of Morphology and Syntax on Arabic Language (A Literature Review)","type":"article-journal","volume":"17"},"uris":["http://www.mendeley.com/documents/?uuid=fbc4ebfe-748a-4520-a1b8-0b0248cd6f7f"]}],"mendeley":{"formattedCitation":"(Suja et al., 2025)","manualFormatting":"(2025)","plainTextFormattedCitation":"(Suja et al., 2025)","previouslyFormattedCitation":"(Suja et al., 2025)"},"properties":{"noteIndex":0},"schema":"https://github.com/citation-style-language/schema/raw/master/csl-citation.json"}</w:instrText>
      </w:r>
      <w:r w:rsidRPr="00087735">
        <w:rPr>
          <w:rFonts w:asciiTheme="majorBidi" w:hAnsiTheme="majorBidi" w:cstheme="majorBidi"/>
          <w:color w:val="000000"/>
          <w:sz w:val="24"/>
          <w:szCs w:val="24"/>
          <w:lang w:val="id-ID" w:eastAsia="id-ID"/>
        </w:rPr>
        <w:fldChar w:fldCharType="separate"/>
      </w:r>
      <w:r w:rsidRPr="00087735">
        <w:rPr>
          <w:rFonts w:asciiTheme="majorBidi" w:hAnsiTheme="majorBidi" w:cstheme="majorBidi"/>
          <w:noProof/>
          <w:color w:val="000000"/>
          <w:sz w:val="24"/>
          <w:szCs w:val="24"/>
          <w:lang w:val="id-ID" w:eastAsia="id-ID"/>
        </w:rPr>
        <w:t>(2025)</w:t>
      </w:r>
      <w:r w:rsidRPr="00087735">
        <w:rPr>
          <w:rFonts w:asciiTheme="majorBidi" w:hAnsiTheme="majorBidi" w:cstheme="majorBidi"/>
          <w:color w:val="000000"/>
          <w:sz w:val="24"/>
          <w:szCs w:val="24"/>
          <w:lang w:val="id-ID" w:eastAsia="id-ID"/>
        </w:rPr>
        <w:fldChar w:fldCharType="end"/>
      </w:r>
      <w:r w:rsidRPr="00087735">
        <w:rPr>
          <w:rFonts w:asciiTheme="majorBidi" w:hAnsiTheme="majorBidi" w:cstheme="majorBidi"/>
          <w:color w:val="000000"/>
          <w:sz w:val="24"/>
          <w:szCs w:val="24"/>
          <w:lang w:val="id-ID" w:eastAsia="id-ID"/>
        </w:rPr>
        <w:t xml:space="preserve">, who stated that morphology and syntax play a major role in determining meaning, as both regulate word structure and i'rab at the end of words. </w:t>
      </w:r>
      <w:r w:rsidRPr="00087735">
        <w:rPr>
          <w:rFonts w:asciiTheme="majorBidi" w:hAnsiTheme="majorBidi" w:cstheme="majorBidi"/>
          <w:color w:val="000000"/>
          <w:sz w:val="24"/>
          <w:szCs w:val="24"/>
          <w:lang w:val="id-ID" w:eastAsia="id-ID"/>
        </w:rPr>
        <w:fldChar w:fldCharType="begin" w:fldLock="1"/>
      </w:r>
      <w:r w:rsidRPr="00087735">
        <w:rPr>
          <w:rFonts w:asciiTheme="majorBidi" w:hAnsiTheme="majorBidi" w:cstheme="majorBidi"/>
          <w:color w:val="000000"/>
          <w:sz w:val="24"/>
          <w:szCs w:val="24"/>
          <w:lang w:val="id-ID" w:eastAsia="id-ID"/>
        </w:rPr>
        <w:instrText>ADDIN CSL_CITATION {"citationItems":[{"id":"ITEM-1","itemData":{"author":[{"dropping-particle":"","family":"Suja","given":"Aidillah","non-dropping-particle":"","parse-names":false,"suffix":""},{"dropping-particle":"","family":"Sofian","given":"Ganjar Yusup","non-dropping-particle":"","parse-names":false,"suffix":""},{"dropping-particle":"","family":"Bahruddin","given":"Uril","non-dropping-particle":"","parse-names":false,"suffix":""},{"dropping-particle":"","family":"Islam","given":"Universitas","non-dropping-particle":"","parse-names":false,"suffix":""},{"dropping-particle":"","family":"Maulana","given":"Negeri","non-dropping-particle":"","parse-names":false,"suffix":""},{"dropping-particle":"","family":"Ibrahim","given":"Malik","non-dropping-particle":"","parse-names":false,"suffix":""},{"dropping-particle":"","family":"Fadhel","given":"Ahmad","non-dropping-particle":"","parse-names":false,"suffix":""},{"dropping-particle":"","family":"Hidayat","given":"Syakir","non-dropping-particle":"","parse-names":false,"suffix":""},{"dropping-particle":"","family":"Ridho","given":"Ali","non-dropping-particle":"","parse-names":false,"suffix":""}],"id":"ITEM-1","issue":"1","issued":{"date-parts":[["2025"]]},"page":"1-16","title":"The Role of Morphology and Syntax on Arabic Language (A Literature Review)","type":"article-journal","volume":"17"},"uris":["http://www.mendeley.com/documents/?uuid=fbc4ebfe-748a-4520-a1b8-0b0248cd6f7f"]}],"mendeley":{"formattedCitation":"(Suja et al., 2025)","plainTextFormattedCitation":"(Suja et al., 2025)","previouslyFormattedCitation":"(Suja et al., 2025)"},"properties":{"noteIndex":0},"schema":"https://github.com/citation-style-language/schema/raw/master/csl-citation.json"}</w:instrText>
      </w:r>
      <w:r w:rsidRPr="00087735">
        <w:rPr>
          <w:rFonts w:asciiTheme="majorBidi" w:hAnsiTheme="majorBidi" w:cstheme="majorBidi"/>
          <w:color w:val="000000"/>
          <w:sz w:val="24"/>
          <w:szCs w:val="24"/>
          <w:lang w:val="id-ID" w:eastAsia="id-ID"/>
        </w:rPr>
        <w:fldChar w:fldCharType="separate"/>
      </w:r>
      <w:r w:rsidRPr="00087735">
        <w:rPr>
          <w:rFonts w:asciiTheme="majorBidi" w:hAnsiTheme="majorBidi" w:cstheme="majorBidi"/>
          <w:noProof/>
          <w:color w:val="000000"/>
          <w:sz w:val="24"/>
          <w:szCs w:val="24"/>
          <w:lang w:val="id-ID" w:eastAsia="id-ID"/>
        </w:rPr>
        <w:t>(Suja et al., 2025)</w:t>
      </w:r>
      <w:r w:rsidRPr="00087735">
        <w:rPr>
          <w:rFonts w:asciiTheme="majorBidi" w:hAnsiTheme="majorBidi" w:cstheme="majorBidi"/>
          <w:color w:val="000000"/>
          <w:sz w:val="24"/>
          <w:szCs w:val="24"/>
          <w:lang w:val="id-ID" w:eastAsia="id-ID"/>
        </w:rPr>
        <w:fldChar w:fldCharType="end"/>
      </w:r>
      <w:r w:rsidRPr="00087735">
        <w:rPr>
          <w:rFonts w:asciiTheme="majorBidi" w:hAnsiTheme="majorBidi" w:cstheme="majorBidi"/>
          <w:color w:val="000000"/>
          <w:sz w:val="24"/>
          <w:szCs w:val="24"/>
          <w:lang w:val="id-ID" w:eastAsia="id-ID"/>
        </w:rPr>
        <w:t xml:space="preserve"> Attention to grammatical structure is fundamental to understanding the precise meaning of a linguistic construction. In the context of dalalah (the science of meaning), ibarah al Istilahiyyah refers to expressions whose meaning has shifted from the original (literal) meaning to a conventional or idiomatic meaning, but which are commonly understood in the language community. </w:t>
      </w:r>
      <w:r w:rsidRPr="00087735">
        <w:rPr>
          <w:rFonts w:asciiTheme="majorBidi" w:hAnsiTheme="majorBidi" w:cstheme="majorBidi"/>
          <w:color w:val="000000"/>
          <w:sz w:val="24"/>
          <w:szCs w:val="24"/>
          <w:lang w:val="id-ID" w:eastAsia="id-ID"/>
        </w:rPr>
        <w:fldChar w:fldCharType="begin" w:fldLock="1"/>
      </w:r>
      <w:r>
        <w:rPr>
          <w:rFonts w:asciiTheme="majorBidi" w:hAnsiTheme="majorBidi" w:cstheme="majorBidi"/>
          <w:color w:val="000000"/>
          <w:sz w:val="24"/>
          <w:szCs w:val="24"/>
          <w:lang w:val="id-ID" w:eastAsia="id-ID"/>
        </w:rPr>
        <w:instrText>ADDIN CSL_CITATION {"citationItems":[{"id":"ITEM-1","itemData":{"DOI":"10.24252/ijis.v2i2.35012","ISSN":"2809-9052","abstract":"This research is related to the concept or method of the scholars’ mutakallimin through the study of manṭūq (expressed) and mafhūm (implied) by which the technique of interpreting and to interpret the existing of divine revelation texts with a study called dilālah al-lafaẓ and its implications on ikhtilāf fiqh. Understanding of a text of the Koran and the hadiths of the Prophet. sometimes based on the sound of words that are manq both explicitly and containing other possible meanings, and sometimes based on understanding the meaning of mafhūm. This type of research refers to qualitative research in the form of library research. So that this research has benefits and in-depth goals which will later provide a concept of understanding related to the concept of mutakallimīn in interpreting the existing arguments and what their implications are for masāilkhilāfiyah. The results show that the concept of mutakallimn in interpreting the propositions in the text is based on a logical, theoretical approach that is strengthened by evidence and among them are scholars of the Shafi'i, Maliki, Hanbali schools and kalam scholars from Mu'tazilah and Asya'irah.","author":[{"dropping-particle":"","family":"Nurdin","given":"Muhammad Saddam","non-dropping-particle":"","parse-names":false,"suffix":""},{"dropping-particle":"","family":"Haddade","given":"Abd. Wahid","non-dropping-particle":"","parse-names":false,"suffix":""},{"dropping-particle":"","family":"Santalia","given":"Indo","non-dropping-particle":"","parse-names":false,"suffix":""}],"container-title":"International Journal of Islamic Studies","id":"ITEM-1","issue":"2","issued":{"date-parts":[["2022"]]},"page":"116-140","title":"THE CONCEPT OF MUTAKALLIMIN IN THE INTERPRETATION OF DILALAH AL-LAFA AND ITS IMPLICATIONS IN IKHTILAF FIKH","type":"article-journal","volume":"2"},"uris":["http://www.mendeley.com/documents/?uuid=18efc897-9936-43a8-b782-3f41405398af"]},{"id":"ITEM-2","itemData":{"DOI":"10.24114/ajs.v10i2.26254","ISSN":"2301-5896, 2580-894X","abstract":"Peneliti menganalisis lagu Nahdlatain karya Muhammad Zainuddin Abdul Madjiddari aspek Sinonimis, persajakan, dan pesan moral. Jenis penelitian ini adalah kualitatif deskriptif dan peneliti sebagai instrumen kunci. Teknik pengumpulan data dilakukan secara triangulasi. Analisis data menggunakan tiga tahap yaitu pemerolehan data, analisis data dan penarian simpulan. Data penelitian berupa data yang mengandung sinonimis, persajakan dan pesan moral dalam bentuk kata dan frasa. Penelitian ini dipandang penting disebabkan tidak semua Kyai memiliki kemampuan dalam menciptakan nasyid. Adapun hasil penelitian ini ditemukan satu kata yang bersinonim dan satu frasa yang bersinonim juga. kemudian pola persajakan yang muncul adalah pola sajak dengan rima mutlak (a-a-a-a) dan tak beraturan (a-a-b-b), rima akhir dan rima terus, sedangkan pesan moral yang disampaikan yaitu; 1) bersama-sama menuju kebaikan, 2) motivasi belajar agama, 3) memegang teguh agama, 4) bersyukur agar tidak lupa sejarah, 5) jangan lupa identitas tempat belajar, dan 6) harapan untuk menjaga madrasah bagi para penerusnya.","author":[{"dropping-particle":"","family":"Muttaqin","given":"Zainul","non-dropping-particle":"","parse-names":false,"suffix":""},{"dropping-particle":"","family":"Alpansori","given":"Muh Jaelani","non-dropping-particle":"","parse-names":false,"suffix":""}],"container-title":"Asas Jurnal Sastra","id":"ITEM-2","issue":"3","issued":{"date-parts":[["2021"]]},"page":"36","publisher":"State University of Medan","title":"MENILIK SINONIMIS, PERSAJAKAN DAN PESAN MORAL DALAM NASYIDNAHDLATAIN","type":"article-journal","volume":"2"},"uris":["http://www.mendeley.com/documents/?uuid=5068d919-a7e6-4825-881e-24dc27524edd"]},{"id":"ITEM-3","itemData":{"DOI":"10.62359/tafakkur.v1i2.31","ISSN":"2746-1181, 2746-4520","abstract":"Semantik merupakan bagian dari ilmu Bahasa dan banyak digunakan dalam memahami ayat-ayat Al-Qur’an. Salah satunya adalah dilakukan oleh Mahmud Umar al-Zamakhsyari dalam tafsirnya Al-Kasysyâf ‘an Haqâiq al-Tanzîl wa ‘Uyûn al-‘Aqâwil fi Wujûh al-Ta`wîl. Al-Zamakhsyari sendiri adalah seorang mufassir, ahli teologi (tokoh mu’tazilah), ahli Bahasa, dan bermazhab fiqh Hanafi. Sedangkan tafsirnya merupakan salah satu kitab tafsir yang menjadi rujukan para ulama dalam mengkaji Al-Qur’an dari segi Bahasa, terutama pada konsep balaghah Al-Qur’an. Pada penelitian ini, yang menjadi pembahasan adalah bagaimana pendekatan semantik yang dilakukan oleh al-Zamakhsyari pada ayat-ayat kalam dan ayat-ayat ahkam, untuk mengetahui sejauh mana peranan kebahasaan dalam mempertahankan aqidahnya (mu’tazilah) dan memahami hukum-hukum yang terkandung di dalamnya. Ayat-ayat kalam ataupun ayat-ayat ahkam jumlahnya ratusan dalam Al-Qur’an. Sehingga pada penelitian ini, untuk ayat kalam akan dibatasi pada ayat tentang melihat Allah kelak di akhirat, keadilan dan sifat-sifat Allah, antropomorfisme, free will dan predestination. Sedangkan pada ayat ahkam, hanya meneliti tentang pemahaman hakikat sihir dan perihal hukum suami menjauhi istri yang sedang haid. Semuanya akan diambil dari beberapa ayat yang terdapat dalam berbagai surat Al-Qur’an.","author":[{"dropping-particle":"","family":"Yusron","given":"M Agus","non-dropping-particle":"","parse-names":false,"suffix":""}],"container-title":"TAFAKKUR Jurnal Ilmu Al-Qur an dan Tafsir","id":"ITEM-3","issue":"2","issued":{"date-parts":[["2021"]]},"page":"125-147","title":"Orientasi Semantik Al-Zamakhsyari","type":"article-journal","volume":"1"},"uris":["http://www.mendeley.com/documents/?uuid=2f76f4bf-123c-4181-9c62-a00e370df5fa"]}],"mendeley":{"formattedCitation":"(Muttaqin &amp; Alpansori, 2021; Nurdin et al., 2022; Yusron, 2021)","manualFormatting":"(Nurdin, Haddade, &amp; Santalia, 2022; Yusron, 2021)","plainTextFormattedCitation":"(Muttaqin &amp; Alpansori, 2021; Nurdin et al., 2022; Yusron, 2021)","previouslyFormattedCitation":"(Muttaqin &amp; Alpansori, 2021; Nurdin et al., 2022; Yusron, 2021)"},"properties":{"noteIndex":0},"schema":"https://github.com/citation-style-language/schema/raw/master/csl-citation.json"}</w:instrText>
      </w:r>
      <w:r w:rsidRPr="00087735">
        <w:rPr>
          <w:rFonts w:asciiTheme="majorBidi" w:hAnsiTheme="majorBidi" w:cstheme="majorBidi"/>
          <w:color w:val="000000"/>
          <w:sz w:val="24"/>
          <w:szCs w:val="24"/>
          <w:lang w:val="id-ID" w:eastAsia="id-ID"/>
        </w:rPr>
        <w:fldChar w:fldCharType="separate"/>
      </w:r>
      <w:r w:rsidRPr="00087735">
        <w:rPr>
          <w:rFonts w:asciiTheme="majorBidi" w:hAnsiTheme="majorBidi" w:cstheme="majorBidi"/>
          <w:noProof/>
          <w:color w:val="000000"/>
          <w:sz w:val="24"/>
          <w:szCs w:val="24"/>
          <w:lang w:val="id-ID" w:eastAsia="id-ID"/>
        </w:rPr>
        <w:t>(Nurdin, Haddade, &amp; Santalia, 2022; Yusron, 2021)</w:t>
      </w:r>
      <w:r w:rsidRPr="00087735">
        <w:rPr>
          <w:rFonts w:asciiTheme="majorBidi" w:hAnsiTheme="majorBidi" w:cstheme="majorBidi"/>
          <w:color w:val="000000"/>
          <w:sz w:val="24"/>
          <w:szCs w:val="24"/>
          <w:lang w:val="id-ID" w:eastAsia="id-ID"/>
        </w:rPr>
        <w:fldChar w:fldCharType="end"/>
      </w:r>
      <w:r w:rsidRPr="00087735">
        <w:rPr>
          <w:rFonts w:asciiTheme="majorBidi" w:hAnsiTheme="majorBidi" w:cstheme="majorBidi"/>
          <w:color w:val="000000"/>
          <w:sz w:val="24"/>
          <w:szCs w:val="24"/>
          <w:lang w:val="id-ID" w:eastAsia="id-ID"/>
        </w:rPr>
        <w:t xml:space="preserve"> For example, the expression </w:t>
      </w:r>
      <w:r w:rsidRPr="00087735">
        <w:rPr>
          <w:rFonts w:asciiTheme="majorBidi" w:hAnsiTheme="majorBidi" w:cstheme="majorBidi"/>
          <w:color w:val="000000"/>
          <w:sz w:val="24"/>
          <w:szCs w:val="24"/>
          <w:rtl/>
          <w:lang w:val="id-ID" w:eastAsia="id-ID"/>
        </w:rPr>
        <w:t>شدّ الحزام</w:t>
      </w:r>
      <w:r w:rsidRPr="00087735">
        <w:rPr>
          <w:rFonts w:asciiTheme="majorBidi" w:hAnsiTheme="majorBidi" w:cstheme="majorBidi"/>
          <w:color w:val="000000"/>
          <w:sz w:val="24"/>
          <w:szCs w:val="24"/>
          <w:lang w:val="id-ID" w:eastAsia="id-ID"/>
        </w:rPr>
        <w:t xml:space="preserve">  literally means ‘to tighten one's belt’, but its istilahiyyah meaning is ‘to prepare oneself earnestly’, such as when one faces a major challenge or difficult task. </w:t>
      </w:r>
      <w:r w:rsidRPr="00087735">
        <w:rPr>
          <w:rFonts w:asciiTheme="majorBidi" w:hAnsiTheme="majorBidi" w:cstheme="majorBidi"/>
          <w:color w:val="000000"/>
          <w:sz w:val="24"/>
          <w:szCs w:val="24"/>
          <w:lang w:val="id-ID" w:eastAsia="id-ID"/>
        </w:rPr>
        <w:fldChar w:fldCharType="begin" w:fldLock="1"/>
      </w:r>
      <w:r w:rsidRPr="00087735">
        <w:rPr>
          <w:rFonts w:asciiTheme="majorBidi" w:hAnsiTheme="majorBidi" w:cstheme="majorBidi"/>
          <w:color w:val="000000"/>
          <w:sz w:val="24"/>
          <w:szCs w:val="24"/>
          <w:lang w:val="id-ID" w:eastAsia="id-ID"/>
        </w:rPr>
        <w:instrText>ADDIN CSL_CITATION {"citationItems":[{"id":"ITEM-1","itemData":{"author":[{"dropping-particle":"","family":"Al-Qahir","given":"‘Abdal-Jurjani","non-dropping-particle":"","parse-names":false,"suffix":""}],"id":"ITEM-1","issued":{"date-parts":[["1990"]]},"publisher":"Dar al-Kutub al-‘Ilmiyyah","publisher-place":"Beirut","title":"Asrar al-Balaghah","type":"book"},"locator":"15","uris":["http://www.mendeley.com/documents/?uuid=6be5be4f-86ad-49cd-bae2-8e7b887a40e7"]}],"mendeley":{"formattedCitation":"(Al-Qahir, 1990, p. 15)","plainTextFormattedCitation":"(Al-Qahir, 1990, p. 15)","previouslyFormattedCitation":"(Al-Qahir, 1990, p. 15)"},"properties":{"noteIndex":0},"schema":"https://github.com/citation-style-language/schema/raw/master/csl-citation.json"}</w:instrText>
      </w:r>
      <w:r w:rsidRPr="00087735">
        <w:rPr>
          <w:rFonts w:asciiTheme="majorBidi" w:hAnsiTheme="majorBidi" w:cstheme="majorBidi"/>
          <w:color w:val="000000"/>
          <w:sz w:val="24"/>
          <w:szCs w:val="24"/>
          <w:lang w:val="id-ID" w:eastAsia="id-ID"/>
        </w:rPr>
        <w:fldChar w:fldCharType="separate"/>
      </w:r>
      <w:r w:rsidRPr="00087735">
        <w:rPr>
          <w:rFonts w:asciiTheme="majorBidi" w:hAnsiTheme="majorBidi" w:cstheme="majorBidi"/>
          <w:noProof/>
          <w:color w:val="000000"/>
          <w:sz w:val="24"/>
          <w:szCs w:val="24"/>
          <w:lang w:val="id-ID" w:eastAsia="id-ID"/>
        </w:rPr>
        <w:t>(Al-Qahir, 1990, p. 15)</w:t>
      </w:r>
      <w:r w:rsidRPr="00087735">
        <w:rPr>
          <w:rFonts w:asciiTheme="majorBidi" w:hAnsiTheme="majorBidi" w:cstheme="majorBidi"/>
          <w:color w:val="000000"/>
          <w:sz w:val="24"/>
          <w:szCs w:val="24"/>
          <w:lang w:val="id-ID" w:eastAsia="id-ID"/>
        </w:rPr>
        <w:fldChar w:fldCharType="end"/>
      </w:r>
    </w:p>
    <w:p w14:paraId="044550EA" w14:textId="3D71176C"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 xml:space="preserve">This kind of change in meaning shows that language not only serves to convey messages, but also describes the culture and thinking habits of its speakers. </w:t>
      </w:r>
      <w:r w:rsidRPr="00087735">
        <w:rPr>
          <w:rFonts w:asciiTheme="majorBidi" w:hAnsiTheme="majorBidi" w:cstheme="majorBidi"/>
          <w:color w:val="000000"/>
          <w:sz w:val="24"/>
          <w:szCs w:val="24"/>
          <w:lang w:val="id-ID" w:eastAsia="id-ID"/>
        </w:rPr>
        <w:fldChar w:fldCharType="begin" w:fldLock="1"/>
      </w:r>
      <w:r w:rsidRPr="00087735">
        <w:rPr>
          <w:rFonts w:asciiTheme="majorBidi" w:hAnsiTheme="majorBidi" w:cstheme="majorBidi"/>
          <w:color w:val="000000"/>
          <w:sz w:val="24"/>
          <w:szCs w:val="24"/>
          <w:lang w:val="id-ID" w:eastAsia="id-ID"/>
        </w:rPr>
        <w:instrText>ADDIN CSL_CITATION {"citationItems":[{"id":"ITEM-1","itemData":{"DOI":"10.15294/komunitas.v14i1.30915","ISSN":"2460-7312, 2460-7320","abstract":"Linguistic data often record cultural values and reflects the social dynamics of society based on cultural values. The purpose of this study is to analyze the discourse and speech of the Javanese Ngapak language which contains cultural values and the way that culture is constructed through discourse and speech language. The object of this study is discourse and the approach used is linguistic-sociological, or usually called sociolinguistics. The method used in this paper is a qualitative descriptive research method that produces descriptive data in the form of speech, writing, or observed behavior, using the listening and writing technique. The results of the study show that good culture, religious teachings, and a culture of sharing with others are found in the discourse and utterances of the Ngapak Javanese language. These cultures are constructed through the Ngapak Javanese language in a relaxed, serious, prayer and humorous atmosphere, showing the reality of the Ngapak-speaking community. This means that cultural values are found in discourse in the form of community conversations, texts and speech in various forms which are constructed through the Javanese Ngapak language to reflect reality.","author":[{"dropping-particle":"","family":"Antoni","given":"Nur","non-dropping-particle":"","parse-names":false,"suffix":""},{"dropping-particle":"","family":"Fadlilah","given":"S T Umi","non-dropping-particle":"","parse-names":false,"suffix":""}],"container-title":"KOMUNITAS INTERNATIONAL JOURNAL OF INDONESIAN SOCIETY AND CULTURE","id":"ITEM-1","issue":"1","issued":{"date-parts":[["2022"]]},"page":"77-88","publisher":"State University of Semarang","title":"Ngapak Language as Discourses of Javanese Socio-Cultural Construct","type":"article-journal","volume":"14"},"uris":["http://www.mendeley.com/documents/?uuid=9ffa8e2e-e460-4248-b632-edeec28824ac"]},{"id":"ITEM-2","itemData":{"DOI":"10.17509/jlb.v14i2.64879","ISSN":"2338-6193, 2528-5904","abstract":"Penelitian ini bertujuan untuk mendeskripsikan makna, pengaruh bentuk terhadap makna, isi, serta unsur budaya dalam peribahasa Sunda perilaku. Penelitian ini menggunakan pendekatan kualitatif dengan metode deskriptif. Data dikumpulkan menggunakan teknik studi dokumentasi dengan instrumen kartu data digital. Data didapat dari buku Pakeman Basa Sunda: Ulikan Idiomatik Sunda karya Yayat Sudaryat dan buku 1000 Babasan jeung Paribasa Sunda karya Budi Rahayu Tamsyah, dkk. Hasilnya yaitu (1) makna leksikal pada peribahasa Sunda perilaku tidak ada kaitannya dengan makna idiomatisnya, hanya pada kata-kata pembentuk sebagai perbandingan; (2) bentuk peribahasa Sunda perilaku didominasi tunggal, pengaruhnya dilihat dari panjang pendeknya peribahasa dan nilai filosofisnya; (3) isi yang terkandung didominasi piluangeun , sebab merupakan gambaran pengalaman di masyarakat; (4) ciri unsur budaya terdapat pada kata atau isi peribahasa, meliputi sistem religi, sistem bahasa, sistem organisasi kemasyarakatan, sistem mata pencaharian, sistem ilmu pengetahuan, sistem peralatan dan teknologi, serta unsur budaya campuran seperti sistem religi dan sistem kesenian.","author":[{"dropping-particle":"","family":"Yusuf","given":"Cecep Maulana","non-dropping-particle":"","parse-names":false,"suffix":""}],"container-title":"LOKABASA","id":"ITEM-2","issue":"2","issued":{"date-parts":[["2023"]]},"page":"167-179","publisher":"Universitas Pendidikan Indonesia Press","title":"Makna Idiomatis dalam Peribahasa Sunda Perilaku (Kajian Semantik dan Etnolinguistik)","type":"article-journal","volume":"14"},"uris":["http://www.mendeley.com/documents/?uuid=92ffdfb8-8e51-4f61-81d7-4b202e2ef7d7"]}],"mendeley":{"formattedCitation":"(Antoni &amp; Fadlilah, 2022; Yusuf, 2023)","plainTextFormattedCitation":"(Antoni &amp; Fadlilah, 2022; Yusuf, 2023)","previouslyFormattedCitation":"(Antoni &amp; Fadlilah, 2022; Yusuf, 2023)"},"properties":{"noteIndex":0},"schema":"https://github.com/citation-style-language/schema/raw/master/csl-citation.json"}</w:instrText>
      </w:r>
      <w:r w:rsidRPr="00087735">
        <w:rPr>
          <w:rFonts w:asciiTheme="majorBidi" w:hAnsiTheme="majorBidi" w:cstheme="majorBidi"/>
          <w:color w:val="000000"/>
          <w:sz w:val="24"/>
          <w:szCs w:val="24"/>
          <w:lang w:val="id-ID" w:eastAsia="id-ID"/>
        </w:rPr>
        <w:fldChar w:fldCharType="separate"/>
      </w:r>
      <w:r w:rsidRPr="00087735">
        <w:rPr>
          <w:rFonts w:asciiTheme="majorBidi" w:hAnsiTheme="majorBidi" w:cstheme="majorBidi"/>
          <w:noProof/>
          <w:color w:val="000000"/>
          <w:sz w:val="24"/>
          <w:szCs w:val="24"/>
          <w:lang w:val="id-ID" w:eastAsia="id-ID"/>
        </w:rPr>
        <w:t>(Antoni &amp; Fadlilah, 2022; Yusuf, 2023)</w:t>
      </w:r>
      <w:r w:rsidRPr="00087735">
        <w:rPr>
          <w:rFonts w:asciiTheme="majorBidi" w:hAnsiTheme="majorBidi" w:cstheme="majorBidi"/>
          <w:color w:val="000000"/>
          <w:sz w:val="24"/>
          <w:szCs w:val="24"/>
          <w:lang w:val="id-ID" w:eastAsia="id-ID"/>
        </w:rPr>
        <w:fldChar w:fldCharType="end"/>
      </w:r>
      <w:r w:rsidRPr="00087735">
        <w:rPr>
          <w:rFonts w:asciiTheme="majorBidi" w:hAnsiTheme="majorBidi" w:cstheme="majorBidi"/>
          <w:color w:val="000000"/>
          <w:sz w:val="24"/>
          <w:szCs w:val="24"/>
          <w:lang w:val="id-ID" w:eastAsia="id-ID"/>
        </w:rPr>
        <w:t xml:space="preserve"> Arabic, in particular, has many idioms that originate from the social, cultural, and religious values of its society. </w:t>
      </w:r>
      <w:r w:rsidRPr="00087735">
        <w:rPr>
          <w:rFonts w:asciiTheme="majorBidi" w:hAnsiTheme="majorBidi" w:cstheme="majorBidi"/>
          <w:color w:val="000000"/>
          <w:sz w:val="24"/>
          <w:szCs w:val="24"/>
          <w:lang w:val="id-ID" w:eastAsia="id-ID"/>
        </w:rPr>
        <w:fldChar w:fldCharType="begin" w:fldLock="1"/>
      </w:r>
      <w:r w:rsidRPr="00087735">
        <w:rPr>
          <w:rFonts w:asciiTheme="majorBidi" w:hAnsiTheme="majorBidi" w:cstheme="majorBidi"/>
          <w:color w:val="000000"/>
          <w:sz w:val="24"/>
          <w:szCs w:val="24"/>
          <w:lang w:val="id-ID" w:eastAsia="id-ID"/>
        </w:rPr>
        <w:instrText>ADDIN CSL_CITATION {"citationItems":[{"id":"ITEM-1","itemData":{"DOI":"10.24114/ajs.v10i2.26254","ISSN":"2301-5896, 2580-894X","abstract":"Peneliti menganalisis lagu Nahdlatain karya Muhammad Zainuddin Abdul Madjiddari aspek Sinonimis, persajakan, dan pesan moral. Jenis penelitian ini adalah kualitatif deskriptif dan peneliti sebagai instrumen kunci. Teknik pengumpulan data dilakukan secara triangulasi. Analisis data menggunakan tiga tahap yaitu pemerolehan data, analisis data dan penarian simpulan. Data penelitian berupa data yang mengandung sinonimis, persajakan dan pesan moral dalam bentuk kata dan frasa. Penelitian ini dipandang penting disebabkan tidak semua Kyai memiliki kemampuan dalam menciptakan nasyid. Adapun hasil penelitian ini ditemukan satu kata yang bersinonim dan satu frasa yang bersinonim juga. kemudian pola persajakan yang muncul adalah pola sajak dengan rima mutlak (a-a-a-a) dan tak beraturan (a-a-b-b), rima akhir dan rima terus, sedangkan pesan moral yang disampaikan yaitu; 1) bersama-sama menuju kebaikan, 2) motivasi belajar agama, 3) memegang teguh agama, 4) bersyukur agar tidak lupa sejarah, 5) jangan lupa identitas tempat belajar, dan 6) harapan untuk menjaga madrasah bagi para penerusnya.","author":[{"dropping-particle":"","family":"Muttaqin","given":"Zainul","non-dropping-particle":"","parse-names":false,"suffix":""},{"dropping-particle":"","family":"Alpansori","given":"Muh Jaelani","non-dropping-particle":"","parse-names":false,"suffix":""}],"container-title":"Asas Jurnal Sastra","id":"ITEM-1","issue":"3","issued":{"date-parts":[["2021"]]},"page":"36","publisher":"State University of Medan","title":"MENILIK SINONIMIS, PERSAJAKAN DAN PESAN MORAL DALAM NASYIDNAHDLATAIN","type":"article-journal","volume":"2"},"uris":["http://www.mendeley.com/documents/?uuid=5068d919-a7e6-4825-881e-24dc27524edd"]}],"mendeley":{"formattedCitation":"(Muttaqin &amp; Alpansori, 2021)","plainTextFormattedCitation":"(Muttaqin &amp; Alpansori, 2021)","previouslyFormattedCitation":"(Muttaqin &amp; Alpansori, 2021)"},"properties":{"noteIndex":0},"schema":"https://github.com/citation-style-language/schema/raw/master/csl-citation.json"}</w:instrText>
      </w:r>
      <w:r w:rsidRPr="00087735">
        <w:rPr>
          <w:rFonts w:asciiTheme="majorBidi" w:hAnsiTheme="majorBidi" w:cstheme="majorBidi"/>
          <w:color w:val="000000"/>
          <w:sz w:val="24"/>
          <w:szCs w:val="24"/>
          <w:lang w:val="id-ID" w:eastAsia="id-ID"/>
        </w:rPr>
        <w:fldChar w:fldCharType="separate"/>
      </w:r>
      <w:r w:rsidRPr="00087735">
        <w:rPr>
          <w:rFonts w:asciiTheme="majorBidi" w:hAnsiTheme="majorBidi" w:cstheme="majorBidi"/>
          <w:noProof/>
          <w:color w:val="000000"/>
          <w:sz w:val="24"/>
          <w:szCs w:val="24"/>
          <w:lang w:val="id-ID" w:eastAsia="id-ID"/>
        </w:rPr>
        <w:t>(Muttaqin &amp; Alpansori, 2021)</w:t>
      </w:r>
      <w:r w:rsidRPr="00087735">
        <w:rPr>
          <w:rFonts w:asciiTheme="majorBidi" w:hAnsiTheme="majorBidi" w:cstheme="majorBidi"/>
          <w:color w:val="000000"/>
          <w:sz w:val="24"/>
          <w:szCs w:val="24"/>
          <w:lang w:val="id-ID" w:eastAsia="id-ID"/>
        </w:rPr>
        <w:fldChar w:fldCharType="end"/>
      </w:r>
      <w:r w:rsidRPr="00087735">
        <w:rPr>
          <w:rFonts w:asciiTheme="majorBidi" w:hAnsiTheme="majorBidi" w:cstheme="majorBidi"/>
          <w:color w:val="000000"/>
          <w:sz w:val="24"/>
          <w:szCs w:val="24"/>
          <w:lang w:val="id-ID" w:eastAsia="id-ID"/>
        </w:rPr>
        <w:t xml:space="preserve"> </w:t>
      </w:r>
      <w:r w:rsidRPr="00087735">
        <w:rPr>
          <w:rFonts w:asciiTheme="majorBidi" w:hAnsiTheme="majorBidi" w:cstheme="majorBidi"/>
          <w:color w:val="000000"/>
          <w:sz w:val="24"/>
          <w:szCs w:val="24"/>
          <w:lang w:val="id-ID" w:eastAsia="id-ID"/>
        </w:rPr>
        <w:lastRenderedPageBreak/>
        <w:t xml:space="preserve">Therefore, understanding ibarah al Istilahiyyah is important so that we do not misinterpret the true meaning of a text. </w:t>
      </w:r>
      <w:r w:rsidRPr="00087735">
        <w:rPr>
          <w:rFonts w:asciiTheme="majorBidi" w:hAnsiTheme="majorBidi" w:cstheme="majorBidi"/>
          <w:color w:val="000000"/>
          <w:sz w:val="24"/>
          <w:szCs w:val="24"/>
          <w:lang w:val="id-ID" w:eastAsia="id-ID"/>
        </w:rPr>
        <w:fldChar w:fldCharType="begin" w:fldLock="1"/>
      </w:r>
      <w:r>
        <w:rPr>
          <w:rFonts w:asciiTheme="majorBidi" w:hAnsiTheme="majorBidi" w:cstheme="majorBidi"/>
          <w:color w:val="000000"/>
          <w:sz w:val="24"/>
          <w:szCs w:val="24"/>
          <w:lang w:val="id-ID" w:eastAsia="id-ID"/>
        </w:rPr>
        <w:instrText>ADDIN CSL_CITATION {"citationItems":[{"id":"ITEM-1","itemData":{"DOI":"10.15575/jpba.v5i1.12340","ISSN":"2549-208X, 2721-5237","abstract":"This research studied the use of weapon lexicons in Arabic Proverbs (AP). The discussion aims to find the meaning interpretations of the use of weapon lexicons in AP and the moral messages reflected in there. The method used is descriptive qualitative method. The data collection was carried out by the observation method with note-taking technique. The data is obtained from the Mahfuzat Arabic Proverbs Dictionary. The results showed that there were three types of weapon used in AP, there are sword (As-saif, As-sharim), arrow (As-Sahmu, Al-Kana’in), and spear (al-Asnah). The figurative meaning of the weapon lexicons is a reflection of Arabic culture that likes to fight - in ancient times -. The moral messages contained in the AP with the weapon lexicons are 1) utilizing the time; 2) keeping the words; 3) be alert; 4) introspection; 5) creative thinking.","author":[{"dropping-particle":"","family":"Adnan","given":"Muhammad Muzaki","non-dropping-particle":"","parse-names":false,"suffix":""},{"dropping-particle":"","family":"Masyitoh","given":"Siti","non-dropping-particle":"","parse-names":false,"suffix":""},{"dropping-particle":"","family":"Odang","given":"Odang","non-dropping-particle":"","parse-names":false,"suffix":""}],"container-title":"Ta lim al- Arabiyyah Jurnal Pendidikan Bahasa Arab \\&amp; Kebahasaaraban","id":"ITEM-1","issue":"1","issued":{"date-parts":[["2021"]]},"page":"74-83","publisher":"Sunan Gunung Djati State Islamic University Bandung","title":"The Meaning Of Weapon Lexicons In Arabic Proverbs","type":"article-journal","volume":"5"},"uris":["http://www.mendeley.com/documents/?uuid=061b0400-4f49-4d37-9096-84c730644ee0"]}],"mendeley":{"formattedCitation":"(Adnan et al., 2021)","plainTextFormattedCitation":"(Adnan et al., 2021)","previouslyFormattedCitation":"(Adnan et al., 2021)"},"properties":{"noteIndex":0},"schema":"https://github.com/citation-style-language/schema/raw/master/csl-citation.json"}</w:instrText>
      </w:r>
      <w:r w:rsidRPr="00087735">
        <w:rPr>
          <w:rFonts w:asciiTheme="majorBidi" w:hAnsiTheme="majorBidi" w:cstheme="majorBidi"/>
          <w:color w:val="000000"/>
          <w:sz w:val="24"/>
          <w:szCs w:val="24"/>
          <w:lang w:val="id-ID" w:eastAsia="id-ID"/>
        </w:rPr>
        <w:fldChar w:fldCharType="separate"/>
      </w:r>
      <w:r w:rsidRPr="00087735">
        <w:rPr>
          <w:rFonts w:asciiTheme="majorBidi" w:hAnsiTheme="majorBidi" w:cstheme="majorBidi"/>
          <w:noProof/>
          <w:color w:val="000000"/>
          <w:sz w:val="24"/>
          <w:szCs w:val="24"/>
          <w:lang w:val="id-ID" w:eastAsia="id-ID"/>
        </w:rPr>
        <w:t>(Adnan et al., 2021)</w:t>
      </w:r>
      <w:r w:rsidRPr="00087735">
        <w:rPr>
          <w:rFonts w:asciiTheme="majorBidi" w:hAnsiTheme="majorBidi" w:cstheme="majorBidi"/>
          <w:color w:val="000000"/>
          <w:sz w:val="24"/>
          <w:szCs w:val="24"/>
          <w:lang w:val="id-ID" w:eastAsia="id-ID"/>
        </w:rPr>
        <w:fldChar w:fldCharType="end"/>
      </w:r>
      <w:r w:rsidRPr="00087735">
        <w:rPr>
          <w:rFonts w:asciiTheme="majorBidi" w:hAnsiTheme="majorBidi" w:cstheme="majorBidi"/>
          <w:color w:val="000000"/>
          <w:sz w:val="24"/>
          <w:szCs w:val="24"/>
          <w:lang w:val="id-ID" w:eastAsia="id-ID"/>
        </w:rPr>
        <w:fldChar w:fldCharType="begin" w:fldLock="1"/>
      </w:r>
      <w:r w:rsidRPr="00087735">
        <w:rPr>
          <w:rFonts w:asciiTheme="majorBidi" w:hAnsiTheme="majorBidi" w:cstheme="majorBidi"/>
          <w:color w:val="000000"/>
          <w:sz w:val="24"/>
          <w:szCs w:val="24"/>
          <w:lang w:val="id-ID" w:eastAsia="id-ID"/>
        </w:rPr>
        <w:instrText>ADDIN CSL_CITATION {"citationItems":[{"id":"ITEM-1","itemData":{"DOI":"10.24865/ajas.v5i2.203","ISSN":"2548-6616, 2548-6624","abstract":"This article aims to discuss Arabic idioms and their use in Book “Silsilat Ta’lim al-Lughah al-‘Arabiyyah” with semantic analysis. The urgency of this study is to help Arabic learners and enthusiasts in analyzing the meaning of Arabic sentences and language style so that they can avoid mistakes in understanding and translating various kinds of Arabic idioms. This study was a literature review using a qualitative approach. Data collection was carried out using the scrutinized method and note-taking technique, which recorded several Arabic idioms contained in the book Silsilat Ta’lim al-Lughah al-‘Arabiyyah level three, then analyzed using semantic analysis. Based on our study, it was concluded that the forms of Arabic idioms in the book ‘Silsilah Ta’lim al-Lughah al-Arabiyyah’ level three contained 46 idioms. They consist of two types: First, Arabic idioms are composed of fi'l (verbs) and harf (letters); secondly, Arabic idioms are arranged of ism (noun) and ism (noun).","author":[{"dropping-particle":"","family":"Rahman","given":"Faridah","non-dropping-particle":"","parse-names":false,"suffix":""},{"dropping-particle":"","family":"Safa","given":"Najmuddin Abd.","non-dropping-particle":"","parse-names":false,"suffix":""}],"container-title":"Arabi Journal of Arabic Studies","id":"ITEM-1","issue":"2","issued":{"date-parts":[["2020"]]},"page":"216","publisher":"IMLA (Arabic Teacher and Lecturer Association of Indonesia)","title":"AL-TA'BIR AL-ISTHILAHI WA ISTI'MALATUHU FI KITAB SILSILAH TA'LIM AL-LUGHAH AL-'ARABIYAH","type":"article-journal","volume":"5"},"uris":["http://www.mendeley.com/documents/?uuid=b1b570b7-19f6-4dfc-b363-e1a0edf1dd47"]}],"mendeley":{"formattedCitation":"(Rahman &amp; Safa, 2020)","plainTextFormattedCitation":"(Rahman &amp; Safa, 2020)","previouslyFormattedCitation":"(Rahman &amp; Safa, 2020)"},"properties":{"noteIndex":0},"schema":"https://github.com/citation-style-language/schema/raw/master/csl-citation.json"}</w:instrText>
      </w:r>
      <w:r w:rsidRPr="00087735">
        <w:rPr>
          <w:rFonts w:asciiTheme="majorBidi" w:hAnsiTheme="majorBidi" w:cstheme="majorBidi"/>
          <w:color w:val="000000"/>
          <w:sz w:val="24"/>
          <w:szCs w:val="24"/>
          <w:lang w:val="id-ID" w:eastAsia="id-ID"/>
        </w:rPr>
        <w:fldChar w:fldCharType="separate"/>
      </w:r>
      <w:r w:rsidRPr="00087735">
        <w:rPr>
          <w:rFonts w:asciiTheme="majorBidi" w:hAnsiTheme="majorBidi" w:cstheme="majorBidi"/>
          <w:noProof/>
          <w:color w:val="000000"/>
          <w:sz w:val="24"/>
          <w:szCs w:val="24"/>
          <w:lang w:val="id-ID" w:eastAsia="id-ID"/>
        </w:rPr>
        <w:t>(Rahman &amp; Safa, 2020)</w:t>
      </w:r>
      <w:r w:rsidRPr="00087735">
        <w:rPr>
          <w:rFonts w:asciiTheme="majorBidi" w:hAnsiTheme="majorBidi" w:cstheme="majorBidi"/>
          <w:color w:val="000000"/>
          <w:sz w:val="24"/>
          <w:szCs w:val="24"/>
          <w:lang w:val="id-ID" w:eastAsia="id-ID"/>
        </w:rPr>
        <w:fldChar w:fldCharType="end"/>
      </w:r>
    </w:p>
    <w:p w14:paraId="723DDD2C" w14:textId="7777777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 xml:space="preserve">For example, in everyday conversation, Arabs may say </w:t>
      </w:r>
      <w:r w:rsidRPr="00087735">
        <w:rPr>
          <w:rFonts w:asciiTheme="majorBidi" w:hAnsiTheme="majorBidi" w:cstheme="majorBidi"/>
          <w:color w:val="000000"/>
          <w:sz w:val="24"/>
          <w:szCs w:val="24"/>
          <w:rtl/>
          <w:lang w:val="id-ID" w:eastAsia="id-ID"/>
        </w:rPr>
        <w:t>كسر الجليد</w:t>
      </w:r>
      <w:r w:rsidRPr="00087735">
        <w:rPr>
          <w:rFonts w:asciiTheme="majorBidi" w:hAnsiTheme="majorBidi" w:cstheme="majorBidi"/>
          <w:color w:val="000000"/>
          <w:sz w:val="24"/>
          <w:szCs w:val="24"/>
          <w:lang w:val="id-ID" w:eastAsia="id-ID"/>
        </w:rPr>
        <w:t xml:space="preserve">, which literally means ‘breaking the ice’. However, in terms of meaning, it means ‘breaking the ice’ or ‘eliminating awkwardness’ in a meeting. From this, it can be seen that ibarah al Istilahiyyah helps speakers of the language to express meaning in a subtle, beautiful, and culturally rich way. </w:t>
      </w:r>
      <w:r w:rsidRPr="00087735">
        <w:rPr>
          <w:rFonts w:asciiTheme="majorBidi" w:hAnsiTheme="majorBidi" w:cstheme="majorBidi"/>
          <w:color w:val="000000"/>
          <w:sz w:val="24"/>
          <w:szCs w:val="24"/>
          <w:lang w:val="id-ID" w:eastAsia="id-ID"/>
        </w:rPr>
        <w:fldChar w:fldCharType="begin" w:fldLock="1"/>
      </w:r>
      <w:r w:rsidRPr="00087735">
        <w:rPr>
          <w:rFonts w:asciiTheme="majorBidi" w:hAnsiTheme="majorBidi" w:cstheme="majorBidi"/>
          <w:color w:val="000000"/>
          <w:sz w:val="24"/>
          <w:szCs w:val="24"/>
          <w:lang w:val="id-ID" w:eastAsia="id-ID"/>
        </w:rPr>
        <w:instrText>ADDIN CSL_CITATION {"citationItems":[{"id":"ITEM-1","itemData":{"author":[{"dropping-particle":"","family":"Al-‘Alim","given":"Muhammad","non-dropping-particle":"","parse-names":false,"suffix":""}],"id":"ITEM-1","issued":{"date-parts":[["2005"]]},"publisher":"Dar al-Fikr","publisher-place":"Kairo","title":"Dirasat fi al-Dalalah al-Lughawiyyah","type":"book"},"locator":"33","uris":["http://www.mendeley.com/documents/?uuid=adf85444-3bc9-48c5-8877-57bfbff71612"]}],"mendeley":{"formattedCitation":"(Al-‘Alim, 2005, p. 33)","plainTextFormattedCitation":"(Al-‘Alim, 2005, p. 33)","previouslyFormattedCitation":"(Al-‘Alim, 2005, p. 33)"},"properties":{"noteIndex":0},"schema":"https://github.com/citation-style-language/schema/raw/master/csl-citation.json"}</w:instrText>
      </w:r>
      <w:r w:rsidRPr="00087735">
        <w:rPr>
          <w:rFonts w:asciiTheme="majorBidi" w:hAnsiTheme="majorBidi" w:cstheme="majorBidi"/>
          <w:color w:val="000000"/>
          <w:sz w:val="24"/>
          <w:szCs w:val="24"/>
          <w:lang w:val="id-ID" w:eastAsia="id-ID"/>
        </w:rPr>
        <w:fldChar w:fldCharType="separate"/>
      </w:r>
      <w:r w:rsidRPr="00087735">
        <w:rPr>
          <w:rFonts w:asciiTheme="majorBidi" w:hAnsiTheme="majorBidi" w:cstheme="majorBidi"/>
          <w:noProof/>
          <w:color w:val="000000"/>
          <w:sz w:val="24"/>
          <w:szCs w:val="24"/>
          <w:lang w:val="id-ID" w:eastAsia="id-ID"/>
        </w:rPr>
        <w:t>(Al-‘Alim, 2005, p. 33)</w:t>
      </w:r>
      <w:r w:rsidRPr="00087735">
        <w:rPr>
          <w:rFonts w:asciiTheme="majorBidi" w:hAnsiTheme="majorBidi" w:cstheme="majorBidi"/>
          <w:color w:val="000000"/>
          <w:sz w:val="24"/>
          <w:szCs w:val="24"/>
          <w:lang w:val="id-ID" w:eastAsia="id-ID"/>
        </w:rPr>
        <w:fldChar w:fldCharType="end"/>
      </w:r>
    </w:p>
    <w:p w14:paraId="4A5ADBB7" w14:textId="7777777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In ‘Ilmu al-Dalalah, the discussion of meaning is central to the entire study. Linguists distinguish three main types of meaning: haqiqi, majazi and istilahi .</w:t>
      </w:r>
    </w:p>
    <w:p w14:paraId="1AABE9B4" w14:textId="77777777" w:rsidR="00087735" w:rsidRPr="00087735" w:rsidRDefault="00087735" w:rsidP="00087735">
      <w:pPr>
        <w:numPr>
          <w:ilvl w:val="0"/>
          <w:numId w:val="41"/>
        </w:numPr>
        <w:autoSpaceDE w:val="0"/>
        <w:autoSpaceDN w:val="0"/>
        <w:adjustRightInd w:val="0"/>
        <w:spacing w:after="0" w:line="240" w:lineRule="auto"/>
        <w:ind w:leftChars="-1" w:left="0" w:hangingChars="1" w:hanging="2"/>
        <w:jc w:val="both"/>
        <w:rPr>
          <w:rFonts w:asciiTheme="majorBidi" w:hAnsiTheme="majorBidi" w:cstheme="majorBidi"/>
          <w:color w:val="000000"/>
          <w:sz w:val="24"/>
          <w:szCs w:val="24"/>
          <w:lang w:eastAsia="id-ID"/>
        </w:rPr>
      </w:pPr>
      <w:r w:rsidRPr="00087735">
        <w:rPr>
          <w:rFonts w:asciiTheme="majorBidi" w:hAnsiTheme="majorBidi" w:cstheme="majorBidi"/>
          <w:color w:val="000000"/>
          <w:sz w:val="24"/>
          <w:szCs w:val="24"/>
          <w:lang w:val="id-ID" w:eastAsia="id-ID"/>
        </w:rPr>
        <w:t>Haqiqi Meaning (</w:t>
      </w:r>
      <w:r w:rsidRPr="00087735">
        <w:rPr>
          <w:rFonts w:asciiTheme="majorBidi" w:hAnsiTheme="majorBidi" w:cstheme="majorBidi"/>
          <w:color w:val="000000"/>
          <w:sz w:val="24"/>
          <w:szCs w:val="24"/>
          <w:rtl/>
          <w:lang w:val="id-ID" w:eastAsia="id-ID"/>
        </w:rPr>
        <w:t>المعنى الحقيقي</w:t>
      </w:r>
      <w:r w:rsidRPr="00087735">
        <w:rPr>
          <w:rFonts w:asciiTheme="majorBidi" w:hAnsiTheme="majorBidi" w:cstheme="majorBidi"/>
          <w:color w:val="000000"/>
          <w:sz w:val="24"/>
          <w:szCs w:val="24"/>
          <w:lang w:val="id-ID" w:eastAsia="id-ID"/>
        </w:rPr>
        <w:t xml:space="preserve">) Haqiqi meaning is the original or basic meaning of a word </w:t>
      </w:r>
      <w:r w:rsidRPr="00087735">
        <w:rPr>
          <w:rFonts w:asciiTheme="majorBidi" w:hAnsiTheme="majorBidi" w:cstheme="majorBidi"/>
          <w:color w:val="000000"/>
          <w:sz w:val="24"/>
          <w:szCs w:val="24"/>
          <w:lang w:val="id-ID" w:eastAsia="id-ID"/>
        </w:rPr>
        <w:fldChar w:fldCharType="begin" w:fldLock="1"/>
      </w:r>
      <w:r w:rsidRPr="00087735">
        <w:rPr>
          <w:rFonts w:asciiTheme="majorBidi" w:hAnsiTheme="majorBidi" w:cstheme="majorBidi"/>
          <w:color w:val="000000"/>
          <w:sz w:val="24"/>
          <w:szCs w:val="24"/>
          <w:lang w:val="id-ID" w:eastAsia="id-ID"/>
        </w:rPr>
        <w:instrText>ADDIN CSL_CITATION {"citationItems":[{"id":"ITEM-1","itemData":{"ISSN":"2775-4790","author":[{"dropping-particle":"","family":"Thayyibah","given":"Uyun","non-dropping-particle":"","parse-names":false,"suffix":""},{"dropping-particle":"","family":"Susiawati","given":"Wati","non-dropping-particle":"","parse-names":false,"suffix":""}],"container-title":"Borneo Journal of Language and Education","id":"ITEM-1","issue":"1","issued":{"date-parts":[["2025"]]},"page":"30-44","title":"Kajian Semantik Denotasi dan Konotasi dalam Bahasa Arab: Pendekatan Analisis Tematik","type":"article-journal","volume":"5"},"uris":["http://www.mendeley.com/documents/?uuid=efa39e0d-894e-4163-b2f9-a1c4ab48c6fc"]}],"mendeley":{"formattedCitation":"(Thayyibah &amp; Susiawati, 2025)","plainTextFormattedCitation":"(Thayyibah &amp; Susiawati, 2025)","previouslyFormattedCitation":"(Thayyibah &amp; Susiawati, 2025)"},"properties":{"noteIndex":0},"schema":"https://github.com/citation-style-language/schema/raw/master/csl-citation.json"}</w:instrText>
      </w:r>
      <w:r w:rsidRPr="00087735">
        <w:rPr>
          <w:rFonts w:asciiTheme="majorBidi" w:hAnsiTheme="majorBidi" w:cstheme="majorBidi"/>
          <w:color w:val="000000"/>
          <w:sz w:val="24"/>
          <w:szCs w:val="24"/>
          <w:lang w:val="id-ID" w:eastAsia="id-ID"/>
        </w:rPr>
        <w:fldChar w:fldCharType="separate"/>
      </w:r>
      <w:r w:rsidRPr="00087735">
        <w:rPr>
          <w:rFonts w:asciiTheme="majorBidi" w:hAnsiTheme="majorBidi" w:cstheme="majorBidi"/>
          <w:noProof/>
          <w:color w:val="000000"/>
          <w:sz w:val="24"/>
          <w:szCs w:val="24"/>
          <w:lang w:val="id-ID" w:eastAsia="id-ID"/>
        </w:rPr>
        <w:t>(Thayyibah &amp; Susiawati, 2025)</w:t>
      </w:r>
      <w:r w:rsidRPr="00087735">
        <w:rPr>
          <w:rFonts w:asciiTheme="majorBidi" w:hAnsiTheme="majorBidi" w:cstheme="majorBidi"/>
          <w:color w:val="000000"/>
          <w:sz w:val="24"/>
          <w:szCs w:val="24"/>
          <w:lang w:val="id-ID" w:eastAsia="id-ID"/>
        </w:rPr>
        <w:fldChar w:fldCharType="end"/>
      </w:r>
      <w:r w:rsidRPr="00087735">
        <w:rPr>
          <w:rFonts w:asciiTheme="majorBidi" w:hAnsiTheme="majorBidi" w:cstheme="majorBidi"/>
          <w:color w:val="000000"/>
          <w:sz w:val="24"/>
          <w:szCs w:val="24"/>
          <w:lang w:val="id-ID" w:eastAsia="id-ID"/>
        </w:rPr>
        <w:t xml:space="preserve">, as it was originally used without change. For example, the word </w:t>
      </w:r>
      <w:r w:rsidRPr="00087735">
        <w:rPr>
          <w:rFonts w:asciiTheme="majorBidi" w:hAnsiTheme="majorBidi" w:cstheme="majorBidi"/>
          <w:color w:val="000000"/>
          <w:sz w:val="24"/>
          <w:szCs w:val="24"/>
          <w:rtl/>
          <w:lang w:val="id-ID" w:eastAsia="id-ID"/>
        </w:rPr>
        <w:t>عين</w:t>
      </w:r>
      <w:r w:rsidRPr="00087735">
        <w:rPr>
          <w:rFonts w:asciiTheme="majorBidi" w:hAnsiTheme="majorBidi" w:cstheme="majorBidi"/>
          <w:color w:val="000000"/>
          <w:sz w:val="24"/>
          <w:szCs w:val="24"/>
          <w:lang w:val="id-ID" w:eastAsia="id-ID"/>
        </w:rPr>
        <w:t xml:space="preserve">  means ‘eye’, which is the human organ of sight. If someone says </w:t>
      </w:r>
      <w:r w:rsidRPr="00087735">
        <w:rPr>
          <w:rFonts w:asciiTheme="majorBidi" w:hAnsiTheme="majorBidi" w:cstheme="majorBidi"/>
          <w:color w:val="000000"/>
          <w:sz w:val="24"/>
          <w:szCs w:val="24"/>
          <w:rtl/>
          <w:lang w:val="id-ID" w:eastAsia="id-ID"/>
        </w:rPr>
        <w:t>رأيت بعيني</w:t>
      </w:r>
      <w:r w:rsidRPr="00087735">
        <w:rPr>
          <w:rFonts w:asciiTheme="majorBidi" w:hAnsiTheme="majorBidi" w:cstheme="majorBidi"/>
          <w:color w:val="000000"/>
          <w:sz w:val="24"/>
          <w:szCs w:val="24"/>
          <w:lang w:val="id-ID" w:eastAsia="id-ID"/>
        </w:rPr>
        <w:t xml:space="preserve"> (I saw with my eyes), then the meaning of 'ain here is haqiqi. </w:t>
      </w:r>
      <w:r w:rsidRPr="00087735">
        <w:rPr>
          <w:rFonts w:asciiTheme="majorBidi" w:hAnsiTheme="majorBidi" w:cstheme="majorBidi"/>
          <w:color w:val="000000"/>
          <w:sz w:val="24"/>
          <w:szCs w:val="24"/>
          <w:lang w:eastAsia="id-ID"/>
        </w:rPr>
        <w:fldChar w:fldCharType="begin" w:fldLock="1"/>
      </w:r>
      <w:r w:rsidRPr="00087735">
        <w:rPr>
          <w:rFonts w:asciiTheme="majorBidi" w:hAnsiTheme="majorBidi" w:cstheme="majorBidi"/>
          <w:color w:val="000000"/>
          <w:sz w:val="24"/>
          <w:szCs w:val="24"/>
          <w:lang w:val="id-ID" w:eastAsia="id-ID"/>
        </w:rPr>
        <w:instrText>ADDIN CSL_CITATION {"citationItems":[{"id":"ITEM-1","itemData":{"author":[{"dropping-particle":"","family":"Yunus","given":"Mahmud","non-dropping-particle":"","parse-names":false,"suffix":""}],"id":"ITEM-1","issued":{"date-parts":[["1990"]]},"publisher":"Hidakarya Agung","publisher-place":"Jakarta","title":"Kamus Arab–Indonesia","type":"book"},"locator":"214","uris":["http://www.mendeley.com/documents/?uuid=8ec9e222-3a85-4de4-9e79-cfd161ba2b07"]}],"mendeley":{"formattedCitation":"(Yunus, 1990, p. 214)","plainTextFormattedCitation":"(Yunus, 1990, p. 214)","previouslyFormattedCitation":"(Yunus, 1990, p. 214)"},"properties":{"noteIndex":0},"schema":"https://github.com/citation-style-language/schema/raw/master/csl-citation.json"}</w:instrText>
      </w:r>
      <w:r w:rsidRPr="00087735">
        <w:rPr>
          <w:rFonts w:asciiTheme="majorBidi" w:hAnsiTheme="majorBidi" w:cstheme="majorBidi"/>
          <w:color w:val="000000"/>
          <w:sz w:val="24"/>
          <w:szCs w:val="24"/>
          <w:lang w:eastAsia="id-ID"/>
        </w:rPr>
        <w:fldChar w:fldCharType="separate"/>
      </w:r>
      <w:r w:rsidRPr="00087735">
        <w:rPr>
          <w:rFonts w:asciiTheme="majorBidi" w:hAnsiTheme="majorBidi" w:cstheme="majorBidi"/>
          <w:noProof/>
          <w:color w:val="000000"/>
          <w:sz w:val="24"/>
          <w:szCs w:val="24"/>
          <w:lang w:eastAsia="id-ID"/>
        </w:rPr>
        <w:t>(Yunus, 1990, p. 214)</w:t>
      </w:r>
      <w:r w:rsidRPr="00087735">
        <w:rPr>
          <w:rFonts w:asciiTheme="majorBidi" w:hAnsiTheme="majorBidi" w:cstheme="majorBidi"/>
          <w:color w:val="000000"/>
          <w:sz w:val="24"/>
          <w:szCs w:val="24"/>
          <w:lang w:val="id-ID" w:eastAsia="id-ID"/>
        </w:rPr>
        <w:fldChar w:fldCharType="end"/>
      </w:r>
    </w:p>
    <w:p w14:paraId="50315949" w14:textId="77777777" w:rsidR="00087735" w:rsidRPr="00087735" w:rsidRDefault="00087735" w:rsidP="00087735">
      <w:pPr>
        <w:numPr>
          <w:ilvl w:val="0"/>
          <w:numId w:val="41"/>
        </w:numPr>
        <w:autoSpaceDE w:val="0"/>
        <w:autoSpaceDN w:val="0"/>
        <w:adjustRightInd w:val="0"/>
        <w:spacing w:after="0" w:line="240" w:lineRule="auto"/>
        <w:ind w:leftChars="-1" w:left="0" w:hangingChars="1" w:hanging="2"/>
        <w:jc w:val="both"/>
        <w:rPr>
          <w:rFonts w:asciiTheme="majorBidi" w:hAnsiTheme="majorBidi" w:cstheme="majorBidi"/>
          <w:color w:val="000000"/>
          <w:sz w:val="24"/>
          <w:szCs w:val="24"/>
          <w:lang w:eastAsia="id-ID"/>
        </w:rPr>
      </w:pPr>
      <w:proofErr w:type="spellStart"/>
      <w:r w:rsidRPr="00087735">
        <w:rPr>
          <w:rFonts w:asciiTheme="majorBidi" w:hAnsiTheme="majorBidi" w:cstheme="majorBidi"/>
          <w:color w:val="000000"/>
          <w:sz w:val="24"/>
          <w:szCs w:val="24"/>
          <w:lang w:eastAsia="id-ID"/>
        </w:rPr>
        <w:t>Majazi</w:t>
      </w:r>
      <w:proofErr w:type="spellEnd"/>
      <w:r w:rsidRPr="00087735">
        <w:rPr>
          <w:rFonts w:asciiTheme="majorBidi" w:hAnsiTheme="majorBidi" w:cstheme="majorBidi"/>
          <w:color w:val="000000"/>
          <w:sz w:val="24"/>
          <w:szCs w:val="24"/>
          <w:lang w:eastAsia="id-ID"/>
        </w:rPr>
        <w:t xml:space="preserve"> Meaning (</w:t>
      </w:r>
      <w:r w:rsidRPr="00087735">
        <w:rPr>
          <w:rFonts w:asciiTheme="majorBidi" w:hAnsiTheme="majorBidi" w:cstheme="majorBidi"/>
          <w:color w:val="000000"/>
          <w:sz w:val="24"/>
          <w:szCs w:val="24"/>
          <w:rtl/>
          <w:lang w:val="id-ID" w:eastAsia="id-ID"/>
        </w:rPr>
        <w:t>المعنى المجازي</w:t>
      </w:r>
      <w:r w:rsidRPr="00087735">
        <w:rPr>
          <w:rFonts w:asciiTheme="majorBidi" w:hAnsiTheme="majorBidi" w:cstheme="majorBidi"/>
          <w:color w:val="000000"/>
          <w:sz w:val="24"/>
          <w:szCs w:val="24"/>
          <w:lang w:eastAsia="id-ID"/>
        </w:rPr>
        <w:t xml:space="preserve">) </w:t>
      </w:r>
      <w:proofErr w:type="spellStart"/>
      <w:r w:rsidRPr="00087735">
        <w:rPr>
          <w:rFonts w:asciiTheme="majorBidi" w:hAnsiTheme="majorBidi" w:cstheme="majorBidi"/>
          <w:color w:val="000000"/>
          <w:sz w:val="24"/>
          <w:szCs w:val="24"/>
          <w:lang w:eastAsia="id-ID"/>
        </w:rPr>
        <w:t>Majazi</w:t>
      </w:r>
      <w:proofErr w:type="spellEnd"/>
      <w:r w:rsidRPr="00087735">
        <w:rPr>
          <w:rFonts w:asciiTheme="majorBidi" w:hAnsiTheme="majorBidi" w:cstheme="majorBidi"/>
          <w:color w:val="000000"/>
          <w:sz w:val="24"/>
          <w:szCs w:val="24"/>
          <w:lang w:eastAsia="id-ID"/>
        </w:rPr>
        <w:t xml:space="preserve"> meaning is a meaning that has shifted from its original meaning to another meaning due to a certain relationship, such as similarity or closeness. </w:t>
      </w:r>
      <w:r w:rsidRPr="00087735">
        <w:rPr>
          <w:rFonts w:asciiTheme="majorBidi" w:hAnsiTheme="majorBidi" w:cstheme="majorBidi"/>
          <w:color w:val="000000"/>
          <w:sz w:val="24"/>
          <w:szCs w:val="24"/>
          <w:lang w:eastAsia="id-ID"/>
        </w:rPr>
        <w:fldChar w:fldCharType="begin" w:fldLock="1"/>
      </w:r>
      <w:r w:rsidRPr="00087735">
        <w:rPr>
          <w:rFonts w:asciiTheme="majorBidi" w:hAnsiTheme="majorBidi" w:cstheme="majorBidi"/>
          <w:color w:val="000000"/>
          <w:sz w:val="24"/>
          <w:szCs w:val="24"/>
          <w:lang w:eastAsia="id-ID"/>
        </w:rPr>
        <w:instrText>ADDIN CSL_CITATION {"citationItems":[{"id":"ITEM-1","itemData":{"ISSN":"2527-6360","author":[{"dropping-particle":"","family":"Nuha","given":"Muhammad Afthon Ulin","non-dropping-particle":"","parse-names":false,"suffix":""},{"dropping-particle":"","family":"Musyafaah","given":"Nurul","non-dropping-particle":"","parse-names":false,"suffix":""}],"container-title":"Lisanudhad: Jurnal Bahasa, Pembelajaran Dan Sastra Arab","id":"ITEM-1","issue":"2","issued":{"date-parts":[["2022"]]},"page":"164-196","title":"Majaz Isti'arah Analysis Terms of Mulaim in Arabic Oral Perspective","type":"article-journal","volume":"9"},"uris":["http://www.mendeley.com/documents/?uuid=cc13bb52-ff53-4263-88fb-87764d174726"]}],"mendeley":{"formattedCitation":"(Nuha &amp; Musyafaah, 2022)","plainTextFormattedCitation":"(Nuha &amp; Musyafaah, 2022)","previouslyFormattedCitation":"(Nuha &amp; Musyafaah, 2022)"},"properties":{"noteIndex":0},"schema":"https://github.com/citation-style-language/schema/raw/master/csl-citation.json"}</w:instrText>
      </w:r>
      <w:r w:rsidRPr="00087735">
        <w:rPr>
          <w:rFonts w:asciiTheme="majorBidi" w:hAnsiTheme="majorBidi" w:cstheme="majorBidi"/>
          <w:color w:val="000000"/>
          <w:sz w:val="24"/>
          <w:szCs w:val="24"/>
          <w:lang w:eastAsia="id-ID"/>
        </w:rPr>
        <w:fldChar w:fldCharType="separate"/>
      </w:r>
      <w:r w:rsidRPr="00087735">
        <w:rPr>
          <w:rFonts w:asciiTheme="majorBidi" w:hAnsiTheme="majorBidi" w:cstheme="majorBidi"/>
          <w:noProof/>
          <w:color w:val="000000"/>
          <w:sz w:val="24"/>
          <w:szCs w:val="24"/>
          <w:lang w:eastAsia="id-ID"/>
        </w:rPr>
        <w:t>(Nuha &amp; Musyafaah, 2022)</w:t>
      </w:r>
      <w:r w:rsidRPr="00087735">
        <w:rPr>
          <w:rFonts w:asciiTheme="majorBidi" w:hAnsiTheme="majorBidi" w:cstheme="majorBidi"/>
          <w:color w:val="000000"/>
          <w:sz w:val="24"/>
          <w:szCs w:val="24"/>
          <w:lang w:val="id-ID" w:eastAsia="id-ID"/>
        </w:rPr>
        <w:fldChar w:fldCharType="end"/>
      </w:r>
      <w:r w:rsidRPr="00087735">
        <w:rPr>
          <w:rFonts w:asciiTheme="majorBidi" w:hAnsiTheme="majorBidi" w:cstheme="majorBidi"/>
          <w:color w:val="000000"/>
          <w:sz w:val="24"/>
          <w:szCs w:val="24"/>
          <w:lang w:eastAsia="id-ID"/>
        </w:rPr>
        <w:t xml:space="preserve"> For example, the phrase ‘</w:t>
      </w:r>
      <w:proofErr w:type="spellStart"/>
      <w:r w:rsidRPr="00087735">
        <w:rPr>
          <w:rFonts w:asciiTheme="majorBidi" w:hAnsiTheme="majorBidi" w:cstheme="majorBidi"/>
          <w:color w:val="000000"/>
          <w:sz w:val="24"/>
          <w:szCs w:val="24"/>
          <w:lang w:eastAsia="id-ID"/>
        </w:rPr>
        <w:t>Fulanun</w:t>
      </w:r>
      <w:proofErr w:type="spellEnd"/>
      <w:r w:rsidRPr="00087735">
        <w:rPr>
          <w:rFonts w:asciiTheme="majorBidi" w:hAnsiTheme="majorBidi" w:cstheme="majorBidi"/>
          <w:color w:val="000000"/>
          <w:sz w:val="24"/>
          <w:szCs w:val="24"/>
          <w:lang w:eastAsia="id-ID"/>
        </w:rPr>
        <w:t xml:space="preserve"> </w:t>
      </w:r>
      <w:proofErr w:type="spellStart"/>
      <w:r w:rsidRPr="00087735">
        <w:rPr>
          <w:rFonts w:asciiTheme="majorBidi" w:hAnsiTheme="majorBidi" w:cstheme="majorBidi"/>
          <w:color w:val="000000"/>
          <w:sz w:val="24"/>
          <w:szCs w:val="24"/>
          <w:lang w:eastAsia="id-ID"/>
        </w:rPr>
        <w:t>Thawilul</w:t>
      </w:r>
      <w:proofErr w:type="spellEnd"/>
      <w:r w:rsidRPr="00087735">
        <w:rPr>
          <w:rFonts w:asciiTheme="majorBidi" w:hAnsiTheme="majorBidi" w:cstheme="majorBidi"/>
          <w:color w:val="000000"/>
          <w:sz w:val="24"/>
          <w:szCs w:val="24"/>
          <w:lang w:eastAsia="id-ID"/>
        </w:rPr>
        <w:t xml:space="preserve"> Yadi Fil Khairi’ literally means ‘his hands are long,’ but figuratively means “generous” or ‘helpful.’ Figurative language makes language more beautiful and flexible in conveying feelings and ideas. </w:t>
      </w:r>
      <w:r w:rsidRPr="00087735">
        <w:rPr>
          <w:rFonts w:asciiTheme="majorBidi" w:hAnsiTheme="majorBidi" w:cstheme="majorBidi"/>
          <w:color w:val="000000"/>
          <w:sz w:val="24"/>
          <w:szCs w:val="24"/>
          <w:lang w:eastAsia="id-ID"/>
        </w:rPr>
        <w:fldChar w:fldCharType="begin" w:fldLock="1"/>
      </w:r>
      <w:r w:rsidRPr="00087735">
        <w:rPr>
          <w:rFonts w:asciiTheme="majorBidi" w:hAnsiTheme="majorBidi" w:cstheme="majorBidi"/>
          <w:color w:val="000000"/>
          <w:sz w:val="24"/>
          <w:szCs w:val="24"/>
          <w:lang w:eastAsia="id-ID"/>
        </w:rPr>
        <w:instrText>ADDIN CSL_CITATION {"citationItems":[{"id":"ITEM-1","itemData":{"ISSN":"2651-5083","author":[{"dropping-particle":"","family":"Yaşar","given":"Hakime Reyyan","non-dropping-particle":"","parse-names":false,"suffix":""}],"container-title":"darulfunun ilahiyat","id":"ITEM-1","issue":"1","issued":{"date-parts":[["2020"]]},"page":"1-21","publisher":"Istanbul University","title":"Exploring the Function of Dhihn/Zihin (Cognitive Link) in Majāz in Islamic Legal Theory","type":"article-journal","volume":"31"},"uris":["http://www.mendeley.com/documents/?uuid=8fbc69fe-4935-4a12-a6bb-7b10c6934709"]}],"mendeley":{"formattedCitation":"(Yaşar, 2020)","plainTextFormattedCitation":"(Yaşar, 2020)","previouslyFormattedCitation":"(Yaşar, 2020)"},"properties":{"noteIndex":0},"schema":"https://github.com/citation-style-language/schema/raw/master/csl-citation.json"}</w:instrText>
      </w:r>
      <w:r w:rsidRPr="00087735">
        <w:rPr>
          <w:rFonts w:asciiTheme="majorBidi" w:hAnsiTheme="majorBidi" w:cstheme="majorBidi"/>
          <w:color w:val="000000"/>
          <w:sz w:val="24"/>
          <w:szCs w:val="24"/>
          <w:lang w:eastAsia="id-ID"/>
        </w:rPr>
        <w:fldChar w:fldCharType="separate"/>
      </w:r>
      <w:r w:rsidRPr="00087735">
        <w:rPr>
          <w:rFonts w:asciiTheme="majorBidi" w:hAnsiTheme="majorBidi" w:cstheme="majorBidi"/>
          <w:noProof/>
          <w:color w:val="000000"/>
          <w:sz w:val="24"/>
          <w:szCs w:val="24"/>
          <w:lang w:eastAsia="id-ID"/>
        </w:rPr>
        <w:t>(Yaşar, 2020)</w:t>
      </w:r>
      <w:r w:rsidRPr="00087735">
        <w:rPr>
          <w:rFonts w:asciiTheme="majorBidi" w:hAnsiTheme="majorBidi" w:cstheme="majorBidi"/>
          <w:color w:val="000000"/>
          <w:sz w:val="24"/>
          <w:szCs w:val="24"/>
          <w:lang w:val="id-ID" w:eastAsia="id-ID"/>
        </w:rPr>
        <w:fldChar w:fldCharType="end"/>
      </w:r>
    </w:p>
    <w:p w14:paraId="103B1685" w14:textId="77777777" w:rsidR="00087735" w:rsidRPr="00087735" w:rsidRDefault="00087735" w:rsidP="00087735">
      <w:pPr>
        <w:numPr>
          <w:ilvl w:val="0"/>
          <w:numId w:val="41"/>
        </w:numPr>
        <w:autoSpaceDE w:val="0"/>
        <w:autoSpaceDN w:val="0"/>
        <w:adjustRightInd w:val="0"/>
        <w:spacing w:after="0" w:line="240" w:lineRule="auto"/>
        <w:ind w:leftChars="-1" w:left="0" w:hangingChars="1" w:hanging="2"/>
        <w:jc w:val="both"/>
        <w:rPr>
          <w:rFonts w:asciiTheme="majorBidi" w:hAnsiTheme="majorBidi" w:cstheme="majorBidi"/>
          <w:color w:val="000000"/>
          <w:sz w:val="24"/>
          <w:szCs w:val="24"/>
          <w:lang w:eastAsia="id-ID"/>
        </w:rPr>
      </w:pPr>
      <w:r w:rsidRPr="00087735">
        <w:rPr>
          <w:rFonts w:asciiTheme="majorBidi" w:hAnsiTheme="majorBidi" w:cstheme="majorBidi"/>
          <w:color w:val="000000"/>
          <w:sz w:val="24"/>
          <w:szCs w:val="24"/>
          <w:lang w:eastAsia="id-ID"/>
        </w:rPr>
        <w:t>Terminological Meaning (</w:t>
      </w:r>
      <w:r w:rsidRPr="00087735">
        <w:rPr>
          <w:rFonts w:asciiTheme="majorBidi" w:hAnsiTheme="majorBidi" w:cstheme="majorBidi"/>
          <w:color w:val="000000"/>
          <w:sz w:val="24"/>
          <w:szCs w:val="24"/>
          <w:rtl/>
          <w:lang w:val="id-ID" w:eastAsia="id-ID"/>
        </w:rPr>
        <w:t>المعنى الاصطلاحي</w:t>
      </w:r>
      <w:r w:rsidRPr="00087735">
        <w:rPr>
          <w:rFonts w:asciiTheme="majorBidi" w:hAnsiTheme="majorBidi" w:cstheme="majorBidi"/>
          <w:color w:val="000000"/>
          <w:sz w:val="24"/>
          <w:szCs w:val="24"/>
          <w:lang w:eastAsia="id-ID"/>
        </w:rPr>
        <w:t xml:space="preserve">) Terminological meaning arises when a word is used in a specific context with a new meaning that is agreed upon by a group. For example, the expression </w:t>
      </w:r>
      <w:r w:rsidRPr="00087735">
        <w:rPr>
          <w:rFonts w:asciiTheme="majorBidi" w:hAnsiTheme="majorBidi" w:cstheme="majorBidi"/>
          <w:color w:val="000000"/>
          <w:sz w:val="24"/>
          <w:szCs w:val="24"/>
          <w:rtl/>
          <w:lang w:val="id-ID" w:eastAsia="id-ID"/>
        </w:rPr>
        <w:t xml:space="preserve">اِنْفَتَحَ بَابُ </w:t>
      </w:r>
      <w:proofErr w:type="gramStart"/>
      <w:r w:rsidRPr="00087735">
        <w:rPr>
          <w:rFonts w:asciiTheme="majorBidi" w:hAnsiTheme="majorBidi" w:cstheme="majorBidi"/>
          <w:color w:val="000000"/>
          <w:sz w:val="24"/>
          <w:szCs w:val="24"/>
          <w:rtl/>
          <w:lang w:val="id-ID" w:eastAsia="id-ID"/>
        </w:rPr>
        <w:t>السَّمَاءِ</w:t>
      </w:r>
      <w:r w:rsidRPr="00087735">
        <w:rPr>
          <w:rFonts w:asciiTheme="majorBidi" w:hAnsiTheme="majorBidi" w:cstheme="majorBidi"/>
          <w:color w:val="000000"/>
          <w:sz w:val="24"/>
          <w:szCs w:val="24"/>
          <w:lang w:eastAsia="id-ID"/>
        </w:rPr>
        <w:t xml:space="preserve">  (</w:t>
      </w:r>
      <w:proofErr w:type="spellStart"/>
      <w:proofErr w:type="gramEnd"/>
      <w:r w:rsidRPr="00087735">
        <w:rPr>
          <w:rFonts w:asciiTheme="majorBidi" w:hAnsiTheme="majorBidi" w:cstheme="majorBidi"/>
          <w:color w:val="000000"/>
          <w:sz w:val="24"/>
          <w:szCs w:val="24"/>
          <w:lang w:eastAsia="id-ID"/>
        </w:rPr>
        <w:t>infataḥa</w:t>
      </w:r>
      <w:proofErr w:type="spellEnd"/>
      <w:r w:rsidRPr="00087735">
        <w:rPr>
          <w:rFonts w:asciiTheme="majorBidi" w:hAnsiTheme="majorBidi" w:cstheme="majorBidi"/>
          <w:color w:val="000000"/>
          <w:sz w:val="24"/>
          <w:szCs w:val="24"/>
          <w:lang w:eastAsia="id-ID"/>
        </w:rPr>
        <w:t xml:space="preserve"> </w:t>
      </w:r>
      <w:proofErr w:type="spellStart"/>
      <w:r w:rsidRPr="00087735">
        <w:rPr>
          <w:rFonts w:asciiTheme="majorBidi" w:hAnsiTheme="majorBidi" w:cstheme="majorBidi"/>
          <w:color w:val="000000"/>
          <w:sz w:val="24"/>
          <w:szCs w:val="24"/>
          <w:lang w:eastAsia="id-ID"/>
        </w:rPr>
        <w:t>bāb</w:t>
      </w:r>
      <w:proofErr w:type="spellEnd"/>
      <w:r w:rsidRPr="00087735">
        <w:rPr>
          <w:rFonts w:asciiTheme="majorBidi" w:hAnsiTheme="majorBidi" w:cstheme="majorBidi"/>
          <w:color w:val="000000"/>
          <w:sz w:val="24"/>
          <w:szCs w:val="24"/>
          <w:lang w:eastAsia="id-ID"/>
        </w:rPr>
        <w:t xml:space="preserve"> as-</w:t>
      </w:r>
      <w:proofErr w:type="spellStart"/>
      <w:r w:rsidRPr="00087735">
        <w:rPr>
          <w:rFonts w:asciiTheme="majorBidi" w:hAnsiTheme="majorBidi" w:cstheme="majorBidi"/>
          <w:color w:val="000000"/>
          <w:sz w:val="24"/>
          <w:szCs w:val="24"/>
          <w:lang w:eastAsia="id-ID"/>
        </w:rPr>
        <w:t>samā</w:t>
      </w:r>
      <w:proofErr w:type="spellEnd"/>
      <w:r w:rsidRPr="00087735">
        <w:rPr>
          <w:rFonts w:asciiTheme="majorBidi" w:hAnsiTheme="majorBidi" w:cstheme="majorBidi"/>
          <w:color w:val="000000"/>
          <w:sz w:val="24"/>
          <w:szCs w:val="24"/>
          <w:lang w:eastAsia="id-ID"/>
        </w:rPr>
        <w:t>’), which literally means ‘the door of the sky has opened.’ However, the actual meaning is different from the literal meaning, because this expression is used to express that good fortune has arrived.</w:t>
      </w:r>
    </w:p>
    <w:p w14:paraId="45DBAD5B" w14:textId="7777777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id-ID" w:eastAsia="id-ID"/>
        </w:rPr>
      </w:pPr>
    </w:p>
    <w:p w14:paraId="17964903" w14:textId="7777777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 xml:space="preserve">The relationship between these three meanings is very close. Usually, a word begins with a haqiqi meaning, then is used in a majazi sense, and finally becomes istilahi after being used continuously and accepted by the general public. This process explains how ibarah al Istilahiyyah  is formed from a literal meaning to a socially established meaning. </w:t>
      </w:r>
      <w:r w:rsidRPr="00087735">
        <w:rPr>
          <w:rFonts w:asciiTheme="majorBidi" w:hAnsiTheme="majorBidi" w:cstheme="majorBidi"/>
          <w:color w:val="000000"/>
          <w:sz w:val="24"/>
          <w:szCs w:val="24"/>
          <w:lang w:val="id-ID" w:eastAsia="id-ID"/>
        </w:rPr>
        <w:fldChar w:fldCharType="begin" w:fldLock="1"/>
      </w:r>
      <w:r w:rsidRPr="00087735">
        <w:rPr>
          <w:rFonts w:asciiTheme="majorBidi" w:hAnsiTheme="majorBidi" w:cstheme="majorBidi"/>
          <w:color w:val="000000"/>
          <w:sz w:val="24"/>
          <w:szCs w:val="24"/>
          <w:lang w:val="id-ID" w:eastAsia="id-ID"/>
        </w:rPr>
        <w:instrText>ADDIN CSL_CITATION {"citationItems":[{"id":"ITEM-1","itemData":{"author":[{"dropping-particle":"","family":"Al-Shafi’i","given":"Hasan","non-dropping-particle":"","parse-names":false,"suffix":""}],"id":"ITEM-1","issued":{"date-parts":[["2007"]]},"publisher":"Dar al-Salam","publisher-place":"Kairo","title":"Madkhal ila‘Ilm al-Lughah","type":"book"},"locator":"54","uris":["http://www.mendeley.com/documents/?uuid=57b626f3-8ca1-4337-962a-237dfee070e5"]}],"mendeley":{"formattedCitation":"(Al-Shafi’i, 2007, p. 54)","plainTextFormattedCitation":"(Al-Shafi’i, 2007, p. 54)","previouslyFormattedCitation":"(Al-Shafi’i, 2007, p. 54)"},"properties":{"noteIndex":0},"schema":"https://github.com/citation-style-language/schema/raw/master/csl-citation.json"}</w:instrText>
      </w:r>
      <w:r w:rsidRPr="00087735">
        <w:rPr>
          <w:rFonts w:asciiTheme="majorBidi" w:hAnsiTheme="majorBidi" w:cstheme="majorBidi"/>
          <w:color w:val="000000"/>
          <w:sz w:val="24"/>
          <w:szCs w:val="24"/>
          <w:lang w:val="id-ID" w:eastAsia="id-ID"/>
        </w:rPr>
        <w:fldChar w:fldCharType="separate"/>
      </w:r>
      <w:r w:rsidRPr="00087735">
        <w:rPr>
          <w:rFonts w:asciiTheme="majorBidi" w:hAnsiTheme="majorBidi" w:cstheme="majorBidi"/>
          <w:noProof/>
          <w:color w:val="000000"/>
          <w:sz w:val="24"/>
          <w:szCs w:val="24"/>
          <w:lang w:val="id-ID" w:eastAsia="id-ID"/>
        </w:rPr>
        <w:t>(Al-Shafi’i, 2007, p. 54)</w:t>
      </w:r>
      <w:r w:rsidRPr="00087735">
        <w:rPr>
          <w:rFonts w:asciiTheme="majorBidi" w:hAnsiTheme="majorBidi" w:cstheme="majorBidi"/>
          <w:color w:val="000000"/>
          <w:sz w:val="24"/>
          <w:szCs w:val="24"/>
          <w:lang w:val="id-ID" w:eastAsia="id-ID"/>
        </w:rPr>
        <w:fldChar w:fldCharType="end"/>
      </w:r>
    </w:p>
    <w:p w14:paraId="7B7BC078" w14:textId="27B0038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Based on the background of the study, this research specifically focuses on the analysis of five selected idiomatic expressions (</w:t>
      </w:r>
      <w:r w:rsidRPr="00087735">
        <w:rPr>
          <w:rFonts w:asciiTheme="majorBidi" w:hAnsiTheme="majorBidi" w:cstheme="majorBidi"/>
          <w:i/>
          <w:iCs/>
          <w:color w:val="000000"/>
          <w:sz w:val="24"/>
          <w:szCs w:val="24"/>
          <w:lang w:val="en-ID" w:eastAsia="id-ID"/>
        </w:rPr>
        <w:t>al-</w:t>
      </w:r>
      <w:proofErr w:type="spellStart"/>
      <w:r w:rsidRPr="00087735">
        <w:rPr>
          <w:rFonts w:asciiTheme="majorBidi" w:hAnsiTheme="majorBidi" w:cstheme="majorBidi"/>
          <w:i/>
          <w:iCs/>
          <w:color w:val="000000"/>
          <w:sz w:val="24"/>
          <w:szCs w:val="24"/>
          <w:lang w:val="en-ID" w:eastAsia="id-ID"/>
        </w:rPr>
        <w:t>ibārāt</w:t>
      </w:r>
      <w:proofErr w:type="spellEnd"/>
      <w:r w:rsidRPr="00087735">
        <w:rPr>
          <w:rFonts w:asciiTheme="majorBidi" w:hAnsiTheme="majorBidi" w:cstheme="majorBidi"/>
          <w:i/>
          <w:iCs/>
          <w:color w:val="000000"/>
          <w:sz w:val="24"/>
          <w:szCs w:val="24"/>
          <w:lang w:val="en-ID" w:eastAsia="id-ID"/>
        </w:rPr>
        <w:t xml:space="preserve"> al-</w:t>
      </w:r>
      <w:proofErr w:type="spellStart"/>
      <w:r w:rsidRPr="00087735">
        <w:rPr>
          <w:rFonts w:asciiTheme="majorBidi" w:hAnsiTheme="majorBidi" w:cstheme="majorBidi"/>
          <w:i/>
          <w:iCs/>
          <w:color w:val="000000"/>
          <w:sz w:val="24"/>
          <w:szCs w:val="24"/>
          <w:lang w:val="en-ID" w:eastAsia="id-ID"/>
        </w:rPr>
        <w:t>iṣṭilāḥiyyah</w:t>
      </w:r>
      <w:proofErr w:type="spellEnd"/>
      <w:r w:rsidRPr="00087735">
        <w:rPr>
          <w:rFonts w:asciiTheme="majorBidi" w:hAnsiTheme="majorBidi" w:cstheme="majorBidi"/>
          <w:color w:val="000000"/>
          <w:sz w:val="24"/>
          <w:szCs w:val="24"/>
          <w:lang w:val="en-ID" w:eastAsia="id-ID"/>
        </w:rPr>
        <w:t xml:space="preserve">). These expressions are sourced from the compilation book </w:t>
      </w:r>
      <w:r w:rsidRPr="00087735">
        <w:rPr>
          <w:rFonts w:asciiTheme="majorBidi" w:hAnsiTheme="majorBidi" w:cstheme="majorBidi"/>
          <w:i/>
          <w:iCs/>
          <w:color w:val="000000"/>
          <w:sz w:val="24"/>
          <w:szCs w:val="24"/>
          <w:lang w:val="en-ID" w:eastAsia="id-ID"/>
        </w:rPr>
        <w:t>Al-</w:t>
      </w:r>
      <w:proofErr w:type="spellStart"/>
      <w:r w:rsidRPr="00087735">
        <w:rPr>
          <w:rFonts w:asciiTheme="majorBidi" w:hAnsiTheme="majorBidi" w:cstheme="majorBidi"/>
          <w:i/>
          <w:iCs/>
          <w:color w:val="000000"/>
          <w:sz w:val="24"/>
          <w:szCs w:val="24"/>
          <w:lang w:val="en-ID" w:eastAsia="id-ID"/>
        </w:rPr>
        <w:t>ʿIbārāt</w:t>
      </w:r>
      <w:proofErr w:type="spellEnd"/>
      <w:r w:rsidRPr="00087735">
        <w:rPr>
          <w:rFonts w:asciiTheme="majorBidi" w:hAnsiTheme="majorBidi" w:cstheme="majorBidi"/>
          <w:i/>
          <w:iCs/>
          <w:color w:val="000000"/>
          <w:sz w:val="24"/>
          <w:szCs w:val="24"/>
          <w:lang w:val="en-ID" w:eastAsia="id-ID"/>
        </w:rPr>
        <w:t xml:space="preserve"> Al-</w:t>
      </w:r>
      <w:proofErr w:type="spellStart"/>
      <w:r w:rsidRPr="00087735">
        <w:rPr>
          <w:rFonts w:asciiTheme="majorBidi" w:hAnsiTheme="majorBidi" w:cstheme="majorBidi"/>
          <w:i/>
          <w:iCs/>
          <w:color w:val="000000"/>
          <w:sz w:val="24"/>
          <w:szCs w:val="24"/>
          <w:lang w:val="en-ID" w:eastAsia="id-ID"/>
        </w:rPr>
        <w:t>Iṣṭilāḥiyyah</w:t>
      </w:r>
      <w:proofErr w:type="spellEnd"/>
      <w:r w:rsidRPr="00087735">
        <w:rPr>
          <w:rFonts w:asciiTheme="majorBidi" w:hAnsiTheme="majorBidi" w:cstheme="majorBidi"/>
          <w:i/>
          <w:iCs/>
          <w:color w:val="000000"/>
          <w:sz w:val="24"/>
          <w:szCs w:val="24"/>
          <w:lang w:val="en-ID" w:eastAsia="id-ID"/>
        </w:rPr>
        <w:t xml:space="preserve"> </w:t>
      </w:r>
      <w:proofErr w:type="spellStart"/>
      <w:r w:rsidRPr="00087735">
        <w:rPr>
          <w:rFonts w:asciiTheme="majorBidi" w:hAnsiTheme="majorBidi" w:cstheme="majorBidi"/>
          <w:i/>
          <w:iCs/>
          <w:color w:val="000000"/>
          <w:sz w:val="24"/>
          <w:szCs w:val="24"/>
          <w:lang w:val="en-ID" w:eastAsia="id-ID"/>
        </w:rPr>
        <w:t>Fī</w:t>
      </w:r>
      <w:proofErr w:type="spellEnd"/>
      <w:r w:rsidRPr="00087735">
        <w:rPr>
          <w:rFonts w:asciiTheme="majorBidi" w:hAnsiTheme="majorBidi" w:cstheme="majorBidi"/>
          <w:i/>
          <w:iCs/>
          <w:color w:val="000000"/>
          <w:sz w:val="24"/>
          <w:szCs w:val="24"/>
          <w:lang w:val="en-ID" w:eastAsia="id-ID"/>
        </w:rPr>
        <w:t xml:space="preserve"> Al-</w:t>
      </w:r>
      <w:proofErr w:type="spellStart"/>
      <w:r w:rsidRPr="00087735">
        <w:rPr>
          <w:rFonts w:asciiTheme="majorBidi" w:hAnsiTheme="majorBidi" w:cstheme="majorBidi"/>
          <w:i/>
          <w:iCs/>
          <w:color w:val="000000"/>
          <w:sz w:val="24"/>
          <w:szCs w:val="24"/>
          <w:lang w:val="en-ID" w:eastAsia="id-ID"/>
        </w:rPr>
        <w:t>Lughati</w:t>
      </w:r>
      <w:proofErr w:type="spellEnd"/>
      <w:r w:rsidRPr="00087735">
        <w:rPr>
          <w:rFonts w:asciiTheme="majorBidi" w:hAnsiTheme="majorBidi" w:cstheme="majorBidi"/>
          <w:i/>
          <w:iCs/>
          <w:color w:val="000000"/>
          <w:sz w:val="24"/>
          <w:szCs w:val="24"/>
          <w:lang w:val="en-ID" w:eastAsia="id-ID"/>
        </w:rPr>
        <w:t xml:space="preserve"> Al-</w:t>
      </w:r>
      <w:proofErr w:type="spellStart"/>
      <w:r w:rsidRPr="00087735">
        <w:rPr>
          <w:rFonts w:asciiTheme="majorBidi" w:hAnsiTheme="majorBidi" w:cstheme="majorBidi"/>
          <w:i/>
          <w:iCs/>
          <w:color w:val="000000"/>
          <w:sz w:val="24"/>
          <w:szCs w:val="24"/>
          <w:lang w:val="en-ID" w:eastAsia="id-ID"/>
        </w:rPr>
        <w:t>ʿArabiyyah</w:t>
      </w:r>
      <w:proofErr w:type="spellEnd"/>
      <w:r w:rsidRPr="00087735">
        <w:rPr>
          <w:rFonts w:asciiTheme="majorBidi" w:hAnsiTheme="majorBidi" w:cstheme="majorBidi"/>
          <w:i/>
          <w:iCs/>
          <w:color w:val="000000"/>
          <w:sz w:val="24"/>
          <w:szCs w:val="24"/>
          <w:lang w:val="en-ID" w:eastAsia="id-ID"/>
        </w:rPr>
        <w:t xml:space="preserve"> Al-</w:t>
      </w:r>
      <w:proofErr w:type="spellStart"/>
      <w:r w:rsidRPr="00087735">
        <w:rPr>
          <w:rFonts w:asciiTheme="majorBidi" w:hAnsiTheme="majorBidi" w:cstheme="majorBidi"/>
          <w:i/>
          <w:iCs/>
          <w:color w:val="000000"/>
          <w:sz w:val="24"/>
          <w:szCs w:val="24"/>
          <w:lang w:val="en-ID" w:eastAsia="id-ID"/>
        </w:rPr>
        <w:t>Mu’āṣirah</w:t>
      </w:r>
      <w:proofErr w:type="spellEnd"/>
      <w:r w:rsidRPr="00087735">
        <w:rPr>
          <w:rFonts w:asciiTheme="majorBidi" w:hAnsiTheme="majorBidi" w:cstheme="majorBidi"/>
          <w:i/>
          <w:iCs/>
          <w:color w:val="000000"/>
          <w:sz w:val="24"/>
          <w:szCs w:val="24"/>
          <w:lang w:val="en-ID" w:eastAsia="id-ID"/>
        </w:rPr>
        <w:t xml:space="preserve"> </w:t>
      </w:r>
      <w:proofErr w:type="spellStart"/>
      <w:r w:rsidRPr="00087735">
        <w:rPr>
          <w:rFonts w:asciiTheme="majorBidi" w:hAnsiTheme="majorBidi" w:cstheme="majorBidi"/>
          <w:i/>
          <w:iCs/>
          <w:color w:val="000000"/>
          <w:sz w:val="24"/>
          <w:szCs w:val="24"/>
          <w:lang w:val="en-ID" w:eastAsia="id-ID"/>
        </w:rPr>
        <w:t>Tsalāsti</w:t>
      </w:r>
      <w:proofErr w:type="spellEnd"/>
      <w:r w:rsidRPr="00087735">
        <w:rPr>
          <w:rFonts w:asciiTheme="majorBidi" w:hAnsiTheme="majorBidi" w:cstheme="majorBidi"/>
          <w:i/>
          <w:iCs/>
          <w:color w:val="000000"/>
          <w:sz w:val="24"/>
          <w:szCs w:val="24"/>
          <w:lang w:val="en-ID" w:eastAsia="id-ID"/>
        </w:rPr>
        <w:t xml:space="preserve"> Lughāt</w:t>
      </w:r>
      <w:r w:rsidRPr="00087735">
        <w:rPr>
          <w:rFonts w:asciiTheme="majorBidi" w:hAnsiTheme="majorBidi" w:cstheme="majorBidi"/>
          <w:color w:val="000000"/>
          <w:sz w:val="24"/>
          <w:szCs w:val="24"/>
          <w:lang w:val="en-ID" w:eastAsia="id-ID"/>
        </w:rPr>
        <w:t xml:space="preserve"> by Mamdouh </w:t>
      </w:r>
      <w:proofErr w:type="spellStart"/>
      <w:r w:rsidRPr="00087735">
        <w:rPr>
          <w:rFonts w:asciiTheme="majorBidi" w:hAnsiTheme="majorBidi" w:cstheme="majorBidi"/>
          <w:color w:val="000000"/>
          <w:sz w:val="24"/>
          <w:szCs w:val="24"/>
          <w:lang w:val="en-ID" w:eastAsia="id-ID"/>
        </w:rPr>
        <w:t>Khasarah</w:t>
      </w:r>
      <w:proofErr w:type="spellEnd"/>
      <w:r w:rsidRPr="00087735">
        <w:rPr>
          <w:rFonts w:asciiTheme="majorBidi" w:hAnsiTheme="majorBidi" w:cstheme="majorBidi"/>
          <w:color w:val="000000"/>
          <w:sz w:val="24"/>
          <w:szCs w:val="24"/>
          <w:lang w:val="en-ID" w:eastAsia="id-ID"/>
        </w:rPr>
        <w:t xml:space="preserve"> </w:t>
      </w:r>
      <w:r w:rsidRPr="00087735">
        <w:rPr>
          <w:rFonts w:asciiTheme="majorBidi" w:hAnsiTheme="majorBidi" w:cstheme="majorBidi"/>
          <w:i/>
          <w:iCs/>
          <w:color w:val="000000"/>
          <w:sz w:val="24"/>
          <w:szCs w:val="24"/>
          <w:lang w:val="en-ID" w:eastAsia="id-ID"/>
        </w:rPr>
        <w:t>et al.</w:t>
      </w:r>
      <w:r w:rsidRPr="00087735">
        <w:rPr>
          <w:rFonts w:asciiTheme="majorBidi" w:hAnsiTheme="majorBidi" w:cstheme="majorBidi"/>
          <w:color w:val="000000"/>
          <w:sz w:val="24"/>
          <w:szCs w:val="24"/>
          <w:lang w:val="en-ID" w:eastAsia="id-ID"/>
        </w:rPr>
        <w:t>"</w:t>
      </w:r>
      <w:r w:rsidRPr="00087735">
        <w:rPr>
          <w:rFonts w:asciiTheme="majorBidi" w:hAnsiTheme="majorBidi" w:cstheme="majorBidi"/>
          <w:color w:val="000000"/>
          <w:sz w:val="24"/>
          <w:szCs w:val="24"/>
          <w:lang w:val="en-ID" w:eastAsia="id-ID"/>
        </w:rPr>
        <w:fldChar w:fldCharType="begin" w:fldLock="1"/>
      </w:r>
      <w:r>
        <w:rPr>
          <w:rFonts w:asciiTheme="majorBidi" w:hAnsiTheme="majorBidi" w:cstheme="majorBidi"/>
          <w:color w:val="000000"/>
          <w:sz w:val="24"/>
          <w:szCs w:val="24"/>
          <w:lang w:val="en-ID" w:eastAsia="id-ID"/>
        </w:rPr>
        <w:instrText>ADDIN CSL_CITATION {"citationItems":[{"id":"ITEM-1","itemData":{"author":[{"dropping-particle":"","family":"Khasārah","given":"Dr. Mamduh","non-dropping-particle":"","parse-names":false,"suffix":""},{"dropping-particle":"","family":"Mashūh","given":"Dr. Lubanah","non-dropping-particle":"","parse-names":false,"suffix":""},{"dropping-particle":"","family":"Al-Mahāsini","given":"Dr. Marwān","non-dropping-particle":"","parse-names":false,"suffix":""}],"id":"ITEM-1","issued":{"date-parts":[["0"]]},"publisher":"majma' al-lughah al-arabiyah bi damaskus","publisher-place":"Damaskus","title":"Al-ʿIbārāt Al-Iṣṭilāḥiyyah Fī Al-Lughati Al-ʿArabiyyah Al-Mu’āṣirah Tsalāsti Lughāt: Arabī-Injlizī-Faransī","type":"book"},"uris":["http://www.mendeley.com/documents/?uuid=9dbab21e-46d6-42db-9a4e-ede4a3b8d398"]}],"mendeley":{"formattedCitation":"(Khasārah et al., n.d.)","plainTextFormattedCitation":"(Khasārah et al., n.d.)","previouslyFormattedCitation":"(Khasārah et al., n.d.)"},"properties":{"noteIndex":0},"schema":"https://github.com/citation-style-language/schema/raw/master/csl-citation.json"}</w:instrText>
      </w:r>
      <w:r w:rsidRPr="00087735">
        <w:rPr>
          <w:rFonts w:asciiTheme="majorBidi" w:hAnsiTheme="majorBidi" w:cstheme="majorBidi"/>
          <w:color w:val="000000"/>
          <w:sz w:val="24"/>
          <w:szCs w:val="24"/>
          <w:lang w:val="en-ID" w:eastAsia="id-ID"/>
        </w:rPr>
        <w:fldChar w:fldCharType="separate"/>
      </w:r>
      <w:r w:rsidRPr="00087735">
        <w:rPr>
          <w:rFonts w:asciiTheme="majorBidi" w:hAnsiTheme="majorBidi" w:cstheme="majorBidi"/>
          <w:noProof/>
          <w:color w:val="000000"/>
          <w:sz w:val="24"/>
          <w:szCs w:val="24"/>
          <w:lang w:val="en-ID" w:eastAsia="id-ID"/>
        </w:rPr>
        <w:t>(</w:t>
      </w:r>
      <w:proofErr w:type="spellStart"/>
      <w:r w:rsidRPr="00087735">
        <w:rPr>
          <w:rFonts w:asciiTheme="majorBidi" w:hAnsiTheme="majorBidi" w:cstheme="majorBidi"/>
          <w:noProof/>
          <w:color w:val="000000"/>
          <w:sz w:val="24"/>
          <w:szCs w:val="24"/>
          <w:lang w:val="en-ID" w:eastAsia="id-ID"/>
        </w:rPr>
        <w:t>Khasārah</w:t>
      </w:r>
      <w:proofErr w:type="spellEnd"/>
      <w:r w:rsidRPr="00087735">
        <w:rPr>
          <w:rFonts w:asciiTheme="majorBidi" w:hAnsiTheme="majorBidi" w:cstheme="majorBidi"/>
          <w:noProof/>
          <w:color w:val="000000"/>
          <w:sz w:val="24"/>
          <w:szCs w:val="24"/>
          <w:lang w:val="en-ID" w:eastAsia="id-ID"/>
        </w:rPr>
        <w:t xml:space="preserve"> et al., n.d.)</w:t>
      </w:r>
      <w:r w:rsidRPr="00087735">
        <w:rPr>
          <w:rFonts w:asciiTheme="majorBidi" w:hAnsiTheme="majorBidi" w:cstheme="majorBidi"/>
          <w:color w:val="000000"/>
          <w:sz w:val="24"/>
          <w:szCs w:val="24"/>
          <w:lang w:val="id-ID" w:eastAsia="id-ID"/>
        </w:rPr>
        <w:fldChar w:fldCharType="end"/>
      </w:r>
      <w:r w:rsidRPr="00087735">
        <w:rPr>
          <w:rFonts w:asciiTheme="majorBidi" w:hAnsiTheme="majorBidi" w:cstheme="majorBidi"/>
          <w:color w:val="000000"/>
          <w:sz w:val="24"/>
          <w:szCs w:val="24"/>
          <w:lang w:val="en-ID" w:eastAsia="id-ID"/>
        </w:rPr>
        <w:t xml:space="preserve"> </w:t>
      </w:r>
    </w:p>
    <w:p w14:paraId="5593A744" w14:textId="7777777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 xml:space="preserve">"The selection of these five expressions is based on their frequency of use. The analysis will elaborate on each </w:t>
      </w:r>
      <w:proofErr w:type="spellStart"/>
      <w:r w:rsidRPr="00087735">
        <w:rPr>
          <w:rFonts w:asciiTheme="majorBidi" w:hAnsiTheme="majorBidi" w:cstheme="majorBidi"/>
          <w:i/>
          <w:iCs/>
          <w:color w:val="000000"/>
          <w:sz w:val="24"/>
          <w:szCs w:val="24"/>
          <w:lang w:val="en-ID" w:eastAsia="id-ID"/>
        </w:rPr>
        <w:t>ibārat</w:t>
      </w:r>
      <w:proofErr w:type="spellEnd"/>
      <w:r w:rsidRPr="00087735">
        <w:rPr>
          <w:rFonts w:asciiTheme="majorBidi" w:hAnsiTheme="majorBidi" w:cstheme="majorBidi"/>
          <w:i/>
          <w:iCs/>
          <w:color w:val="000000"/>
          <w:sz w:val="24"/>
          <w:szCs w:val="24"/>
          <w:lang w:val="en-ID" w:eastAsia="id-ID"/>
        </w:rPr>
        <w:t xml:space="preserve"> al-</w:t>
      </w:r>
      <w:proofErr w:type="spellStart"/>
      <w:r w:rsidRPr="00087735">
        <w:rPr>
          <w:rFonts w:asciiTheme="majorBidi" w:hAnsiTheme="majorBidi" w:cstheme="majorBidi"/>
          <w:i/>
          <w:iCs/>
          <w:color w:val="000000"/>
          <w:sz w:val="24"/>
          <w:szCs w:val="24"/>
          <w:lang w:val="en-ID" w:eastAsia="id-ID"/>
        </w:rPr>
        <w:t>iṣṭilāḥiyyah</w:t>
      </w:r>
      <w:proofErr w:type="spellEnd"/>
      <w:r w:rsidRPr="00087735">
        <w:rPr>
          <w:rFonts w:asciiTheme="majorBidi" w:hAnsiTheme="majorBidi" w:cstheme="majorBidi"/>
          <w:color w:val="000000"/>
          <w:sz w:val="24"/>
          <w:szCs w:val="24"/>
          <w:lang w:val="en-ID" w:eastAsia="id-ID"/>
        </w:rPr>
        <w:t xml:space="preserve"> within the context of four languages: Arabic, English, French, and Indonesian. The analysis of the selected data will be explained as follows:</w:t>
      </w:r>
    </w:p>
    <w:p w14:paraId="1C84B64B" w14:textId="77777777" w:rsidR="00087735" w:rsidRPr="00087735" w:rsidRDefault="00087735" w:rsidP="00087735">
      <w:pPr>
        <w:numPr>
          <w:ilvl w:val="0"/>
          <w:numId w:val="42"/>
        </w:numPr>
        <w:autoSpaceDE w:val="0"/>
        <w:autoSpaceDN w:val="0"/>
        <w:adjustRightInd w:val="0"/>
        <w:spacing w:after="0" w:line="240" w:lineRule="auto"/>
        <w:ind w:leftChars="-1" w:left="0" w:hangingChars="1" w:hanging="2"/>
        <w:jc w:val="both"/>
        <w:rPr>
          <w:rFonts w:asciiTheme="majorBidi" w:hAnsiTheme="majorBidi" w:cstheme="majorBidi"/>
          <w:b/>
          <w:bCs/>
          <w:color w:val="000000"/>
          <w:sz w:val="24"/>
          <w:szCs w:val="24"/>
          <w:lang w:val="en-ID" w:eastAsia="id-ID"/>
        </w:rPr>
      </w:pPr>
      <w:r w:rsidRPr="00087735">
        <w:rPr>
          <w:rFonts w:asciiTheme="majorBidi" w:hAnsiTheme="majorBidi" w:cstheme="majorBidi" w:hint="cs"/>
          <w:b/>
          <w:bCs/>
          <w:color w:val="000000"/>
          <w:sz w:val="24"/>
          <w:szCs w:val="24"/>
          <w:rtl/>
          <w:lang w:val="id-ID" w:eastAsia="id-ID"/>
        </w:rPr>
        <w:t>عين</w:t>
      </w:r>
      <w:r w:rsidRPr="00087735">
        <w:rPr>
          <w:rFonts w:asciiTheme="majorBidi" w:hAnsiTheme="majorBidi" w:cstheme="majorBidi"/>
          <w:b/>
          <w:bCs/>
          <w:color w:val="000000"/>
          <w:sz w:val="24"/>
          <w:szCs w:val="24"/>
          <w:rtl/>
          <w:lang w:val="id-ID" w:eastAsia="id-ID"/>
        </w:rPr>
        <w:t xml:space="preserve"> </w:t>
      </w:r>
      <w:r w:rsidRPr="00087735">
        <w:rPr>
          <w:rFonts w:asciiTheme="majorBidi" w:hAnsiTheme="majorBidi" w:cstheme="majorBidi" w:hint="cs"/>
          <w:b/>
          <w:bCs/>
          <w:color w:val="000000"/>
          <w:sz w:val="24"/>
          <w:szCs w:val="24"/>
          <w:rtl/>
          <w:lang w:val="id-ID" w:eastAsia="id-ID"/>
        </w:rPr>
        <w:t>الرضى</w:t>
      </w:r>
    </w:p>
    <w:p w14:paraId="2A5225E0" w14:textId="7777777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 xml:space="preserve">The idiom </w:t>
      </w:r>
      <w:r w:rsidRPr="00087735">
        <w:rPr>
          <w:rFonts w:asciiTheme="majorBidi" w:hAnsiTheme="majorBidi" w:cstheme="majorBidi" w:hint="cs"/>
          <w:color w:val="000000"/>
          <w:sz w:val="24"/>
          <w:szCs w:val="24"/>
          <w:rtl/>
          <w:lang w:val="id-ID" w:eastAsia="id-ID"/>
        </w:rPr>
        <w:t>عين</w:t>
      </w:r>
      <w:r w:rsidRPr="00087735">
        <w:rPr>
          <w:rFonts w:asciiTheme="majorBidi" w:hAnsiTheme="majorBidi" w:cstheme="majorBidi"/>
          <w:color w:val="000000"/>
          <w:sz w:val="24"/>
          <w:szCs w:val="24"/>
          <w:rtl/>
          <w:lang w:val="id-ID" w:eastAsia="id-ID"/>
        </w:rPr>
        <w:t xml:space="preserve"> </w:t>
      </w:r>
      <w:r w:rsidRPr="00087735">
        <w:rPr>
          <w:rFonts w:asciiTheme="majorBidi" w:hAnsiTheme="majorBidi" w:cstheme="majorBidi" w:hint="cs"/>
          <w:color w:val="000000"/>
          <w:sz w:val="24"/>
          <w:szCs w:val="24"/>
          <w:rtl/>
          <w:lang w:val="id-ID" w:eastAsia="id-ID"/>
        </w:rPr>
        <w:t>الرضى</w:t>
      </w:r>
      <w:r w:rsidRPr="00087735">
        <w:rPr>
          <w:rFonts w:asciiTheme="majorBidi" w:hAnsiTheme="majorBidi" w:cstheme="majorBidi"/>
          <w:color w:val="000000"/>
          <w:sz w:val="24"/>
          <w:szCs w:val="24"/>
          <w:lang w:val="en-ID" w:eastAsia="id-ID"/>
        </w:rPr>
        <w:t xml:space="preserve"> literally means ‘the eye of acceptance’. In the context of Arabic language, this expression is used to indicate a perspective based on acceptance and positive assessment of an object or individual. The metaphorical use of ‘eyes’ as a reflection of inner condition reflects the linguistic and cultural tendency in Arabic to associate vision with attitude of the heart. This explanation forms the basis for understanding the idiomatic meanings that will be compared in the following table.</w:t>
      </w:r>
    </w:p>
    <w:tbl>
      <w:tblPr>
        <w:tblStyle w:val="PlainTable3"/>
        <w:tblW w:w="0" w:type="auto"/>
        <w:tblLayout w:type="fixed"/>
        <w:tblLook w:val="04A0" w:firstRow="1" w:lastRow="0" w:firstColumn="1" w:lastColumn="0" w:noHBand="0" w:noVBand="1"/>
      </w:tblPr>
      <w:tblGrid>
        <w:gridCol w:w="1701"/>
        <w:gridCol w:w="1138"/>
        <w:gridCol w:w="1750"/>
        <w:gridCol w:w="1648"/>
        <w:gridCol w:w="1714"/>
      </w:tblGrid>
      <w:tr w:rsidR="00087735" w:rsidRPr="00087735" w14:paraId="1BF5B80B" w14:textId="77777777" w:rsidTr="00FE4EB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1" w:type="dxa"/>
            <w:hideMark/>
          </w:tcPr>
          <w:p w14:paraId="2C83D8EB"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lastRenderedPageBreak/>
              <w:t>LANGUAGE</w:t>
            </w:r>
          </w:p>
        </w:tc>
        <w:tc>
          <w:tcPr>
            <w:tcW w:w="1138" w:type="dxa"/>
            <w:hideMark/>
          </w:tcPr>
          <w:p w14:paraId="59258157"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 xml:space="preserve">IDIOM FORM   </w:t>
            </w:r>
          </w:p>
        </w:tc>
        <w:tc>
          <w:tcPr>
            <w:tcW w:w="1750" w:type="dxa"/>
            <w:hideMark/>
          </w:tcPr>
          <w:p w14:paraId="0EDFDBDF"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LITERAL MEANING</w:t>
            </w:r>
          </w:p>
        </w:tc>
        <w:tc>
          <w:tcPr>
            <w:tcW w:w="1648" w:type="dxa"/>
            <w:hideMark/>
          </w:tcPr>
          <w:p w14:paraId="3D02B7C1"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IDIOMATIC MEANING</w:t>
            </w:r>
          </w:p>
        </w:tc>
        <w:tc>
          <w:tcPr>
            <w:tcW w:w="1714" w:type="dxa"/>
            <w:hideMark/>
          </w:tcPr>
          <w:p w14:paraId="2C50345E"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SEMANTIC NOTE</w:t>
            </w:r>
          </w:p>
        </w:tc>
      </w:tr>
      <w:tr w:rsidR="00087735" w:rsidRPr="00C2027F" w14:paraId="0C475258" w14:textId="77777777" w:rsidTr="00FE4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3CA232D2"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 xml:space="preserve">ARABIC  </w:t>
            </w:r>
          </w:p>
        </w:tc>
        <w:tc>
          <w:tcPr>
            <w:tcW w:w="1138" w:type="dxa"/>
            <w:hideMark/>
          </w:tcPr>
          <w:p w14:paraId="35847E4D"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rtl/>
                <w:lang w:val="id-ID" w:eastAsia="id-ID"/>
              </w:rPr>
              <w:t>عين الرضى</w:t>
            </w:r>
          </w:p>
        </w:tc>
        <w:tc>
          <w:tcPr>
            <w:tcW w:w="1750" w:type="dxa"/>
            <w:hideMark/>
          </w:tcPr>
          <w:p w14:paraId="36EE2BE9"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i/>
                <w:iCs/>
                <w:color w:val="000000"/>
                <w:sz w:val="24"/>
                <w:szCs w:val="24"/>
                <w:lang w:val="id-ID" w:eastAsia="id-ID"/>
              </w:rPr>
              <w:t>Eye of acceptance / eye of approval</w:t>
            </w:r>
          </w:p>
        </w:tc>
        <w:tc>
          <w:tcPr>
            <w:tcW w:w="1648" w:type="dxa"/>
            <w:hideMark/>
          </w:tcPr>
          <w:p w14:paraId="6A175E9C"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to view with acceptance, to approve, to see positively</w:t>
            </w:r>
          </w:p>
        </w:tc>
        <w:tc>
          <w:tcPr>
            <w:tcW w:w="1714" w:type="dxa"/>
            <w:hideMark/>
          </w:tcPr>
          <w:p w14:paraId="1D958621"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Uses the metaphor of ‘eyes’ as an instrument of inner judgement, typical of Arab culture, which often links sight with the attitude of the heart (</w:t>
            </w:r>
            <w:r w:rsidRPr="00087735">
              <w:rPr>
                <w:rFonts w:asciiTheme="majorBidi" w:hAnsiTheme="majorBidi" w:cstheme="majorBidi"/>
                <w:color w:val="000000"/>
                <w:sz w:val="24"/>
                <w:szCs w:val="24"/>
                <w:rtl/>
                <w:lang w:val="id-ID" w:eastAsia="id-ID"/>
              </w:rPr>
              <w:t>العين مرآة القلب</w:t>
            </w:r>
            <w:r w:rsidRPr="00087735">
              <w:rPr>
                <w:rFonts w:asciiTheme="majorBidi" w:hAnsiTheme="majorBidi" w:cstheme="majorBidi"/>
                <w:color w:val="000000"/>
                <w:sz w:val="24"/>
                <w:szCs w:val="24"/>
                <w:lang w:val="id-ID" w:eastAsia="id-ID"/>
              </w:rPr>
              <w:t>).</w:t>
            </w:r>
          </w:p>
        </w:tc>
      </w:tr>
      <w:tr w:rsidR="00087735" w:rsidRPr="00087735" w14:paraId="4D369C8D" w14:textId="77777777" w:rsidTr="00FE4EB7">
        <w:tc>
          <w:tcPr>
            <w:cnfStyle w:val="001000000000" w:firstRow="0" w:lastRow="0" w:firstColumn="1" w:lastColumn="0" w:oddVBand="0" w:evenVBand="0" w:oddHBand="0" w:evenHBand="0" w:firstRowFirstColumn="0" w:firstRowLastColumn="0" w:lastRowFirstColumn="0" w:lastRowLastColumn="0"/>
            <w:tcW w:w="1701" w:type="dxa"/>
            <w:hideMark/>
          </w:tcPr>
          <w:p w14:paraId="272EAFD8"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ENGLISH</w:t>
            </w:r>
          </w:p>
        </w:tc>
        <w:tc>
          <w:tcPr>
            <w:tcW w:w="1138" w:type="dxa"/>
            <w:hideMark/>
          </w:tcPr>
          <w:p w14:paraId="451CBBF3"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lang w:val="id-ID" w:eastAsia="id-ID"/>
              </w:rPr>
            </w:pPr>
            <w:r w:rsidRPr="00087735">
              <w:rPr>
                <w:rFonts w:asciiTheme="majorBidi" w:hAnsiTheme="majorBidi" w:cstheme="majorBidi"/>
                <w:b/>
                <w:bCs/>
                <w:color w:val="000000"/>
                <w:sz w:val="24"/>
                <w:szCs w:val="24"/>
                <w:lang w:val="id-ID" w:eastAsia="id-ID"/>
              </w:rPr>
              <w:t>to view in afavorable light</w:t>
            </w:r>
          </w:p>
        </w:tc>
        <w:tc>
          <w:tcPr>
            <w:tcW w:w="1750" w:type="dxa"/>
            <w:hideMark/>
          </w:tcPr>
          <w:p w14:paraId="7A6321E1"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to see in a favourable light</w:t>
            </w:r>
          </w:p>
        </w:tc>
        <w:tc>
          <w:tcPr>
            <w:tcW w:w="1648" w:type="dxa"/>
            <w:hideMark/>
          </w:tcPr>
          <w:p w14:paraId="4817B551"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eastAsia="id-ID"/>
              </w:rPr>
            </w:pPr>
            <w:r w:rsidRPr="00087735">
              <w:rPr>
                <w:rFonts w:asciiTheme="majorBidi" w:hAnsiTheme="majorBidi" w:cstheme="majorBidi"/>
                <w:color w:val="000000"/>
                <w:sz w:val="24"/>
                <w:szCs w:val="24"/>
                <w:lang w:eastAsia="id-ID"/>
              </w:rPr>
              <w:t>to judge positively, to appreciate, to like</w:t>
            </w:r>
          </w:p>
        </w:tc>
        <w:tc>
          <w:tcPr>
            <w:tcW w:w="1714" w:type="dxa"/>
            <w:hideMark/>
          </w:tcPr>
          <w:p w14:paraId="5093B293"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eastAsia="id-ID"/>
              </w:rPr>
            </w:pPr>
            <w:r w:rsidRPr="00087735">
              <w:rPr>
                <w:rFonts w:asciiTheme="majorBidi" w:hAnsiTheme="majorBidi" w:cstheme="majorBidi"/>
                <w:color w:val="000000"/>
                <w:sz w:val="24"/>
                <w:szCs w:val="24"/>
                <w:lang w:eastAsia="id-ID"/>
              </w:rPr>
              <w:t>Uses the metaphor ‘light’ as a symbol of good judgement. English tends to use light-based visual metaphors rather than body parts.</w:t>
            </w:r>
          </w:p>
        </w:tc>
      </w:tr>
      <w:tr w:rsidR="00087735" w:rsidRPr="00087735" w14:paraId="5638650E" w14:textId="77777777" w:rsidTr="00FE4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hideMark/>
          </w:tcPr>
          <w:p w14:paraId="43209D52"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FRENCH</w:t>
            </w:r>
          </w:p>
        </w:tc>
        <w:tc>
          <w:tcPr>
            <w:tcW w:w="1138" w:type="dxa"/>
            <w:hideMark/>
          </w:tcPr>
          <w:p w14:paraId="5540334C"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lang w:val="id-ID" w:eastAsia="id-ID"/>
              </w:rPr>
              <w:t>voir d’un bon œil</w:t>
            </w:r>
          </w:p>
        </w:tc>
        <w:tc>
          <w:tcPr>
            <w:tcW w:w="1750" w:type="dxa"/>
            <w:hideMark/>
          </w:tcPr>
          <w:p w14:paraId="1AFCC2A7"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to view with a favourable eye</w:t>
            </w:r>
          </w:p>
        </w:tc>
        <w:tc>
          <w:tcPr>
            <w:tcW w:w="1648" w:type="dxa"/>
            <w:hideMark/>
          </w:tcPr>
          <w:p w14:paraId="6DC4448D"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to approve, to view positively</w:t>
            </w:r>
          </w:p>
        </w:tc>
        <w:tc>
          <w:tcPr>
            <w:tcW w:w="1714" w:type="dxa"/>
            <w:hideMark/>
          </w:tcPr>
          <w:p w14:paraId="1D86C4CB"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This idiom is very close to Arabic because it uses the metaphor ‘good eye’ and the concept of ‘eye’ as an indicator of acceptance.</w:t>
            </w:r>
          </w:p>
        </w:tc>
      </w:tr>
      <w:tr w:rsidR="00087735" w:rsidRPr="00087735" w14:paraId="70D91D92" w14:textId="77777777" w:rsidTr="00FE4EB7">
        <w:tc>
          <w:tcPr>
            <w:cnfStyle w:val="001000000000" w:firstRow="0" w:lastRow="0" w:firstColumn="1" w:lastColumn="0" w:oddVBand="0" w:evenVBand="0" w:oddHBand="0" w:evenHBand="0" w:firstRowFirstColumn="0" w:firstRowLastColumn="0" w:lastRowFirstColumn="0" w:lastRowLastColumn="0"/>
            <w:tcW w:w="1701" w:type="dxa"/>
            <w:hideMark/>
          </w:tcPr>
          <w:p w14:paraId="4C89A499"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Indonesia</w:t>
            </w:r>
          </w:p>
        </w:tc>
        <w:tc>
          <w:tcPr>
            <w:tcW w:w="1138" w:type="dxa"/>
            <w:hideMark/>
          </w:tcPr>
          <w:p w14:paraId="577C6B9B"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lang w:val="id-ID" w:eastAsia="id-ID"/>
              </w:rPr>
              <w:t>menerima dengan lapang dada</w:t>
            </w:r>
          </w:p>
        </w:tc>
        <w:tc>
          <w:tcPr>
            <w:tcW w:w="1750" w:type="dxa"/>
            <w:hideMark/>
          </w:tcPr>
          <w:p w14:paraId="5B38F3F8"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to accept with an open heart</w:t>
            </w:r>
          </w:p>
        </w:tc>
        <w:tc>
          <w:tcPr>
            <w:tcW w:w="1648" w:type="dxa"/>
            <w:hideMark/>
          </w:tcPr>
          <w:p w14:paraId="32F4690E"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to accept sincerely, not to refuse, to view positively</w:t>
            </w:r>
          </w:p>
        </w:tc>
        <w:tc>
          <w:tcPr>
            <w:tcW w:w="1714" w:type="dxa"/>
            <w:hideMark/>
          </w:tcPr>
          <w:p w14:paraId="656F1081"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en-ID" w:eastAsia="id-ID"/>
              </w:rPr>
              <w:t xml:space="preserve">Does not use the metaphor ‘eye’, but uses the metaphor ‘open heart’ as a symbol of readiness, generosity, and acceptance. </w:t>
            </w:r>
            <w:r w:rsidRPr="00087735">
              <w:rPr>
                <w:rFonts w:asciiTheme="majorBidi" w:hAnsiTheme="majorBidi" w:cstheme="majorBidi"/>
                <w:color w:val="000000"/>
                <w:sz w:val="24"/>
                <w:szCs w:val="24"/>
                <w:lang w:val="sv-SE" w:eastAsia="id-ID"/>
              </w:rPr>
              <w:t xml:space="preserve">The meaning is most </w:t>
            </w:r>
            <w:r w:rsidRPr="00087735">
              <w:rPr>
                <w:rFonts w:asciiTheme="majorBidi" w:hAnsiTheme="majorBidi" w:cstheme="majorBidi"/>
                <w:color w:val="000000"/>
                <w:sz w:val="24"/>
                <w:szCs w:val="24"/>
                <w:lang w:val="sv-SE" w:eastAsia="id-ID"/>
              </w:rPr>
              <w:lastRenderedPageBreak/>
              <w:t>emotionally equivalent.</w:t>
            </w:r>
          </w:p>
        </w:tc>
      </w:tr>
    </w:tbl>
    <w:p w14:paraId="54505BC8" w14:textId="7777777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en-ID" w:eastAsia="id-ID"/>
        </w:rPr>
      </w:pPr>
    </w:p>
    <w:p w14:paraId="29DDD74F" w14:textId="77777777" w:rsidR="00087735" w:rsidRPr="00087735" w:rsidRDefault="00087735" w:rsidP="00087735">
      <w:pPr>
        <w:numPr>
          <w:ilvl w:val="0"/>
          <w:numId w:val="42"/>
        </w:numPr>
        <w:autoSpaceDE w:val="0"/>
        <w:autoSpaceDN w:val="0"/>
        <w:adjustRightInd w:val="0"/>
        <w:spacing w:after="0" w:line="240" w:lineRule="auto"/>
        <w:ind w:leftChars="-1" w:left="0" w:hangingChars="1" w:hanging="2"/>
        <w:jc w:val="both"/>
        <w:rPr>
          <w:rFonts w:asciiTheme="majorBidi" w:hAnsiTheme="majorBidi" w:cstheme="majorBidi"/>
          <w:b/>
          <w:bCs/>
          <w:color w:val="000000"/>
          <w:sz w:val="24"/>
          <w:szCs w:val="24"/>
          <w:lang w:val="en-ID" w:eastAsia="id-ID"/>
        </w:rPr>
      </w:pPr>
      <w:r w:rsidRPr="00087735">
        <w:rPr>
          <w:rFonts w:asciiTheme="majorBidi" w:hAnsiTheme="majorBidi" w:cstheme="majorBidi"/>
          <w:b/>
          <w:bCs/>
          <w:color w:val="000000"/>
          <w:sz w:val="24"/>
          <w:szCs w:val="24"/>
          <w:rtl/>
          <w:lang w:val="id-ID" w:eastAsia="id-ID"/>
        </w:rPr>
        <w:t>فوق القانون</w:t>
      </w:r>
    </w:p>
    <w:p w14:paraId="3E99A866" w14:textId="7777777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 xml:space="preserve">The expression </w:t>
      </w:r>
      <w:r w:rsidRPr="00087735">
        <w:rPr>
          <w:rFonts w:asciiTheme="majorBidi" w:hAnsiTheme="majorBidi" w:cstheme="majorBidi"/>
          <w:color w:val="000000"/>
          <w:sz w:val="24"/>
          <w:szCs w:val="24"/>
          <w:rtl/>
          <w:lang w:val="id-ID" w:eastAsia="id-ID"/>
        </w:rPr>
        <w:t>فوق القانون</w:t>
      </w:r>
      <w:r w:rsidRPr="00087735">
        <w:rPr>
          <w:rFonts w:asciiTheme="majorBidi" w:hAnsiTheme="majorBidi" w:cstheme="majorBidi"/>
          <w:color w:val="000000"/>
          <w:sz w:val="24"/>
          <w:szCs w:val="24"/>
          <w:lang w:val="en-ID" w:eastAsia="id-ID"/>
        </w:rPr>
        <w:t xml:space="preserve"> means ‘above the law’ and is used to describe a person or party who is considered to be beyond the reach of the applicable rules. In this idiom, the vertical space metaphor ‘above’ describes the superiority of position or power that makes the law seem unable to reach them. This explanation is intended as a conceptual basis before the table presenting a comparison of the meanings of the idiom.</w:t>
      </w:r>
    </w:p>
    <w:tbl>
      <w:tblPr>
        <w:tblStyle w:val="PlainTable3"/>
        <w:tblW w:w="0" w:type="auto"/>
        <w:tblLook w:val="04A0" w:firstRow="1" w:lastRow="0" w:firstColumn="1" w:lastColumn="0" w:noHBand="0" w:noVBand="1"/>
      </w:tblPr>
      <w:tblGrid>
        <w:gridCol w:w="1887"/>
        <w:gridCol w:w="1277"/>
        <w:gridCol w:w="1588"/>
        <w:gridCol w:w="1887"/>
        <w:gridCol w:w="1865"/>
      </w:tblGrid>
      <w:tr w:rsidR="00087735" w:rsidRPr="00087735" w14:paraId="77E60047" w14:textId="77777777" w:rsidTr="00FE4EB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7DE1B76"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LANGUAGE</w:t>
            </w:r>
          </w:p>
        </w:tc>
        <w:tc>
          <w:tcPr>
            <w:tcW w:w="0" w:type="auto"/>
            <w:hideMark/>
          </w:tcPr>
          <w:p w14:paraId="0ED03F82"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 xml:space="preserve">IDIOM FORM   </w:t>
            </w:r>
          </w:p>
        </w:tc>
        <w:tc>
          <w:tcPr>
            <w:tcW w:w="0" w:type="auto"/>
            <w:hideMark/>
          </w:tcPr>
          <w:p w14:paraId="66211632"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LITERAL MEANING</w:t>
            </w:r>
          </w:p>
        </w:tc>
        <w:tc>
          <w:tcPr>
            <w:tcW w:w="0" w:type="auto"/>
            <w:hideMark/>
          </w:tcPr>
          <w:p w14:paraId="1E5D704E"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IDIOMATIC MEANING</w:t>
            </w:r>
          </w:p>
        </w:tc>
        <w:tc>
          <w:tcPr>
            <w:tcW w:w="0" w:type="auto"/>
            <w:hideMark/>
          </w:tcPr>
          <w:p w14:paraId="01AA28A5"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SEMANTIC NOTE</w:t>
            </w:r>
          </w:p>
        </w:tc>
      </w:tr>
      <w:tr w:rsidR="00087735" w:rsidRPr="00087735" w14:paraId="376937D3" w14:textId="77777777" w:rsidTr="00FE4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A5A8CB"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 xml:space="preserve">ARABIC  </w:t>
            </w:r>
          </w:p>
        </w:tc>
        <w:tc>
          <w:tcPr>
            <w:tcW w:w="0" w:type="auto"/>
            <w:hideMark/>
          </w:tcPr>
          <w:p w14:paraId="674942A5"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rtl/>
                <w:lang w:val="id-ID" w:eastAsia="id-ID"/>
              </w:rPr>
              <w:t>فوق القانون</w:t>
            </w:r>
          </w:p>
        </w:tc>
        <w:tc>
          <w:tcPr>
            <w:tcW w:w="0" w:type="auto"/>
            <w:hideMark/>
          </w:tcPr>
          <w:p w14:paraId="008E980D"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i/>
                <w:iCs/>
                <w:color w:val="000000"/>
                <w:sz w:val="24"/>
                <w:szCs w:val="24"/>
                <w:lang w:val="id-ID" w:eastAsia="id-ID"/>
              </w:rPr>
              <w:t>above the law</w:t>
            </w:r>
          </w:p>
        </w:tc>
        <w:tc>
          <w:tcPr>
            <w:tcW w:w="0" w:type="auto"/>
            <w:hideMark/>
          </w:tcPr>
          <w:p w14:paraId="796BD19B"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a person to whom the law does not apply</w:t>
            </w:r>
          </w:p>
        </w:tc>
        <w:tc>
          <w:tcPr>
            <w:tcW w:w="0" w:type="auto"/>
            <w:hideMark/>
          </w:tcPr>
          <w:p w14:paraId="385531EE"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Uses the vertical spatial metaphor ‘above’ to indicate a position higher than the legal system, so that the law does not reach them.</w:t>
            </w:r>
          </w:p>
        </w:tc>
      </w:tr>
      <w:tr w:rsidR="00087735" w:rsidRPr="00087735" w14:paraId="489F3432" w14:textId="77777777" w:rsidTr="00FE4EB7">
        <w:tc>
          <w:tcPr>
            <w:cnfStyle w:val="001000000000" w:firstRow="0" w:lastRow="0" w:firstColumn="1" w:lastColumn="0" w:oddVBand="0" w:evenVBand="0" w:oddHBand="0" w:evenHBand="0" w:firstRowFirstColumn="0" w:firstRowLastColumn="0" w:lastRowFirstColumn="0" w:lastRowLastColumn="0"/>
            <w:tcW w:w="0" w:type="auto"/>
            <w:hideMark/>
          </w:tcPr>
          <w:p w14:paraId="5A8F749D"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ENGLISH</w:t>
            </w:r>
          </w:p>
        </w:tc>
        <w:tc>
          <w:tcPr>
            <w:tcW w:w="0" w:type="auto"/>
            <w:hideMark/>
          </w:tcPr>
          <w:p w14:paraId="4C799881"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lang w:val="id-ID" w:eastAsia="id-ID"/>
              </w:rPr>
              <w:t>above the law</w:t>
            </w:r>
          </w:p>
        </w:tc>
        <w:tc>
          <w:tcPr>
            <w:tcW w:w="0" w:type="auto"/>
            <w:hideMark/>
          </w:tcPr>
          <w:p w14:paraId="6FDC7529"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above the law</w:t>
            </w:r>
          </w:p>
        </w:tc>
        <w:tc>
          <w:tcPr>
            <w:tcW w:w="0" w:type="auto"/>
            <w:hideMark/>
          </w:tcPr>
          <w:p w14:paraId="7787A019"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a person who is immune to the law or places themselves</w:t>
            </w:r>
          </w:p>
        </w:tc>
        <w:tc>
          <w:tcPr>
            <w:tcW w:w="0" w:type="auto"/>
            <w:hideMark/>
          </w:tcPr>
          <w:p w14:paraId="2915E92D"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nl-NL" w:eastAsia="id-ID"/>
              </w:rPr>
            </w:pPr>
            <w:r w:rsidRPr="00087735">
              <w:rPr>
                <w:rFonts w:asciiTheme="majorBidi" w:hAnsiTheme="majorBidi" w:cstheme="majorBidi"/>
                <w:color w:val="000000"/>
                <w:sz w:val="24"/>
                <w:szCs w:val="24"/>
                <w:lang w:val="en-ID" w:eastAsia="id-ID"/>
              </w:rPr>
              <w:t xml:space="preserve">it    Similar to Arabic, uses the metaphor ‘above’ to indicate superiority over the rules. </w:t>
            </w:r>
            <w:r w:rsidRPr="00087735">
              <w:rPr>
                <w:rFonts w:asciiTheme="majorBidi" w:hAnsiTheme="majorBidi" w:cstheme="majorBidi"/>
                <w:color w:val="000000"/>
                <w:sz w:val="24"/>
                <w:szCs w:val="24"/>
                <w:lang w:val="nl-NL" w:eastAsia="id-ID"/>
              </w:rPr>
              <w:t>This idiom is common in legal and political contexts.</w:t>
            </w:r>
          </w:p>
        </w:tc>
      </w:tr>
      <w:tr w:rsidR="00087735" w:rsidRPr="00087735" w14:paraId="7D4CEF65" w14:textId="77777777" w:rsidTr="00FE4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A23BA1"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FRENCH</w:t>
            </w:r>
          </w:p>
        </w:tc>
        <w:tc>
          <w:tcPr>
            <w:tcW w:w="0" w:type="auto"/>
            <w:hideMark/>
          </w:tcPr>
          <w:p w14:paraId="50D664AE"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sv-SE" w:eastAsia="id-ID"/>
              </w:rPr>
            </w:pPr>
            <w:r w:rsidRPr="00087735">
              <w:rPr>
                <w:rFonts w:asciiTheme="majorBidi" w:hAnsiTheme="majorBidi" w:cstheme="majorBidi"/>
                <w:b/>
                <w:bCs/>
                <w:color w:val="000000"/>
                <w:sz w:val="24"/>
                <w:szCs w:val="24"/>
                <w:lang w:val="sv-SE" w:eastAsia="id-ID"/>
              </w:rPr>
              <w:t>au-dessus de la loi</w:t>
            </w:r>
          </w:p>
        </w:tc>
        <w:tc>
          <w:tcPr>
            <w:tcW w:w="0" w:type="auto"/>
            <w:hideMark/>
          </w:tcPr>
          <w:p w14:paraId="4BE15535"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above the law</w:t>
            </w:r>
          </w:p>
        </w:tc>
        <w:tc>
          <w:tcPr>
            <w:tcW w:w="0" w:type="auto"/>
            <w:hideMark/>
          </w:tcPr>
          <w:p w14:paraId="1E8E9E9C"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not subject to the law, beyond the reach of the law</w:t>
            </w:r>
          </w:p>
        </w:tc>
        <w:tc>
          <w:tcPr>
            <w:tcW w:w="0" w:type="auto"/>
            <w:hideMark/>
          </w:tcPr>
          <w:p w14:paraId="60677DAB"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The structure and metaphor are identical to Arabic and English. ‘Au-dessus’ also contains the concept of verticality, which signifies power or legal privilege</w:t>
            </w:r>
          </w:p>
        </w:tc>
      </w:tr>
      <w:tr w:rsidR="00087735" w:rsidRPr="00087735" w14:paraId="21FFABE9" w14:textId="77777777" w:rsidTr="00FE4EB7">
        <w:tc>
          <w:tcPr>
            <w:cnfStyle w:val="001000000000" w:firstRow="0" w:lastRow="0" w:firstColumn="1" w:lastColumn="0" w:oddVBand="0" w:evenVBand="0" w:oddHBand="0" w:evenHBand="0" w:firstRowFirstColumn="0" w:firstRowLastColumn="0" w:lastRowFirstColumn="0" w:lastRowLastColumn="0"/>
            <w:tcW w:w="0" w:type="auto"/>
            <w:hideMark/>
          </w:tcPr>
          <w:p w14:paraId="0B88F393"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Indonesia</w:t>
            </w:r>
          </w:p>
        </w:tc>
        <w:tc>
          <w:tcPr>
            <w:tcW w:w="0" w:type="auto"/>
            <w:hideMark/>
          </w:tcPr>
          <w:p w14:paraId="1FF507E0"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lang w:val="id-ID" w:eastAsia="id-ID"/>
              </w:rPr>
              <w:t>kebal hukum</w:t>
            </w:r>
          </w:p>
        </w:tc>
        <w:tc>
          <w:tcPr>
            <w:tcW w:w="0" w:type="auto"/>
            <w:hideMark/>
          </w:tcPr>
          <w:p w14:paraId="163BDC11"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(not literal) ‘immune to the law’</w:t>
            </w:r>
          </w:p>
        </w:tc>
        <w:tc>
          <w:tcPr>
            <w:tcW w:w="0" w:type="auto"/>
            <w:hideMark/>
          </w:tcPr>
          <w:p w14:paraId="11763ACA"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sv-SE" w:eastAsia="id-ID"/>
              </w:rPr>
            </w:pPr>
            <w:r w:rsidRPr="00087735">
              <w:rPr>
                <w:rFonts w:asciiTheme="majorBidi" w:hAnsiTheme="majorBidi" w:cstheme="majorBidi"/>
                <w:color w:val="000000"/>
                <w:sz w:val="24"/>
                <w:szCs w:val="24"/>
                <w:lang w:val="sv-SE" w:eastAsia="id-ID"/>
              </w:rPr>
              <w:t>hukum tidak berlaku padanya, tidak tersentuh hukum</w:t>
            </w:r>
          </w:p>
        </w:tc>
        <w:tc>
          <w:tcPr>
            <w:tcW w:w="0" w:type="auto"/>
            <w:hideMark/>
          </w:tcPr>
          <w:p w14:paraId="7FBA1D36"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en-ID" w:eastAsia="id-ID"/>
              </w:rPr>
              <w:t xml:space="preserve">the law does not apply to them, untouched by the law    </w:t>
            </w:r>
            <w:r w:rsidRPr="00087735">
              <w:rPr>
                <w:rFonts w:asciiTheme="majorBidi" w:hAnsiTheme="majorBidi" w:cstheme="majorBidi"/>
                <w:color w:val="000000"/>
                <w:sz w:val="24"/>
                <w:szCs w:val="24"/>
                <w:lang w:val="en-ID" w:eastAsia="id-ID"/>
              </w:rPr>
              <w:lastRenderedPageBreak/>
              <w:t xml:space="preserve">Indonesian does not use the ‘above–below’ metaphor, but rather the ‘immune’ (immunity) metaphor, like a body immune to disease → the law has no effect. </w:t>
            </w:r>
            <w:r w:rsidRPr="00087735">
              <w:rPr>
                <w:rFonts w:asciiTheme="majorBidi" w:hAnsiTheme="majorBidi" w:cstheme="majorBidi"/>
                <w:color w:val="000000"/>
                <w:sz w:val="24"/>
                <w:szCs w:val="24"/>
                <w:lang w:val="sv-SE" w:eastAsia="id-ID"/>
              </w:rPr>
              <w:t>Most idiomatic and natural.</w:t>
            </w:r>
          </w:p>
        </w:tc>
      </w:tr>
    </w:tbl>
    <w:p w14:paraId="6872D6E5" w14:textId="7777777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en-ID" w:eastAsia="id-ID"/>
        </w:rPr>
      </w:pPr>
    </w:p>
    <w:p w14:paraId="18AAF373" w14:textId="77777777" w:rsidR="00087735" w:rsidRPr="00087735" w:rsidRDefault="00087735" w:rsidP="00087735">
      <w:pPr>
        <w:numPr>
          <w:ilvl w:val="0"/>
          <w:numId w:val="42"/>
        </w:numPr>
        <w:autoSpaceDE w:val="0"/>
        <w:autoSpaceDN w:val="0"/>
        <w:adjustRightInd w:val="0"/>
        <w:spacing w:after="0" w:line="240" w:lineRule="auto"/>
        <w:ind w:leftChars="-1" w:left="0" w:hangingChars="1" w:hanging="2"/>
        <w:jc w:val="both"/>
        <w:rPr>
          <w:rFonts w:asciiTheme="majorBidi" w:hAnsiTheme="majorBidi" w:cstheme="majorBidi"/>
          <w:b/>
          <w:bCs/>
          <w:color w:val="000000"/>
          <w:sz w:val="24"/>
          <w:szCs w:val="24"/>
          <w:lang w:val="sv-SE" w:eastAsia="id-ID"/>
        </w:rPr>
      </w:pPr>
      <w:r w:rsidRPr="00087735">
        <w:rPr>
          <w:rFonts w:asciiTheme="majorBidi" w:hAnsiTheme="majorBidi" w:cstheme="majorBidi"/>
          <w:b/>
          <w:bCs/>
          <w:color w:val="000000"/>
          <w:sz w:val="24"/>
          <w:szCs w:val="24"/>
          <w:rtl/>
          <w:lang w:val="id-ID" w:eastAsia="id-ID"/>
        </w:rPr>
        <w:t>فرصة ذهبية</w:t>
      </w:r>
    </w:p>
    <w:p w14:paraId="714A3799" w14:textId="7777777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sv-SE" w:eastAsia="id-ID"/>
        </w:rPr>
        <w:t xml:space="preserve">The idiom </w:t>
      </w:r>
      <w:r w:rsidRPr="00087735">
        <w:rPr>
          <w:rFonts w:asciiTheme="majorBidi" w:hAnsiTheme="majorBidi" w:cstheme="majorBidi"/>
          <w:color w:val="000000"/>
          <w:sz w:val="24"/>
          <w:szCs w:val="24"/>
          <w:rtl/>
          <w:lang w:val="id-ID" w:eastAsia="id-ID"/>
        </w:rPr>
        <w:t>فرصة ذهبية</w:t>
      </w:r>
      <w:r w:rsidRPr="00087735">
        <w:rPr>
          <w:rFonts w:asciiTheme="majorBidi" w:hAnsiTheme="majorBidi" w:cstheme="majorBidi"/>
          <w:color w:val="000000"/>
          <w:sz w:val="24"/>
          <w:szCs w:val="24"/>
          <w:lang w:val="sv-SE" w:eastAsia="id-ID"/>
        </w:rPr>
        <w:t xml:space="preserve"> literally means ‘golden opportunity’. In Arabic tradition, gold is understood as a symbol of high value, scarcity, and honour, so this idiom refers to a very valuable and rare opportunity. </w:t>
      </w:r>
      <w:r w:rsidRPr="00087735">
        <w:rPr>
          <w:rFonts w:asciiTheme="majorBidi" w:hAnsiTheme="majorBidi" w:cstheme="majorBidi"/>
          <w:color w:val="000000"/>
          <w:sz w:val="24"/>
          <w:szCs w:val="24"/>
          <w:lang w:val="en-ID" w:eastAsia="id-ID"/>
        </w:rPr>
        <w:t>This explanation serves to provide an initial overview of the idiomatic meaning before a comparative mapping is carried out in the following table.</w:t>
      </w:r>
    </w:p>
    <w:tbl>
      <w:tblPr>
        <w:tblStyle w:val="PlainTable3"/>
        <w:tblW w:w="0" w:type="auto"/>
        <w:tblLook w:val="04A0" w:firstRow="1" w:lastRow="0" w:firstColumn="1" w:lastColumn="0" w:noHBand="0" w:noVBand="1"/>
      </w:tblPr>
      <w:tblGrid>
        <w:gridCol w:w="1810"/>
        <w:gridCol w:w="1657"/>
        <w:gridCol w:w="1518"/>
        <w:gridCol w:w="1798"/>
        <w:gridCol w:w="1721"/>
      </w:tblGrid>
      <w:tr w:rsidR="00087735" w:rsidRPr="00087735" w14:paraId="2B61A760" w14:textId="77777777" w:rsidTr="00FE4EB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4743EAF5"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LANGUAGE</w:t>
            </w:r>
          </w:p>
        </w:tc>
        <w:tc>
          <w:tcPr>
            <w:tcW w:w="0" w:type="auto"/>
            <w:hideMark/>
          </w:tcPr>
          <w:p w14:paraId="139994F2"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 xml:space="preserve">IDIOM FORM   </w:t>
            </w:r>
          </w:p>
        </w:tc>
        <w:tc>
          <w:tcPr>
            <w:tcW w:w="0" w:type="auto"/>
            <w:hideMark/>
          </w:tcPr>
          <w:p w14:paraId="05F3B686"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LITERAL MEANING</w:t>
            </w:r>
          </w:p>
        </w:tc>
        <w:tc>
          <w:tcPr>
            <w:tcW w:w="0" w:type="auto"/>
            <w:hideMark/>
          </w:tcPr>
          <w:p w14:paraId="71ADE567"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IDIOMATIC MEANING</w:t>
            </w:r>
          </w:p>
        </w:tc>
        <w:tc>
          <w:tcPr>
            <w:tcW w:w="0" w:type="auto"/>
            <w:hideMark/>
          </w:tcPr>
          <w:p w14:paraId="37469F7F"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SEMANTIC NOTE</w:t>
            </w:r>
          </w:p>
        </w:tc>
      </w:tr>
      <w:tr w:rsidR="00087735" w:rsidRPr="00087735" w14:paraId="0EE1499B" w14:textId="77777777" w:rsidTr="00FE4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5ED85A"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 xml:space="preserve">ARABIC  </w:t>
            </w:r>
          </w:p>
        </w:tc>
        <w:tc>
          <w:tcPr>
            <w:tcW w:w="0" w:type="auto"/>
            <w:hideMark/>
          </w:tcPr>
          <w:p w14:paraId="3D9EE3AA"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rtl/>
                <w:lang w:val="id-ID" w:eastAsia="id-ID"/>
              </w:rPr>
              <w:t>فرصة ذهبية</w:t>
            </w:r>
          </w:p>
        </w:tc>
        <w:tc>
          <w:tcPr>
            <w:tcW w:w="0" w:type="auto"/>
            <w:hideMark/>
          </w:tcPr>
          <w:p w14:paraId="1390CAF9"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i/>
                <w:iCs/>
                <w:color w:val="000000"/>
                <w:sz w:val="24"/>
                <w:szCs w:val="24"/>
                <w:lang w:val="id-ID" w:eastAsia="id-ID"/>
              </w:rPr>
              <w:t>golden opportunity</w:t>
            </w:r>
          </w:p>
        </w:tc>
        <w:tc>
          <w:tcPr>
            <w:tcW w:w="0" w:type="auto"/>
            <w:hideMark/>
          </w:tcPr>
          <w:p w14:paraId="34C7809C"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a very valuable and rare opportunity</w:t>
            </w:r>
          </w:p>
        </w:tc>
        <w:tc>
          <w:tcPr>
            <w:tcW w:w="0" w:type="auto"/>
            <w:hideMark/>
          </w:tcPr>
          <w:p w14:paraId="649DA574"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Uses the metaphor of gold (</w:t>
            </w:r>
            <w:r w:rsidRPr="00087735">
              <w:rPr>
                <w:rFonts w:asciiTheme="majorBidi" w:hAnsiTheme="majorBidi" w:cstheme="majorBidi"/>
                <w:color w:val="000000"/>
                <w:sz w:val="24"/>
                <w:szCs w:val="24"/>
                <w:rtl/>
                <w:lang w:val="id-ID" w:eastAsia="id-ID"/>
              </w:rPr>
              <w:t>الذهب</w:t>
            </w:r>
            <w:r w:rsidRPr="00087735">
              <w:rPr>
                <w:rFonts w:asciiTheme="majorBidi" w:hAnsiTheme="majorBidi" w:cstheme="majorBidi"/>
                <w:color w:val="000000"/>
                <w:sz w:val="24"/>
                <w:szCs w:val="24"/>
                <w:lang w:val="en-ID" w:eastAsia="id-ID"/>
              </w:rPr>
              <w:t>) as a symbol of high value and rarity. In Arab culture, gold is often used as a symbol of honour and great opportunity.</w:t>
            </w:r>
          </w:p>
        </w:tc>
      </w:tr>
      <w:tr w:rsidR="00087735" w:rsidRPr="00087735" w14:paraId="230667F7" w14:textId="77777777" w:rsidTr="00FE4EB7">
        <w:tc>
          <w:tcPr>
            <w:cnfStyle w:val="001000000000" w:firstRow="0" w:lastRow="0" w:firstColumn="1" w:lastColumn="0" w:oddVBand="0" w:evenVBand="0" w:oddHBand="0" w:evenHBand="0" w:firstRowFirstColumn="0" w:firstRowLastColumn="0" w:lastRowFirstColumn="0" w:lastRowLastColumn="0"/>
            <w:tcW w:w="0" w:type="auto"/>
            <w:hideMark/>
          </w:tcPr>
          <w:p w14:paraId="73D17973"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ENGLISH</w:t>
            </w:r>
          </w:p>
        </w:tc>
        <w:tc>
          <w:tcPr>
            <w:tcW w:w="0" w:type="auto"/>
            <w:hideMark/>
          </w:tcPr>
          <w:p w14:paraId="462D2F2E"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lang w:val="id-ID" w:eastAsia="id-ID"/>
              </w:rPr>
              <w:t>golden opportunity</w:t>
            </w:r>
          </w:p>
        </w:tc>
        <w:tc>
          <w:tcPr>
            <w:tcW w:w="0" w:type="auto"/>
            <w:hideMark/>
          </w:tcPr>
          <w:p w14:paraId="4E77E209"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golden opportunity</w:t>
            </w:r>
          </w:p>
        </w:tc>
        <w:tc>
          <w:tcPr>
            <w:tcW w:w="0" w:type="auto"/>
            <w:hideMark/>
          </w:tcPr>
          <w:p w14:paraId="68274371"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the best opportunity that rarely occurs</w:t>
            </w:r>
          </w:p>
        </w:tc>
        <w:tc>
          <w:tcPr>
            <w:tcW w:w="0" w:type="auto"/>
            <w:hideMark/>
          </w:tcPr>
          <w:p w14:paraId="45532D87"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Both use the metaphor of gold. English often uses valuable material elements to describe the importance of a moment.</w:t>
            </w:r>
          </w:p>
        </w:tc>
      </w:tr>
      <w:tr w:rsidR="00087735" w:rsidRPr="00087735" w14:paraId="72048100" w14:textId="77777777" w:rsidTr="00FE4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CF32FD"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FRENCH</w:t>
            </w:r>
          </w:p>
        </w:tc>
        <w:tc>
          <w:tcPr>
            <w:tcW w:w="0" w:type="auto"/>
            <w:hideMark/>
          </w:tcPr>
          <w:p w14:paraId="72E3FFF4"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lang w:val="id-ID" w:eastAsia="id-ID"/>
              </w:rPr>
              <w:t>occasion en or</w:t>
            </w:r>
          </w:p>
        </w:tc>
        <w:tc>
          <w:tcPr>
            <w:tcW w:w="0" w:type="auto"/>
            <w:hideMark/>
          </w:tcPr>
          <w:p w14:paraId="2FDF30FF"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golden opportunity</w:t>
            </w:r>
          </w:p>
        </w:tc>
        <w:tc>
          <w:tcPr>
            <w:tcW w:w="0" w:type="auto"/>
            <w:hideMark/>
          </w:tcPr>
          <w:p w14:paraId="20677C22"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 xml:space="preserve">an extraordinary opportunity that </w:t>
            </w:r>
            <w:r w:rsidRPr="00087735">
              <w:rPr>
                <w:rFonts w:asciiTheme="majorBidi" w:hAnsiTheme="majorBidi" w:cstheme="majorBidi"/>
                <w:color w:val="000000"/>
                <w:sz w:val="24"/>
                <w:szCs w:val="24"/>
                <w:lang w:val="en-ID" w:eastAsia="id-ID"/>
              </w:rPr>
              <w:lastRenderedPageBreak/>
              <w:t xml:space="preserve">should not be wasted  </w:t>
            </w:r>
          </w:p>
        </w:tc>
        <w:tc>
          <w:tcPr>
            <w:tcW w:w="0" w:type="auto"/>
            <w:hideMark/>
          </w:tcPr>
          <w:p w14:paraId="3D11E17E"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lastRenderedPageBreak/>
              <w:t xml:space="preserve">The metaphor of gold is also used. The use </w:t>
            </w:r>
            <w:r w:rsidRPr="00087735">
              <w:rPr>
                <w:rFonts w:asciiTheme="majorBidi" w:hAnsiTheme="majorBidi" w:cstheme="majorBidi"/>
                <w:color w:val="000000"/>
                <w:sz w:val="24"/>
                <w:szCs w:val="24"/>
                <w:lang w:val="en-ID" w:eastAsia="id-ID"/>
              </w:rPr>
              <w:lastRenderedPageBreak/>
              <w:t>of ‘</w:t>
            </w:r>
            <w:proofErr w:type="spellStart"/>
            <w:r w:rsidRPr="00087735">
              <w:rPr>
                <w:rFonts w:asciiTheme="majorBidi" w:hAnsiTheme="majorBidi" w:cstheme="majorBidi"/>
                <w:color w:val="000000"/>
                <w:sz w:val="24"/>
                <w:szCs w:val="24"/>
                <w:lang w:val="en-ID" w:eastAsia="id-ID"/>
              </w:rPr>
              <w:t>en</w:t>
            </w:r>
            <w:proofErr w:type="spellEnd"/>
            <w:r w:rsidRPr="00087735">
              <w:rPr>
                <w:rFonts w:asciiTheme="majorBidi" w:hAnsiTheme="majorBidi" w:cstheme="majorBidi"/>
                <w:color w:val="000000"/>
                <w:sz w:val="24"/>
                <w:szCs w:val="24"/>
                <w:lang w:val="en-ID" w:eastAsia="id-ID"/>
              </w:rPr>
              <w:t xml:space="preserve"> or’ follows the French language pattern of placing high value on opportunities.</w:t>
            </w:r>
          </w:p>
        </w:tc>
      </w:tr>
      <w:tr w:rsidR="00087735" w:rsidRPr="00087735" w14:paraId="78B5F365" w14:textId="77777777" w:rsidTr="00FE4EB7">
        <w:tc>
          <w:tcPr>
            <w:cnfStyle w:val="001000000000" w:firstRow="0" w:lastRow="0" w:firstColumn="1" w:lastColumn="0" w:oddVBand="0" w:evenVBand="0" w:oddHBand="0" w:evenHBand="0" w:firstRowFirstColumn="0" w:firstRowLastColumn="0" w:lastRowFirstColumn="0" w:lastRowLastColumn="0"/>
            <w:tcW w:w="0" w:type="auto"/>
            <w:hideMark/>
          </w:tcPr>
          <w:p w14:paraId="31D5E239"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lastRenderedPageBreak/>
              <w:t>Indonesia</w:t>
            </w:r>
          </w:p>
        </w:tc>
        <w:tc>
          <w:tcPr>
            <w:tcW w:w="0" w:type="auto"/>
            <w:hideMark/>
          </w:tcPr>
          <w:p w14:paraId="75547D0B"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lang w:val="id-ID" w:eastAsia="id-ID"/>
              </w:rPr>
              <w:t>kesempatan emas</w:t>
            </w:r>
          </w:p>
        </w:tc>
        <w:tc>
          <w:tcPr>
            <w:tcW w:w="0" w:type="auto"/>
            <w:hideMark/>
          </w:tcPr>
          <w:p w14:paraId="454E151E"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an opportunity of great value</w:t>
            </w:r>
          </w:p>
        </w:tc>
        <w:tc>
          <w:tcPr>
            <w:tcW w:w="0" w:type="auto"/>
            <w:hideMark/>
          </w:tcPr>
          <w:p w14:paraId="5F8CFF21"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id-ID" w:eastAsia="id-ID"/>
              </w:rPr>
              <w:t>a highly valuable and rare opportunity</w:t>
            </w:r>
          </w:p>
        </w:tc>
        <w:tc>
          <w:tcPr>
            <w:tcW w:w="0" w:type="auto"/>
            <w:hideMark/>
          </w:tcPr>
          <w:p w14:paraId="3F249005"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The idiom is directly identical to Arabic and English. Indonesian also uses the metaphor of gold as a symbol of high value and opportunities that are difficult to repeat.</w:t>
            </w:r>
          </w:p>
        </w:tc>
      </w:tr>
    </w:tbl>
    <w:p w14:paraId="774752E3" w14:textId="7777777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id-ID" w:eastAsia="id-ID"/>
        </w:rPr>
      </w:pPr>
    </w:p>
    <w:p w14:paraId="0643CF92" w14:textId="7777777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en-ID" w:eastAsia="id-ID"/>
        </w:rPr>
      </w:pPr>
    </w:p>
    <w:p w14:paraId="727EC650" w14:textId="77777777" w:rsidR="00087735" w:rsidRPr="00087735" w:rsidRDefault="00087735" w:rsidP="00087735">
      <w:pPr>
        <w:numPr>
          <w:ilvl w:val="0"/>
          <w:numId w:val="42"/>
        </w:numPr>
        <w:autoSpaceDE w:val="0"/>
        <w:autoSpaceDN w:val="0"/>
        <w:adjustRightInd w:val="0"/>
        <w:spacing w:after="0" w:line="240" w:lineRule="auto"/>
        <w:ind w:leftChars="-1" w:left="0" w:hangingChars="1" w:hanging="2"/>
        <w:jc w:val="both"/>
        <w:rPr>
          <w:rFonts w:asciiTheme="majorBidi" w:hAnsiTheme="majorBidi" w:cstheme="majorBidi"/>
          <w:b/>
          <w:bCs/>
          <w:color w:val="000000"/>
          <w:sz w:val="24"/>
          <w:szCs w:val="24"/>
          <w:lang w:val="en-ID" w:eastAsia="id-ID"/>
        </w:rPr>
      </w:pPr>
      <w:r w:rsidRPr="00087735">
        <w:rPr>
          <w:rFonts w:asciiTheme="majorBidi" w:hAnsiTheme="majorBidi" w:cstheme="majorBidi"/>
          <w:b/>
          <w:bCs/>
          <w:color w:val="000000"/>
          <w:sz w:val="24"/>
          <w:szCs w:val="24"/>
          <w:rtl/>
          <w:lang w:val="id-ID" w:eastAsia="id-ID"/>
        </w:rPr>
        <w:t>فكّر مرتين</w:t>
      </w:r>
    </w:p>
    <w:p w14:paraId="048AE6B3" w14:textId="7777777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 xml:space="preserve">The expression </w:t>
      </w:r>
      <w:r w:rsidRPr="00087735">
        <w:rPr>
          <w:rFonts w:asciiTheme="majorBidi" w:hAnsiTheme="majorBidi" w:cstheme="majorBidi"/>
          <w:color w:val="000000"/>
          <w:sz w:val="24"/>
          <w:szCs w:val="24"/>
          <w:rtl/>
          <w:lang w:val="id-ID" w:eastAsia="id-ID"/>
        </w:rPr>
        <w:t>فكّر مرتين</w:t>
      </w:r>
      <w:r w:rsidRPr="00087735">
        <w:rPr>
          <w:rFonts w:asciiTheme="majorBidi" w:hAnsiTheme="majorBidi" w:cstheme="majorBidi"/>
          <w:color w:val="000000"/>
          <w:sz w:val="24"/>
          <w:szCs w:val="24"/>
          <w:lang w:val="en-ID" w:eastAsia="id-ID"/>
        </w:rPr>
        <w:t xml:space="preserve"> means ‘think twice’ and is used in Arabic as a form of exhortation for someone to reconsider before making a decision. The use of the number ‘two’ in this idiom is not literal, but serves to emphasise the importance of caution. This brief explanation serves as an introduction to the table that outlines the equivalent idiomatic meanings.</w:t>
      </w:r>
    </w:p>
    <w:tbl>
      <w:tblPr>
        <w:tblStyle w:val="PlainTable5"/>
        <w:tblW w:w="0" w:type="auto"/>
        <w:tblLayout w:type="fixed"/>
        <w:tblLook w:val="04A0" w:firstRow="1" w:lastRow="0" w:firstColumn="1" w:lastColumn="0" w:noHBand="0" w:noVBand="1"/>
      </w:tblPr>
      <w:tblGrid>
        <w:gridCol w:w="1276"/>
        <w:gridCol w:w="1816"/>
        <w:gridCol w:w="1444"/>
        <w:gridCol w:w="1768"/>
        <w:gridCol w:w="1647"/>
      </w:tblGrid>
      <w:tr w:rsidR="00087735" w:rsidRPr="00087735" w14:paraId="23B9FE47" w14:textId="77777777" w:rsidTr="00FE4EB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76" w:type="dxa"/>
            <w:hideMark/>
          </w:tcPr>
          <w:p w14:paraId="5FC10969" w14:textId="77777777" w:rsidR="00087735" w:rsidRPr="00087735" w:rsidRDefault="00087735" w:rsidP="00087735">
            <w:pPr>
              <w:autoSpaceDE w:val="0"/>
              <w:autoSpaceDN w:val="0"/>
              <w:adjustRightInd w:val="0"/>
              <w:ind w:firstLine="284"/>
              <w:jc w:val="both"/>
              <w:rPr>
                <w:rFonts w:asciiTheme="majorBidi" w:hAnsiTheme="majorBidi" w:cstheme="majorBidi"/>
                <w:b/>
                <w:bCs/>
                <w:color w:val="000000"/>
                <w:sz w:val="24"/>
                <w:szCs w:val="24"/>
                <w:lang w:val="id-ID" w:eastAsia="id-ID"/>
              </w:rPr>
            </w:pPr>
            <w:r w:rsidRPr="00087735">
              <w:rPr>
                <w:rFonts w:asciiTheme="majorBidi" w:hAnsiTheme="majorBidi" w:cstheme="majorBidi"/>
                <w:b/>
                <w:bCs/>
                <w:color w:val="000000"/>
                <w:sz w:val="24"/>
                <w:szCs w:val="24"/>
                <w:lang w:val="id-ID" w:eastAsia="id-ID"/>
              </w:rPr>
              <w:t>LANGUAGE</w:t>
            </w:r>
          </w:p>
        </w:tc>
        <w:tc>
          <w:tcPr>
            <w:tcW w:w="1816" w:type="dxa"/>
            <w:hideMark/>
          </w:tcPr>
          <w:p w14:paraId="0B92FDAE"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lang w:val="id-ID" w:eastAsia="id-ID"/>
              </w:rPr>
            </w:pPr>
            <w:r w:rsidRPr="00087735">
              <w:rPr>
                <w:rFonts w:asciiTheme="majorBidi" w:hAnsiTheme="majorBidi" w:cstheme="majorBidi"/>
                <w:b/>
                <w:bCs/>
                <w:color w:val="000000"/>
                <w:sz w:val="24"/>
                <w:szCs w:val="24"/>
                <w:lang w:val="id-ID" w:eastAsia="id-ID"/>
              </w:rPr>
              <w:t xml:space="preserve">IDIOM FORM   </w:t>
            </w:r>
          </w:p>
        </w:tc>
        <w:tc>
          <w:tcPr>
            <w:tcW w:w="1444" w:type="dxa"/>
            <w:hideMark/>
          </w:tcPr>
          <w:p w14:paraId="211AAB58"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lang w:val="id-ID" w:eastAsia="id-ID"/>
              </w:rPr>
            </w:pPr>
            <w:r w:rsidRPr="00087735">
              <w:rPr>
                <w:rFonts w:asciiTheme="majorBidi" w:hAnsiTheme="majorBidi" w:cstheme="majorBidi"/>
                <w:b/>
                <w:bCs/>
                <w:color w:val="000000"/>
                <w:sz w:val="24"/>
                <w:szCs w:val="24"/>
                <w:lang w:val="id-ID" w:eastAsia="id-ID"/>
              </w:rPr>
              <w:t>LITERAL MEANING</w:t>
            </w:r>
          </w:p>
        </w:tc>
        <w:tc>
          <w:tcPr>
            <w:tcW w:w="1768" w:type="dxa"/>
            <w:hideMark/>
          </w:tcPr>
          <w:p w14:paraId="172C0C1D"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lang w:val="id-ID" w:eastAsia="id-ID"/>
              </w:rPr>
            </w:pPr>
            <w:r w:rsidRPr="00087735">
              <w:rPr>
                <w:rFonts w:asciiTheme="majorBidi" w:hAnsiTheme="majorBidi" w:cstheme="majorBidi"/>
                <w:b/>
                <w:bCs/>
                <w:color w:val="000000"/>
                <w:sz w:val="24"/>
                <w:szCs w:val="24"/>
                <w:lang w:val="id-ID" w:eastAsia="id-ID"/>
              </w:rPr>
              <w:t>IDIOMATIC MEANING</w:t>
            </w:r>
          </w:p>
        </w:tc>
        <w:tc>
          <w:tcPr>
            <w:tcW w:w="1647" w:type="dxa"/>
            <w:hideMark/>
          </w:tcPr>
          <w:p w14:paraId="0FD97068"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000000"/>
                <w:sz w:val="24"/>
                <w:szCs w:val="24"/>
                <w:lang w:val="id-ID" w:eastAsia="id-ID"/>
              </w:rPr>
            </w:pPr>
            <w:r w:rsidRPr="00087735">
              <w:rPr>
                <w:rFonts w:asciiTheme="majorBidi" w:hAnsiTheme="majorBidi" w:cstheme="majorBidi"/>
                <w:b/>
                <w:bCs/>
                <w:color w:val="000000"/>
                <w:sz w:val="24"/>
                <w:szCs w:val="24"/>
                <w:lang w:val="id-ID" w:eastAsia="id-ID"/>
              </w:rPr>
              <w:t>SEMANTIC NOTE</w:t>
            </w:r>
          </w:p>
        </w:tc>
      </w:tr>
      <w:tr w:rsidR="00087735" w:rsidRPr="00087735" w14:paraId="113A4A0B" w14:textId="77777777" w:rsidTr="00FE4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hideMark/>
          </w:tcPr>
          <w:p w14:paraId="315CC1FC" w14:textId="77777777" w:rsidR="00087735" w:rsidRPr="00087735" w:rsidRDefault="00087735" w:rsidP="00087735">
            <w:pPr>
              <w:autoSpaceDE w:val="0"/>
              <w:autoSpaceDN w:val="0"/>
              <w:adjustRightInd w:val="0"/>
              <w:ind w:firstLine="284"/>
              <w:jc w:val="both"/>
              <w:rPr>
                <w:rFonts w:asciiTheme="majorBidi" w:hAnsiTheme="majorBidi" w:cstheme="majorBidi"/>
                <w:b/>
                <w:bCs/>
                <w:color w:val="000000"/>
                <w:sz w:val="24"/>
                <w:szCs w:val="24"/>
                <w:lang w:val="id-ID" w:eastAsia="id-ID"/>
              </w:rPr>
            </w:pPr>
            <w:r w:rsidRPr="00087735">
              <w:rPr>
                <w:rFonts w:asciiTheme="majorBidi" w:hAnsiTheme="majorBidi" w:cstheme="majorBidi"/>
                <w:b/>
                <w:bCs/>
                <w:color w:val="000000"/>
                <w:sz w:val="24"/>
                <w:szCs w:val="24"/>
                <w:lang w:val="id-ID" w:eastAsia="id-ID"/>
              </w:rPr>
              <w:t xml:space="preserve">ARABIC  </w:t>
            </w:r>
          </w:p>
        </w:tc>
        <w:tc>
          <w:tcPr>
            <w:tcW w:w="1816" w:type="dxa"/>
            <w:hideMark/>
          </w:tcPr>
          <w:p w14:paraId="4E8AB25E"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rtl/>
                <w:lang w:val="id-ID" w:eastAsia="id-ID"/>
              </w:rPr>
              <w:t>فكّر مرتين</w:t>
            </w:r>
          </w:p>
        </w:tc>
        <w:tc>
          <w:tcPr>
            <w:tcW w:w="1444" w:type="dxa"/>
            <w:hideMark/>
          </w:tcPr>
          <w:p w14:paraId="39E9A77A"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think twice</w:t>
            </w:r>
          </w:p>
        </w:tc>
        <w:tc>
          <w:tcPr>
            <w:tcW w:w="1768" w:type="dxa"/>
            <w:hideMark/>
          </w:tcPr>
          <w:p w14:paraId="53CAB94D"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reconsider, do not act rashly</w:t>
            </w:r>
          </w:p>
        </w:tc>
        <w:tc>
          <w:tcPr>
            <w:tcW w:w="1647" w:type="dxa"/>
            <w:hideMark/>
          </w:tcPr>
          <w:p w14:paraId="2333B1D7"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Emphasises the process of rethinking, indicating extra caution before acting.</w:t>
            </w:r>
          </w:p>
        </w:tc>
      </w:tr>
      <w:tr w:rsidR="00087735" w:rsidRPr="00087735" w14:paraId="4FC782DC" w14:textId="77777777" w:rsidTr="00FE4EB7">
        <w:tc>
          <w:tcPr>
            <w:cnfStyle w:val="001000000000" w:firstRow="0" w:lastRow="0" w:firstColumn="1" w:lastColumn="0" w:oddVBand="0" w:evenVBand="0" w:oddHBand="0" w:evenHBand="0" w:firstRowFirstColumn="0" w:firstRowLastColumn="0" w:lastRowFirstColumn="0" w:lastRowLastColumn="0"/>
            <w:tcW w:w="1276" w:type="dxa"/>
            <w:hideMark/>
          </w:tcPr>
          <w:p w14:paraId="04373FAC" w14:textId="77777777" w:rsidR="00087735" w:rsidRPr="00087735" w:rsidRDefault="00087735" w:rsidP="00087735">
            <w:pPr>
              <w:autoSpaceDE w:val="0"/>
              <w:autoSpaceDN w:val="0"/>
              <w:adjustRightInd w:val="0"/>
              <w:ind w:firstLine="284"/>
              <w:jc w:val="both"/>
              <w:rPr>
                <w:rFonts w:asciiTheme="majorBidi" w:hAnsiTheme="majorBidi" w:cstheme="majorBidi"/>
                <w:b/>
                <w:bCs/>
                <w:color w:val="000000"/>
                <w:sz w:val="24"/>
                <w:szCs w:val="24"/>
                <w:lang w:val="id-ID" w:eastAsia="id-ID"/>
              </w:rPr>
            </w:pPr>
            <w:r w:rsidRPr="00087735">
              <w:rPr>
                <w:rFonts w:asciiTheme="majorBidi" w:hAnsiTheme="majorBidi" w:cstheme="majorBidi"/>
                <w:b/>
                <w:bCs/>
                <w:color w:val="000000"/>
                <w:sz w:val="24"/>
                <w:szCs w:val="24"/>
                <w:lang w:val="id-ID" w:eastAsia="id-ID"/>
              </w:rPr>
              <w:t>ENGLISH</w:t>
            </w:r>
          </w:p>
        </w:tc>
        <w:tc>
          <w:tcPr>
            <w:tcW w:w="1816" w:type="dxa"/>
            <w:hideMark/>
          </w:tcPr>
          <w:p w14:paraId="56925B63"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lang w:val="id-ID" w:eastAsia="id-ID"/>
              </w:rPr>
              <w:t>to think twice</w:t>
            </w:r>
          </w:p>
        </w:tc>
        <w:tc>
          <w:tcPr>
            <w:tcW w:w="1444" w:type="dxa"/>
            <w:hideMark/>
          </w:tcPr>
          <w:p w14:paraId="47C8BDC1"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think twice</w:t>
            </w:r>
          </w:p>
        </w:tc>
        <w:tc>
          <w:tcPr>
            <w:tcW w:w="1768" w:type="dxa"/>
            <w:hideMark/>
          </w:tcPr>
          <w:p w14:paraId="7B247851"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sv-SE" w:eastAsia="id-ID"/>
              </w:rPr>
            </w:pPr>
            <w:r w:rsidRPr="00087735">
              <w:rPr>
                <w:rFonts w:asciiTheme="majorBidi" w:hAnsiTheme="majorBidi" w:cstheme="majorBidi"/>
                <w:color w:val="000000"/>
                <w:sz w:val="24"/>
                <w:szCs w:val="24"/>
                <w:lang w:val="sv-SE" w:eastAsia="id-ID"/>
              </w:rPr>
              <w:t>consider carefully before deciding</w:t>
            </w:r>
          </w:p>
        </w:tc>
        <w:tc>
          <w:tcPr>
            <w:tcW w:w="1647" w:type="dxa"/>
            <w:hideMark/>
          </w:tcPr>
          <w:p w14:paraId="4128A826"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 xml:space="preserve">A common idiom in English that emphasises rethinking, often used in the context of caution or a </w:t>
            </w:r>
            <w:r w:rsidRPr="00087735">
              <w:rPr>
                <w:rFonts w:asciiTheme="majorBidi" w:hAnsiTheme="majorBidi" w:cstheme="majorBidi"/>
                <w:color w:val="000000"/>
                <w:sz w:val="24"/>
                <w:szCs w:val="24"/>
                <w:lang w:val="en-ID" w:eastAsia="id-ID"/>
              </w:rPr>
              <w:lastRenderedPageBreak/>
              <w:t>careful attitude.</w:t>
            </w:r>
          </w:p>
        </w:tc>
      </w:tr>
      <w:tr w:rsidR="00087735" w:rsidRPr="00087735" w14:paraId="1CD760C4" w14:textId="77777777" w:rsidTr="00FE4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hideMark/>
          </w:tcPr>
          <w:p w14:paraId="33F40F95" w14:textId="77777777" w:rsidR="00087735" w:rsidRPr="00087735" w:rsidRDefault="00087735" w:rsidP="00087735">
            <w:pPr>
              <w:autoSpaceDE w:val="0"/>
              <w:autoSpaceDN w:val="0"/>
              <w:adjustRightInd w:val="0"/>
              <w:ind w:firstLine="284"/>
              <w:jc w:val="both"/>
              <w:rPr>
                <w:rFonts w:asciiTheme="majorBidi" w:hAnsiTheme="majorBidi" w:cstheme="majorBidi"/>
                <w:b/>
                <w:bCs/>
                <w:color w:val="000000"/>
                <w:sz w:val="24"/>
                <w:szCs w:val="24"/>
                <w:lang w:val="id-ID" w:eastAsia="id-ID"/>
              </w:rPr>
            </w:pPr>
            <w:r w:rsidRPr="00087735">
              <w:rPr>
                <w:rFonts w:asciiTheme="majorBidi" w:hAnsiTheme="majorBidi" w:cstheme="majorBidi"/>
                <w:b/>
                <w:bCs/>
                <w:color w:val="000000"/>
                <w:sz w:val="24"/>
                <w:szCs w:val="24"/>
                <w:lang w:val="id-ID" w:eastAsia="id-ID"/>
              </w:rPr>
              <w:lastRenderedPageBreak/>
              <w:t>FRENCH</w:t>
            </w:r>
          </w:p>
        </w:tc>
        <w:tc>
          <w:tcPr>
            <w:tcW w:w="1816" w:type="dxa"/>
            <w:hideMark/>
          </w:tcPr>
          <w:p w14:paraId="3506A2EB"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lang w:val="id-ID" w:eastAsia="id-ID"/>
              </w:rPr>
              <w:t>réfléchir à deux fois</w:t>
            </w:r>
          </w:p>
        </w:tc>
        <w:tc>
          <w:tcPr>
            <w:tcW w:w="1444" w:type="dxa"/>
            <w:hideMark/>
          </w:tcPr>
          <w:p w14:paraId="5AA4D867"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think twice</w:t>
            </w:r>
          </w:p>
        </w:tc>
        <w:tc>
          <w:tcPr>
            <w:tcW w:w="1768" w:type="dxa"/>
            <w:hideMark/>
          </w:tcPr>
          <w:p w14:paraId="010EC8C1"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sv-SE" w:eastAsia="id-ID"/>
              </w:rPr>
            </w:pPr>
            <w:r w:rsidRPr="00087735">
              <w:rPr>
                <w:rFonts w:asciiTheme="majorBidi" w:hAnsiTheme="majorBidi" w:cstheme="majorBidi"/>
                <w:color w:val="000000"/>
                <w:sz w:val="24"/>
                <w:szCs w:val="24"/>
                <w:lang w:val="sv-SE" w:eastAsia="id-ID"/>
              </w:rPr>
              <w:t>to reconsider seriously</w:t>
            </w:r>
          </w:p>
        </w:tc>
        <w:tc>
          <w:tcPr>
            <w:tcW w:w="1647" w:type="dxa"/>
            <w:hideMark/>
          </w:tcPr>
          <w:p w14:paraId="2F3845B8"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Similar to English, it uses the number ‘two’ to describe the intensity of deeper thinking.</w:t>
            </w:r>
          </w:p>
        </w:tc>
      </w:tr>
      <w:tr w:rsidR="00087735" w:rsidRPr="00087735" w14:paraId="5E1215CC" w14:textId="77777777" w:rsidTr="00FE4EB7">
        <w:tc>
          <w:tcPr>
            <w:cnfStyle w:val="001000000000" w:firstRow="0" w:lastRow="0" w:firstColumn="1" w:lastColumn="0" w:oddVBand="0" w:evenVBand="0" w:oddHBand="0" w:evenHBand="0" w:firstRowFirstColumn="0" w:firstRowLastColumn="0" w:lastRowFirstColumn="0" w:lastRowLastColumn="0"/>
            <w:tcW w:w="1276" w:type="dxa"/>
            <w:hideMark/>
          </w:tcPr>
          <w:p w14:paraId="0DA7F1AC" w14:textId="77777777" w:rsidR="00087735" w:rsidRPr="00087735" w:rsidRDefault="00087735" w:rsidP="00087735">
            <w:pPr>
              <w:autoSpaceDE w:val="0"/>
              <w:autoSpaceDN w:val="0"/>
              <w:adjustRightInd w:val="0"/>
              <w:ind w:firstLine="284"/>
              <w:jc w:val="both"/>
              <w:rPr>
                <w:rFonts w:asciiTheme="majorBidi" w:hAnsiTheme="majorBidi" w:cstheme="majorBidi"/>
                <w:b/>
                <w:bCs/>
                <w:color w:val="000000"/>
                <w:sz w:val="24"/>
                <w:szCs w:val="24"/>
                <w:lang w:val="id-ID" w:eastAsia="id-ID"/>
              </w:rPr>
            </w:pPr>
            <w:r w:rsidRPr="00087735">
              <w:rPr>
                <w:rFonts w:asciiTheme="majorBidi" w:hAnsiTheme="majorBidi" w:cstheme="majorBidi"/>
                <w:b/>
                <w:bCs/>
                <w:color w:val="000000"/>
                <w:sz w:val="24"/>
                <w:szCs w:val="24"/>
                <w:lang w:val="id-ID" w:eastAsia="id-ID"/>
              </w:rPr>
              <w:t>Indonesia</w:t>
            </w:r>
          </w:p>
        </w:tc>
        <w:tc>
          <w:tcPr>
            <w:tcW w:w="1816" w:type="dxa"/>
            <w:hideMark/>
          </w:tcPr>
          <w:p w14:paraId="7EEF00A0"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sv-SE" w:eastAsia="id-ID"/>
              </w:rPr>
            </w:pPr>
            <w:r w:rsidRPr="00087735">
              <w:rPr>
                <w:rFonts w:asciiTheme="majorBidi" w:hAnsiTheme="majorBidi" w:cstheme="majorBidi"/>
                <w:b/>
                <w:bCs/>
                <w:color w:val="000000"/>
                <w:sz w:val="24"/>
                <w:szCs w:val="24"/>
                <w:lang w:val="sv-SE" w:eastAsia="id-ID"/>
              </w:rPr>
              <w:t>pikir-pikir dulu</w:t>
            </w:r>
            <w:r w:rsidRPr="00087735">
              <w:rPr>
                <w:rFonts w:asciiTheme="majorBidi" w:hAnsiTheme="majorBidi" w:cstheme="majorBidi"/>
                <w:color w:val="000000"/>
                <w:sz w:val="24"/>
                <w:szCs w:val="24"/>
                <w:lang w:val="sv-SE" w:eastAsia="id-ID"/>
              </w:rPr>
              <w:t xml:space="preserve"> / </w:t>
            </w:r>
            <w:r w:rsidRPr="00087735">
              <w:rPr>
                <w:rFonts w:asciiTheme="majorBidi" w:hAnsiTheme="majorBidi" w:cstheme="majorBidi"/>
                <w:b/>
                <w:bCs/>
                <w:color w:val="000000"/>
                <w:sz w:val="24"/>
                <w:szCs w:val="24"/>
                <w:lang w:val="sv-SE" w:eastAsia="id-ID"/>
              </w:rPr>
              <w:t>pertimbangkan dua kali</w:t>
            </w:r>
          </w:p>
        </w:tc>
        <w:tc>
          <w:tcPr>
            <w:tcW w:w="1444" w:type="dxa"/>
            <w:hideMark/>
          </w:tcPr>
          <w:p w14:paraId="31F7F7F8"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sv-SE" w:eastAsia="id-ID"/>
              </w:rPr>
            </w:pPr>
            <w:r w:rsidRPr="00087735">
              <w:rPr>
                <w:rFonts w:asciiTheme="majorBidi" w:hAnsiTheme="majorBidi" w:cstheme="majorBidi"/>
                <w:color w:val="000000"/>
                <w:sz w:val="24"/>
                <w:szCs w:val="24"/>
                <w:lang w:val="id-ID" w:eastAsia="id-ID"/>
              </w:rPr>
              <w:t>to think twice</w:t>
            </w:r>
          </w:p>
        </w:tc>
        <w:tc>
          <w:tcPr>
            <w:tcW w:w="1768" w:type="dxa"/>
            <w:hideMark/>
          </w:tcPr>
          <w:p w14:paraId="10F0AE4D"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think twice    consider carefully, do not act rashly</w:t>
            </w:r>
          </w:p>
        </w:tc>
        <w:tc>
          <w:tcPr>
            <w:tcW w:w="1647" w:type="dxa"/>
            <w:hideMark/>
          </w:tcPr>
          <w:p w14:paraId="7C5B8534"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Indonesian does not always use the metaphor ‘twice’, but the closest equivalent is ‘</w:t>
            </w:r>
            <w:proofErr w:type="spellStart"/>
            <w:r w:rsidRPr="00087735">
              <w:rPr>
                <w:rFonts w:asciiTheme="majorBidi" w:hAnsiTheme="majorBidi" w:cstheme="majorBidi"/>
                <w:color w:val="000000"/>
                <w:sz w:val="24"/>
                <w:szCs w:val="24"/>
                <w:lang w:val="en-ID" w:eastAsia="id-ID"/>
              </w:rPr>
              <w:t>pikir-pikir</w:t>
            </w:r>
            <w:proofErr w:type="spellEnd"/>
            <w:r w:rsidRPr="00087735">
              <w:rPr>
                <w:rFonts w:asciiTheme="majorBidi" w:hAnsiTheme="majorBidi" w:cstheme="majorBidi"/>
                <w:color w:val="000000"/>
                <w:sz w:val="24"/>
                <w:szCs w:val="24"/>
                <w:lang w:val="en-ID" w:eastAsia="id-ID"/>
              </w:rPr>
              <w:t xml:space="preserve"> </w:t>
            </w:r>
            <w:proofErr w:type="spellStart"/>
            <w:r w:rsidRPr="00087735">
              <w:rPr>
                <w:rFonts w:asciiTheme="majorBidi" w:hAnsiTheme="majorBidi" w:cstheme="majorBidi"/>
                <w:color w:val="000000"/>
                <w:sz w:val="24"/>
                <w:szCs w:val="24"/>
                <w:lang w:val="en-ID" w:eastAsia="id-ID"/>
              </w:rPr>
              <w:t>dulu</w:t>
            </w:r>
            <w:proofErr w:type="spellEnd"/>
            <w:r w:rsidRPr="00087735">
              <w:rPr>
                <w:rFonts w:asciiTheme="majorBidi" w:hAnsiTheme="majorBidi" w:cstheme="majorBidi"/>
                <w:color w:val="000000"/>
                <w:sz w:val="24"/>
                <w:szCs w:val="24"/>
                <w:lang w:val="en-ID" w:eastAsia="id-ID"/>
              </w:rPr>
              <w:t>’ (think first), while the literal form is still understandable.</w:t>
            </w:r>
          </w:p>
        </w:tc>
      </w:tr>
    </w:tbl>
    <w:p w14:paraId="76DB2153" w14:textId="77777777" w:rsidR="00087735" w:rsidRPr="00087735" w:rsidRDefault="00087735" w:rsidP="00087735">
      <w:pPr>
        <w:numPr>
          <w:ilvl w:val="0"/>
          <w:numId w:val="42"/>
        </w:numPr>
        <w:autoSpaceDE w:val="0"/>
        <w:autoSpaceDN w:val="0"/>
        <w:adjustRightInd w:val="0"/>
        <w:spacing w:after="0" w:line="240" w:lineRule="auto"/>
        <w:ind w:leftChars="-1" w:left="0" w:hangingChars="1" w:hanging="2"/>
        <w:jc w:val="both"/>
        <w:rPr>
          <w:rFonts w:asciiTheme="majorBidi" w:hAnsiTheme="majorBidi" w:cstheme="majorBidi"/>
          <w:b/>
          <w:bCs/>
          <w:color w:val="000000"/>
          <w:sz w:val="24"/>
          <w:szCs w:val="24"/>
          <w:lang w:val="id-ID" w:eastAsia="id-ID"/>
        </w:rPr>
      </w:pPr>
      <w:r w:rsidRPr="00087735">
        <w:rPr>
          <w:rFonts w:asciiTheme="majorBidi" w:hAnsiTheme="majorBidi" w:cstheme="majorBidi"/>
          <w:b/>
          <w:bCs/>
          <w:color w:val="000000"/>
          <w:sz w:val="24"/>
          <w:szCs w:val="24"/>
          <w:rtl/>
          <w:lang w:val="id-ID" w:eastAsia="id-ID"/>
        </w:rPr>
        <w:t>في خبر كان</w:t>
      </w:r>
    </w:p>
    <w:p w14:paraId="4F9A74C6" w14:textId="77777777" w:rsidR="00087735" w:rsidRPr="00087735" w:rsidRDefault="00087735" w:rsidP="00087735">
      <w:pPr>
        <w:autoSpaceDE w:val="0"/>
        <w:autoSpaceDN w:val="0"/>
        <w:adjustRightInd w:val="0"/>
        <w:spacing w:after="0" w:line="240" w:lineRule="auto"/>
        <w:ind w:firstLine="284"/>
        <w:jc w:val="both"/>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id-ID" w:eastAsia="id-ID"/>
        </w:rPr>
        <w:t xml:space="preserve">The idiom </w:t>
      </w:r>
      <w:r w:rsidRPr="00087735">
        <w:rPr>
          <w:rFonts w:asciiTheme="majorBidi" w:hAnsiTheme="majorBidi" w:cstheme="majorBidi"/>
          <w:color w:val="000000"/>
          <w:sz w:val="24"/>
          <w:szCs w:val="24"/>
          <w:rtl/>
          <w:lang w:val="id-ID" w:eastAsia="id-ID"/>
        </w:rPr>
        <w:t>في خبر كان</w:t>
      </w:r>
      <w:r w:rsidRPr="00087735">
        <w:rPr>
          <w:rFonts w:asciiTheme="majorBidi" w:hAnsiTheme="majorBidi" w:cstheme="majorBidi"/>
          <w:color w:val="000000"/>
          <w:sz w:val="24"/>
          <w:szCs w:val="24"/>
          <w:lang w:val="id-ID" w:eastAsia="id-ID"/>
        </w:rPr>
        <w:t xml:space="preserve"> is a distinctive expression in Arabic that indicates that something has been lost, is no longer valid, or remains only in the memory of the past. </w:t>
      </w:r>
      <w:r w:rsidRPr="00087735">
        <w:rPr>
          <w:rFonts w:asciiTheme="majorBidi" w:hAnsiTheme="majorBidi" w:cstheme="majorBidi"/>
          <w:color w:val="000000"/>
          <w:sz w:val="24"/>
          <w:szCs w:val="24"/>
          <w:lang w:val="en-ID" w:eastAsia="id-ID"/>
        </w:rPr>
        <w:t xml:space="preserve">This term originates from the grammatical concept of khabar </w:t>
      </w:r>
      <w:proofErr w:type="spellStart"/>
      <w:r w:rsidRPr="00087735">
        <w:rPr>
          <w:rFonts w:asciiTheme="majorBidi" w:hAnsiTheme="majorBidi" w:cstheme="majorBidi"/>
          <w:color w:val="000000"/>
          <w:sz w:val="24"/>
          <w:szCs w:val="24"/>
          <w:lang w:val="en-ID" w:eastAsia="id-ID"/>
        </w:rPr>
        <w:t>kāna</w:t>
      </w:r>
      <w:proofErr w:type="spellEnd"/>
      <w:r w:rsidRPr="00087735">
        <w:rPr>
          <w:rFonts w:asciiTheme="majorBidi" w:hAnsiTheme="majorBidi" w:cstheme="majorBidi"/>
          <w:color w:val="000000"/>
          <w:sz w:val="24"/>
          <w:szCs w:val="24"/>
          <w:lang w:val="en-ID" w:eastAsia="id-ID"/>
        </w:rPr>
        <w:t>, which relates to events in the past tense. This explanation is provided as background information before the reader enters the table that outlines the meaning of the idiom in various languages.</w:t>
      </w:r>
    </w:p>
    <w:tbl>
      <w:tblPr>
        <w:tblStyle w:val="PlainTable3"/>
        <w:tblW w:w="0" w:type="auto"/>
        <w:tblLook w:val="04A0" w:firstRow="1" w:lastRow="0" w:firstColumn="1" w:lastColumn="0" w:noHBand="0" w:noVBand="1"/>
      </w:tblPr>
      <w:tblGrid>
        <w:gridCol w:w="1775"/>
        <w:gridCol w:w="1539"/>
        <w:gridCol w:w="1489"/>
        <w:gridCol w:w="2013"/>
        <w:gridCol w:w="1688"/>
      </w:tblGrid>
      <w:tr w:rsidR="00087735" w:rsidRPr="00087735" w14:paraId="6F741BA4" w14:textId="77777777" w:rsidTr="00FE4EB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37EA113"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LANGUAGE</w:t>
            </w:r>
          </w:p>
        </w:tc>
        <w:tc>
          <w:tcPr>
            <w:tcW w:w="0" w:type="auto"/>
            <w:hideMark/>
          </w:tcPr>
          <w:p w14:paraId="5BF64B3D"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 xml:space="preserve">IDIOM FORM   </w:t>
            </w:r>
          </w:p>
        </w:tc>
        <w:tc>
          <w:tcPr>
            <w:tcW w:w="0" w:type="auto"/>
            <w:hideMark/>
          </w:tcPr>
          <w:p w14:paraId="12B14E63"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LITERAL MEANING</w:t>
            </w:r>
          </w:p>
        </w:tc>
        <w:tc>
          <w:tcPr>
            <w:tcW w:w="0" w:type="auto"/>
            <w:hideMark/>
          </w:tcPr>
          <w:p w14:paraId="3718DCAB"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IDIOMATIC MEANING</w:t>
            </w:r>
          </w:p>
        </w:tc>
        <w:tc>
          <w:tcPr>
            <w:tcW w:w="0" w:type="auto"/>
            <w:hideMark/>
          </w:tcPr>
          <w:p w14:paraId="4FD66882" w14:textId="77777777" w:rsidR="00087735" w:rsidRPr="00087735" w:rsidRDefault="00087735" w:rsidP="00087735">
            <w:pPr>
              <w:autoSpaceDE w:val="0"/>
              <w:autoSpaceDN w:val="0"/>
              <w:adjustRightInd w:val="0"/>
              <w:ind w:firstLine="284"/>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SEMANTIC NOTE</w:t>
            </w:r>
          </w:p>
        </w:tc>
      </w:tr>
      <w:tr w:rsidR="00087735" w:rsidRPr="00087735" w14:paraId="6FB34356" w14:textId="77777777" w:rsidTr="00FE4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55494E"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 xml:space="preserve">ARABIC  </w:t>
            </w:r>
          </w:p>
        </w:tc>
        <w:tc>
          <w:tcPr>
            <w:tcW w:w="0" w:type="auto"/>
            <w:hideMark/>
          </w:tcPr>
          <w:p w14:paraId="66EA105F"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rtl/>
                <w:lang w:val="id-ID" w:eastAsia="id-ID"/>
              </w:rPr>
              <w:t>في خبر كان</w:t>
            </w:r>
          </w:p>
        </w:tc>
        <w:tc>
          <w:tcPr>
            <w:tcW w:w="0" w:type="auto"/>
            <w:hideMark/>
          </w:tcPr>
          <w:p w14:paraId="3C8300F3"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i/>
                <w:iCs/>
                <w:color w:val="000000"/>
                <w:sz w:val="24"/>
                <w:szCs w:val="24"/>
                <w:lang w:val="en-ID" w:eastAsia="id-ID"/>
              </w:rPr>
              <w:t>in the news ‘</w:t>
            </w:r>
            <w:proofErr w:type="spellStart"/>
            <w:r w:rsidRPr="00087735">
              <w:rPr>
                <w:rFonts w:asciiTheme="majorBidi" w:hAnsiTheme="majorBidi" w:cstheme="majorBidi"/>
                <w:i/>
                <w:iCs/>
                <w:color w:val="000000"/>
                <w:sz w:val="24"/>
                <w:szCs w:val="24"/>
                <w:lang w:val="en-ID" w:eastAsia="id-ID"/>
              </w:rPr>
              <w:t>kāna</w:t>
            </w:r>
            <w:proofErr w:type="spellEnd"/>
            <w:r w:rsidRPr="00087735">
              <w:rPr>
                <w:rFonts w:asciiTheme="majorBidi" w:hAnsiTheme="majorBidi" w:cstheme="majorBidi"/>
                <w:i/>
                <w:iCs/>
                <w:color w:val="000000"/>
                <w:sz w:val="24"/>
                <w:szCs w:val="24"/>
                <w:lang w:val="en-ID" w:eastAsia="id-ID"/>
              </w:rPr>
              <w:t xml:space="preserve">’ / in past news    </w:t>
            </w:r>
          </w:p>
        </w:tc>
        <w:tc>
          <w:tcPr>
            <w:tcW w:w="0" w:type="auto"/>
            <w:hideMark/>
          </w:tcPr>
          <w:p w14:paraId="08C84E76"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disappeared, vanished, became obsolete, no longer</w:t>
            </w:r>
          </w:p>
        </w:tc>
        <w:tc>
          <w:tcPr>
            <w:tcW w:w="0" w:type="auto"/>
            <w:hideMark/>
          </w:tcPr>
          <w:p w14:paraId="0776B2BA"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valid</w:t>
            </w:r>
            <w:r w:rsidRPr="00087735">
              <w:rPr>
                <w:rFonts w:asciiTheme="majorBidi" w:hAnsiTheme="majorBidi" w:cstheme="majorBidi"/>
                <w:color w:val="000000"/>
                <w:sz w:val="24"/>
                <w:szCs w:val="24"/>
                <w:lang w:val="en-ID" w:eastAsia="id-ID"/>
              </w:rPr>
              <w:tab/>
              <w:t xml:space="preserve">Based on syntactic play: ‘khabar </w:t>
            </w:r>
            <w:proofErr w:type="spellStart"/>
            <w:r w:rsidRPr="00087735">
              <w:rPr>
                <w:rFonts w:asciiTheme="majorBidi" w:hAnsiTheme="majorBidi" w:cstheme="majorBidi"/>
                <w:color w:val="000000"/>
                <w:sz w:val="24"/>
                <w:szCs w:val="24"/>
                <w:lang w:val="en-ID" w:eastAsia="id-ID"/>
              </w:rPr>
              <w:t>kāna</w:t>
            </w:r>
            <w:proofErr w:type="spellEnd"/>
            <w:r w:rsidRPr="00087735">
              <w:rPr>
                <w:rFonts w:asciiTheme="majorBidi" w:hAnsiTheme="majorBidi" w:cstheme="majorBidi"/>
                <w:color w:val="000000"/>
                <w:sz w:val="24"/>
                <w:szCs w:val="24"/>
                <w:lang w:val="en-ID" w:eastAsia="id-ID"/>
              </w:rPr>
              <w:t>’ functions for something that happened in the past → metaphor that the idiom object ‘returns to the past’.</w:t>
            </w:r>
          </w:p>
        </w:tc>
      </w:tr>
      <w:tr w:rsidR="00087735" w:rsidRPr="00087735" w14:paraId="6D3A9121" w14:textId="77777777" w:rsidTr="00FE4EB7">
        <w:tc>
          <w:tcPr>
            <w:cnfStyle w:val="001000000000" w:firstRow="0" w:lastRow="0" w:firstColumn="1" w:lastColumn="0" w:oddVBand="0" w:evenVBand="0" w:oddHBand="0" w:evenHBand="0" w:firstRowFirstColumn="0" w:firstRowLastColumn="0" w:lastRowFirstColumn="0" w:lastRowLastColumn="0"/>
            <w:tcW w:w="0" w:type="auto"/>
            <w:hideMark/>
          </w:tcPr>
          <w:p w14:paraId="4B2B3C2B"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ENGLISH</w:t>
            </w:r>
          </w:p>
        </w:tc>
        <w:tc>
          <w:tcPr>
            <w:tcW w:w="0" w:type="auto"/>
            <w:hideMark/>
          </w:tcPr>
          <w:p w14:paraId="54B01643"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lang w:val="id-ID" w:eastAsia="id-ID"/>
              </w:rPr>
              <w:t xml:space="preserve">to disappear / </w:t>
            </w:r>
            <w:r w:rsidRPr="00087735">
              <w:rPr>
                <w:rFonts w:asciiTheme="majorBidi" w:hAnsiTheme="majorBidi" w:cstheme="majorBidi"/>
                <w:b/>
                <w:bCs/>
                <w:color w:val="000000"/>
                <w:sz w:val="24"/>
                <w:szCs w:val="24"/>
                <w:lang w:val="id-ID" w:eastAsia="id-ID"/>
              </w:rPr>
              <w:lastRenderedPageBreak/>
              <w:t>to vanish / to be outdated</w:t>
            </w:r>
          </w:p>
        </w:tc>
        <w:tc>
          <w:tcPr>
            <w:tcW w:w="0" w:type="auto"/>
            <w:hideMark/>
          </w:tcPr>
          <w:p w14:paraId="0252DD9D"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lastRenderedPageBreak/>
              <w:t xml:space="preserve">disappear / vanish / </w:t>
            </w:r>
            <w:r w:rsidRPr="00087735">
              <w:rPr>
                <w:rFonts w:asciiTheme="majorBidi" w:hAnsiTheme="majorBidi" w:cstheme="majorBidi"/>
                <w:color w:val="000000"/>
                <w:sz w:val="24"/>
                <w:szCs w:val="24"/>
                <w:lang w:val="id-ID" w:eastAsia="id-ID"/>
              </w:rPr>
              <w:lastRenderedPageBreak/>
              <w:t>become obsolete</w:t>
            </w:r>
          </w:p>
        </w:tc>
        <w:tc>
          <w:tcPr>
            <w:tcW w:w="0" w:type="auto"/>
            <w:hideMark/>
          </w:tcPr>
          <w:p w14:paraId="400C7846"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lastRenderedPageBreak/>
              <w:t xml:space="preserve"> lost, no longer functional</w:t>
            </w:r>
          </w:p>
        </w:tc>
        <w:tc>
          <w:tcPr>
            <w:tcW w:w="0" w:type="auto"/>
            <w:hideMark/>
          </w:tcPr>
          <w:p w14:paraId="396EDDAA"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en-ID" w:eastAsia="id-ID"/>
              </w:rPr>
              <w:t xml:space="preserve">English uses direct, non-idiomatic </w:t>
            </w:r>
            <w:r w:rsidRPr="00087735">
              <w:rPr>
                <w:rFonts w:asciiTheme="majorBidi" w:hAnsiTheme="majorBidi" w:cstheme="majorBidi"/>
                <w:color w:val="000000"/>
                <w:sz w:val="24"/>
                <w:szCs w:val="24"/>
                <w:lang w:val="en-ID" w:eastAsia="id-ID"/>
              </w:rPr>
              <w:lastRenderedPageBreak/>
              <w:t xml:space="preserve">terms. </w:t>
            </w:r>
            <w:r w:rsidRPr="00087735">
              <w:rPr>
                <w:rFonts w:asciiTheme="majorBidi" w:hAnsiTheme="majorBidi" w:cstheme="majorBidi"/>
                <w:color w:val="000000"/>
                <w:sz w:val="24"/>
                <w:szCs w:val="24"/>
                <w:lang w:val="sv-SE" w:eastAsia="id-ID"/>
              </w:rPr>
              <w:t>More descriptive than metaphorical.</w:t>
            </w:r>
          </w:p>
        </w:tc>
      </w:tr>
      <w:tr w:rsidR="00087735" w:rsidRPr="00087735" w14:paraId="37CBF321" w14:textId="77777777" w:rsidTr="00FE4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DE9F0A"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lastRenderedPageBreak/>
              <w:t>FRENCH</w:t>
            </w:r>
          </w:p>
        </w:tc>
        <w:tc>
          <w:tcPr>
            <w:tcW w:w="0" w:type="auto"/>
            <w:hideMark/>
          </w:tcPr>
          <w:p w14:paraId="49882CCE"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b/>
                <w:bCs/>
                <w:color w:val="000000"/>
                <w:sz w:val="24"/>
                <w:szCs w:val="24"/>
                <w:lang w:val="id-ID" w:eastAsia="id-ID"/>
              </w:rPr>
              <w:t>disparaître / devenir caduc</w:t>
            </w:r>
          </w:p>
        </w:tc>
        <w:tc>
          <w:tcPr>
            <w:tcW w:w="0" w:type="auto"/>
            <w:hideMark/>
          </w:tcPr>
          <w:p w14:paraId="082BC384"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to disappear / to become obsolete</w:t>
            </w:r>
          </w:p>
        </w:tc>
        <w:tc>
          <w:tcPr>
            <w:tcW w:w="0" w:type="auto"/>
            <w:hideMark/>
          </w:tcPr>
          <w:p w14:paraId="11F848EB"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to disappear or become invalid</w:t>
            </w:r>
          </w:p>
        </w:tc>
        <w:tc>
          <w:tcPr>
            <w:tcW w:w="0" w:type="auto"/>
            <w:hideMark/>
          </w:tcPr>
          <w:p w14:paraId="7D12080E" w14:textId="77777777" w:rsidR="00087735" w:rsidRPr="00087735" w:rsidRDefault="00087735" w:rsidP="00087735">
            <w:pPr>
              <w:autoSpaceDE w:val="0"/>
              <w:autoSpaceDN w:val="0"/>
              <w:adjustRightInd w:val="0"/>
              <w:ind w:firstLine="284"/>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lang w:val="en-ID" w:eastAsia="id-ID"/>
              </w:rPr>
            </w:pPr>
            <w:r w:rsidRPr="00087735">
              <w:rPr>
                <w:rFonts w:asciiTheme="majorBidi" w:hAnsiTheme="majorBidi" w:cstheme="majorBidi"/>
                <w:color w:val="000000"/>
                <w:sz w:val="24"/>
                <w:szCs w:val="24"/>
                <w:lang w:val="en-ID" w:eastAsia="id-ID"/>
              </w:rPr>
              <w:t>Same as English: does not use linguistic play, but rather literal-conceptual word choice.</w:t>
            </w:r>
          </w:p>
        </w:tc>
      </w:tr>
      <w:tr w:rsidR="00087735" w:rsidRPr="00087735" w14:paraId="6CA8F451" w14:textId="77777777" w:rsidTr="00FE4EB7">
        <w:tc>
          <w:tcPr>
            <w:cnfStyle w:val="001000000000" w:firstRow="0" w:lastRow="0" w:firstColumn="1" w:lastColumn="0" w:oddVBand="0" w:evenVBand="0" w:oddHBand="0" w:evenHBand="0" w:firstRowFirstColumn="0" w:firstRowLastColumn="0" w:lastRowFirstColumn="0" w:lastRowLastColumn="0"/>
            <w:tcW w:w="0" w:type="auto"/>
            <w:hideMark/>
          </w:tcPr>
          <w:p w14:paraId="263AFE26" w14:textId="77777777" w:rsidR="00087735" w:rsidRPr="00087735" w:rsidRDefault="00087735" w:rsidP="00087735">
            <w:pPr>
              <w:autoSpaceDE w:val="0"/>
              <w:autoSpaceDN w:val="0"/>
              <w:adjustRightInd w:val="0"/>
              <w:ind w:firstLine="284"/>
              <w:jc w:val="both"/>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Indonesia</w:t>
            </w:r>
          </w:p>
        </w:tc>
        <w:tc>
          <w:tcPr>
            <w:tcW w:w="0" w:type="auto"/>
            <w:hideMark/>
          </w:tcPr>
          <w:p w14:paraId="4034C462"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nl-NL" w:eastAsia="id-ID"/>
              </w:rPr>
            </w:pPr>
            <w:r w:rsidRPr="00087735">
              <w:rPr>
                <w:rFonts w:asciiTheme="majorBidi" w:hAnsiTheme="majorBidi" w:cstheme="majorBidi"/>
                <w:b/>
                <w:bCs/>
                <w:color w:val="000000"/>
                <w:sz w:val="24"/>
                <w:szCs w:val="24"/>
                <w:lang w:val="nl-NL" w:eastAsia="id-ID"/>
              </w:rPr>
              <w:t>tinggal kenangan</w:t>
            </w:r>
            <w:r w:rsidRPr="00087735">
              <w:rPr>
                <w:rFonts w:asciiTheme="majorBidi" w:hAnsiTheme="majorBidi" w:cstheme="majorBidi"/>
                <w:color w:val="000000"/>
                <w:sz w:val="24"/>
                <w:szCs w:val="24"/>
                <w:lang w:val="nl-NL" w:eastAsia="id-ID"/>
              </w:rPr>
              <w:t xml:space="preserve"> / </w:t>
            </w:r>
            <w:r w:rsidRPr="00087735">
              <w:rPr>
                <w:rFonts w:asciiTheme="majorBidi" w:hAnsiTheme="majorBidi" w:cstheme="majorBidi"/>
                <w:b/>
                <w:bCs/>
                <w:color w:val="000000"/>
                <w:sz w:val="24"/>
                <w:szCs w:val="24"/>
                <w:lang w:val="nl-NL" w:eastAsia="id-ID"/>
              </w:rPr>
              <w:t>hilang tak berbekas</w:t>
            </w:r>
          </w:p>
        </w:tc>
        <w:tc>
          <w:tcPr>
            <w:tcW w:w="0" w:type="auto"/>
            <w:hideMark/>
          </w:tcPr>
          <w:p w14:paraId="435EAF81"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id-ID" w:eastAsia="id-ID"/>
              </w:rPr>
              <w:t>—</w:t>
            </w:r>
          </w:p>
        </w:tc>
        <w:tc>
          <w:tcPr>
            <w:tcW w:w="0" w:type="auto"/>
            <w:hideMark/>
          </w:tcPr>
          <w:p w14:paraId="227FC1C8"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eastAsia="id-ID"/>
              </w:rPr>
            </w:pPr>
            <w:proofErr w:type="spellStart"/>
            <w:proofErr w:type="gramStart"/>
            <w:r w:rsidRPr="00087735">
              <w:rPr>
                <w:rFonts w:asciiTheme="majorBidi" w:hAnsiTheme="majorBidi" w:cstheme="majorBidi"/>
                <w:color w:val="000000"/>
                <w:sz w:val="24"/>
                <w:szCs w:val="24"/>
                <w:lang w:eastAsia="id-ID"/>
              </w:rPr>
              <w:t>disappear,no</w:t>
            </w:r>
            <w:proofErr w:type="spellEnd"/>
            <w:proofErr w:type="gramEnd"/>
            <w:r w:rsidRPr="00087735">
              <w:rPr>
                <w:rFonts w:asciiTheme="majorBidi" w:hAnsiTheme="majorBidi" w:cstheme="majorBidi"/>
                <w:color w:val="000000"/>
                <w:sz w:val="24"/>
                <w:szCs w:val="24"/>
                <w:lang w:eastAsia="id-ID"/>
              </w:rPr>
              <w:t xml:space="preserve"> longer </w:t>
            </w:r>
            <w:proofErr w:type="spellStart"/>
            <w:proofErr w:type="gramStart"/>
            <w:r w:rsidRPr="00087735">
              <w:rPr>
                <w:rFonts w:asciiTheme="majorBidi" w:hAnsiTheme="majorBidi" w:cstheme="majorBidi"/>
                <w:color w:val="000000"/>
                <w:sz w:val="24"/>
                <w:szCs w:val="24"/>
                <w:lang w:eastAsia="id-ID"/>
              </w:rPr>
              <w:t>applicable,forgotten</w:t>
            </w:r>
            <w:proofErr w:type="spellEnd"/>
            <w:proofErr w:type="gramEnd"/>
          </w:p>
          <w:p w14:paraId="1A39C7F0"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p>
        </w:tc>
        <w:tc>
          <w:tcPr>
            <w:tcW w:w="0" w:type="auto"/>
            <w:hideMark/>
          </w:tcPr>
          <w:p w14:paraId="35B7F118" w14:textId="77777777" w:rsidR="00087735" w:rsidRPr="00087735" w:rsidRDefault="00087735" w:rsidP="00087735">
            <w:pPr>
              <w:autoSpaceDE w:val="0"/>
              <w:autoSpaceDN w:val="0"/>
              <w:adjustRightInd w:val="0"/>
              <w:ind w:firstLine="28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lang w:val="id-ID" w:eastAsia="id-ID"/>
              </w:rPr>
            </w:pPr>
            <w:r w:rsidRPr="00087735">
              <w:rPr>
                <w:rFonts w:asciiTheme="majorBidi" w:hAnsiTheme="majorBidi" w:cstheme="majorBidi"/>
                <w:color w:val="000000"/>
                <w:sz w:val="24"/>
                <w:szCs w:val="24"/>
                <w:lang w:val="en-ID" w:eastAsia="id-ID"/>
              </w:rPr>
              <w:t xml:space="preserve">Uses the metaphor ‘memory’ as something that has been in the past. </w:t>
            </w:r>
            <w:r w:rsidRPr="00087735">
              <w:rPr>
                <w:rFonts w:asciiTheme="majorBidi" w:hAnsiTheme="majorBidi" w:cstheme="majorBidi"/>
                <w:color w:val="000000"/>
                <w:sz w:val="24"/>
                <w:szCs w:val="24"/>
                <w:lang w:val="sv-SE" w:eastAsia="id-ID"/>
              </w:rPr>
              <w:t>Closest to the temporal aspect of the Arabic idiom (</w:t>
            </w:r>
            <w:r w:rsidRPr="00087735">
              <w:rPr>
                <w:rFonts w:asciiTheme="majorBidi" w:hAnsiTheme="majorBidi" w:cstheme="majorBidi"/>
                <w:color w:val="000000"/>
                <w:sz w:val="24"/>
                <w:szCs w:val="24"/>
                <w:rtl/>
                <w:lang w:val="id-ID" w:eastAsia="id-ID"/>
              </w:rPr>
              <w:t>كان</w:t>
            </w:r>
            <w:r w:rsidRPr="00087735">
              <w:rPr>
                <w:rFonts w:asciiTheme="majorBidi" w:hAnsiTheme="majorBidi" w:cstheme="majorBidi"/>
                <w:color w:val="000000"/>
                <w:sz w:val="24"/>
                <w:szCs w:val="24"/>
                <w:lang w:val="sv-SE" w:eastAsia="id-ID"/>
              </w:rPr>
              <w:t xml:space="preserve"> = past tense).</w:t>
            </w:r>
          </w:p>
        </w:tc>
      </w:tr>
    </w:tbl>
    <w:p w14:paraId="714D4917" w14:textId="28B1B606" w:rsidR="00C81A6C" w:rsidRPr="00087735" w:rsidRDefault="00087735" w:rsidP="00087735">
      <w:pPr>
        <w:autoSpaceDE w:val="0"/>
        <w:autoSpaceDN w:val="0"/>
        <w:adjustRightInd w:val="0"/>
        <w:spacing w:after="0" w:line="240" w:lineRule="auto"/>
        <w:ind w:firstLine="284"/>
        <w:jc w:val="both"/>
        <w:rPr>
          <w:rFonts w:asciiTheme="majorBidi" w:hAnsiTheme="majorBidi" w:cstheme="majorBidi"/>
          <w:sz w:val="24"/>
          <w:szCs w:val="24"/>
          <w:lang w:val="en-ID"/>
        </w:rPr>
      </w:pPr>
      <w:r w:rsidRPr="00087735">
        <w:rPr>
          <w:rFonts w:asciiTheme="majorBidi" w:hAnsiTheme="majorBidi" w:cstheme="majorBidi"/>
          <w:color w:val="000000"/>
          <w:sz w:val="24"/>
          <w:szCs w:val="24"/>
          <w:lang w:val="en-ID" w:eastAsia="id-ID"/>
        </w:rPr>
        <w:t>From the entire discussion, it appears that idioms are not merely ornamental linguistic units, but rather representations of the cultural perspectives and experiences of speakers manifested in metaphorical expressions. A contrastive analysis of Arabic, English, French, and Indonesian idioms shows how each language constructs meaning associations through different symbols that are nevertheless rooted in interrelated universal cognitive concepts. The differences in metaphors and idiomatic structures in each language emphasise that idioms function as bridges between language and culture, so that understanding them requires not only linguistic accuracy but also sensitivity to the social context in which they were born. Therefore, this discussion illustrates that mastery of cross-language idioms must be placed as a competency that integrates semantic, cultural, and contextual interpretation aspects. This comprehensive understanding forms the basis for accurate meaning and serves as the foundation for the conclusions presented in the next section.</w:t>
      </w:r>
    </w:p>
    <w:p w14:paraId="3CF9E43A" w14:textId="77777777" w:rsidR="00E33F1D" w:rsidRPr="00FC29E3" w:rsidRDefault="00E33F1D" w:rsidP="00FC29E3">
      <w:pPr>
        <w:spacing w:after="0" w:line="240" w:lineRule="auto"/>
        <w:rPr>
          <w:rFonts w:asciiTheme="majorBidi" w:hAnsiTheme="majorBidi" w:cstheme="majorBidi"/>
          <w:b/>
          <w:bCs/>
          <w:sz w:val="24"/>
          <w:szCs w:val="24"/>
          <w:lang w:val="id-ID"/>
        </w:rPr>
      </w:pPr>
    </w:p>
    <w:p w14:paraId="59B55C10" w14:textId="77777777" w:rsidR="0038052F" w:rsidRPr="00FC29E3" w:rsidRDefault="0038052F" w:rsidP="00FC29E3">
      <w:pPr>
        <w:spacing w:after="0" w:line="240" w:lineRule="auto"/>
        <w:rPr>
          <w:rFonts w:asciiTheme="majorBidi" w:hAnsiTheme="majorBidi" w:cstheme="majorBidi"/>
          <w:b/>
          <w:bCs/>
          <w:sz w:val="24"/>
          <w:szCs w:val="24"/>
          <w:lang w:val="id-ID"/>
        </w:rPr>
      </w:pPr>
    </w:p>
    <w:p w14:paraId="3B258AE7" w14:textId="76B2E95A" w:rsidR="00087735" w:rsidRPr="00087735" w:rsidRDefault="00087735" w:rsidP="00087735">
      <w:pPr>
        <w:spacing w:after="0" w:line="240" w:lineRule="auto"/>
        <w:rPr>
          <w:rFonts w:asciiTheme="majorBidi" w:hAnsiTheme="majorBidi" w:cstheme="majorBidi"/>
          <w:b/>
          <w:bCs/>
          <w:sz w:val="24"/>
          <w:szCs w:val="24"/>
          <w:lang w:val="id-ID"/>
        </w:rPr>
      </w:pPr>
      <w:r w:rsidRPr="00087735">
        <w:rPr>
          <w:rFonts w:asciiTheme="majorBidi" w:hAnsiTheme="majorBidi" w:cstheme="majorBidi"/>
          <w:b/>
          <w:bCs/>
          <w:sz w:val="24"/>
          <w:szCs w:val="24"/>
          <w:lang w:val="id-ID"/>
        </w:rPr>
        <w:t>Conclusion</w:t>
      </w:r>
    </w:p>
    <w:p w14:paraId="2A4E9770" w14:textId="77777777" w:rsidR="00087735" w:rsidRPr="00087735" w:rsidRDefault="00087735" w:rsidP="00087735">
      <w:pPr>
        <w:spacing w:after="0" w:line="240" w:lineRule="auto"/>
        <w:ind w:firstLine="284"/>
        <w:jc w:val="both"/>
        <w:rPr>
          <w:rFonts w:asciiTheme="majorBidi" w:hAnsiTheme="majorBidi" w:cstheme="majorBidi"/>
          <w:sz w:val="24"/>
          <w:szCs w:val="24"/>
          <w:lang w:val="en-ID"/>
        </w:rPr>
      </w:pPr>
      <w:r w:rsidRPr="00087735">
        <w:rPr>
          <w:rFonts w:asciiTheme="majorBidi" w:hAnsiTheme="majorBidi" w:cstheme="majorBidi"/>
          <w:sz w:val="24"/>
          <w:szCs w:val="24"/>
          <w:lang w:val="en-ID"/>
        </w:rPr>
        <w:t>This study shows that al-</w:t>
      </w:r>
      <w:proofErr w:type="spellStart"/>
      <w:r w:rsidRPr="00087735">
        <w:rPr>
          <w:rFonts w:asciiTheme="majorBidi" w:hAnsiTheme="majorBidi" w:cstheme="majorBidi"/>
          <w:sz w:val="24"/>
          <w:szCs w:val="24"/>
          <w:lang w:val="en-ID"/>
        </w:rPr>
        <w:t>ibārāt</w:t>
      </w:r>
      <w:proofErr w:type="spellEnd"/>
      <w:r w:rsidRPr="00087735">
        <w:rPr>
          <w:rFonts w:asciiTheme="majorBidi" w:hAnsiTheme="majorBidi" w:cstheme="majorBidi"/>
          <w:sz w:val="24"/>
          <w:szCs w:val="24"/>
          <w:lang w:val="en-ID"/>
        </w:rPr>
        <w:t xml:space="preserve"> al-</w:t>
      </w:r>
      <w:proofErr w:type="spellStart"/>
      <w:r w:rsidRPr="00087735">
        <w:rPr>
          <w:rFonts w:asciiTheme="majorBidi" w:hAnsiTheme="majorBidi" w:cstheme="majorBidi"/>
          <w:sz w:val="24"/>
          <w:szCs w:val="24"/>
          <w:lang w:val="en-ID"/>
        </w:rPr>
        <w:t>iṣṭilāḥiyyah</w:t>
      </w:r>
      <w:proofErr w:type="spellEnd"/>
      <w:r w:rsidRPr="00087735">
        <w:rPr>
          <w:rFonts w:asciiTheme="majorBidi" w:hAnsiTheme="majorBidi" w:cstheme="majorBidi"/>
          <w:sz w:val="24"/>
          <w:szCs w:val="24"/>
          <w:lang w:val="en-ID"/>
        </w:rPr>
        <w:t xml:space="preserve"> in Arabic, English, French, and Indonesian are linguistic phenomena that cannot be understood through a lexical approach alone. Idioms form meaning through the relationship between </w:t>
      </w:r>
      <w:proofErr w:type="spellStart"/>
      <w:r w:rsidRPr="00087735">
        <w:rPr>
          <w:rFonts w:asciiTheme="majorBidi" w:hAnsiTheme="majorBidi" w:cstheme="majorBidi"/>
          <w:sz w:val="24"/>
          <w:szCs w:val="24"/>
          <w:lang w:val="en-ID"/>
        </w:rPr>
        <w:t>haqiqi</w:t>
      </w:r>
      <w:proofErr w:type="spellEnd"/>
      <w:r w:rsidRPr="00087735">
        <w:rPr>
          <w:rFonts w:asciiTheme="majorBidi" w:hAnsiTheme="majorBidi" w:cstheme="majorBidi"/>
          <w:sz w:val="24"/>
          <w:szCs w:val="24"/>
          <w:lang w:val="en-ID"/>
        </w:rPr>
        <w:t xml:space="preserve">, </w:t>
      </w:r>
      <w:proofErr w:type="spellStart"/>
      <w:r w:rsidRPr="00087735">
        <w:rPr>
          <w:rFonts w:asciiTheme="majorBidi" w:hAnsiTheme="majorBidi" w:cstheme="majorBidi"/>
          <w:sz w:val="24"/>
          <w:szCs w:val="24"/>
          <w:lang w:val="en-ID"/>
        </w:rPr>
        <w:t>majazi</w:t>
      </w:r>
      <w:proofErr w:type="spellEnd"/>
      <w:r w:rsidRPr="00087735">
        <w:rPr>
          <w:rFonts w:asciiTheme="majorBidi" w:hAnsiTheme="majorBidi" w:cstheme="majorBidi"/>
          <w:sz w:val="24"/>
          <w:szCs w:val="24"/>
          <w:lang w:val="en-ID"/>
        </w:rPr>
        <w:t xml:space="preserve">, and </w:t>
      </w:r>
      <w:proofErr w:type="spellStart"/>
      <w:r w:rsidRPr="00087735">
        <w:rPr>
          <w:rFonts w:asciiTheme="majorBidi" w:hAnsiTheme="majorBidi" w:cstheme="majorBidi"/>
          <w:sz w:val="24"/>
          <w:szCs w:val="24"/>
          <w:lang w:val="en-ID"/>
        </w:rPr>
        <w:t>istilahi</w:t>
      </w:r>
      <w:proofErr w:type="spellEnd"/>
      <w:r w:rsidRPr="00087735">
        <w:rPr>
          <w:rFonts w:asciiTheme="majorBidi" w:hAnsiTheme="majorBidi" w:cstheme="majorBidi"/>
          <w:sz w:val="24"/>
          <w:szCs w:val="24"/>
          <w:lang w:val="en-ID"/>
        </w:rPr>
        <w:t xml:space="preserve"> meanings, and this shift in meaning occurs as a result of cultural conventions and collective usage among speakers. These findings reinforce the opinion of experts that idioms always present meanings that differ from the literal meanings of their constituent elements and represent the social experiences and cultural values of their speakers.</w:t>
      </w:r>
    </w:p>
    <w:p w14:paraId="2AB15EF9" w14:textId="24145D29" w:rsidR="001136EC" w:rsidRPr="00FC29E3" w:rsidRDefault="00087735" w:rsidP="00087735">
      <w:pPr>
        <w:spacing w:after="0" w:line="240" w:lineRule="auto"/>
        <w:ind w:firstLine="284"/>
        <w:jc w:val="both"/>
        <w:rPr>
          <w:rFonts w:asciiTheme="majorBidi" w:hAnsiTheme="majorBidi" w:cstheme="majorBidi"/>
          <w:sz w:val="24"/>
          <w:szCs w:val="24"/>
          <w:lang w:val="id-ID"/>
        </w:rPr>
      </w:pPr>
      <w:r w:rsidRPr="00087735">
        <w:rPr>
          <w:rFonts w:asciiTheme="majorBidi" w:hAnsiTheme="majorBidi" w:cstheme="majorBidi"/>
          <w:sz w:val="24"/>
          <w:szCs w:val="24"/>
          <w:lang w:val="en-ID"/>
        </w:rPr>
        <w:t xml:space="preserve">A contrastive analysis of five idioms </w:t>
      </w:r>
      <w:proofErr w:type="spellStart"/>
      <w:r w:rsidRPr="00087735">
        <w:rPr>
          <w:rFonts w:asciiTheme="majorBidi" w:hAnsiTheme="majorBidi" w:cstheme="majorBidi"/>
          <w:sz w:val="24"/>
          <w:szCs w:val="24"/>
          <w:lang w:val="en-ID"/>
        </w:rPr>
        <w:t>ʿayn</w:t>
      </w:r>
      <w:proofErr w:type="spellEnd"/>
      <w:r w:rsidRPr="00087735">
        <w:rPr>
          <w:rFonts w:asciiTheme="majorBidi" w:hAnsiTheme="majorBidi" w:cstheme="majorBidi"/>
          <w:sz w:val="24"/>
          <w:szCs w:val="24"/>
          <w:lang w:val="en-ID"/>
        </w:rPr>
        <w:t xml:space="preserve"> </w:t>
      </w:r>
      <w:proofErr w:type="spellStart"/>
      <w:r w:rsidRPr="00087735">
        <w:rPr>
          <w:rFonts w:asciiTheme="majorBidi" w:hAnsiTheme="majorBidi" w:cstheme="majorBidi"/>
          <w:sz w:val="24"/>
          <w:szCs w:val="24"/>
          <w:lang w:val="en-ID"/>
        </w:rPr>
        <w:t>ar-riḍā</w:t>
      </w:r>
      <w:proofErr w:type="spellEnd"/>
      <w:r w:rsidRPr="00087735">
        <w:rPr>
          <w:rFonts w:asciiTheme="majorBidi" w:hAnsiTheme="majorBidi" w:cstheme="majorBidi"/>
          <w:sz w:val="24"/>
          <w:szCs w:val="24"/>
          <w:lang w:val="en-ID"/>
        </w:rPr>
        <w:t xml:space="preserve">, </w:t>
      </w:r>
      <w:proofErr w:type="spellStart"/>
      <w:r w:rsidRPr="00087735">
        <w:rPr>
          <w:rFonts w:asciiTheme="majorBidi" w:hAnsiTheme="majorBidi" w:cstheme="majorBidi"/>
          <w:sz w:val="24"/>
          <w:szCs w:val="24"/>
          <w:lang w:val="en-ID"/>
        </w:rPr>
        <w:t>fawqa</w:t>
      </w:r>
      <w:proofErr w:type="spellEnd"/>
      <w:r w:rsidRPr="00087735">
        <w:rPr>
          <w:rFonts w:asciiTheme="majorBidi" w:hAnsiTheme="majorBidi" w:cstheme="majorBidi"/>
          <w:sz w:val="24"/>
          <w:szCs w:val="24"/>
          <w:lang w:val="en-ID"/>
        </w:rPr>
        <w:t xml:space="preserve"> al-</w:t>
      </w:r>
      <w:proofErr w:type="spellStart"/>
      <w:r w:rsidRPr="00087735">
        <w:rPr>
          <w:rFonts w:asciiTheme="majorBidi" w:hAnsiTheme="majorBidi" w:cstheme="majorBidi"/>
          <w:sz w:val="24"/>
          <w:szCs w:val="24"/>
          <w:lang w:val="en-ID"/>
        </w:rPr>
        <w:t>qānūn</w:t>
      </w:r>
      <w:proofErr w:type="spellEnd"/>
      <w:r w:rsidRPr="00087735">
        <w:rPr>
          <w:rFonts w:asciiTheme="majorBidi" w:hAnsiTheme="majorBidi" w:cstheme="majorBidi"/>
          <w:sz w:val="24"/>
          <w:szCs w:val="24"/>
          <w:lang w:val="en-ID"/>
        </w:rPr>
        <w:t xml:space="preserve">, </w:t>
      </w:r>
      <w:proofErr w:type="spellStart"/>
      <w:r w:rsidRPr="00087735">
        <w:rPr>
          <w:rFonts w:asciiTheme="majorBidi" w:hAnsiTheme="majorBidi" w:cstheme="majorBidi"/>
          <w:sz w:val="24"/>
          <w:szCs w:val="24"/>
          <w:lang w:val="en-ID"/>
        </w:rPr>
        <w:t>furṣah</w:t>
      </w:r>
      <w:proofErr w:type="spellEnd"/>
      <w:r w:rsidRPr="00087735">
        <w:rPr>
          <w:rFonts w:asciiTheme="majorBidi" w:hAnsiTheme="majorBidi" w:cstheme="majorBidi"/>
          <w:sz w:val="24"/>
          <w:szCs w:val="24"/>
          <w:lang w:val="en-ID"/>
        </w:rPr>
        <w:t xml:space="preserve"> </w:t>
      </w:r>
      <w:proofErr w:type="spellStart"/>
      <w:r w:rsidRPr="00087735">
        <w:rPr>
          <w:rFonts w:asciiTheme="majorBidi" w:hAnsiTheme="majorBidi" w:cstheme="majorBidi"/>
          <w:sz w:val="24"/>
          <w:szCs w:val="24"/>
          <w:lang w:val="en-ID"/>
        </w:rPr>
        <w:t>dhahabiyyah</w:t>
      </w:r>
      <w:proofErr w:type="spellEnd"/>
      <w:r w:rsidRPr="00087735">
        <w:rPr>
          <w:rFonts w:asciiTheme="majorBidi" w:hAnsiTheme="majorBidi" w:cstheme="majorBidi"/>
          <w:sz w:val="24"/>
          <w:szCs w:val="24"/>
          <w:lang w:val="en-ID"/>
        </w:rPr>
        <w:t xml:space="preserve">, </w:t>
      </w:r>
      <w:proofErr w:type="spellStart"/>
      <w:r w:rsidRPr="00087735">
        <w:rPr>
          <w:rFonts w:asciiTheme="majorBidi" w:hAnsiTheme="majorBidi" w:cstheme="majorBidi"/>
          <w:sz w:val="24"/>
          <w:szCs w:val="24"/>
          <w:lang w:val="en-ID"/>
        </w:rPr>
        <w:t>fakkir</w:t>
      </w:r>
      <w:proofErr w:type="spellEnd"/>
      <w:r w:rsidRPr="00087735">
        <w:rPr>
          <w:rFonts w:asciiTheme="majorBidi" w:hAnsiTheme="majorBidi" w:cstheme="majorBidi"/>
          <w:sz w:val="24"/>
          <w:szCs w:val="24"/>
          <w:lang w:val="en-ID"/>
        </w:rPr>
        <w:t xml:space="preserve"> </w:t>
      </w:r>
      <w:proofErr w:type="spellStart"/>
      <w:r w:rsidRPr="00087735">
        <w:rPr>
          <w:rFonts w:asciiTheme="majorBidi" w:hAnsiTheme="majorBidi" w:cstheme="majorBidi"/>
          <w:sz w:val="24"/>
          <w:szCs w:val="24"/>
          <w:lang w:val="en-ID"/>
        </w:rPr>
        <w:t>marratayn</w:t>
      </w:r>
      <w:proofErr w:type="spellEnd"/>
      <w:r w:rsidRPr="00087735">
        <w:rPr>
          <w:rFonts w:asciiTheme="majorBidi" w:hAnsiTheme="majorBidi" w:cstheme="majorBidi"/>
          <w:sz w:val="24"/>
          <w:szCs w:val="24"/>
          <w:lang w:val="en-ID"/>
        </w:rPr>
        <w:t xml:space="preserve">, and </w:t>
      </w:r>
      <w:proofErr w:type="spellStart"/>
      <w:r w:rsidRPr="00087735">
        <w:rPr>
          <w:rFonts w:asciiTheme="majorBidi" w:hAnsiTheme="majorBidi" w:cstheme="majorBidi"/>
          <w:sz w:val="24"/>
          <w:szCs w:val="24"/>
          <w:lang w:val="en-ID"/>
        </w:rPr>
        <w:t>fī</w:t>
      </w:r>
      <w:proofErr w:type="spellEnd"/>
      <w:r w:rsidRPr="00087735">
        <w:rPr>
          <w:rFonts w:asciiTheme="majorBidi" w:hAnsiTheme="majorBidi" w:cstheme="majorBidi"/>
          <w:sz w:val="24"/>
          <w:szCs w:val="24"/>
          <w:lang w:val="en-ID"/>
        </w:rPr>
        <w:t xml:space="preserve"> khabar </w:t>
      </w:r>
      <w:proofErr w:type="spellStart"/>
      <w:r w:rsidRPr="00087735">
        <w:rPr>
          <w:rFonts w:asciiTheme="majorBidi" w:hAnsiTheme="majorBidi" w:cstheme="majorBidi"/>
          <w:sz w:val="24"/>
          <w:szCs w:val="24"/>
          <w:lang w:val="en-ID"/>
        </w:rPr>
        <w:t>kāna</w:t>
      </w:r>
      <w:proofErr w:type="spellEnd"/>
      <w:r w:rsidRPr="00087735">
        <w:rPr>
          <w:rFonts w:asciiTheme="majorBidi" w:hAnsiTheme="majorBidi" w:cstheme="majorBidi"/>
          <w:sz w:val="24"/>
          <w:szCs w:val="24"/>
          <w:lang w:val="en-ID"/>
        </w:rPr>
        <w:t xml:space="preserve"> shows that there are universal semantic relations as </w:t>
      </w:r>
      <w:r w:rsidRPr="00087735">
        <w:rPr>
          <w:rFonts w:asciiTheme="majorBidi" w:hAnsiTheme="majorBidi" w:cstheme="majorBidi"/>
          <w:sz w:val="24"/>
          <w:szCs w:val="24"/>
          <w:lang w:val="en-ID"/>
        </w:rPr>
        <w:lastRenderedPageBreak/>
        <w:t xml:space="preserve">well as significant cultural differences. The idiom </w:t>
      </w:r>
      <w:proofErr w:type="spellStart"/>
      <w:r w:rsidRPr="00087735">
        <w:rPr>
          <w:rFonts w:asciiTheme="majorBidi" w:hAnsiTheme="majorBidi" w:cstheme="majorBidi"/>
          <w:sz w:val="24"/>
          <w:szCs w:val="24"/>
          <w:lang w:val="en-ID"/>
        </w:rPr>
        <w:t>ʿayn</w:t>
      </w:r>
      <w:proofErr w:type="spellEnd"/>
      <w:r w:rsidRPr="00087735">
        <w:rPr>
          <w:rFonts w:asciiTheme="majorBidi" w:hAnsiTheme="majorBidi" w:cstheme="majorBidi"/>
          <w:sz w:val="24"/>
          <w:szCs w:val="24"/>
          <w:lang w:val="en-ID"/>
        </w:rPr>
        <w:t xml:space="preserve"> </w:t>
      </w:r>
      <w:proofErr w:type="spellStart"/>
      <w:r w:rsidRPr="00087735">
        <w:rPr>
          <w:rFonts w:asciiTheme="majorBidi" w:hAnsiTheme="majorBidi" w:cstheme="majorBidi"/>
          <w:sz w:val="24"/>
          <w:szCs w:val="24"/>
          <w:lang w:val="en-ID"/>
        </w:rPr>
        <w:t>ar-riḍā</w:t>
      </w:r>
      <w:proofErr w:type="spellEnd"/>
      <w:r w:rsidRPr="00087735">
        <w:rPr>
          <w:rFonts w:asciiTheme="majorBidi" w:hAnsiTheme="majorBidi" w:cstheme="majorBidi"/>
          <w:sz w:val="24"/>
          <w:szCs w:val="24"/>
          <w:lang w:val="en-ID"/>
        </w:rPr>
        <w:t xml:space="preserve"> shows how Arabic connects the ‘eye’ with inner conditions, while English and French favour light-based visual metaphors. The idiom </w:t>
      </w:r>
      <w:proofErr w:type="spellStart"/>
      <w:r w:rsidRPr="00087735">
        <w:rPr>
          <w:rFonts w:asciiTheme="majorBidi" w:hAnsiTheme="majorBidi" w:cstheme="majorBidi"/>
          <w:sz w:val="24"/>
          <w:szCs w:val="24"/>
          <w:lang w:val="en-ID"/>
        </w:rPr>
        <w:t>fawqa</w:t>
      </w:r>
      <w:proofErr w:type="spellEnd"/>
      <w:r w:rsidRPr="00087735">
        <w:rPr>
          <w:rFonts w:asciiTheme="majorBidi" w:hAnsiTheme="majorBidi" w:cstheme="majorBidi"/>
          <w:sz w:val="24"/>
          <w:szCs w:val="24"/>
          <w:lang w:val="en-ID"/>
        </w:rPr>
        <w:t xml:space="preserve"> al-</w:t>
      </w:r>
      <w:proofErr w:type="spellStart"/>
      <w:r w:rsidRPr="00087735">
        <w:rPr>
          <w:rFonts w:asciiTheme="majorBidi" w:hAnsiTheme="majorBidi" w:cstheme="majorBidi"/>
          <w:sz w:val="24"/>
          <w:szCs w:val="24"/>
          <w:lang w:val="en-ID"/>
        </w:rPr>
        <w:t>qānūn</w:t>
      </w:r>
      <w:proofErr w:type="spellEnd"/>
      <w:r w:rsidRPr="00087735">
        <w:rPr>
          <w:rFonts w:asciiTheme="majorBidi" w:hAnsiTheme="majorBidi" w:cstheme="majorBidi"/>
          <w:sz w:val="24"/>
          <w:szCs w:val="24"/>
          <w:lang w:val="en-ID"/>
        </w:rPr>
        <w:t xml:space="preserve"> shows similarities in vertical metaphors in Arabic, English, and French, while Indonesian chooses the bodily metaphor ‘immune to the law’. In </w:t>
      </w:r>
      <w:proofErr w:type="spellStart"/>
      <w:r w:rsidRPr="00087735">
        <w:rPr>
          <w:rFonts w:asciiTheme="majorBidi" w:hAnsiTheme="majorBidi" w:cstheme="majorBidi"/>
          <w:sz w:val="24"/>
          <w:szCs w:val="24"/>
          <w:lang w:val="en-ID"/>
        </w:rPr>
        <w:t>furṣah</w:t>
      </w:r>
      <w:proofErr w:type="spellEnd"/>
      <w:r w:rsidRPr="00087735">
        <w:rPr>
          <w:rFonts w:asciiTheme="majorBidi" w:hAnsiTheme="majorBidi" w:cstheme="majorBidi"/>
          <w:sz w:val="24"/>
          <w:szCs w:val="24"/>
          <w:lang w:val="en-ID"/>
        </w:rPr>
        <w:t xml:space="preserve"> </w:t>
      </w:r>
      <w:proofErr w:type="spellStart"/>
      <w:r w:rsidRPr="00087735">
        <w:rPr>
          <w:rFonts w:asciiTheme="majorBidi" w:hAnsiTheme="majorBidi" w:cstheme="majorBidi"/>
          <w:sz w:val="24"/>
          <w:szCs w:val="24"/>
          <w:lang w:val="en-ID"/>
        </w:rPr>
        <w:t>dhahabiyyah</w:t>
      </w:r>
      <w:proofErr w:type="spellEnd"/>
      <w:r w:rsidRPr="00087735">
        <w:rPr>
          <w:rFonts w:asciiTheme="majorBidi" w:hAnsiTheme="majorBidi" w:cstheme="majorBidi"/>
          <w:sz w:val="24"/>
          <w:szCs w:val="24"/>
          <w:lang w:val="en-ID"/>
        </w:rPr>
        <w:t xml:space="preserve">, the four languages show metaphorical harmony through the use of the element ‘gold’ as a symbol of value and scarcity, confirming the existence of valuable material metaphors as a cross-cultural concept. The similarity in idiomatic structure in </w:t>
      </w:r>
      <w:proofErr w:type="spellStart"/>
      <w:r w:rsidRPr="00087735">
        <w:rPr>
          <w:rFonts w:asciiTheme="majorBidi" w:hAnsiTheme="majorBidi" w:cstheme="majorBidi"/>
          <w:sz w:val="24"/>
          <w:szCs w:val="24"/>
          <w:lang w:val="en-ID"/>
        </w:rPr>
        <w:t>fakkir</w:t>
      </w:r>
      <w:proofErr w:type="spellEnd"/>
      <w:r w:rsidRPr="00087735">
        <w:rPr>
          <w:rFonts w:asciiTheme="majorBidi" w:hAnsiTheme="majorBidi" w:cstheme="majorBidi"/>
          <w:sz w:val="24"/>
          <w:szCs w:val="24"/>
          <w:lang w:val="en-ID"/>
        </w:rPr>
        <w:t xml:space="preserve"> </w:t>
      </w:r>
      <w:proofErr w:type="spellStart"/>
      <w:r w:rsidRPr="00087735">
        <w:rPr>
          <w:rFonts w:asciiTheme="majorBidi" w:hAnsiTheme="majorBidi" w:cstheme="majorBidi"/>
          <w:sz w:val="24"/>
          <w:szCs w:val="24"/>
          <w:lang w:val="en-ID"/>
        </w:rPr>
        <w:t>marratayn</w:t>
      </w:r>
      <w:proofErr w:type="spellEnd"/>
      <w:r w:rsidRPr="00087735">
        <w:rPr>
          <w:rFonts w:asciiTheme="majorBidi" w:hAnsiTheme="majorBidi" w:cstheme="majorBidi"/>
          <w:sz w:val="24"/>
          <w:szCs w:val="24"/>
          <w:lang w:val="en-ID"/>
        </w:rPr>
        <w:t xml:space="preserve">, think twice, and </w:t>
      </w:r>
      <w:proofErr w:type="spellStart"/>
      <w:r w:rsidRPr="00087735">
        <w:rPr>
          <w:rFonts w:asciiTheme="majorBidi" w:hAnsiTheme="majorBidi" w:cstheme="majorBidi"/>
          <w:sz w:val="24"/>
          <w:szCs w:val="24"/>
          <w:lang w:val="en-ID"/>
        </w:rPr>
        <w:t>réfléchir</w:t>
      </w:r>
      <w:proofErr w:type="spellEnd"/>
      <w:r w:rsidRPr="00087735">
        <w:rPr>
          <w:rFonts w:asciiTheme="majorBidi" w:hAnsiTheme="majorBidi" w:cstheme="majorBidi"/>
          <w:sz w:val="24"/>
          <w:szCs w:val="24"/>
          <w:lang w:val="en-ID"/>
        </w:rPr>
        <w:t xml:space="preserve"> à deux </w:t>
      </w:r>
      <w:proofErr w:type="spellStart"/>
      <w:r w:rsidRPr="00087735">
        <w:rPr>
          <w:rFonts w:asciiTheme="majorBidi" w:hAnsiTheme="majorBidi" w:cstheme="majorBidi"/>
          <w:sz w:val="24"/>
          <w:szCs w:val="24"/>
          <w:lang w:val="en-ID"/>
        </w:rPr>
        <w:t>fois</w:t>
      </w:r>
      <w:proofErr w:type="spellEnd"/>
      <w:r w:rsidRPr="00087735">
        <w:rPr>
          <w:rFonts w:asciiTheme="majorBidi" w:hAnsiTheme="majorBidi" w:cstheme="majorBidi"/>
          <w:sz w:val="24"/>
          <w:szCs w:val="24"/>
          <w:lang w:val="en-ID"/>
        </w:rPr>
        <w:t xml:space="preserve"> shows a cognitive consensus on the concept of caution. As for </w:t>
      </w:r>
      <w:proofErr w:type="spellStart"/>
      <w:r w:rsidRPr="00087735">
        <w:rPr>
          <w:rFonts w:asciiTheme="majorBidi" w:hAnsiTheme="majorBidi" w:cstheme="majorBidi"/>
          <w:sz w:val="24"/>
          <w:szCs w:val="24"/>
          <w:lang w:val="en-ID"/>
        </w:rPr>
        <w:t>fī</w:t>
      </w:r>
      <w:proofErr w:type="spellEnd"/>
      <w:r w:rsidRPr="00087735">
        <w:rPr>
          <w:rFonts w:asciiTheme="majorBidi" w:hAnsiTheme="majorBidi" w:cstheme="majorBidi"/>
          <w:sz w:val="24"/>
          <w:szCs w:val="24"/>
          <w:lang w:val="en-ID"/>
        </w:rPr>
        <w:t xml:space="preserve"> khabar </w:t>
      </w:r>
      <w:proofErr w:type="spellStart"/>
      <w:r w:rsidRPr="00087735">
        <w:rPr>
          <w:rFonts w:asciiTheme="majorBidi" w:hAnsiTheme="majorBidi" w:cstheme="majorBidi"/>
          <w:sz w:val="24"/>
          <w:szCs w:val="24"/>
          <w:lang w:val="en-ID"/>
        </w:rPr>
        <w:t>kāna</w:t>
      </w:r>
      <w:proofErr w:type="spellEnd"/>
      <w:r w:rsidRPr="00087735">
        <w:rPr>
          <w:rFonts w:asciiTheme="majorBidi" w:hAnsiTheme="majorBidi" w:cstheme="majorBidi"/>
          <w:sz w:val="24"/>
          <w:szCs w:val="24"/>
          <w:lang w:val="en-ID"/>
        </w:rPr>
        <w:t>, it shows the uniqueness of Arabic idioms based on grammatical structure, which have no idiomatic equivalents in English and French, but find close temporal metaphors in Indonesian.</w:t>
      </w:r>
    </w:p>
    <w:p w14:paraId="71953671" w14:textId="77777777" w:rsidR="00F670C5" w:rsidRPr="00FC29E3" w:rsidRDefault="00F670C5" w:rsidP="00FC29E3">
      <w:pPr>
        <w:spacing w:after="0" w:line="240" w:lineRule="auto"/>
        <w:jc w:val="both"/>
        <w:rPr>
          <w:rFonts w:asciiTheme="majorBidi" w:hAnsiTheme="majorBidi" w:cstheme="majorBidi"/>
          <w:b/>
          <w:bCs/>
          <w:color w:val="FF0000"/>
          <w:sz w:val="20"/>
          <w:szCs w:val="20"/>
          <w:lang w:val="id-ID"/>
        </w:rPr>
      </w:pPr>
    </w:p>
    <w:p w14:paraId="08280058" w14:textId="48D33A22" w:rsidR="006C23C0" w:rsidRDefault="00087735" w:rsidP="00FC29E3">
      <w:pPr>
        <w:spacing w:line="240" w:lineRule="auto"/>
        <w:jc w:val="center"/>
        <w:rPr>
          <w:rFonts w:ascii="Cambria" w:eastAsia="Cambria" w:hAnsi="Cambria" w:cs="Cambria"/>
          <w:b/>
          <w:sz w:val="24"/>
          <w:szCs w:val="24"/>
        </w:rPr>
      </w:pPr>
      <w:r>
        <w:rPr>
          <w:rFonts w:ascii="Cambria" w:eastAsia="Cambria" w:hAnsi="Cambria" w:cs="Cambria"/>
          <w:b/>
          <w:sz w:val="24"/>
          <w:szCs w:val="24"/>
        </w:rPr>
        <w:t>REFERENCES</w:t>
      </w:r>
    </w:p>
    <w:p w14:paraId="67FE3E16" w14:textId="72395C83"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heme="majorBidi" w:hAnsiTheme="majorBidi" w:cstheme="majorBidi"/>
          <w:b/>
          <w:bCs/>
          <w:sz w:val="24"/>
          <w:szCs w:val="24"/>
          <w:lang w:val="id-ID"/>
        </w:rPr>
        <w:fldChar w:fldCharType="begin" w:fldLock="1"/>
      </w:r>
      <w:r w:rsidRPr="00087735">
        <w:rPr>
          <w:rFonts w:asciiTheme="majorBidi" w:hAnsiTheme="majorBidi" w:cstheme="majorBidi"/>
          <w:b/>
          <w:bCs/>
          <w:sz w:val="24"/>
          <w:szCs w:val="24"/>
          <w:lang w:val="id-ID"/>
        </w:rPr>
        <w:instrText xml:space="preserve">ADDIN Mendeley Bibliography CSL_BIBLIOGRAPHY </w:instrText>
      </w:r>
      <w:r w:rsidRPr="00087735">
        <w:rPr>
          <w:rFonts w:asciiTheme="majorBidi" w:hAnsiTheme="majorBidi" w:cstheme="majorBidi"/>
          <w:b/>
          <w:bCs/>
          <w:sz w:val="24"/>
          <w:szCs w:val="24"/>
          <w:lang w:val="id-ID"/>
        </w:rPr>
        <w:fldChar w:fldCharType="separate"/>
      </w:r>
      <w:r w:rsidRPr="00087735">
        <w:rPr>
          <w:rFonts w:ascii="Times New Roman" w:hAnsi="Times New Roman" w:cs="Times New Roman"/>
          <w:noProof/>
          <w:sz w:val="24"/>
          <w:szCs w:val="24"/>
        </w:rPr>
        <w:t xml:space="preserve">Adnan, M. M., Masyitoh, S., &amp; Odang, O. (2021). The Meaning Of Weapon Lexicons In Arabic Proverbs. </w:t>
      </w:r>
      <w:r w:rsidRPr="00087735">
        <w:rPr>
          <w:rFonts w:ascii="Times New Roman" w:hAnsi="Times New Roman" w:cs="Times New Roman"/>
          <w:i/>
          <w:iCs/>
          <w:noProof/>
          <w:sz w:val="24"/>
          <w:szCs w:val="24"/>
        </w:rPr>
        <w:t>Ta Lim Al- Arabiyyah Jurnal Pendidikan Bahasa Arab \&amp; Kebahasaaraban</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5</w:t>
      </w:r>
      <w:r w:rsidRPr="00087735">
        <w:rPr>
          <w:rFonts w:ascii="Times New Roman" w:hAnsi="Times New Roman" w:cs="Times New Roman"/>
          <w:noProof/>
          <w:sz w:val="24"/>
          <w:szCs w:val="24"/>
        </w:rPr>
        <w:t>(1), 74–83. https://doi.org/10.15575/jpba.v5i1.12340</w:t>
      </w:r>
    </w:p>
    <w:p w14:paraId="1FA0B6C6" w14:textId="77777777" w:rsidR="00087735" w:rsidRPr="00C2027F"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lang w:val="nl-NL"/>
        </w:rPr>
      </w:pPr>
      <w:r w:rsidRPr="00C2027F">
        <w:rPr>
          <w:rFonts w:ascii="Times New Roman" w:hAnsi="Times New Roman" w:cs="Times New Roman"/>
          <w:noProof/>
          <w:sz w:val="24"/>
          <w:szCs w:val="24"/>
          <w:lang w:val="nl-NL"/>
        </w:rPr>
        <w:t xml:space="preserve">Al-‘Alim, M. (2005). </w:t>
      </w:r>
      <w:r w:rsidRPr="00C2027F">
        <w:rPr>
          <w:rFonts w:ascii="Times New Roman" w:hAnsi="Times New Roman" w:cs="Times New Roman"/>
          <w:i/>
          <w:iCs/>
          <w:noProof/>
          <w:sz w:val="24"/>
          <w:szCs w:val="24"/>
          <w:lang w:val="nl-NL"/>
        </w:rPr>
        <w:t>Dirasat fi al-Dalalah al-Lughawiyyah</w:t>
      </w:r>
      <w:r w:rsidRPr="00C2027F">
        <w:rPr>
          <w:rFonts w:ascii="Times New Roman" w:hAnsi="Times New Roman" w:cs="Times New Roman"/>
          <w:noProof/>
          <w:sz w:val="24"/>
          <w:szCs w:val="24"/>
          <w:lang w:val="nl-NL"/>
        </w:rPr>
        <w:t>. Dar al-Fikr.</w:t>
      </w:r>
    </w:p>
    <w:p w14:paraId="7390892B" w14:textId="77777777" w:rsidR="00087735" w:rsidRPr="00C2027F"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lang w:val="nl-NL"/>
        </w:rPr>
      </w:pPr>
      <w:r w:rsidRPr="00C2027F">
        <w:rPr>
          <w:rFonts w:ascii="Times New Roman" w:hAnsi="Times New Roman" w:cs="Times New Roman"/>
          <w:noProof/>
          <w:sz w:val="24"/>
          <w:szCs w:val="24"/>
          <w:lang w:val="nl-NL"/>
        </w:rPr>
        <w:t xml:space="preserve">Al-Khūlī, M. ‘Ali. (2000). </w:t>
      </w:r>
      <w:r w:rsidRPr="00C2027F">
        <w:rPr>
          <w:rFonts w:ascii="Times New Roman" w:hAnsi="Times New Roman" w:cs="Times New Roman"/>
          <w:i/>
          <w:iCs/>
          <w:noProof/>
          <w:sz w:val="24"/>
          <w:szCs w:val="24"/>
          <w:lang w:val="nl-NL"/>
        </w:rPr>
        <w:t>‘Ilmu Ad-Dilālah ‘Ilmu Al-Ma’nā</w:t>
      </w:r>
      <w:r w:rsidRPr="00C2027F">
        <w:rPr>
          <w:rFonts w:ascii="Times New Roman" w:hAnsi="Times New Roman" w:cs="Times New Roman"/>
          <w:noProof/>
          <w:sz w:val="24"/>
          <w:szCs w:val="24"/>
          <w:lang w:val="nl-NL"/>
        </w:rPr>
        <w:t>. Darul Falah.</w:t>
      </w:r>
    </w:p>
    <w:p w14:paraId="0AEB1C27" w14:textId="77777777" w:rsidR="00087735" w:rsidRPr="00C2027F"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lang w:val="nl-NL"/>
        </w:rPr>
      </w:pPr>
      <w:r w:rsidRPr="00C2027F">
        <w:rPr>
          <w:rFonts w:ascii="Times New Roman" w:hAnsi="Times New Roman" w:cs="Times New Roman"/>
          <w:noProof/>
          <w:sz w:val="24"/>
          <w:szCs w:val="24"/>
          <w:lang w:val="nl-NL"/>
        </w:rPr>
        <w:t xml:space="preserve">Al-Qahir, ‘Abdal-Jurjani. (1990). </w:t>
      </w:r>
      <w:r w:rsidRPr="00C2027F">
        <w:rPr>
          <w:rFonts w:ascii="Times New Roman" w:hAnsi="Times New Roman" w:cs="Times New Roman"/>
          <w:i/>
          <w:iCs/>
          <w:noProof/>
          <w:sz w:val="24"/>
          <w:szCs w:val="24"/>
          <w:lang w:val="nl-NL"/>
        </w:rPr>
        <w:t>Asrar al-Balaghah</w:t>
      </w:r>
      <w:r w:rsidRPr="00C2027F">
        <w:rPr>
          <w:rFonts w:ascii="Times New Roman" w:hAnsi="Times New Roman" w:cs="Times New Roman"/>
          <w:noProof/>
          <w:sz w:val="24"/>
          <w:szCs w:val="24"/>
          <w:lang w:val="nl-NL"/>
        </w:rPr>
        <w:t>. Dar al-Kutub al-‘Ilmiyyah.</w:t>
      </w:r>
    </w:p>
    <w:p w14:paraId="78A3BC70" w14:textId="77777777" w:rsidR="00087735" w:rsidRPr="00C2027F"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lang w:val="nl-NL"/>
        </w:rPr>
      </w:pPr>
      <w:r w:rsidRPr="00C2027F">
        <w:rPr>
          <w:rFonts w:ascii="Times New Roman" w:hAnsi="Times New Roman" w:cs="Times New Roman"/>
          <w:noProof/>
          <w:sz w:val="24"/>
          <w:szCs w:val="24"/>
          <w:lang w:val="nl-NL"/>
        </w:rPr>
        <w:t xml:space="preserve">Al-Shafi’i, H. (2007). </w:t>
      </w:r>
      <w:r w:rsidRPr="00C2027F">
        <w:rPr>
          <w:rFonts w:ascii="Times New Roman" w:hAnsi="Times New Roman" w:cs="Times New Roman"/>
          <w:i/>
          <w:iCs/>
          <w:noProof/>
          <w:sz w:val="24"/>
          <w:szCs w:val="24"/>
          <w:lang w:val="nl-NL"/>
        </w:rPr>
        <w:t>Madkhal ila‘Ilm al-Lughah</w:t>
      </w:r>
      <w:r w:rsidRPr="00C2027F">
        <w:rPr>
          <w:rFonts w:ascii="Times New Roman" w:hAnsi="Times New Roman" w:cs="Times New Roman"/>
          <w:noProof/>
          <w:sz w:val="24"/>
          <w:szCs w:val="24"/>
          <w:lang w:val="nl-NL"/>
        </w:rPr>
        <w:t>. Dar al-Salam.</w:t>
      </w:r>
    </w:p>
    <w:p w14:paraId="3C80FE56"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C2027F">
        <w:rPr>
          <w:rFonts w:ascii="Times New Roman" w:hAnsi="Times New Roman" w:cs="Times New Roman"/>
          <w:noProof/>
          <w:sz w:val="24"/>
          <w:szCs w:val="24"/>
          <w:lang w:val="nl-NL"/>
        </w:rPr>
        <w:t xml:space="preserve">Antoni, N., &amp; Fadlilah, S. T. U. (2022). </w:t>
      </w:r>
      <w:r w:rsidRPr="00087735">
        <w:rPr>
          <w:rFonts w:ascii="Times New Roman" w:hAnsi="Times New Roman" w:cs="Times New Roman"/>
          <w:noProof/>
          <w:sz w:val="24"/>
          <w:szCs w:val="24"/>
        </w:rPr>
        <w:t xml:space="preserve">Ngapak Language as Discourses of Javanese Socio-Cultural Construct. </w:t>
      </w:r>
      <w:r w:rsidRPr="00087735">
        <w:rPr>
          <w:rFonts w:ascii="Times New Roman" w:hAnsi="Times New Roman" w:cs="Times New Roman"/>
          <w:i/>
          <w:iCs/>
          <w:noProof/>
          <w:sz w:val="24"/>
          <w:szCs w:val="24"/>
        </w:rPr>
        <w:t>KOMUNITAS INTERNATIONAL JOURNAL OF INDONESIAN SOCIETY AND CULTURE</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14</w:t>
      </w:r>
      <w:r w:rsidRPr="00087735">
        <w:rPr>
          <w:rFonts w:ascii="Times New Roman" w:hAnsi="Times New Roman" w:cs="Times New Roman"/>
          <w:noProof/>
          <w:sz w:val="24"/>
          <w:szCs w:val="24"/>
        </w:rPr>
        <w:t>(1), 77–88. https://doi.org/10.15294/komunitas.v14i1.30915</w:t>
      </w:r>
    </w:p>
    <w:p w14:paraId="3BAA0794"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C2027F">
        <w:rPr>
          <w:rFonts w:ascii="Times New Roman" w:hAnsi="Times New Roman" w:cs="Times New Roman"/>
          <w:noProof/>
          <w:sz w:val="24"/>
          <w:szCs w:val="24"/>
          <w:lang w:val="sv-SE"/>
        </w:rPr>
        <w:t xml:space="preserve">Fajariyah, L. (2022). Studi Analisis Kontrastif Padanan Peribahasa Arab dan Inggris Perspektif Hermeneutika Budaya. </w:t>
      </w:r>
      <w:r w:rsidRPr="00087735">
        <w:rPr>
          <w:rFonts w:ascii="Times New Roman" w:hAnsi="Times New Roman" w:cs="Times New Roman"/>
          <w:i/>
          <w:iCs/>
          <w:noProof/>
          <w:sz w:val="24"/>
          <w:szCs w:val="24"/>
        </w:rPr>
        <w:t>Diwan Jurnal Bahasa Dan Sastra Arab</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13</w:t>
      </w:r>
      <w:r w:rsidRPr="00087735">
        <w:rPr>
          <w:rFonts w:ascii="Times New Roman" w:hAnsi="Times New Roman" w:cs="Times New Roman"/>
          <w:noProof/>
          <w:sz w:val="24"/>
          <w:szCs w:val="24"/>
        </w:rPr>
        <w:t>(2), 100–115. https://doi.org/10.15548/diwan.v13i2.711</w:t>
      </w:r>
    </w:p>
    <w:p w14:paraId="04F1868C"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imes New Roman" w:hAnsi="Times New Roman" w:cs="Times New Roman"/>
          <w:noProof/>
          <w:sz w:val="24"/>
          <w:szCs w:val="24"/>
        </w:rPr>
        <w:t xml:space="preserve">Fatikhin, R. (2022). </w:t>
      </w:r>
      <w:r w:rsidRPr="00087735">
        <w:rPr>
          <w:rFonts w:ascii="Times New Roman" w:hAnsi="Times New Roman" w:cs="Times New Roman"/>
          <w:noProof/>
          <w:sz w:val="24"/>
          <w:szCs w:val="24"/>
          <w:rtl/>
        </w:rPr>
        <w:t>ترجمة التعبير الإصطلاحي المعلق بالأفعال المتعدية بحرف جر في كتاب وصف الجنة والنار لوحيد عبد السالم بالي</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ALLAIS Journal of Arabic Language and Literature</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1</w:t>
      </w:r>
      <w:r w:rsidRPr="00087735">
        <w:rPr>
          <w:rFonts w:ascii="Times New Roman" w:hAnsi="Times New Roman" w:cs="Times New Roman"/>
          <w:noProof/>
          <w:sz w:val="24"/>
          <w:szCs w:val="24"/>
        </w:rPr>
        <w:t>(2), 1–19. https://doi.org/10.22515/allais.v1i2.5633</w:t>
      </w:r>
    </w:p>
    <w:p w14:paraId="40C34ACD"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imes New Roman" w:hAnsi="Times New Roman" w:cs="Times New Roman"/>
          <w:noProof/>
          <w:sz w:val="24"/>
          <w:szCs w:val="24"/>
        </w:rPr>
        <w:t>Fikriyah, I. (2022). Idioms Between Arabic and Indonesian (a comparative analysis)/</w:t>
      </w:r>
      <w:r w:rsidRPr="00087735">
        <w:rPr>
          <w:rFonts w:ascii="Times New Roman" w:hAnsi="Times New Roman" w:cs="Times New Roman"/>
          <w:noProof/>
          <w:sz w:val="24"/>
          <w:szCs w:val="24"/>
          <w:rtl/>
        </w:rPr>
        <w:t>التعبير الاصطلاحي بين اللغة العربية واللغة الإندونيسية</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Jurnal Al-Maqayis</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9</w:t>
      </w:r>
      <w:r w:rsidRPr="00087735">
        <w:rPr>
          <w:rFonts w:ascii="Times New Roman" w:hAnsi="Times New Roman" w:cs="Times New Roman"/>
          <w:noProof/>
          <w:sz w:val="24"/>
          <w:szCs w:val="24"/>
        </w:rPr>
        <w:t>(1), 55–69.</w:t>
      </w:r>
    </w:p>
    <w:p w14:paraId="1F197F2E"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imes New Roman" w:hAnsi="Times New Roman" w:cs="Times New Roman"/>
          <w:noProof/>
          <w:sz w:val="24"/>
          <w:szCs w:val="24"/>
        </w:rPr>
        <w:t xml:space="preserve">Fitryani, L., Maulana, U., &amp; Ibrahim, M. (2024). </w:t>
      </w:r>
      <w:r w:rsidRPr="00087735">
        <w:rPr>
          <w:rFonts w:ascii="Times New Roman" w:hAnsi="Times New Roman" w:cs="Times New Roman"/>
          <w:i/>
          <w:iCs/>
          <w:noProof/>
          <w:sz w:val="24"/>
          <w:szCs w:val="24"/>
        </w:rPr>
        <w:t>Analysis of Nahwu Errors in Learning Arabic Text Reading Skills</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16</w:t>
      </w:r>
      <w:r w:rsidRPr="00087735">
        <w:rPr>
          <w:rFonts w:ascii="Times New Roman" w:hAnsi="Times New Roman" w:cs="Times New Roman"/>
          <w:noProof/>
          <w:sz w:val="24"/>
          <w:szCs w:val="24"/>
        </w:rPr>
        <w:t>(1), 79–90.</w:t>
      </w:r>
    </w:p>
    <w:p w14:paraId="3030BFFC" w14:textId="77777777" w:rsidR="00087735" w:rsidRPr="00C2027F"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lang w:val="sv-SE"/>
        </w:rPr>
      </w:pPr>
      <w:r w:rsidRPr="00087735">
        <w:rPr>
          <w:rFonts w:ascii="Times New Roman" w:hAnsi="Times New Roman" w:cs="Times New Roman"/>
          <w:noProof/>
          <w:sz w:val="24"/>
          <w:szCs w:val="24"/>
        </w:rPr>
        <w:t xml:space="preserve">Hanim, L. (2022). The Translation of Idiomatic Expressions in ‘The Adventures of Huckleberry Finn’ Novel from English into Indonesian. </w:t>
      </w:r>
      <w:r w:rsidRPr="00C2027F">
        <w:rPr>
          <w:rFonts w:ascii="Times New Roman" w:hAnsi="Times New Roman" w:cs="Times New Roman"/>
          <w:i/>
          <w:iCs/>
          <w:noProof/>
          <w:sz w:val="24"/>
          <w:szCs w:val="24"/>
          <w:lang w:val="sv-SE"/>
        </w:rPr>
        <w:t>LITE Jurnal Bahasa Sastra Dan Budaya</w:t>
      </w:r>
      <w:r w:rsidRPr="00C2027F">
        <w:rPr>
          <w:rFonts w:ascii="Times New Roman" w:hAnsi="Times New Roman" w:cs="Times New Roman"/>
          <w:noProof/>
          <w:sz w:val="24"/>
          <w:szCs w:val="24"/>
          <w:lang w:val="sv-SE"/>
        </w:rPr>
        <w:t xml:space="preserve">, </w:t>
      </w:r>
      <w:r w:rsidRPr="00C2027F">
        <w:rPr>
          <w:rFonts w:ascii="Times New Roman" w:hAnsi="Times New Roman" w:cs="Times New Roman"/>
          <w:i/>
          <w:iCs/>
          <w:noProof/>
          <w:sz w:val="24"/>
          <w:szCs w:val="24"/>
          <w:lang w:val="sv-SE"/>
        </w:rPr>
        <w:t>18</w:t>
      </w:r>
      <w:r w:rsidRPr="00C2027F">
        <w:rPr>
          <w:rFonts w:ascii="Times New Roman" w:hAnsi="Times New Roman" w:cs="Times New Roman"/>
          <w:noProof/>
          <w:sz w:val="24"/>
          <w:szCs w:val="24"/>
          <w:lang w:val="sv-SE"/>
        </w:rPr>
        <w:t>(1), 34–42. https://doi.org/10.33633/lite.v18i1.5549</w:t>
      </w:r>
    </w:p>
    <w:p w14:paraId="5941E9D5"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C2027F">
        <w:rPr>
          <w:rFonts w:ascii="Times New Roman" w:hAnsi="Times New Roman" w:cs="Times New Roman"/>
          <w:noProof/>
          <w:sz w:val="24"/>
          <w:szCs w:val="24"/>
          <w:lang w:val="sv-SE"/>
        </w:rPr>
        <w:t xml:space="preserve">Khasanah, S. N., &amp; Baehaqie, I. (2020). Penanda Makna Jamak Bahasa Indonesia dan Bahasa Arab Pada Aspek Morfologis (Analisis Kontrastif). </w:t>
      </w:r>
      <w:r w:rsidRPr="00087735">
        <w:rPr>
          <w:rFonts w:ascii="Times New Roman" w:hAnsi="Times New Roman" w:cs="Times New Roman"/>
          <w:i/>
          <w:iCs/>
          <w:noProof/>
          <w:sz w:val="24"/>
          <w:szCs w:val="24"/>
        </w:rPr>
        <w:t>Jurnal Sastra Indonesia</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9</w:t>
      </w:r>
      <w:r w:rsidRPr="00087735">
        <w:rPr>
          <w:rFonts w:ascii="Times New Roman" w:hAnsi="Times New Roman" w:cs="Times New Roman"/>
          <w:noProof/>
          <w:sz w:val="24"/>
          <w:szCs w:val="24"/>
        </w:rPr>
        <w:t>(3), 172–179. https://doi.org/10.15294/jsi.v9i3.39876</w:t>
      </w:r>
    </w:p>
    <w:p w14:paraId="50B46E90"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imes New Roman" w:hAnsi="Times New Roman" w:cs="Times New Roman"/>
          <w:noProof/>
          <w:sz w:val="24"/>
          <w:szCs w:val="24"/>
        </w:rPr>
        <w:lastRenderedPageBreak/>
        <w:t xml:space="preserve">Khasārah, D. M., Mashūh, D. L., &amp; Al-Mahāsini, D. M. (n.d.). </w:t>
      </w:r>
      <w:r w:rsidRPr="00087735">
        <w:rPr>
          <w:rFonts w:ascii="Times New Roman" w:hAnsi="Times New Roman" w:cs="Times New Roman"/>
          <w:i/>
          <w:iCs/>
          <w:noProof/>
          <w:sz w:val="24"/>
          <w:szCs w:val="24"/>
        </w:rPr>
        <w:t>Al-ʿIbārāt Al-Iṣṭilāḥiyyah Fī Al-Lughati Al-ʿArabiyyah Al-Mu’āṣirah Tsalāsti Lughāt: Arabī-Injlizī-Faransī</w:t>
      </w:r>
      <w:r w:rsidRPr="00087735">
        <w:rPr>
          <w:rFonts w:ascii="Times New Roman" w:hAnsi="Times New Roman" w:cs="Times New Roman"/>
          <w:noProof/>
          <w:sz w:val="24"/>
          <w:szCs w:val="24"/>
        </w:rPr>
        <w:t>. majma’ al-lughah al-arabiyah bi damaskus.</w:t>
      </w:r>
    </w:p>
    <w:p w14:paraId="35027084"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C2027F">
        <w:rPr>
          <w:rFonts w:ascii="Times New Roman" w:hAnsi="Times New Roman" w:cs="Times New Roman"/>
          <w:noProof/>
          <w:sz w:val="24"/>
          <w:szCs w:val="24"/>
          <w:lang w:val="sv-SE"/>
        </w:rPr>
        <w:t xml:space="preserve">Krisandini, M. T. K., &amp; Sutrisno, A. (2022). </w:t>
      </w:r>
      <w:r w:rsidRPr="00087735">
        <w:rPr>
          <w:rFonts w:ascii="Times New Roman" w:hAnsi="Times New Roman" w:cs="Times New Roman"/>
          <w:noProof/>
          <w:sz w:val="24"/>
          <w:szCs w:val="24"/>
        </w:rPr>
        <w:t xml:space="preserve">The Translation of Idioms from English into Indonesian: The Case of JK Rowling’s Harry Potter and the Half-Blood Prince. </w:t>
      </w:r>
      <w:r w:rsidRPr="00087735">
        <w:rPr>
          <w:rFonts w:ascii="Times New Roman" w:hAnsi="Times New Roman" w:cs="Times New Roman"/>
          <w:i/>
          <w:iCs/>
          <w:noProof/>
          <w:sz w:val="24"/>
          <w:szCs w:val="24"/>
        </w:rPr>
        <w:t>Lexicon</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8</w:t>
      </w:r>
      <w:r w:rsidRPr="00087735">
        <w:rPr>
          <w:rFonts w:ascii="Times New Roman" w:hAnsi="Times New Roman" w:cs="Times New Roman"/>
          <w:noProof/>
          <w:sz w:val="24"/>
          <w:szCs w:val="24"/>
        </w:rPr>
        <w:t>(1), 24–32.</w:t>
      </w:r>
    </w:p>
    <w:p w14:paraId="39A34880"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imes New Roman" w:hAnsi="Times New Roman" w:cs="Times New Roman"/>
          <w:noProof/>
          <w:sz w:val="24"/>
          <w:szCs w:val="24"/>
        </w:rPr>
        <w:t xml:space="preserve">Lahiani, R. (2024). Recreating relevance: translated Arabic idioms through a relevance theory lens. </w:t>
      </w:r>
      <w:r w:rsidRPr="00087735">
        <w:rPr>
          <w:rFonts w:ascii="Times New Roman" w:hAnsi="Times New Roman" w:cs="Times New Roman"/>
          <w:i/>
          <w:iCs/>
          <w:noProof/>
          <w:sz w:val="24"/>
          <w:szCs w:val="24"/>
        </w:rPr>
        <w:t>Humanities and Social Sciences Communications</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11</w:t>
      </w:r>
      <w:r w:rsidRPr="00087735">
        <w:rPr>
          <w:rFonts w:ascii="Times New Roman" w:hAnsi="Times New Roman" w:cs="Times New Roman"/>
          <w:noProof/>
          <w:sz w:val="24"/>
          <w:szCs w:val="24"/>
        </w:rPr>
        <w:t>(1). https://doi.org/10.1057/s41599-024-02961-2</w:t>
      </w:r>
    </w:p>
    <w:p w14:paraId="48213A74" w14:textId="77777777" w:rsidR="00087735" w:rsidRPr="00C2027F"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lang w:val="nl-NL"/>
        </w:rPr>
      </w:pPr>
      <w:r w:rsidRPr="00087735">
        <w:rPr>
          <w:rFonts w:ascii="Times New Roman" w:hAnsi="Times New Roman" w:cs="Times New Roman"/>
          <w:noProof/>
          <w:sz w:val="24"/>
          <w:szCs w:val="24"/>
        </w:rPr>
        <w:t xml:space="preserve">Mandzur, I. (1119). </w:t>
      </w:r>
      <w:r w:rsidRPr="00C2027F">
        <w:rPr>
          <w:rFonts w:ascii="Times New Roman" w:hAnsi="Times New Roman" w:cs="Times New Roman"/>
          <w:i/>
          <w:iCs/>
          <w:noProof/>
          <w:sz w:val="24"/>
          <w:szCs w:val="24"/>
          <w:lang w:val="nl-NL"/>
        </w:rPr>
        <w:t>Lisan al-Arab</w:t>
      </w:r>
      <w:r w:rsidRPr="00C2027F">
        <w:rPr>
          <w:rFonts w:ascii="Times New Roman" w:hAnsi="Times New Roman" w:cs="Times New Roman"/>
          <w:noProof/>
          <w:sz w:val="24"/>
          <w:szCs w:val="24"/>
          <w:lang w:val="nl-NL"/>
        </w:rPr>
        <w:t>. Darr al-Maarif.</w:t>
      </w:r>
    </w:p>
    <w:p w14:paraId="3DCC59D2" w14:textId="77777777" w:rsidR="00087735" w:rsidRPr="00C2027F"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lang w:val="nl-NL"/>
        </w:rPr>
      </w:pPr>
      <w:r w:rsidRPr="00C2027F">
        <w:rPr>
          <w:rFonts w:ascii="Times New Roman" w:hAnsi="Times New Roman" w:cs="Times New Roman"/>
          <w:noProof/>
          <w:sz w:val="24"/>
          <w:szCs w:val="24"/>
          <w:lang w:val="nl-NL"/>
        </w:rPr>
        <w:t xml:space="preserve">Munawarah, M., &amp; Zulkiflih, Z. (2021). Pembelajaran Keterampilan Menulis (Maharah al-Kitabah) dalam Bahasa Arab. </w:t>
      </w:r>
      <w:r w:rsidRPr="00C2027F">
        <w:rPr>
          <w:rFonts w:ascii="Times New Roman" w:hAnsi="Times New Roman" w:cs="Times New Roman"/>
          <w:i/>
          <w:iCs/>
          <w:noProof/>
          <w:sz w:val="24"/>
          <w:szCs w:val="24"/>
          <w:lang w:val="nl-NL"/>
        </w:rPr>
        <w:t>Loghat Arabi: Jurnal Bahasa Arab Dan Pendidikan Bahasa Arab</w:t>
      </w:r>
      <w:r w:rsidRPr="00C2027F">
        <w:rPr>
          <w:rFonts w:ascii="Times New Roman" w:hAnsi="Times New Roman" w:cs="Times New Roman"/>
          <w:noProof/>
          <w:sz w:val="24"/>
          <w:szCs w:val="24"/>
          <w:lang w:val="nl-NL"/>
        </w:rPr>
        <w:t xml:space="preserve">, </w:t>
      </w:r>
      <w:r w:rsidRPr="00C2027F">
        <w:rPr>
          <w:rFonts w:ascii="Times New Roman" w:hAnsi="Times New Roman" w:cs="Times New Roman"/>
          <w:i/>
          <w:iCs/>
          <w:noProof/>
          <w:sz w:val="24"/>
          <w:szCs w:val="24"/>
          <w:lang w:val="nl-NL"/>
        </w:rPr>
        <w:t>1</w:t>
      </w:r>
      <w:r w:rsidRPr="00C2027F">
        <w:rPr>
          <w:rFonts w:ascii="Times New Roman" w:hAnsi="Times New Roman" w:cs="Times New Roman"/>
          <w:noProof/>
          <w:sz w:val="24"/>
          <w:szCs w:val="24"/>
          <w:lang w:val="nl-NL"/>
        </w:rPr>
        <w:t>(2), 22–34.</w:t>
      </w:r>
    </w:p>
    <w:p w14:paraId="639E936C"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C2027F">
        <w:rPr>
          <w:rFonts w:ascii="Times New Roman" w:hAnsi="Times New Roman" w:cs="Times New Roman"/>
          <w:noProof/>
          <w:sz w:val="24"/>
          <w:szCs w:val="24"/>
          <w:lang w:val="nl-NL"/>
        </w:rPr>
        <w:t xml:space="preserve">Muttaqin, Z., &amp; Alpansori, M. J. (2021). </w:t>
      </w:r>
      <w:r w:rsidRPr="00C2027F">
        <w:rPr>
          <w:rFonts w:ascii="Times New Roman" w:hAnsi="Times New Roman" w:cs="Times New Roman"/>
          <w:noProof/>
          <w:sz w:val="24"/>
          <w:szCs w:val="24"/>
          <w:lang w:val="sv-SE"/>
        </w:rPr>
        <w:t xml:space="preserve">MENILIK SINONIMIS, PERSAJAKAN DAN PESAN MORAL DALAM NASYIDNAHDLATAIN. </w:t>
      </w:r>
      <w:r w:rsidRPr="00087735">
        <w:rPr>
          <w:rFonts w:ascii="Times New Roman" w:hAnsi="Times New Roman" w:cs="Times New Roman"/>
          <w:i/>
          <w:iCs/>
          <w:noProof/>
          <w:sz w:val="24"/>
          <w:szCs w:val="24"/>
        </w:rPr>
        <w:t>Asas Jurnal Sastra</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2</w:t>
      </w:r>
      <w:r w:rsidRPr="00087735">
        <w:rPr>
          <w:rFonts w:ascii="Times New Roman" w:hAnsi="Times New Roman" w:cs="Times New Roman"/>
          <w:noProof/>
          <w:sz w:val="24"/>
          <w:szCs w:val="24"/>
        </w:rPr>
        <w:t>(3), 36. https://doi.org/10.24114/ajs.v10i2.26254</w:t>
      </w:r>
    </w:p>
    <w:p w14:paraId="558A70AC" w14:textId="77777777" w:rsidR="00087735" w:rsidRPr="00C2027F"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lang w:val="sv-SE"/>
        </w:rPr>
      </w:pPr>
      <w:r w:rsidRPr="00087735">
        <w:rPr>
          <w:rFonts w:ascii="Times New Roman" w:hAnsi="Times New Roman" w:cs="Times New Roman"/>
          <w:noProof/>
          <w:sz w:val="24"/>
          <w:szCs w:val="24"/>
        </w:rPr>
        <w:t xml:space="preserve">Nuha, M. A. U., &amp; Musyafaah, N. (2022). Majaz Isti’arah Analysis Terms of Mulaim in Arabic Oral Perspective. </w:t>
      </w:r>
      <w:r w:rsidRPr="00C2027F">
        <w:rPr>
          <w:rFonts w:ascii="Times New Roman" w:hAnsi="Times New Roman" w:cs="Times New Roman"/>
          <w:i/>
          <w:iCs/>
          <w:noProof/>
          <w:sz w:val="24"/>
          <w:szCs w:val="24"/>
          <w:lang w:val="sv-SE"/>
        </w:rPr>
        <w:t>Lisanudhad: Jurnal Bahasa, Pembelajaran Dan Sastra Arab</w:t>
      </w:r>
      <w:r w:rsidRPr="00C2027F">
        <w:rPr>
          <w:rFonts w:ascii="Times New Roman" w:hAnsi="Times New Roman" w:cs="Times New Roman"/>
          <w:noProof/>
          <w:sz w:val="24"/>
          <w:szCs w:val="24"/>
          <w:lang w:val="sv-SE"/>
        </w:rPr>
        <w:t xml:space="preserve">, </w:t>
      </w:r>
      <w:r w:rsidRPr="00C2027F">
        <w:rPr>
          <w:rFonts w:ascii="Times New Roman" w:hAnsi="Times New Roman" w:cs="Times New Roman"/>
          <w:i/>
          <w:iCs/>
          <w:noProof/>
          <w:sz w:val="24"/>
          <w:szCs w:val="24"/>
          <w:lang w:val="sv-SE"/>
        </w:rPr>
        <w:t>9</w:t>
      </w:r>
      <w:r w:rsidRPr="00C2027F">
        <w:rPr>
          <w:rFonts w:ascii="Times New Roman" w:hAnsi="Times New Roman" w:cs="Times New Roman"/>
          <w:noProof/>
          <w:sz w:val="24"/>
          <w:szCs w:val="24"/>
          <w:lang w:val="sv-SE"/>
        </w:rPr>
        <w:t>(2), 164–196.</w:t>
      </w:r>
    </w:p>
    <w:p w14:paraId="3B11598A"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C2027F">
        <w:rPr>
          <w:rFonts w:ascii="Times New Roman" w:hAnsi="Times New Roman" w:cs="Times New Roman"/>
          <w:noProof/>
          <w:sz w:val="24"/>
          <w:szCs w:val="24"/>
          <w:lang w:val="sv-SE"/>
        </w:rPr>
        <w:t xml:space="preserve">Nurdin, M. S., Haddade, A. W., &amp; Santalia, I. (2022). </w:t>
      </w:r>
      <w:r w:rsidRPr="00087735">
        <w:rPr>
          <w:rFonts w:ascii="Times New Roman" w:hAnsi="Times New Roman" w:cs="Times New Roman"/>
          <w:noProof/>
          <w:sz w:val="24"/>
          <w:szCs w:val="24"/>
        </w:rPr>
        <w:t xml:space="preserve">THE CONCEPT OF MUTAKALLIMIN IN THE INTERPRETATION OF DILALAH AL-LAFA AND ITS IMPLICATIONS IN IKHTILAF FIKH. </w:t>
      </w:r>
      <w:r w:rsidRPr="00087735">
        <w:rPr>
          <w:rFonts w:ascii="Times New Roman" w:hAnsi="Times New Roman" w:cs="Times New Roman"/>
          <w:i/>
          <w:iCs/>
          <w:noProof/>
          <w:sz w:val="24"/>
          <w:szCs w:val="24"/>
        </w:rPr>
        <w:t>International Journal of Islamic Studies</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2</w:t>
      </w:r>
      <w:r w:rsidRPr="00087735">
        <w:rPr>
          <w:rFonts w:ascii="Times New Roman" w:hAnsi="Times New Roman" w:cs="Times New Roman"/>
          <w:noProof/>
          <w:sz w:val="24"/>
          <w:szCs w:val="24"/>
        </w:rPr>
        <w:t>(2), 116–140. https://doi.org/10.24252/ijis.v2i2.35012</w:t>
      </w:r>
    </w:p>
    <w:p w14:paraId="23A4E1EB" w14:textId="77777777" w:rsidR="00087735" w:rsidRPr="00C2027F"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lang w:val="sv-SE"/>
        </w:rPr>
      </w:pPr>
      <w:r w:rsidRPr="00C2027F">
        <w:rPr>
          <w:rFonts w:ascii="Times New Roman" w:hAnsi="Times New Roman" w:cs="Times New Roman"/>
          <w:noProof/>
          <w:sz w:val="24"/>
          <w:szCs w:val="24"/>
          <w:lang w:val="sv-SE"/>
        </w:rPr>
        <w:t xml:space="preserve">Nursalam, Y. F. (2022). Analisis Tarjamah Idiomatik. </w:t>
      </w:r>
      <w:r w:rsidRPr="00C2027F">
        <w:rPr>
          <w:rFonts w:ascii="Times New Roman" w:hAnsi="Times New Roman" w:cs="Times New Roman"/>
          <w:i/>
          <w:iCs/>
          <w:noProof/>
          <w:sz w:val="24"/>
          <w:szCs w:val="24"/>
          <w:lang w:val="sv-SE"/>
        </w:rPr>
        <w:t>AL-MIKRAJ Jurnal Studi Islam Dan Humaniora (E-ISSN 2745-4584)</w:t>
      </w:r>
      <w:r w:rsidRPr="00C2027F">
        <w:rPr>
          <w:rFonts w:ascii="Times New Roman" w:hAnsi="Times New Roman" w:cs="Times New Roman"/>
          <w:noProof/>
          <w:sz w:val="24"/>
          <w:szCs w:val="24"/>
          <w:lang w:val="sv-SE"/>
        </w:rPr>
        <w:t xml:space="preserve">, </w:t>
      </w:r>
      <w:r w:rsidRPr="00C2027F">
        <w:rPr>
          <w:rFonts w:ascii="Times New Roman" w:hAnsi="Times New Roman" w:cs="Times New Roman"/>
          <w:i/>
          <w:iCs/>
          <w:noProof/>
          <w:sz w:val="24"/>
          <w:szCs w:val="24"/>
          <w:lang w:val="sv-SE"/>
        </w:rPr>
        <w:t>2</w:t>
      </w:r>
      <w:r w:rsidRPr="00C2027F">
        <w:rPr>
          <w:rFonts w:ascii="Times New Roman" w:hAnsi="Times New Roman" w:cs="Times New Roman"/>
          <w:noProof/>
          <w:sz w:val="24"/>
          <w:szCs w:val="24"/>
          <w:lang w:val="sv-SE"/>
        </w:rPr>
        <w:t>(2), 1–10.</w:t>
      </w:r>
    </w:p>
    <w:p w14:paraId="077BC599" w14:textId="77777777" w:rsidR="00087735" w:rsidRPr="00C2027F"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lang w:val="sv-SE"/>
        </w:rPr>
      </w:pPr>
      <w:r w:rsidRPr="00C2027F">
        <w:rPr>
          <w:rFonts w:ascii="Times New Roman" w:hAnsi="Times New Roman" w:cs="Times New Roman"/>
          <w:noProof/>
          <w:sz w:val="24"/>
          <w:szCs w:val="24"/>
          <w:lang w:val="sv-SE"/>
        </w:rPr>
        <w:t xml:space="preserve">Oktariza, D., &amp; Efendi, D. (2024). UNGKAPAN IDIOMATIS BAHASA MELAYU JAMBI DIALEK MELAYU BUNGO PERSPEKTIF ANTROPOLINGUISTIK: SEBUAH PENULUSURAN AWAL. </w:t>
      </w:r>
      <w:r w:rsidRPr="00C2027F">
        <w:rPr>
          <w:rFonts w:ascii="Times New Roman" w:hAnsi="Times New Roman" w:cs="Times New Roman"/>
          <w:i/>
          <w:iCs/>
          <w:noProof/>
          <w:sz w:val="24"/>
          <w:szCs w:val="24"/>
          <w:lang w:val="sv-SE"/>
        </w:rPr>
        <w:t>Krinok: Jurnal Linguistik Budaya</w:t>
      </w:r>
      <w:r w:rsidRPr="00C2027F">
        <w:rPr>
          <w:rFonts w:ascii="Times New Roman" w:hAnsi="Times New Roman" w:cs="Times New Roman"/>
          <w:noProof/>
          <w:sz w:val="24"/>
          <w:szCs w:val="24"/>
          <w:lang w:val="sv-SE"/>
        </w:rPr>
        <w:t xml:space="preserve">, </w:t>
      </w:r>
      <w:r w:rsidRPr="00C2027F">
        <w:rPr>
          <w:rFonts w:ascii="Times New Roman" w:hAnsi="Times New Roman" w:cs="Times New Roman"/>
          <w:i/>
          <w:iCs/>
          <w:noProof/>
          <w:sz w:val="24"/>
          <w:szCs w:val="24"/>
          <w:lang w:val="sv-SE"/>
        </w:rPr>
        <w:t>8</w:t>
      </w:r>
      <w:r w:rsidRPr="00C2027F">
        <w:rPr>
          <w:rFonts w:ascii="Times New Roman" w:hAnsi="Times New Roman" w:cs="Times New Roman"/>
          <w:noProof/>
          <w:sz w:val="24"/>
          <w:szCs w:val="24"/>
          <w:lang w:val="sv-SE"/>
        </w:rPr>
        <w:t>(1), 36–56.</w:t>
      </w:r>
    </w:p>
    <w:p w14:paraId="32582E2A"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C2027F">
        <w:rPr>
          <w:rFonts w:ascii="Times New Roman" w:hAnsi="Times New Roman" w:cs="Times New Roman"/>
          <w:noProof/>
          <w:sz w:val="24"/>
          <w:szCs w:val="24"/>
          <w:lang w:val="sv-SE"/>
        </w:rPr>
        <w:t xml:space="preserve">R.U., N. I., Mahliatussikah, H., &amp; Ahsanuddin, M. (2025). </w:t>
      </w:r>
      <w:r w:rsidRPr="00087735">
        <w:rPr>
          <w:rFonts w:ascii="Times New Roman" w:hAnsi="Times New Roman" w:cs="Times New Roman"/>
          <w:noProof/>
          <w:sz w:val="24"/>
          <w:szCs w:val="24"/>
        </w:rPr>
        <w:t xml:space="preserve">Students’ Perception of the Development of a Digital Dictionary of Arabic Idioms Based on Corpus Linguistics. </w:t>
      </w:r>
      <w:r w:rsidRPr="00087735">
        <w:rPr>
          <w:rFonts w:ascii="Times New Roman" w:hAnsi="Times New Roman" w:cs="Times New Roman"/>
          <w:i/>
          <w:iCs/>
          <w:noProof/>
          <w:sz w:val="24"/>
          <w:szCs w:val="24"/>
        </w:rPr>
        <w:t>ARABIYAT Jurnal Pendidikan Bahasa Arab Dan Kebahasaaraban</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11</w:t>
      </w:r>
      <w:r w:rsidRPr="00087735">
        <w:rPr>
          <w:rFonts w:ascii="Times New Roman" w:hAnsi="Times New Roman" w:cs="Times New Roman"/>
          <w:noProof/>
          <w:sz w:val="24"/>
          <w:szCs w:val="24"/>
        </w:rPr>
        <w:t>(2), 234–244. https://doi.org/10.15408/a.v11i2.41665</w:t>
      </w:r>
    </w:p>
    <w:p w14:paraId="7BEFC1D8"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imes New Roman" w:hAnsi="Times New Roman" w:cs="Times New Roman"/>
          <w:noProof/>
          <w:sz w:val="24"/>
          <w:szCs w:val="24"/>
        </w:rPr>
        <w:t xml:space="preserve">Rahman, F., &amp; Safa, N. A. (2020). AL-TA’BIR AL-ISTHILAHI WA ISTI’MALATUHU FI KITAB SILSILAH TA’LIM AL-LUGHAH AL-’ARABIYAH. </w:t>
      </w:r>
      <w:r w:rsidRPr="00087735">
        <w:rPr>
          <w:rFonts w:ascii="Times New Roman" w:hAnsi="Times New Roman" w:cs="Times New Roman"/>
          <w:i/>
          <w:iCs/>
          <w:noProof/>
          <w:sz w:val="24"/>
          <w:szCs w:val="24"/>
        </w:rPr>
        <w:t>Arabi Journal of Arabic Studies</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5</w:t>
      </w:r>
      <w:r w:rsidRPr="00087735">
        <w:rPr>
          <w:rFonts w:ascii="Times New Roman" w:hAnsi="Times New Roman" w:cs="Times New Roman"/>
          <w:noProof/>
          <w:sz w:val="24"/>
          <w:szCs w:val="24"/>
        </w:rPr>
        <w:t>(2), 216. https://doi.org/10.24865/ajas.v5i2.203</w:t>
      </w:r>
    </w:p>
    <w:p w14:paraId="37EC6B56"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imes New Roman" w:hAnsi="Times New Roman" w:cs="Times New Roman"/>
          <w:noProof/>
          <w:sz w:val="24"/>
          <w:szCs w:val="24"/>
        </w:rPr>
        <w:t xml:space="preserve">Sodik, A. J., Bahruddin, U., &amp; Agustina, R. F. (2022). Musykilāt tarjamah al-Nuṣuṣ al-‘Arabiyyah ila al-Lugah al-Indūnīsiyyah li tullāb al-Madrasah al-Ṡānawiyyah Jā’al-Haqq Bengkulu. </w:t>
      </w:r>
      <w:r w:rsidRPr="00087735">
        <w:rPr>
          <w:rFonts w:ascii="Times New Roman" w:hAnsi="Times New Roman" w:cs="Times New Roman"/>
          <w:i/>
          <w:iCs/>
          <w:noProof/>
          <w:sz w:val="24"/>
          <w:szCs w:val="24"/>
        </w:rPr>
        <w:t>Arabia: Jurnal Pendidikan Bahasa Arab</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14</w:t>
      </w:r>
      <w:r w:rsidRPr="00087735">
        <w:rPr>
          <w:rFonts w:ascii="Times New Roman" w:hAnsi="Times New Roman" w:cs="Times New Roman"/>
          <w:noProof/>
          <w:sz w:val="24"/>
          <w:szCs w:val="24"/>
        </w:rPr>
        <w:t>(2), 303–320.</w:t>
      </w:r>
    </w:p>
    <w:p w14:paraId="03DEA36E"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imes New Roman" w:hAnsi="Times New Roman" w:cs="Times New Roman"/>
          <w:noProof/>
          <w:sz w:val="24"/>
          <w:szCs w:val="24"/>
        </w:rPr>
        <w:t xml:space="preserve">Sugiono. (2017). </w:t>
      </w:r>
      <w:r w:rsidRPr="00087735">
        <w:rPr>
          <w:rFonts w:ascii="Times New Roman" w:hAnsi="Times New Roman" w:cs="Times New Roman"/>
          <w:i/>
          <w:iCs/>
          <w:noProof/>
          <w:sz w:val="24"/>
          <w:szCs w:val="24"/>
        </w:rPr>
        <w:t>Metode Penelitian Kuantitatif, Kualitatif dan R&amp;D</w:t>
      </w:r>
      <w:r w:rsidRPr="00087735">
        <w:rPr>
          <w:rFonts w:ascii="Times New Roman" w:hAnsi="Times New Roman" w:cs="Times New Roman"/>
          <w:noProof/>
          <w:sz w:val="24"/>
          <w:szCs w:val="24"/>
        </w:rPr>
        <w:t>. CV. Alfabeta.</w:t>
      </w:r>
    </w:p>
    <w:p w14:paraId="0F3056A1"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imes New Roman" w:hAnsi="Times New Roman" w:cs="Times New Roman"/>
          <w:noProof/>
          <w:sz w:val="24"/>
          <w:szCs w:val="24"/>
        </w:rPr>
        <w:lastRenderedPageBreak/>
        <w:t xml:space="preserve">Suja, A., Sofian, G. Y., Bahruddin, U., Islam, U., Maulana, N., Ibrahim, M., Fadhel, A., Hidayat, S., &amp; Ridho, A. (2025). </w:t>
      </w:r>
      <w:r w:rsidRPr="00087735">
        <w:rPr>
          <w:rFonts w:ascii="Times New Roman" w:hAnsi="Times New Roman" w:cs="Times New Roman"/>
          <w:i/>
          <w:iCs/>
          <w:noProof/>
          <w:sz w:val="24"/>
          <w:szCs w:val="24"/>
        </w:rPr>
        <w:t>The Role of Morphology and Syntax on Arabic Language (A Literature Review)</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17</w:t>
      </w:r>
      <w:r w:rsidRPr="00087735">
        <w:rPr>
          <w:rFonts w:ascii="Times New Roman" w:hAnsi="Times New Roman" w:cs="Times New Roman"/>
          <w:noProof/>
          <w:sz w:val="24"/>
          <w:szCs w:val="24"/>
        </w:rPr>
        <w:t>(1), 1–16.</w:t>
      </w:r>
    </w:p>
    <w:p w14:paraId="4C7823A6"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imes New Roman" w:hAnsi="Times New Roman" w:cs="Times New Roman"/>
          <w:noProof/>
          <w:sz w:val="24"/>
          <w:szCs w:val="24"/>
        </w:rPr>
        <w:t xml:space="preserve">Tawfık, A. M. Z. (2024). </w:t>
      </w:r>
      <w:r w:rsidRPr="00087735">
        <w:rPr>
          <w:rFonts w:ascii="Times New Roman" w:hAnsi="Times New Roman" w:cs="Times New Roman"/>
          <w:noProof/>
          <w:sz w:val="24"/>
          <w:szCs w:val="24"/>
          <w:rtl/>
        </w:rPr>
        <w:t>التعابير الاصطلاحية في لغة الإعلام. دراسة تقابلية بين العربية والتركية</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Harran Theology Journal</w:t>
      </w:r>
      <w:r w:rsidRPr="00087735">
        <w:rPr>
          <w:rFonts w:ascii="Times New Roman" w:hAnsi="Times New Roman" w:cs="Times New Roman"/>
          <w:noProof/>
          <w:sz w:val="24"/>
          <w:szCs w:val="24"/>
        </w:rPr>
        <w:t>. https://api.semanticscholar.org/CorpusID:274783249</w:t>
      </w:r>
    </w:p>
    <w:p w14:paraId="37FC63E2"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imes New Roman" w:hAnsi="Times New Roman" w:cs="Times New Roman"/>
          <w:noProof/>
          <w:sz w:val="24"/>
          <w:szCs w:val="24"/>
        </w:rPr>
        <w:t xml:space="preserve">Thayyibah, U., &amp; Susiawati, W. (2025). </w:t>
      </w:r>
      <w:r w:rsidRPr="00C2027F">
        <w:rPr>
          <w:rFonts w:ascii="Times New Roman" w:hAnsi="Times New Roman" w:cs="Times New Roman"/>
          <w:noProof/>
          <w:sz w:val="24"/>
          <w:szCs w:val="24"/>
          <w:lang w:val="sv-SE"/>
        </w:rPr>
        <w:t xml:space="preserve">Kajian Semantik Denotasi dan Konotasi dalam Bahasa Arab: Pendekatan Analisis Tematik. </w:t>
      </w:r>
      <w:r w:rsidRPr="00087735">
        <w:rPr>
          <w:rFonts w:ascii="Times New Roman" w:hAnsi="Times New Roman" w:cs="Times New Roman"/>
          <w:i/>
          <w:iCs/>
          <w:noProof/>
          <w:sz w:val="24"/>
          <w:szCs w:val="24"/>
        </w:rPr>
        <w:t>Borneo Journal of Language and Education</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5</w:t>
      </w:r>
      <w:r w:rsidRPr="00087735">
        <w:rPr>
          <w:rFonts w:ascii="Times New Roman" w:hAnsi="Times New Roman" w:cs="Times New Roman"/>
          <w:noProof/>
          <w:sz w:val="24"/>
          <w:szCs w:val="24"/>
        </w:rPr>
        <w:t>(1), 30–44.</w:t>
      </w:r>
    </w:p>
    <w:p w14:paraId="6890A100"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imes New Roman" w:hAnsi="Times New Roman" w:cs="Times New Roman"/>
          <w:noProof/>
          <w:sz w:val="24"/>
          <w:szCs w:val="24"/>
        </w:rPr>
        <w:t xml:space="preserve">Vula, E., &amp; TyfekÃ, N. (2024). Navigating non-literal language: The complexities of translating idioms across cultural boundaries. </w:t>
      </w:r>
      <w:r w:rsidRPr="00087735">
        <w:rPr>
          <w:rFonts w:ascii="Times New Roman" w:hAnsi="Times New Roman" w:cs="Times New Roman"/>
          <w:i/>
          <w:iCs/>
          <w:noProof/>
          <w:sz w:val="24"/>
          <w:szCs w:val="24"/>
        </w:rPr>
        <w:t>Academic Journal of Interdisciplinary Studies</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13</w:t>
      </w:r>
      <w:r w:rsidRPr="00087735">
        <w:rPr>
          <w:rFonts w:ascii="Times New Roman" w:hAnsi="Times New Roman" w:cs="Times New Roman"/>
          <w:noProof/>
          <w:sz w:val="24"/>
          <w:szCs w:val="24"/>
        </w:rPr>
        <w:t>.</w:t>
      </w:r>
    </w:p>
    <w:p w14:paraId="0F7D7D48"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imes New Roman" w:hAnsi="Times New Roman" w:cs="Times New Roman"/>
          <w:noProof/>
          <w:sz w:val="24"/>
          <w:szCs w:val="24"/>
        </w:rPr>
        <w:t xml:space="preserve">Yaşar, H. R. (2020). Exploring the Function of Dhihn/Zihin (Cognitive Link) in Majāz in Islamic Legal Theory. </w:t>
      </w:r>
      <w:r w:rsidRPr="00087735">
        <w:rPr>
          <w:rFonts w:ascii="Times New Roman" w:hAnsi="Times New Roman" w:cs="Times New Roman"/>
          <w:i/>
          <w:iCs/>
          <w:noProof/>
          <w:sz w:val="24"/>
          <w:szCs w:val="24"/>
        </w:rPr>
        <w:t>Darulfunun Ilahiyat</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31</w:t>
      </w:r>
      <w:r w:rsidRPr="00087735">
        <w:rPr>
          <w:rFonts w:ascii="Times New Roman" w:hAnsi="Times New Roman" w:cs="Times New Roman"/>
          <w:noProof/>
          <w:sz w:val="24"/>
          <w:szCs w:val="24"/>
        </w:rPr>
        <w:t>(1), 1–21.</w:t>
      </w:r>
    </w:p>
    <w:p w14:paraId="5C3BE56F"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87735">
        <w:rPr>
          <w:rFonts w:ascii="Times New Roman" w:hAnsi="Times New Roman" w:cs="Times New Roman"/>
          <w:noProof/>
          <w:sz w:val="24"/>
          <w:szCs w:val="24"/>
        </w:rPr>
        <w:t xml:space="preserve">Yunus, M. (1990). </w:t>
      </w:r>
      <w:r w:rsidRPr="00087735">
        <w:rPr>
          <w:rFonts w:ascii="Times New Roman" w:hAnsi="Times New Roman" w:cs="Times New Roman"/>
          <w:i/>
          <w:iCs/>
          <w:noProof/>
          <w:sz w:val="24"/>
          <w:szCs w:val="24"/>
        </w:rPr>
        <w:t>Kamus Arab–Indonesia</w:t>
      </w:r>
      <w:r w:rsidRPr="00087735">
        <w:rPr>
          <w:rFonts w:ascii="Times New Roman" w:hAnsi="Times New Roman" w:cs="Times New Roman"/>
          <w:noProof/>
          <w:sz w:val="24"/>
          <w:szCs w:val="24"/>
        </w:rPr>
        <w:t>. Hidakarya Agung.</w:t>
      </w:r>
    </w:p>
    <w:p w14:paraId="00DDA899" w14:textId="77777777" w:rsidR="00087735" w:rsidRPr="00C2027F"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lang w:val="nl-NL"/>
        </w:rPr>
      </w:pPr>
      <w:r w:rsidRPr="00087735">
        <w:rPr>
          <w:rFonts w:ascii="Times New Roman" w:hAnsi="Times New Roman" w:cs="Times New Roman"/>
          <w:noProof/>
          <w:sz w:val="24"/>
          <w:szCs w:val="24"/>
        </w:rPr>
        <w:t xml:space="preserve">Yusron, M. A. (2021). </w:t>
      </w:r>
      <w:r w:rsidRPr="00C2027F">
        <w:rPr>
          <w:rFonts w:ascii="Times New Roman" w:hAnsi="Times New Roman" w:cs="Times New Roman"/>
          <w:noProof/>
          <w:sz w:val="24"/>
          <w:szCs w:val="24"/>
          <w:lang w:val="nl-NL"/>
        </w:rPr>
        <w:t xml:space="preserve">Orientasi Semantik Al-Zamakhsyari. </w:t>
      </w:r>
      <w:r w:rsidRPr="00C2027F">
        <w:rPr>
          <w:rFonts w:ascii="Times New Roman" w:hAnsi="Times New Roman" w:cs="Times New Roman"/>
          <w:i/>
          <w:iCs/>
          <w:noProof/>
          <w:sz w:val="24"/>
          <w:szCs w:val="24"/>
          <w:lang w:val="nl-NL"/>
        </w:rPr>
        <w:t>TAFAKKUR Jurnal Ilmu Al-Qur an Dan Tafsir</w:t>
      </w:r>
      <w:r w:rsidRPr="00C2027F">
        <w:rPr>
          <w:rFonts w:ascii="Times New Roman" w:hAnsi="Times New Roman" w:cs="Times New Roman"/>
          <w:noProof/>
          <w:sz w:val="24"/>
          <w:szCs w:val="24"/>
          <w:lang w:val="nl-NL"/>
        </w:rPr>
        <w:t xml:space="preserve">, </w:t>
      </w:r>
      <w:r w:rsidRPr="00C2027F">
        <w:rPr>
          <w:rFonts w:ascii="Times New Roman" w:hAnsi="Times New Roman" w:cs="Times New Roman"/>
          <w:i/>
          <w:iCs/>
          <w:noProof/>
          <w:sz w:val="24"/>
          <w:szCs w:val="24"/>
          <w:lang w:val="nl-NL"/>
        </w:rPr>
        <w:t>1</w:t>
      </w:r>
      <w:r w:rsidRPr="00C2027F">
        <w:rPr>
          <w:rFonts w:ascii="Times New Roman" w:hAnsi="Times New Roman" w:cs="Times New Roman"/>
          <w:noProof/>
          <w:sz w:val="24"/>
          <w:szCs w:val="24"/>
          <w:lang w:val="nl-NL"/>
        </w:rPr>
        <w:t>(2), 125–147. https://doi.org/10.62359/tafakkur.v1i2.31</w:t>
      </w:r>
    </w:p>
    <w:p w14:paraId="52999DD1" w14:textId="77777777" w:rsidR="00087735" w:rsidRPr="00087735" w:rsidRDefault="00087735" w:rsidP="00087735">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C2027F">
        <w:rPr>
          <w:rFonts w:ascii="Times New Roman" w:hAnsi="Times New Roman" w:cs="Times New Roman"/>
          <w:noProof/>
          <w:sz w:val="24"/>
          <w:szCs w:val="24"/>
          <w:lang w:val="sv-SE"/>
        </w:rPr>
        <w:t xml:space="preserve">Yusuf, C. M. (2023). Makna Idiomatis dalam Peribahasa Sunda Perilaku (Kajian Semantik dan Etnolinguistik). </w:t>
      </w:r>
      <w:r w:rsidRPr="00087735">
        <w:rPr>
          <w:rFonts w:ascii="Times New Roman" w:hAnsi="Times New Roman" w:cs="Times New Roman"/>
          <w:i/>
          <w:iCs/>
          <w:noProof/>
          <w:sz w:val="24"/>
          <w:szCs w:val="24"/>
        </w:rPr>
        <w:t>LOKABASA</w:t>
      </w:r>
      <w:r w:rsidRPr="00087735">
        <w:rPr>
          <w:rFonts w:ascii="Times New Roman" w:hAnsi="Times New Roman" w:cs="Times New Roman"/>
          <w:noProof/>
          <w:sz w:val="24"/>
          <w:szCs w:val="24"/>
        </w:rPr>
        <w:t xml:space="preserve">, </w:t>
      </w:r>
      <w:r w:rsidRPr="00087735">
        <w:rPr>
          <w:rFonts w:ascii="Times New Roman" w:hAnsi="Times New Roman" w:cs="Times New Roman"/>
          <w:i/>
          <w:iCs/>
          <w:noProof/>
          <w:sz w:val="24"/>
          <w:szCs w:val="24"/>
        </w:rPr>
        <w:t>14</w:t>
      </w:r>
      <w:r w:rsidRPr="00087735">
        <w:rPr>
          <w:rFonts w:ascii="Times New Roman" w:hAnsi="Times New Roman" w:cs="Times New Roman"/>
          <w:noProof/>
          <w:sz w:val="24"/>
          <w:szCs w:val="24"/>
        </w:rPr>
        <w:t>(2), 167–179. https://doi.org/10.17509/jlb.v14i2.64879</w:t>
      </w:r>
    </w:p>
    <w:p w14:paraId="535F7FB1" w14:textId="4DDB6415" w:rsidR="00087735" w:rsidRPr="00087735" w:rsidRDefault="00087735" w:rsidP="00087735">
      <w:pPr>
        <w:spacing w:line="240" w:lineRule="auto"/>
        <w:jc w:val="both"/>
        <w:rPr>
          <w:rFonts w:asciiTheme="majorBidi" w:hAnsiTheme="majorBidi" w:cstheme="majorBidi"/>
          <w:b/>
          <w:bCs/>
          <w:sz w:val="24"/>
          <w:szCs w:val="24"/>
          <w:lang w:val="id-ID"/>
        </w:rPr>
      </w:pPr>
      <w:r w:rsidRPr="00087735">
        <w:rPr>
          <w:rFonts w:asciiTheme="majorBidi" w:hAnsiTheme="majorBidi" w:cstheme="majorBidi"/>
          <w:b/>
          <w:bCs/>
          <w:sz w:val="24"/>
          <w:szCs w:val="24"/>
          <w:lang w:val="id-ID"/>
        </w:rPr>
        <w:fldChar w:fldCharType="end"/>
      </w:r>
    </w:p>
    <w:sectPr w:rsidR="00087735" w:rsidRPr="00087735" w:rsidSect="00FC29E3">
      <w:headerReference w:type="even" r:id="rId10"/>
      <w:headerReference w:type="default" r:id="rId11"/>
      <w:footerReference w:type="even" r:id="rId12"/>
      <w:footerReference w:type="default" r:id="rId13"/>
      <w:pgSz w:w="11906" w:h="16838" w:code="9"/>
      <w:pgMar w:top="1701" w:right="1701" w:bottom="1701" w:left="1701" w:header="1134" w:footer="73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D9BA0" w14:textId="77777777" w:rsidR="00ED2F06" w:rsidRDefault="00ED2F06" w:rsidP="00BC6516">
      <w:pPr>
        <w:spacing w:after="0" w:line="240" w:lineRule="auto"/>
      </w:pPr>
      <w:r>
        <w:separator/>
      </w:r>
    </w:p>
  </w:endnote>
  <w:endnote w:type="continuationSeparator" w:id="0">
    <w:p w14:paraId="667555BD" w14:textId="77777777" w:rsidR="00ED2F06" w:rsidRDefault="00ED2F06" w:rsidP="00BC6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riad Pro">
    <w:altName w:val="Segoe UI"/>
    <w:panose1 w:val="00000000000000000000"/>
    <w:charset w:val="00"/>
    <w:family w:val="swiss"/>
    <w:notTrueType/>
    <w:pitch w:val="variable"/>
    <w:sig w:usb0="20000287" w:usb1="00000001"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Palatino Linotype">
    <w:panose1 w:val="02040502050505030304"/>
    <w:charset w:val="00"/>
    <w:family w:val="roman"/>
    <w:pitch w:val="variable"/>
    <w:sig w:usb0="E0000287" w:usb1="40000013" w:usb2="00000000" w:usb3="00000000" w:csb0="0000019F" w:csb1="00000000"/>
  </w:font>
  <w:font w:name="Copperplate Gothic Bold">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BC36" w14:textId="55DD445B" w:rsidR="005063AB" w:rsidRPr="00065CE2" w:rsidRDefault="00BB18FE" w:rsidP="00065CE2">
    <w:pPr>
      <w:pStyle w:val="Footer"/>
      <w:tabs>
        <w:tab w:val="clear" w:pos="4680"/>
        <w:tab w:val="clear" w:pos="9360"/>
      </w:tabs>
      <w:rPr>
        <w:sz w:val="20"/>
        <w:szCs w:val="20"/>
      </w:rPr>
    </w:pPr>
    <w:r>
      <w:rPr>
        <w:noProof/>
        <w:sz w:val="20"/>
        <w:szCs w:val="20"/>
      </w:rPr>
      <mc:AlternateContent>
        <mc:Choice Requires="wps">
          <w:drawing>
            <wp:anchor distT="0" distB="0" distL="114300" distR="114300" simplePos="0" relativeHeight="251666432" behindDoc="0" locked="0" layoutInCell="1" allowOverlap="1" wp14:anchorId="1F5E3FFA" wp14:editId="01AFF1D6">
              <wp:simplePos x="0" y="0"/>
              <wp:positionH relativeFrom="column">
                <wp:posOffset>501015</wp:posOffset>
              </wp:positionH>
              <wp:positionV relativeFrom="paragraph">
                <wp:posOffset>55245</wp:posOffset>
              </wp:positionV>
              <wp:extent cx="5316855" cy="26987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6855"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BF1FE4F" w14:textId="328EF00C" w:rsidR="005063AB" w:rsidRPr="00FC29E3" w:rsidRDefault="00FC29E3" w:rsidP="00FC29E3">
                          <w:pPr>
                            <w:spacing w:after="0" w:line="240" w:lineRule="auto"/>
                            <w:jc w:val="center"/>
                            <w:rPr>
                              <w:rFonts w:ascii="Palatino Linotype" w:hAnsi="Palatino Linotype"/>
                              <w:sz w:val="16"/>
                              <w:szCs w:val="16"/>
                            </w:rPr>
                          </w:pPr>
                          <w:hyperlink r:id="rId1" w:history="1">
                            <w:r w:rsidRPr="00FC29E3">
                              <w:rPr>
                                <w:rStyle w:val="Hyperlink"/>
                                <w:rFonts w:ascii="Palatino Linotype" w:hAnsi="Palatino Linotype" w:cs="Myriad Pro"/>
                                <w:sz w:val="16"/>
                                <w:szCs w:val="16"/>
                              </w:rPr>
                              <w:t xml:space="preserve">IHYA AL-ARABIYAH; JURNAL PENDIDIKAN BAHASA DAN SASTRA ARAB VOL. 3 </w:t>
                            </w:r>
                            <w:r w:rsidR="00DB04E4" w:rsidRPr="00FC29E3">
                              <w:rPr>
                                <w:rStyle w:val="Hyperlink"/>
                                <w:rFonts w:ascii="Palatino Linotype" w:hAnsi="Palatino Linotype" w:cs="Myriad Pro"/>
                                <w:sz w:val="16"/>
                                <w:szCs w:val="16"/>
                                <w:lang w:val="id-ID"/>
                              </w:rPr>
                              <w:t>NO. 1 APRIL 2025</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E3FFA" id="Rectangle 9" o:spid="_x0000_s1028" style="position:absolute;margin-left:39.45pt;margin-top:4.35pt;width:418.65pt;height:2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" filled="f" stroked="f" strokeweight="1pt">
              <v:textbox>
                <w:txbxContent>
                  <w:p w14:paraId="5BF1FE4F" w14:textId="328EF00C" w:rsidR="005063AB" w:rsidRPr="00FC29E3" w:rsidRDefault="00FC29E3" w:rsidP="00FC29E3">
                    <w:pPr>
                      <w:spacing w:after="0" w:line="240" w:lineRule="auto"/>
                      <w:jc w:val="center"/>
                      <w:rPr>
                        <w:rFonts w:ascii="Palatino Linotype" w:hAnsi="Palatino Linotype"/>
                        <w:sz w:val="16"/>
                        <w:szCs w:val="16"/>
                      </w:rPr>
                    </w:pPr>
                    <w:hyperlink r:id="rId2" w:history="1">
                      <w:r w:rsidRPr="00FC29E3">
                        <w:rPr>
                          <w:rStyle w:val="Hyperlink"/>
                          <w:rFonts w:ascii="Palatino Linotype" w:hAnsi="Palatino Linotype" w:cs="Myriad Pro"/>
                          <w:sz w:val="16"/>
                          <w:szCs w:val="16"/>
                        </w:rPr>
                        <w:t xml:space="preserve">IHYA AL-ARABIYAH; JURNAL PENDIDIKAN BAHASA DAN SASTRA ARAB VOL. 3 </w:t>
                      </w:r>
                      <w:r w:rsidR="00DB04E4" w:rsidRPr="00FC29E3">
                        <w:rPr>
                          <w:rStyle w:val="Hyperlink"/>
                          <w:rFonts w:ascii="Palatino Linotype" w:hAnsi="Palatino Linotype" w:cs="Myriad Pro"/>
                          <w:sz w:val="16"/>
                          <w:szCs w:val="16"/>
                          <w:lang w:val="id-ID"/>
                        </w:rPr>
                        <w:t>NO. 1 APRIL 2025</w:t>
                      </w:r>
                    </w:hyperlink>
                  </w:p>
                </w:txbxContent>
              </v:textbox>
            </v:rect>
          </w:pict>
        </mc:Fallback>
      </mc:AlternateContent>
    </w:r>
    <w:r w:rsidR="005063AB">
      <w:rPr>
        <w:noProof/>
      </w:rPr>
      <w:drawing>
        <wp:anchor distT="0" distB="0" distL="114300" distR="114300" simplePos="0" relativeHeight="251660288" behindDoc="1" locked="0" layoutInCell="1" allowOverlap="1" wp14:anchorId="6BF345C5" wp14:editId="6EC8908C">
          <wp:simplePos x="0" y="0"/>
          <wp:positionH relativeFrom="column">
            <wp:posOffset>83820</wp:posOffset>
          </wp:positionH>
          <wp:positionV relativeFrom="paragraph">
            <wp:posOffset>-81280</wp:posOffset>
          </wp:positionV>
          <wp:extent cx="370840" cy="42418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989"/>
                  <a:stretch/>
                </pic:blipFill>
                <pic:spPr bwMode="auto">
                  <a:xfrm>
                    <a:off x="0" y="0"/>
                    <a:ext cx="370840" cy="42418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63360" behindDoc="0" locked="0" layoutInCell="1" allowOverlap="1" wp14:anchorId="7DC909B2" wp14:editId="42F0D7A7">
              <wp:simplePos x="0" y="0"/>
              <wp:positionH relativeFrom="column">
                <wp:posOffset>30480</wp:posOffset>
              </wp:positionH>
              <wp:positionV relativeFrom="paragraph">
                <wp:posOffset>35560</wp:posOffset>
              </wp:positionV>
              <wp:extent cx="470535" cy="30988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53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B9F28D" w14:textId="4ED5E47A" w:rsidR="005063AB" w:rsidRPr="00863088" w:rsidRDefault="00F03735" w:rsidP="00B569F0">
                          <w:pPr>
                            <w:jc w:val="center"/>
                            <w:rPr>
                              <w:rFonts w:ascii="Arial Black" w:hAnsi="Arial Black"/>
                              <w:sz w:val="18"/>
                              <w:szCs w:val="18"/>
                            </w:rPr>
                          </w:pPr>
                          <w:r w:rsidRPr="00863088">
                            <w:rPr>
                              <w:rFonts w:ascii="Arial Black" w:hAnsi="Arial Black"/>
                              <w:sz w:val="20"/>
                              <w:szCs w:val="20"/>
                            </w:rPr>
                            <w:fldChar w:fldCharType="begin"/>
                          </w:r>
                          <w:r w:rsidR="005063AB"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BB18FE">
                            <w:rPr>
                              <w:rFonts w:ascii="Arial Black" w:hAnsi="Arial Black"/>
                              <w:noProof/>
                              <w:sz w:val="20"/>
                              <w:szCs w:val="20"/>
                            </w:rPr>
                            <w:t>2</w:t>
                          </w:r>
                          <w:r w:rsidRPr="00863088">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909B2" id="_x0000_t202" coordsize="21600,21600" o:spt="202" path="m,l,21600r21600,l21600,xe">
              <v:stroke joinstyle="miter"/>
              <v:path gradientshapeok="t" o:connecttype="rect"/>
            </v:shapetype>
            <v:shape id="Text Box 7" o:spid="_x0000_s1029" type="#_x0000_t202" style="position:absolute;margin-left:2.4pt;margin-top:2.8pt;width:37.05pt;height:2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" filled="f" stroked="f" strokeweight=".5pt">
              <v:textbox>
                <w:txbxContent>
                  <w:p w14:paraId="79B9F28D" w14:textId="4ED5E47A" w:rsidR="005063AB" w:rsidRPr="00863088" w:rsidRDefault="00F03735" w:rsidP="00B569F0">
                    <w:pPr>
                      <w:jc w:val="center"/>
                      <w:rPr>
                        <w:rFonts w:ascii="Arial Black" w:hAnsi="Arial Black"/>
                        <w:sz w:val="18"/>
                        <w:szCs w:val="18"/>
                      </w:rPr>
                    </w:pPr>
                    <w:r w:rsidRPr="00863088">
                      <w:rPr>
                        <w:rFonts w:ascii="Arial Black" w:hAnsi="Arial Black"/>
                        <w:sz w:val="20"/>
                        <w:szCs w:val="20"/>
                      </w:rPr>
                      <w:fldChar w:fldCharType="begin"/>
                    </w:r>
                    <w:r w:rsidR="005063AB" w:rsidRPr="00863088">
                      <w:rPr>
                        <w:rFonts w:ascii="Arial Black" w:hAnsi="Arial Black"/>
                        <w:sz w:val="20"/>
                        <w:szCs w:val="20"/>
                      </w:rPr>
                      <w:instrText xml:space="preserve"> PAGE   \* MERGEFORMAT </w:instrText>
                    </w:r>
                    <w:r w:rsidRPr="00863088">
                      <w:rPr>
                        <w:rFonts w:ascii="Arial Black" w:hAnsi="Arial Black"/>
                        <w:sz w:val="20"/>
                        <w:szCs w:val="20"/>
                      </w:rPr>
                      <w:fldChar w:fldCharType="separate"/>
                    </w:r>
                    <w:r w:rsidR="00BB18FE">
                      <w:rPr>
                        <w:rFonts w:ascii="Arial Black" w:hAnsi="Arial Black"/>
                        <w:noProof/>
                        <w:sz w:val="20"/>
                        <w:szCs w:val="20"/>
                      </w:rPr>
                      <w:t>2</w:t>
                    </w:r>
                    <w:r w:rsidRPr="00863088">
                      <w:rPr>
                        <w:rFonts w:ascii="Arial Black" w:hAnsi="Arial Black"/>
                        <w:sz w:val="20"/>
                        <w:szCs w:val="20"/>
                      </w:rPr>
                      <w:fldChar w:fldCharType="end"/>
                    </w:r>
                  </w:p>
                </w:txbxContent>
              </v:textbox>
            </v:shape>
          </w:pict>
        </mc:Fallback>
      </mc:AlternateContent>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r w:rsidR="005063AB">
      <w:rPr>
        <w:rFonts w:ascii="Garamond" w:hAnsi="Garamond"/>
        <w:b/>
        <w:bCs/>
        <w:i/>
        <w:iCs/>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CDD6A" w14:textId="1F051D8B" w:rsidR="005063AB" w:rsidRPr="00065CE2" w:rsidRDefault="00BB18FE" w:rsidP="00B569F0">
    <w:pPr>
      <w:pStyle w:val="Footer"/>
      <w:tabs>
        <w:tab w:val="clear" w:pos="4680"/>
        <w:tab w:val="clear" w:pos="9360"/>
      </w:tabs>
      <w:rPr>
        <w:rFonts w:ascii="Garamond" w:hAnsi="Garamond"/>
        <w:sz w:val="20"/>
        <w:szCs w:val="20"/>
      </w:rPr>
    </w:pPr>
    <w:r>
      <w:rPr>
        <w:noProof/>
        <w:sz w:val="20"/>
        <w:szCs w:val="20"/>
      </w:rPr>
      <mc:AlternateContent>
        <mc:Choice Requires="wps">
          <w:drawing>
            <wp:anchor distT="0" distB="0" distL="114300" distR="114300" simplePos="0" relativeHeight="251659264" behindDoc="0" locked="0" layoutInCell="1" allowOverlap="1" wp14:anchorId="2485F47E" wp14:editId="71673264">
              <wp:simplePos x="0" y="0"/>
              <wp:positionH relativeFrom="column">
                <wp:posOffset>-62865</wp:posOffset>
              </wp:positionH>
              <wp:positionV relativeFrom="paragraph">
                <wp:posOffset>24765</wp:posOffset>
              </wp:positionV>
              <wp:extent cx="4724400" cy="26987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C6FE698" w14:textId="77777777" w:rsidR="00FC29E3" w:rsidRPr="00FC29E3" w:rsidRDefault="00FC29E3" w:rsidP="00FC29E3">
                          <w:pPr>
                            <w:spacing w:after="0" w:line="240" w:lineRule="auto"/>
                            <w:jc w:val="center"/>
                            <w:rPr>
                              <w:rFonts w:ascii="Palatino Linotype" w:hAnsi="Palatino Linotype"/>
                              <w:sz w:val="16"/>
                              <w:szCs w:val="16"/>
                            </w:rPr>
                          </w:pPr>
                          <w:hyperlink r:id="rId1" w:history="1">
                            <w:r w:rsidRPr="00FC29E3">
                              <w:rPr>
                                <w:rStyle w:val="Hyperlink"/>
                                <w:rFonts w:ascii="Palatino Linotype" w:hAnsi="Palatino Linotype" w:cs="Myriad Pro"/>
                                <w:sz w:val="16"/>
                                <w:szCs w:val="16"/>
                              </w:rPr>
                              <w:t xml:space="preserve">IHYA AL-ARABIYAH; JURNAL PENDIDIKAN BAHASA DAN SASTRA ARAB VOL. 3 </w:t>
                            </w:r>
                            <w:r w:rsidRPr="00FC29E3">
                              <w:rPr>
                                <w:rStyle w:val="Hyperlink"/>
                                <w:rFonts w:ascii="Palatino Linotype" w:hAnsi="Palatino Linotype" w:cs="Myriad Pro"/>
                                <w:sz w:val="16"/>
                                <w:szCs w:val="16"/>
                                <w:lang w:val="id-ID"/>
                              </w:rPr>
                              <w:t>NO. 1 APRIL 2025</w:t>
                            </w:r>
                          </w:hyperlink>
                        </w:p>
                        <w:p w14:paraId="1D46964E" w14:textId="0C82F020" w:rsidR="00FE35B8" w:rsidRPr="00DB04E4" w:rsidRDefault="00FE35B8" w:rsidP="00DB04E4">
                          <w:pPr>
                            <w:rPr>
                              <w:rFonts w:ascii="Garamond" w:hAnsi="Garamond"/>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5F47E" id="Rectangle 8" o:spid="_x0000_s1030" style="position:absolute;margin-left:-4.95pt;margin-top:1.95pt;width:372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" filled="f" stroked="f" strokeweight="1pt">
              <v:textbox>
                <w:txbxContent>
                  <w:p w14:paraId="5C6FE698" w14:textId="77777777" w:rsidR="00FC29E3" w:rsidRPr="00FC29E3" w:rsidRDefault="00FC29E3" w:rsidP="00FC29E3">
                    <w:pPr>
                      <w:spacing w:after="0" w:line="240" w:lineRule="auto"/>
                      <w:jc w:val="center"/>
                      <w:rPr>
                        <w:rFonts w:ascii="Palatino Linotype" w:hAnsi="Palatino Linotype"/>
                        <w:sz w:val="16"/>
                        <w:szCs w:val="16"/>
                      </w:rPr>
                    </w:pPr>
                    <w:hyperlink r:id="rId2" w:history="1">
                      <w:r w:rsidRPr="00FC29E3">
                        <w:rPr>
                          <w:rStyle w:val="Hyperlink"/>
                          <w:rFonts w:ascii="Palatino Linotype" w:hAnsi="Palatino Linotype" w:cs="Myriad Pro"/>
                          <w:sz w:val="16"/>
                          <w:szCs w:val="16"/>
                        </w:rPr>
                        <w:t xml:space="preserve">IHYA AL-ARABIYAH; JURNAL PENDIDIKAN BAHASA DAN SASTRA ARAB VOL. 3 </w:t>
                      </w:r>
                      <w:r w:rsidRPr="00FC29E3">
                        <w:rPr>
                          <w:rStyle w:val="Hyperlink"/>
                          <w:rFonts w:ascii="Palatino Linotype" w:hAnsi="Palatino Linotype" w:cs="Myriad Pro"/>
                          <w:sz w:val="16"/>
                          <w:szCs w:val="16"/>
                          <w:lang w:val="id-ID"/>
                        </w:rPr>
                        <w:t>NO. 1 APRIL 2025</w:t>
                      </w:r>
                    </w:hyperlink>
                  </w:p>
                  <w:p w14:paraId="1D46964E" w14:textId="0C82F020" w:rsidR="00FE35B8" w:rsidRPr="00DB04E4" w:rsidRDefault="00FE35B8" w:rsidP="00DB04E4">
                    <w:pPr>
                      <w:rPr>
                        <w:rFonts w:ascii="Garamond" w:hAnsi="Garamond"/>
                        <w:sz w:val="20"/>
                        <w:szCs w:val="20"/>
                      </w:rPr>
                    </w:pPr>
                  </w:p>
                </w:txbxContent>
              </v:textbox>
            </v:rect>
          </w:pict>
        </mc:Fallback>
      </mc:AlternateContent>
    </w:r>
    <w:r w:rsidR="005063AB">
      <w:rPr>
        <w:noProof/>
        <w:sz w:val="20"/>
        <w:szCs w:val="20"/>
      </w:rPr>
      <w:drawing>
        <wp:anchor distT="0" distB="0" distL="114300" distR="114300" simplePos="0" relativeHeight="251656192" behindDoc="1" locked="0" layoutInCell="1" allowOverlap="1" wp14:anchorId="42013EF2" wp14:editId="44D89418">
          <wp:simplePos x="0" y="0"/>
          <wp:positionH relativeFrom="column">
            <wp:posOffset>4662593</wp:posOffset>
          </wp:positionH>
          <wp:positionV relativeFrom="paragraph">
            <wp:posOffset>-72602</wp:posOffset>
          </wp:positionV>
          <wp:extent cx="382480" cy="44217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rabiyat"/>
                  <pic:cNvPicPr>
                    <a:picLocks noChangeAspect="1" noChangeArrowheads="1"/>
                  </pic:cNvPicPr>
                </pic:nvPicPr>
                <pic:blipFill rotWithShape="1">
                  <a:blip r:embed="rId3">
                    <a:extLst>
                      <a:ext uri="{BEBA8EAE-BF5A-486C-A8C5-ECC9F3942E4B}">
                        <a14:imgProps xmlns:a14="http://schemas.microsoft.com/office/drawing/2010/main">
                          <a14:imgLayer r:embed="rId4">
                            <a14:imgEffect>
                              <a14:artisticPhotocopy/>
                            </a14:imgEffect>
                          </a14:imgLayer>
                        </a14:imgProps>
                      </a:ext>
                    </a:extLst>
                  </a:blip>
                  <a:srcRect b="7020"/>
                  <a:stretch/>
                </pic:blipFill>
                <pic:spPr bwMode="auto">
                  <a:xfrm>
                    <a:off x="0" y="0"/>
                    <a:ext cx="383540" cy="443397"/>
                  </a:xfrm>
                  <a:prstGeom prst="rect">
                    <a:avLst/>
                  </a:prstGeom>
                  <a:noFill/>
                  <a:ln>
                    <a:noFill/>
                  </a:ln>
                  <a:extLst>
                    <a:ext uri="{53640926-AAD7-44D8-BBD7-CCE9431645EC}">
                      <a14:shadowObscured xmlns:a14="http://schemas.microsoft.com/office/drawing/2010/main"/>
                    </a:ext>
                  </a:extLst>
                </pic:spPr>
              </pic:pic>
            </a:graphicData>
          </a:graphic>
        </wp:anchor>
      </w:drawing>
    </w:r>
    <w:r>
      <w:rPr>
        <w:noProof/>
        <w:sz w:val="20"/>
        <w:szCs w:val="20"/>
      </w:rPr>
      <mc:AlternateContent>
        <mc:Choice Requires="wps">
          <w:drawing>
            <wp:anchor distT="0" distB="0" distL="114300" distR="114300" simplePos="0" relativeHeight="251661312" behindDoc="0" locked="0" layoutInCell="1" allowOverlap="1" wp14:anchorId="43B62FD0" wp14:editId="79987224">
              <wp:simplePos x="0" y="0"/>
              <wp:positionH relativeFrom="column">
                <wp:posOffset>4666615</wp:posOffset>
              </wp:positionH>
              <wp:positionV relativeFrom="paragraph">
                <wp:posOffset>43815</wp:posOffset>
              </wp:positionV>
              <wp:extent cx="389255" cy="32575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255" cy="32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DDFA7F" w14:textId="4C6B00DB" w:rsidR="005063AB" w:rsidRPr="008042CA" w:rsidRDefault="00F03735" w:rsidP="00B569F0">
                          <w:pPr>
                            <w:jc w:val="center"/>
                            <w:rPr>
                              <w:rFonts w:ascii="Arial Black" w:hAnsi="Arial Black"/>
                              <w:sz w:val="18"/>
                              <w:szCs w:val="18"/>
                            </w:rPr>
                          </w:pPr>
                          <w:r w:rsidRPr="008042CA">
                            <w:rPr>
                              <w:rFonts w:ascii="Arial Black" w:hAnsi="Arial Black"/>
                              <w:sz w:val="20"/>
                              <w:szCs w:val="20"/>
                            </w:rPr>
                            <w:fldChar w:fldCharType="begin"/>
                          </w:r>
                          <w:r w:rsidR="005063AB"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BB18FE">
                            <w:rPr>
                              <w:rFonts w:ascii="Arial Black" w:hAnsi="Arial Black"/>
                              <w:noProof/>
                              <w:sz w:val="20"/>
                              <w:szCs w:val="20"/>
                            </w:rPr>
                            <w:t>3</w:t>
                          </w:r>
                          <w:r w:rsidRPr="008042CA">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B62FD0" id="_x0000_t202" coordsize="21600,21600" o:spt="202" path="m,l,21600r21600,l21600,xe">
              <v:stroke joinstyle="miter"/>
              <v:path gradientshapeok="t" o:connecttype="rect"/>
            </v:shapetype>
            <v:shape id="Text Box 6" o:spid="_x0000_s1031" type="#_x0000_t202" style="position:absolute;margin-left:367.45pt;margin-top:3.45pt;width:30.65pt;height:2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" filled="f" stroked="f" strokeweight=".5pt">
              <v:textbox>
                <w:txbxContent>
                  <w:p w14:paraId="14DDFA7F" w14:textId="4C6B00DB" w:rsidR="005063AB" w:rsidRPr="008042CA" w:rsidRDefault="00F03735" w:rsidP="00B569F0">
                    <w:pPr>
                      <w:jc w:val="center"/>
                      <w:rPr>
                        <w:rFonts w:ascii="Arial Black" w:hAnsi="Arial Black"/>
                        <w:sz w:val="18"/>
                        <w:szCs w:val="18"/>
                      </w:rPr>
                    </w:pPr>
                    <w:r w:rsidRPr="008042CA">
                      <w:rPr>
                        <w:rFonts w:ascii="Arial Black" w:hAnsi="Arial Black"/>
                        <w:sz w:val="20"/>
                        <w:szCs w:val="20"/>
                      </w:rPr>
                      <w:fldChar w:fldCharType="begin"/>
                    </w:r>
                    <w:r w:rsidR="005063AB" w:rsidRPr="008042CA">
                      <w:rPr>
                        <w:rFonts w:ascii="Arial Black" w:hAnsi="Arial Black"/>
                        <w:sz w:val="20"/>
                        <w:szCs w:val="20"/>
                      </w:rPr>
                      <w:instrText xml:space="preserve"> PAGE   \* MERGEFORMAT </w:instrText>
                    </w:r>
                    <w:r w:rsidRPr="008042CA">
                      <w:rPr>
                        <w:rFonts w:ascii="Arial Black" w:hAnsi="Arial Black"/>
                        <w:sz w:val="20"/>
                        <w:szCs w:val="20"/>
                      </w:rPr>
                      <w:fldChar w:fldCharType="separate"/>
                    </w:r>
                    <w:r w:rsidR="00BB18FE">
                      <w:rPr>
                        <w:rFonts w:ascii="Arial Black" w:hAnsi="Arial Black"/>
                        <w:noProof/>
                        <w:sz w:val="20"/>
                        <w:szCs w:val="20"/>
                      </w:rPr>
                      <w:t>3</w:t>
                    </w:r>
                    <w:r w:rsidRPr="008042CA">
                      <w:rPr>
                        <w:rFonts w:ascii="Arial Black" w:hAnsi="Arial Black"/>
                        <w:sz w:val="20"/>
                        <w:szCs w:val="20"/>
                      </w:rPr>
                      <w:fldChar w:fldCharType="end"/>
                    </w:r>
                  </w:p>
                </w:txbxContent>
              </v:textbox>
            </v:shape>
          </w:pict>
        </mc:Fallback>
      </mc:AlternateContent>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r w:rsidR="005063AB" w:rsidRPr="00065CE2">
      <w:rPr>
        <w:rFonts w:ascii="Garamond" w:hAnsi="Garamond"/>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C770C" w14:textId="77777777" w:rsidR="00ED2F06" w:rsidRDefault="00ED2F06" w:rsidP="00BC6516">
      <w:pPr>
        <w:spacing w:after="0" w:line="240" w:lineRule="auto"/>
      </w:pPr>
      <w:r>
        <w:separator/>
      </w:r>
    </w:p>
  </w:footnote>
  <w:footnote w:type="continuationSeparator" w:id="0">
    <w:p w14:paraId="711F9AC5" w14:textId="77777777" w:rsidR="00ED2F06" w:rsidRDefault="00ED2F06" w:rsidP="00BC6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0038" w14:textId="2E67B083" w:rsidR="005063AB" w:rsidRDefault="00BB18FE">
    <w:pPr>
      <w:pStyle w:val="Header"/>
    </w:pPr>
    <w:r>
      <w:rPr>
        <w:noProof/>
      </w:rPr>
      <mc:AlternateContent>
        <mc:Choice Requires="wps">
          <w:drawing>
            <wp:anchor distT="0" distB="0" distL="114300" distR="114300" simplePos="0" relativeHeight="251667456" behindDoc="0" locked="0" layoutInCell="1" allowOverlap="1" wp14:anchorId="345535F7" wp14:editId="4EFF2CD4">
              <wp:simplePos x="0" y="0"/>
              <wp:positionH relativeFrom="column">
                <wp:posOffset>-580390</wp:posOffset>
              </wp:positionH>
              <wp:positionV relativeFrom="paragraph">
                <wp:posOffset>-606425</wp:posOffset>
              </wp:positionV>
              <wp:extent cx="6550660" cy="34099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552943" w14:textId="1FA982E5" w:rsidR="005063AB" w:rsidRPr="005E697D" w:rsidRDefault="00FC29E3" w:rsidP="00FC29E3">
                          <w:pPr>
                            <w:jc w:val="center"/>
                            <w:rPr>
                              <w:rFonts w:ascii="Myriad Pro" w:hAnsi="Myriad Pro"/>
                              <w:sz w:val="20"/>
                              <w:szCs w:val="20"/>
                              <w:lang w:val="id-ID"/>
                            </w:rPr>
                          </w:pPr>
                          <w:r w:rsidRPr="00337926">
                            <w:rPr>
                              <w:rFonts w:ascii="Copperplate Gothic Bold" w:hAnsi="Copperplate Gothic Bold"/>
                              <w:b/>
                              <w:bCs/>
                              <w:spacing w:val="20"/>
                              <w:sz w:val="20"/>
                              <w:szCs w:val="20"/>
                              <w:lang w:val="sv-SE"/>
                            </w:rPr>
                            <w:t>IHYA AL-ARABIYAH; JURNAL PENDIDIKAN BAHASA DAN SASTRA ARAB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45535F7" id="_x0000_t202" coordsize="21600,21600" o:spt="202" path="m,l,21600r21600,l21600,xe">
              <v:stroke joinstyle="miter"/>
              <v:path gradientshapeok="t" o:connecttype="rect"/>
            </v:shapetype>
            <v:shape id="Text Box 1" o:spid="_x0000_s1026" type="#_x0000_t202" style="position:absolute;margin-left:-45.7pt;margin-top:-47.75pt;width:515.8pt;height:2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" filled="f" stroked="f" strokeweight=".5pt">
              <v:textbox>
                <w:txbxContent>
                  <w:p w14:paraId="3F552943" w14:textId="1FA982E5" w:rsidR="005063AB" w:rsidRPr="005E697D" w:rsidRDefault="00FC29E3" w:rsidP="00FC29E3">
                    <w:pPr>
                      <w:jc w:val="center"/>
                      <w:rPr>
                        <w:rFonts w:ascii="Myriad Pro" w:hAnsi="Myriad Pro"/>
                        <w:sz w:val="20"/>
                        <w:szCs w:val="20"/>
                        <w:lang w:val="id-ID"/>
                      </w:rPr>
                    </w:pPr>
                    <w:r w:rsidRPr="00337926">
                      <w:rPr>
                        <w:rFonts w:ascii="Copperplate Gothic Bold" w:hAnsi="Copperplate Gothic Bold"/>
                        <w:b/>
                        <w:bCs/>
                        <w:spacing w:val="20"/>
                        <w:sz w:val="20"/>
                        <w:szCs w:val="20"/>
                        <w:lang w:val="sv-SE"/>
                      </w:rPr>
                      <w:t>IHYA AL-ARABIYAH; JURNAL PENDIDIKAN BAHASA DAN SASTRA ARAB</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A919" w14:textId="2050077C" w:rsidR="005063AB" w:rsidRPr="007E2D7B" w:rsidRDefault="00BB18FE" w:rsidP="009C477B">
    <w:pPr>
      <w:pStyle w:val="Header"/>
      <w:jc w:val="right"/>
      <w:rPr>
        <w:rFonts w:ascii="Garamond" w:hAnsi="Garamond"/>
      </w:rPr>
    </w:pPr>
    <w:r>
      <w:rPr>
        <w:noProof/>
      </w:rPr>
      <mc:AlternateContent>
        <mc:Choice Requires="wps">
          <w:drawing>
            <wp:anchor distT="0" distB="0" distL="114300" distR="114300" simplePos="0" relativeHeight="251669504" behindDoc="0" locked="0" layoutInCell="1" allowOverlap="1" wp14:anchorId="44041700" wp14:editId="5D4E4F96">
              <wp:simplePos x="0" y="0"/>
              <wp:positionH relativeFrom="column">
                <wp:posOffset>-495935</wp:posOffset>
              </wp:positionH>
              <wp:positionV relativeFrom="paragraph">
                <wp:posOffset>-578485</wp:posOffset>
              </wp:positionV>
              <wp:extent cx="6550660" cy="340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366890" w14:textId="77777777" w:rsidR="00FC29E3" w:rsidRPr="005E697D" w:rsidRDefault="00FC29E3" w:rsidP="00FC29E3">
                          <w:pPr>
                            <w:jc w:val="center"/>
                            <w:rPr>
                              <w:rFonts w:ascii="Myriad Pro" w:hAnsi="Myriad Pro"/>
                              <w:sz w:val="20"/>
                              <w:szCs w:val="20"/>
                              <w:lang w:val="id-ID"/>
                            </w:rPr>
                          </w:pPr>
                          <w:r w:rsidRPr="00337926">
                            <w:rPr>
                              <w:rFonts w:ascii="Copperplate Gothic Bold" w:hAnsi="Copperplate Gothic Bold"/>
                              <w:b/>
                              <w:bCs/>
                              <w:spacing w:val="20"/>
                              <w:sz w:val="20"/>
                              <w:szCs w:val="20"/>
                              <w:lang w:val="sv-SE"/>
                            </w:rPr>
                            <w:t>IHYA AL-ARABIYAH; JURNAL PENDIDIKAN BAHASA DAN SASTRA ARAB</w:t>
                          </w:r>
                        </w:p>
                        <w:p w14:paraId="64DEAB3B" w14:textId="3391D07D" w:rsidR="005063AB" w:rsidRPr="00FC29E3" w:rsidRDefault="005063AB" w:rsidP="00B07800">
                          <w:pPr>
                            <w:jc w:val="center"/>
                            <w:rPr>
                              <w:rFonts w:ascii="Myriad Pro" w:hAnsi="Myriad Pro"/>
                              <w:sz w:val="20"/>
                              <w:szCs w:val="20"/>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4041700" id="_x0000_t202" coordsize="21600,21600" o:spt="202" path="m,l,21600r21600,l21600,xe">
              <v:stroke joinstyle="miter"/>
              <v:path gradientshapeok="t" o:connecttype="rect"/>
            </v:shapetype>
            <v:shape id="Text Box 2" o:spid="_x0000_s1027" type="#_x0000_t202" style="position:absolute;left:0;text-align:left;margin-left:-39.05pt;margin-top:-45.55pt;width:515.8pt;height:2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" filled="f" stroked="f" strokeweight=".5pt">
              <v:textbox>
                <w:txbxContent>
                  <w:p w14:paraId="0C366890" w14:textId="77777777" w:rsidR="00FC29E3" w:rsidRPr="005E697D" w:rsidRDefault="00FC29E3" w:rsidP="00FC29E3">
                    <w:pPr>
                      <w:jc w:val="center"/>
                      <w:rPr>
                        <w:rFonts w:ascii="Myriad Pro" w:hAnsi="Myriad Pro"/>
                        <w:sz w:val="20"/>
                        <w:szCs w:val="20"/>
                        <w:lang w:val="id-ID"/>
                      </w:rPr>
                    </w:pPr>
                    <w:r w:rsidRPr="00337926">
                      <w:rPr>
                        <w:rFonts w:ascii="Copperplate Gothic Bold" w:hAnsi="Copperplate Gothic Bold"/>
                        <w:b/>
                        <w:bCs/>
                        <w:spacing w:val="20"/>
                        <w:sz w:val="20"/>
                        <w:szCs w:val="20"/>
                        <w:lang w:val="sv-SE"/>
                      </w:rPr>
                      <w:t>IHYA AL-ARABIYAH; JURNAL PENDIDIKAN BAHASA DAN SASTRA ARAB</w:t>
                    </w:r>
                  </w:p>
                  <w:p w14:paraId="64DEAB3B" w14:textId="3391D07D" w:rsidR="005063AB" w:rsidRPr="00FC29E3" w:rsidRDefault="005063AB" w:rsidP="00B07800">
                    <w:pPr>
                      <w:jc w:val="center"/>
                      <w:rPr>
                        <w:rFonts w:ascii="Myriad Pro" w:hAnsi="Myriad Pro"/>
                        <w:sz w:val="20"/>
                        <w:szCs w:val="20"/>
                        <w:lang w:val="id-ID"/>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4F5"/>
    <w:multiLevelType w:val="hybridMultilevel"/>
    <w:tmpl w:val="84CAE0DA"/>
    <w:lvl w:ilvl="0" w:tplc="04090019">
      <w:start w:val="3"/>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02202D21"/>
    <w:multiLevelType w:val="hybridMultilevel"/>
    <w:tmpl w:val="81D06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37694"/>
    <w:multiLevelType w:val="hybridMultilevel"/>
    <w:tmpl w:val="01405BF6"/>
    <w:lvl w:ilvl="0" w:tplc="7026F1AA">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6A45A0"/>
    <w:multiLevelType w:val="hybridMultilevel"/>
    <w:tmpl w:val="4B44E0BE"/>
    <w:lvl w:ilvl="0" w:tplc="3C641EE8">
      <w:start w:val="1"/>
      <w:numFmt w:val="decimal"/>
      <w:lvlText w:val="%1."/>
      <w:lvlJc w:val="left"/>
      <w:pPr>
        <w:tabs>
          <w:tab w:val="num" w:pos="1440"/>
        </w:tabs>
        <w:ind w:left="1440" w:hanging="360"/>
      </w:pPr>
      <w:rPr>
        <w:rFonts w:cs="Times New Roman" w:hint="default"/>
      </w:rPr>
    </w:lvl>
    <w:lvl w:ilvl="1" w:tplc="398877AC">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10EEEB34">
      <w:start w:val="1"/>
      <w:numFmt w:val="lowerLetter"/>
      <w:lvlText w:val="%5."/>
      <w:lvlJc w:val="left"/>
      <w:pPr>
        <w:tabs>
          <w:tab w:val="num" w:pos="3600"/>
        </w:tabs>
        <w:ind w:left="3600" w:hanging="360"/>
      </w:pPr>
      <w:rPr>
        <w:rFonts w:cs="Times New Roman" w:hint="default"/>
      </w:rPr>
    </w:lvl>
    <w:lvl w:ilvl="5" w:tplc="04090017">
      <w:start w:val="1"/>
      <w:numFmt w:val="lowerLetter"/>
      <w:lvlText w:val="%6)"/>
      <w:lvlJc w:val="left"/>
      <w:pPr>
        <w:tabs>
          <w:tab w:val="num" w:pos="4500"/>
        </w:tabs>
        <w:ind w:left="4500" w:hanging="360"/>
      </w:pPr>
      <w:rPr>
        <w:rFonts w:cs="Times New Roman"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C152904"/>
    <w:multiLevelType w:val="hybridMultilevel"/>
    <w:tmpl w:val="94DC447A"/>
    <w:lvl w:ilvl="0" w:tplc="FFFFFFFF">
      <w:numFmt w:val="bullet"/>
      <w:lvlText w:val="-"/>
      <w:lvlJc w:val="left"/>
      <w:pPr>
        <w:ind w:left="720" w:hanging="360"/>
      </w:pPr>
      <w:rPr>
        <w:rFonts w:ascii="Times New Roman" w:eastAsia="Calibri" w:hAnsi="Times New Roman" w:cs="Times New Roman" w:hint="default"/>
        <w: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C44BF5"/>
    <w:multiLevelType w:val="hybridMultilevel"/>
    <w:tmpl w:val="847276A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EB0545"/>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15:restartNumberingAfterBreak="0">
    <w:nsid w:val="22332D06"/>
    <w:multiLevelType w:val="hybridMultilevel"/>
    <w:tmpl w:val="0CE0363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8" w15:restartNumberingAfterBreak="0">
    <w:nsid w:val="24144A1C"/>
    <w:multiLevelType w:val="hybridMultilevel"/>
    <w:tmpl w:val="B0D0AC0C"/>
    <w:lvl w:ilvl="0" w:tplc="04090019">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5DE690C"/>
    <w:multiLevelType w:val="hybridMultilevel"/>
    <w:tmpl w:val="B2EA4964"/>
    <w:lvl w:ilvl="0" w:tplc="104A288A">
      <w:start w:val="1"/>
      <w:numFmt w:val="decimal"/>
      <w:lvlText w:val="%1."/>
      <w:lvlJc w:val="left"/>
      <w:pPr>
        <w:ind w:left="1374" w:hanging="360"/>
      </w:pPr>
      <w:rPr>
        <w:rFonts w:eastAsiaTheme="minorHAnsi" w:hint="default"/>
        <w:color w:val="auto"/>
      </w:rPr>
    </w:lvl>
    <w:lvl w:ilvl="1" w:tplc="04090019" w:tentative="1">
      <w:start w:val="1"/>
      <w:numFmt w:val="lowerLetter"/>
      <w:lvlText w:val="%2."/>
      <w:lvlJc w:val="left"/>
      <w:pPr>
        <w:ind w:left="2094" w:hanging="360"/>
      </w:pPr>
    </w:lvl>
    <w:lvl w:ilvl="2" w:tplc="0409001B" w:tentative="1">
      <w:start w:val="1"/>
      <w:numFmt w:val="lowerRoman"/>
      <w:lvlText w:val="%3."/>
      <w:lvlJc w:val="right"/>
      <w:pPr>
        <w:ind w:left="2814" w:hanging="180"/>
      </w:pPr>
    </w:lvl>
    <w:lvl w:ilvl="3" w:tplc="0409000F" w:tentative="1">
      <w:start w:val="1"/>
      <w:numFmt w:val="decimal"/>
      <w:lvlText w:val="%4."/>
      <w:lvlJc w:val="left"/>
      <w:pPr>
        <w:ind w:left="3534" w:hanging="360"/>
      </w:p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10" w15:restartNumberingAfterBreak="0">
    <w:nsid w:val="2F657341"/>
    <w:multiLevelType w:val="hybridMultilevel"/>
    <w:tmpl w:val="A1945C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2565AF"/>
    <w:multiLevelType w:val="hybridMultilevel"/>
    <w:tmpl w:val="4D447AE6"/>
    <w:lvl w:ilvl="0" w:tplc="10EEEB34">
      <w:start w:val="1"/>
      <w:numFmt w:val="lowerLetter"/>
      <w:lvlText w:val="%1."/>
      <w:lvlJc w:val="left"/>
      <w:pPr>
        <w:tabs>
          <w:tab w:val="num" w:pos="4140"/>
        </w:tabs>
        <w:ind w:left="4140" w:hanging="360"/>
      </w:pPr>
      <w:rPr>
        <w:rFonts w:cs="Times New Roman" w:hint="default"/>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12" w15:restartNumberingAfterBreak="0">
    <w:nsid w:val="329F3117"/>
    <w:multiLevelType w:val="hybridMultilevel"/>
    <w:tmpl w:val="175C6E88"/>
    <w:lvl w:ilvl="0" w:tplc="50508962">
      <w:start w:val="1"/>
      <w:numFmt w:val="decimal"/>
      <w:lvlText w:val="%1."/>
      <w:lvlJc w:val="left"/>
      <w:pPr>
        <w:ind w:left="3479" w:hanging="360"/>
      </w:pPr>
      <w:rPr>
        <w:rFonts w:cs="Times New Roman" w:hint="default"/>
        <w:color w:val="000000"/>
        <w:sz w:val="25"/>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3C5B368D"/>
    <w:multiLevelType w:val="hybridMultilevel"/>
    <w:tmpl w:val="5DE6BB3A"/>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791F40"/>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3EFC0A9C"/>
    <w:multiLevelType w:val="hybridMultilevel"/>
    <w:tmpl w:val="9E16395A"/>
    <w:lvl w:ilvl="0" w:tplc="04090019">
      <w:start w:val="1"/>
      <w:numFmt w:val="lowerLetter"/>
      <w:lvlText w:val="%1."/>
      <w:lvlJc w:val="left"/>
      <w:pPr>
        <w:tabs>
          <w:tab w:val="num" w:pos="720"/>
        </w:tabs>
        <w:ind w:left="720" w:hanging="360"/>
      </w:pPr>
      <w:rPr>
        <w:rFonts w:cs="Times New Roman"/>
      </w:rPr>
    </w:lvl>
    <w:lvl w:ilvl="1" w:tplc="A3F69B90">
      <w:start w:val="1"/>
      <w:numFmt w:val="decimal"/>
      <w:lvlText w:val="%2."/>
      <w:lvlJc w:val="left"/>
      <w:pPr>
        <w:tabs>
          <w:tab w:val="num" w:pos="360"/>
        </w:tabs>
        <w:ind w:left="36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0DD2450"/>
    <w:multiLevelType w:val="hybridMultilevel"/>
    <w:tmpl w:val="A770045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6B332B"/>
    <w:multiLevelType w:val="hybridMultilevel"/>
    <w:tmpl w:val="60D64B5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C40932"/>
    <w:multiLevelType w:val="hybridMultilevel"/>
    <w:tmpl w:val="1570DE60"/>
    <w:lvl w:ilvl="0" w:tplc="0409000F">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8687BA4"/>
    <w:multiLevelType w:val="hybridMultilevel"/>
    <w:tmpl w:val="4DFC3350"/>
    <w:lvl w:ilvl="0" w:tplc="50508962">
      <w:start w:val="1"/>
      <w:numFmt w:val="decimal"/>
      <w:lvlText w:val="%1."/>
      <w:lvlJc w:val="left"/>
      <w:pPr>
        <w:ind w:left="720" w:hanging="360"/>
      </w:pPr>
      <w:rPr>
        <w:rFonts w:cs="Times New Roman" w:hint="default"/>
        <w:color w:val="000000"/>
        <w:sz w:val="2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4B2E60A6"/>
    <w:multiLevelType w:val="hybridMultilevel"/>
    <w:tmpl w:val="9216EB02"/>
    <w:lvl w:ilvl="0" w:tplc="00000000">
      <w:start w:val="1"/>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21" w15:restartNumberingAfterBreak="0">
    <w:nsid w:val="4F896E38"/>
    <w:multiLevelType w:val="hybridMultilevel"/>
    <w:tmpl w:val="7010B07E"/>
    <w:lvl w:ilvl="0" w:tplc="00000000">
      <w:start w:val="3"/>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22" w15:restartNumberingAfterBreak="0">
    <w:nsid w:val="50311C9A"/>
    <w:multiLevelType w:val="hybridMultilevel"/>
    <w:tmpl w:val="E16A5BD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10C09B0"/>
    <w:multiLevelType w:val="hybridMultilevel"/>
    <w:tmpl w:val="6C8EE58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B2640B"/>
    <w:multiLevelType w:val="multilevel"/>
    <w:tmpl w:val="89307E30"/>
    <w:lvl w:ilvl="0">
      <w:start w:val="1"/>
      <w:numFmt w:val="upperLetter"/>
      <w:lvlText w:val="%1."/>
      <w:lvlJc w:val="left"/>
      <w:pPr>
        <w:ind w:left="720" w:hanging="360"/>
      </w:pPr>
      <w:rPr>
        <w:rFonts w:ascii="Cambria" w:eastAsia="Cambria" w:hAnsi="Cambria" w:cs="Cambria"/>
        <w:b/>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54E232ED"/>
    <w:multiLevelType w:val="hybridMultilevel"/>
    <w:tmpl w:val="DEC83B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6705F68"/>
    <w:multiLevelType w:val="hybridMultilevel"/>
    <w:tmpl w:val="B6A8EE46"/>
    <w:lvl w:ilvl="0" w:tplc="A5BA6996">
      <w:start w:val="1"/>
      <w:numFmt w:val="decimal"/>
      <w:lvlText w:val="%1."/>
      <w:lvlJc w:val="left"/>
      <w:pPr>
        <w:tabs>
          <w:tab w:val="num" w:pos="624"/>
        </w:tabs>
        <w:ind w:left="624" w:hanging="511"/>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B800538"/>
    <w:multiLevelType w:val="hybridMultilevel"/>
    <w:tmpl w:val="151061C8"/>
    <w:lvl w:ilvl="0" w:tplc="7D689FE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601D144E"/>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9" w15:restartNumberingAfterBreak="0">
    <w:nsid w:val="610B207B"/>
    <w:multiLevelType w:val="hybridMultilevel"/>
    <w:tmpl w:val="AACE53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160600C"/>
    <w:multiLevelType w:val="hybridMultilevel"/>
    <w:tmpl w:val="E4FE6A38"/>
    <w:lvl w:ilvl="0" w:tplc="27949D46">
      <w:start w:val="1"/>
      <w:numFmt w:val="decimal"/>
      <w:lvlText w:val="%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63D81BB2"/>
    <w:multiLevelType w:val="hybridMultilevel"/>
    <w:tmpl w:val="079C6B04"/>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659A0287"/>
    <w:multiLevelType w:val="hybridMultilevel"/>
    <w:tmpl w:val="AD3C6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364026"/>
    <w:multiLevelType w:val="hybridMultilevel"/>
    <w:tmpl w:val="C5FAB03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68403F2F"/>
    <w:multiLevelType w:val="hybridMultilevel"/>
    <w:tmpl w:val="A1969348"/>
    <w:lvl w:ilvl="0" w:tplc="E878DCA8">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5" w15:restartNumberingAfterBreak="0">
    <w:nsid w:val="68C33D1A"/>
    <w:multiLevelType w:val="hybridMultilevel"/>
    <w:tmpl w:val="EE9672DE"/>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27B174E"/>
    <w:multiLevelType w:val="hybridMultilevel"/>
    <w:tmpl w:val="714260E6"/>
    <w:lvl w:ilvl="0" w:tplc="04210015">
      <w:start w:val="1"/>
      <w:numFmt w:val="upp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7" w15:restartNumberingAfterBreak="0">
    <w:nsid w:val="72C94FAB"/>
    <w:multiLevelType w:val="hybridMultilevel"/>
    <w:tmpl w:val="BC14EEA0"/>
    <w:lvl w:ilvl="0" w:tplc="27949D46">
      <w:start w:val="1"/>
      <w:numFmt w:val="decimal"/>
      <w:lvlText w:val="%1."/>
      <w:lvlJc w:val="right"/>
      <w:pPr>
        <w:ind w:left="1680" w:hanging="360"/>
      </w:pPr>
      <w:rPr>
        <w:rFonts w:hint="default"/>
      </w:rPr>
    </w:lvl>
    <w:lvl w:ilvl="1" w:tplc="38090019" w:tentative="1">
      <w:start w:val="1"/>
      <w:numFmt w:val="lowerLetter"/>
      <w:lvlText w:val="%2."/>
      <w:lvlJc w:val="left"/>
      <w:pPr>
        <w:ind w:left="2400" w:hanging="360"/>
      </w:pPr>
    </w:lvl>
    <w:lvl w:ilvl="2" w:tplc="3809001B" w:tentative="1">
      <w:start w:val="1"/>
      <w:numFmt w:val="lowerRoman"/>
      <w:lvlText w:val="%3."/>
      <w:lvlJc w:val="right"/>
      <w:pPr>
        <w:ind w:left="3120" w:hanging="180"/>
      </w:pPr>
    </w:lvl>
    <w:lvl w:ilvl="3" w:tplc="3809000F" w:tentative="1">
      <w:start w:val="1"/>
      <w:numFmt w:val="decimal"/>
      <w:lvlText w:val="%4."/>
      <w:lvlJc w:val="left"/>
      <w:pPr>
        <w:ind w:left="3840" w:hanging="360"/>
      </w:pPr>
    </w:lvl>
    <w:lvl w:ilvl="4" w:tplc="38090019" w:tentative="1">
      <w:start w:val="1"/>
      <w:numFmt w:val="lowerLetter"/>
      <w:lvlText w:val="%5."/>
      <w:lvlJc w:val="left"/>
      <w:pPr>
        <w:ind w:left="4560" w:hanging="360"/>
      </w:pPr>
    </w:lvl>
    <w:lvl w:ilvl="5" w:tplc="3809001B" w:tentative="1">
      <w:start w:val="1"/>
      <w:numFmt w:val="lowerRoman"/>
      <w:lvlText w:val="%6."/>
      <w:lvlJc w:val="right"/>
      <w:pPr>
        <w:ind w:left="5280" w:hanging="180"/>
      </w:pPr>
    </w:lvl>
    <w:lvl w:ilvl="6" w:tplc="3809000F" w:tentative="1">
      <w:start w:val="1"/>
      <w:numFmt w:val="decimal"/>
      <w:lvlText w:val="%7."/>
      <w:lvlJc w:val="left"/>
      <w:pPr>
        <w:ind w:left="6000" w:hanging="360"/>
      </w:pPr>
    </w:lvl>
    <w:lvl w:ilvl="7" w:tplc="38090019" w:tentative="1">
      <w:start w:val="1"/>
      <w:numFmt w:val="lowerLetter"/>
      <w:lvlText w:val="%8."/>
      <w:lvlJc w:val="left"/>
      <w:pPr>
        <w:ind w:left="6720" w:hanging="360"/>
      </w:pPr>
    </w:lvl>
    <w:lvl w:ilvl="8" w:tplc="3809001B" w:tentative="1">
      <w:start w:val="1"/>
      <w:numFmt w:val="lowerRoman"/>
      <w:lvlText w:val="%9."/>
      <w:lvlJc w:val="right"/>
      <w:pPr>
        <w:ind w:left="7440" w:hanging="180"/>
      </w:pPr>
    </w:lvl>
  </w:abstractNum>
  <w:abstractNum w:abstractNumId="38" w15:restartNumberingAfterBreak="0">
    <w:nsid w:val="740E0507"/>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9" w15:restartNumberingAfterBreak="0">
    <w:nsid w:val="75FC123D"/>
    <w:multiLevelType w:val="hybridMultilevel"/>
    <w:tmpl w:val="612EBB68"/>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7EA2D0F"/>
    <w:multiLevelType w:val="hybridMultilevel"/>
    <w:tmpl w:val="1F66FF3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B3F60A7"/>
    <w:multiLevelType w:val="multilevel"/>
    <w:tmpl w:val="2DD81620"/>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2" w15:restartNumberingAfterBreak="0">
    <w:nsid w:val="7FDF64A0"/>
    <w:multiLevelType w:val="hybridMultilevel"/>
    <w:tmpl w:val="78642054"/>
    <w:lvl w:ilvl="0" w:tplc="00000000">
      <w:start w:val="1"/>
      <w:numFmt w:val="decimal"/>
      <w:lvlText w:val="%1."/>
      <w:lvlJc w:val="left"/>
      <w:pPr>
        <w:ind w:left="1080" w:hanging="360"/>
      </w:pPr>
      <w:rPr>
        <w:rFonts w:cs="Times New Roman"/>
      </w:rPr>
    </w:lvl>
    <w:lvl w:ilvl="1" w:tplc="00000001">
      <w:start w:val="1"/>
      <w:numFmt w:val="lowerLetter"/>
      <w:lvlText w:val="%2."/>
      <w:lvlJc w:val="left"/>
      <w:pPr>
        <w:ind w:left="1800" w:hanging="360"/>
      </w:pPr>
      <w:rPr>
        <w:rFonts w:cs="Times New Roman"/>
      </w:rPr>
    </w:lvl>
    <w:lvl w:ilvl="2" w:tplc="00000002">
      <w:start w:val="1"/>
      <w:numFmt w:val="lowerRoman"/>
      <w:lvlText w:val="%3."/>
      <w:lvlJc w:val="right"/>
      <w:pPr>
        <w:ind w:left="2520" w:hanging="180"/>
      </w:pPr>
      <w:rPr>
        <w:rFonts w:cs="Times New Roman"/>
      </w:rPr>
    </w:lvl>
    <w:lvl w:ilvl="3" w:tplc="00000003">
      <w:start w:val="1"/>
      <w:numFmt w:val="decimal"/>
      <w:lvlText w:val="%4."/>
      <w:lvlJc w:val="left"/>
      <w:pPr>
        <w:ind w:left="3240" w:hanging="360"/>
      </w:pPr>
      <w:rPr>
        <w:rFonts w:cs="Times New Roman"/>
      </w:rPr>
    </w:lvl>
    <w:lvl w:ilvl="4" w:tplc="00000004">
      <w:start w:val="1"/>
      <w:numFmt w:val="lowerLetter"/>
      <w:lvlText w:val="%5."/>
      <w:lvlJc w:val="left"/>
      <w:pPr>
        <w:ind w:left="3960" w:hanging="360"/>
      </w:pPr>
      <w:rPr>
        <w:rFonts w:cs="Times New Roman"/>
      </w:rPr>
    </w:lvl>
    <w:lvl w:ilvl="5" w:tplc="00000005">
      <w:start w:val="1"/>
      <w:numFmt w:val="lowerRoman"/>
      <w:lvlText w:val="%6."/>
      <w:lvlJc w:val="right"/>
      <w:pPr>
        <w:ind w:left="4680" w:hanging="180"/>
      </w:pPr>
      <w:rPr>
        <w:rFonts w:cs="Times New Roman"/>
      </w:rPr>
    </w:lvl>
    <w:lvl w:ilvl="6" w:tplc="00000006">
      <w:start w:val="1"/>
      <w:numFmt w:val="decimal"/>
      <w:lvlText w:val="%7."/>
      <w:lvlJc w:val="left"/>
      <w:pPr>
        <w:ind w:left="5400" w:hanging="360"/>
      </w:pPr>
      <w:rPr>
        <w:rFonts w:cs="Times New Roman"/>
      </w:rPr>
    </w:lvl>
    <w:lvl w:ilvl="7" w:tplc="00000007">
      <w:start w:val="1"/>
      <w:numFmt w:val="lowerLetter"/>
      <w:lvlText w:val="%8."/>
      <w:lvlJc w:val="left"/>
      <w:pPr>
        <w:ind w:left="6120" w:hanging="360"/>
      </w:pPr>
      <w:rPr>
        <w:rFonts w:cs="Times New Roman"/>
      </w:rPr>
    </w:lvl>
    <w:lvl w:ilvl="8" w:tplc="00000008">
      <w:start w:val="1"/>
      <w:numFmt w:val="lowerRoman"/>
      <w:lvlText w:val="%9."/>
      <w:lvlJc w:val="right"/>
      <w:pPr>
        <w:ind w:left="6840" w:hanging="180"/>
      </w:pPr>
      <w:rPr>
        <w:rFonts w:cs="Times New Roman"/>
      </w:rPr>
    </w:lvl>
  </w:abstractNum>
  <w:num w:numId="1" w16cid:durableId="894000361">
    <w:abstractNumId w:val="3"/>
  </w:num>
  <w:num w:numId="2" w16cid:durableId="1105199479">
    <w:abstractNumId w:val="15"/>
  </w:num>
  <w:num w:numId="3" w16cid:durableId="635986692">
    <w:abstractNumId w:val="8"/>
  </w:num>
  <w:num w:numId="4" w16cid:durableId="1421682102">
    <w:abstractNumId w:val="11"/>
  </w:num>
  <w:num w:numId="5" w16cid:durableId="658768873">
    <w:abstractNumId w:val="28"/>
  </w:num>
  <w:num w:numId="6" w16cid:durableId="1597516901">
    <w:abstractNumId w:val="6"/>
  </w:num>
  <w:num w:numId="7" w16cid:durableId="1166943697">
    <w:abstractNumId w:val="12"/>
  </w:num>
  <w:num w:numId="8" w16cid:durableId="1851606926">
    <w:abstractNumId w:val="27"/>
  </w:num>
  <w:num w:numId="9" w16cid:durableId="911499635">
    <w:abstractNumId w:val="19"/>
  </w:num>
  <w:num w:numId="10" w16cid:durableId="246891235">
    <w:abstractNumId w:val="36"/>
  </w:num>
  <w:num w:numId="11" w16cid:durableId="1263759473">
    <w:abstractNumId w:val="7"/>
  </w:num>
  <w:num w:numId="12" w16cid:durableId="211969692">
    <w:abstractNumId w:val="33"/>
  </w:num>
  <w:num w:numId="13" w16cid:durableId="1637907640">
    <w:abstractNumId w:val="41"/>
  </w:num>
  <w:num w:numId="14" w16cid:durableId="7754935">
    <w:abstractNumId w:val="38"/>
  </w:num>
  <w:num w:numId="15" w16cid:durableId="1560479467">
    <w:abstractNumId w:val="14"/>
  </w:num>
  <w:num w:numId="16" w16cid:durableId="8302968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7093075">
    <w:abstractNumId w:val="0"/>
  </w:num>
  <w:num w:numId="18" w16cid:durableId="764305279">
    <w:abstractNumId w:val="34"/>
  </w:num>
  <w:num w:numId="19" w16cid:durableId="12320778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21563333">
    <w:abstractNumId w:val="40"/>
  </w:num>
  <w:num w:numId="21" w16cid:durableId="1858539675">
    <w:abstractNumId w:val="18"/>
  </w:num>
  <w:num w:numId="22" w16cid:durableId="157425838">
    <w:abstractNumId w:val="9"/>
  </w:num>
  <w:num w:numId="23" w16cid:durableId="751927204">
    <w:abstractNumId w:val="32"/>
  </w:num>
  <w:num w:numId="24" w16cid:durableId="577177225">
    <w:abstractNumId w:val="1"/>
  </w:num>
  <w:num w:numId="25" w16cid:durableId="1254893468">
    <w:abstractNumId w:val="23"/>
  </w:num>
  <w:num w:numId="26" w16cid:durableId="1811363123">
    <w:abstractNumId w:val="35"/>
  </w:num>
  <w:num w:numId="27" w16cid:durableId="35742937">
    <w:abstractNumId w:val="17"/>
  </w:num>
  <w:num w:numId="28" w16cid:durableId="775490789">
    <w:abstractNumId w:val="13"/>
  </w:num>
  <w:num w:numId="29" w16cid:durableId="1928271333">
    <w:abstractNumId w:val="22"/>
  </w:num>
  <w:num w:numId="30" w16cid:durableId="1459687738">
    <w:abstractNumId w:val="39"/>
  </w:num>
  <w:num w:numId="31" w16cid:durableId="713576385">
    <w:abstractNumId w:val="4"/>
  </w:num>
  <w:num w:numId="32" w16cid:durableId="1020164107">
    <w:abstractNumId w:val="16"/>
  </w:num>
  <w:num w:numId="33" w16cid:durableId="1246956365">
    <w:abstractNumId w:val="5"/>
  </w:num>
  <w:num w:numId="34" w16cid:durableId="314841197">
    <w:abstractNumId w:val="10"/>
  </w:num>
  <w:num w:numId="35" w16cid:durableId="1585452948">
    <w:abstractNumId w:val="25"/>
  </w:num>
  <w:num w:numId="36" w16cid:durableId="2035691121">
    <w:abstractNumId w:val="29"/>
  </w:num>
  <w:num w:numId="37" w16cid:durableId="255090276">
    <w:abstractNumId w:val="2"/>
  </w:num>
  <w:num w:numId="38" w16cid:durableId="61965391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73484489">
    <w:abstractNumId w:val="20"/>
  </w:num>
  <w:num w:numId="40" w16cid:durableId="1037966162">
    <w:abstractNumId w:val="21"/>
  </w:num>
  <w:num w:numId="41" w16cid:durableId="343702748">
    <w:abstractNumId w:val="30"/>
  </w:num>
  <w:num w:numId="42" w16cid:durableId="2091848580">
    <w:abstractNumId w:val="37"/>
  </w:num>
  <w:num w:numId="43" w16cid:durableId="17861907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D87"/>
    <w:rsid w:val="00002A4D"/>
    <w:rsid w:val="000038E1"/>
    <w:rsid w:val="000040A1"/>
    <w:rsid w:val="0000773D"/>
    <w:rsid w:val="00010320"/>
    <w:rsid w:val="00016450"/>
    <w:rsid w:val="00017F4F"/>
    <w:rsid w:val="00020512"/>
    <w:rsid w:val="000207C0"/>
    <w:rsid w:val="0002239C"/>
    <w:rsid w:val="00024693"/>
    <w:rsid w:val="0002595B"/>
    <w:rsid w:val="00025CC5"/>
    <w:rsid w:val="000303DF"/>
    <w:rsid w:val="00030CB5"/>
    <w:rsid w:val="00031F54"/>
    <w:rsid w:val="00033E82"/>
    <w:rsid w:val="00037A0A"/>
    <w:rsid w:val="00041699"/>
    <w:rsid w:val="0004362A"/>
    <w:rsid w:val="00050E90"/>
    <w:rsid w:val="000512D5"/>
    <w:rsid w:val="0005137C"/>
    <w:rsid w:val="000516D9"/>
    <w:rsid w:val="00051F6A"/>
    <w:rsid w:val="0005394A"/>
    <w:rsid w:val="00054993"/>
    <w:rsid w:val="00054E8B"/>
    <w:rsid w:val="00055059"/>
    <w:rsid w:val="000639FC"/>
    <w:rsid w:val="00065CE2"/>
    <w:rsid w:val="00067995"/>
    <w:rsid w:val="0007132B"/>
    <w:rsid w:val="00077B41"/>
    <w:rsid w:val="00080A7E"/>
    <w:rsid w:val="00084B86"/>
    <w:rsid w:val="00084BCC"/>
    <w:rsid w:val="00087523"/>
    <w:rsid w:val="00087735"/>
    <w:rsid w:val="000905E7"/>
    <w:rsid w:val="00090A01"/>
    <w:rsid w:val="00090D2F"/>
    <w:rsid w:val="00093D67"/>
    <w:rsid w:val="00094F99"/>
    <w:rsid w:val="00097333"/>
    <w:rsid w:val="000A47FC"/>
    <w:rsid w:val="000A49EB"/>
    <w:rsid w:val="000A6ACA"/>
    <w:rsid w:val="000B201B"/>
    <w:rsid w:val="000B23CF"/>
    <w:rsid w:val="000B463A"/>
    <w:rsid w:val="000B7357"/>
    <w:rsid w:val="000B7E17"/>
    <w:rsid w:val="000C08FE"/>
    <w:rsid w:val="000C13F5"/>
    <w:rsid w:val="000C4ABA"/>
    <w:rsid w:val="000C55FE"/>
    <w:rsid w:val="000C6E8D"/>
    <w:rsid w:val="000D30FD"/>
    <w:rsid w:val="000D3E1A"/>
    <w:rsid w:val="000D3EA9"/>
    <w:rsid w:val="000D41FD"/>
    <w:rsid w:val="000D4939"/>
    <w:rsid w:val="000D5C1D"/>
    <w:rsid w:val="000D7229"/>
    <w:rsid w:val="000E0BB4"/>
    <w:rsid w:val="000E109D"/>
    <w:rsid w:val="000E14DD"/>
    <w:rsid w:val="000E5D77"/>
    <w:rsid w:val="000E7147"/>
    <w:rsid w:val="000F06FF"/>
    <w:rsid w:val="000F0946"/>
    <w:rsid w:val="000F1B6C"/>
    <w:rsid w:val="000F29DD"/>
    <w:rsid w:val="000F41A0"/>
    <w:rsid w:val="000F6F20"/>
    <w:rsid w:val="0010064C"/>
    <w:rsid w:val="0010145D"/>
    <w:rsid w:val="001068E3"/>
    <w:rsid w:val="00110B59"/>
    <w:rsid w:val="0011115A"/>
    <w:rsid w:val="001118E0"/>
    <w:rsid w:val="001119BF"/>
    <w:rsid w:val="00112478"/>
    <w:rsid w:val="001127DE"/>
    <w:rsid w:val="001136EC"/>
    <w:rsid w:val="001143B3"/>
    <w:rsid w:val="001145DB"/>
    <w:rsid w:val="00114A05"/>
    <w:rsid w:val="00115737"/>
    <w:rsid w:val="00115E7D"/>
    <w:rsid w:val="00116BC6"/>
    <w:rsid w:val="001171F4"/>
    <w:rsid w:val="00123B5A"/>
    <w:rsid w:val="001245BD"/>
    <w:rsid w:val="00125CF8"/>
    <w:rsid w:val="001325F8"/>
    <w:rsid w:val="00134ABE"/>
    <w:rsid w:val="0013530D"/>
    <w:rsid w:val="0013582F"/>
    <w:rsid w:val="00136A03"/>
    <w:rsid w:val="00136E73"/>
    <w:rsid w:val="00141785"/>
    <w:rsid w:val="00145129"/>
    <w:rsid w:val="00153DDA"/>
    <w:rsid w:val="001556B6"/>
    <w:rsid w:val="001556D9"/>
    <w:rsid w:val="001605D8"/>
    <w:rsid w:val="00165699"/>
    <w:rsid w:val="00165FCF"/>
    <w:rsid w:val="001677D8"/>
    <w:rsid w:val="001713F5"/>
    <w:rsid w:val="0017352E"/>
    <w:rsid w:val="00173B4D"/>
    <w:rsid w:val="001756B4"/>
    <w:rsid w:val="001758D8"/>
    <w:rsid w:val="00175B56"/>
    <w:rsid w:val="00175D80"/>
    <w:rsid w:val="00180B21"/>
    <w:rsid w:val="00182529"/>
    <w:rsid w:val="00184260"/>
    <w:rsid w:val="0018432A"/>
    <w:rsid w:val="001864DD"/>
    <w:rsid w:val="00186A4D"/>
    <w:rsid w:val="0019141A"/>
    <w:rsid w:val="00194229"/>
    <w:rsid w:val="001947AA"/>
    <w:rsid w:val="001A26B9"/>
    <w:rsid w:val="001A4E7F"/>
    <w:rsid w:val="001A511F"/>
    <w:rsid w:val="001A5524"/>
    <w:rsid w:val="001A5F0E"/>
    <w:rsid w:val="001A67A3"/>
    <w:rsid w:val="001A7E5F"/>
    <w:rsid w:val="001B10C2"/>
    <w:rsid w:val="001B39DA"/>
    <w:rsid w:val="001B3ACA"/>
    <w:rsid w:val="001B3EC6"/>
    <w:rsid w:val="001B62D0"/>
    <w:rsid w:val="001B7C3F"/>
    <w:rsid w:val="001B7F87"/>
    <w:rsid w:val="001C08D3"/>
    <w:rsid w:val="001C1091"/>
    <w:rsid w:val="001C1C44"/>
    <w:rsid w:val="001C2A3E"/>
    <w:rsid w:val="001C56DF"/>
    <w:rsid w:val="001C7192"/>
    <w:rsid w:val="001D245A"/>
    <w:rsid w:val="001D2B15"/>
    <w:rsid w:val="001D31C3"/>
    <w:rsid w:val="001D71A1"/>
    <w:rsid w:val="001E1203"/>
    <w:rsid w:val="001E337C"/>
    <w:rsid w:val="001E4F14"/>
    <w:rsid w:val="001E7FF7"/>
    <w:rsid w:val="001F1264"/>
    <w:rsid w:val="001F1682"/>
    <w:rsid w:val="001F1852"/>
    <w:rsid w:val="001F1C01"/>
    <w:rsid w:val="001F1CCA"/>
    <w:rsid w:val="001F4E9B"/>
    <w:rsid w:val="001F5516"/>
    <w:rsid w:val="001F7B1C"/>
    <w:rsid w:val="001F7CFB"/>
    <w:rsid w:val="00200479"/>
    <w:rsid w:val="0020112E"/>
    <w:rsid w:val="00206E16"/>
    <w:rsid w:val="00214067"/>
    <w:rsid w:val="0021693C"/>
    <w:rsid w:val="002208DA"/>
    <w:rsid w:val="002233BB"/>
    <w:rsid w:val="0022396C"/>
    <w:rsid w:val="00223CC0"/>
    <w:rsid w:val="00224FA2"/>
    <w:rsid w:val="00230451"/>
    <w:rsid w:val="002310D7"/>
    <w:rsid w:val="002310EF"/>
    <w:rsid w:val="002353C9"/>
    <w:rsid w:val="00237332"/>
    <w:rsid w:val="0023792B"/>
    <w:rsid w:val="00241525"/>
    <w:rsid w:val="00241A37"/>
    <w:rsid w:val="002421FA"/>
    <w:rsid w:val="002422DE"/>
    <w:rsid w:val="002469E5"/>
    <w:rsid w:val="00250AD1"/>
    <w:rsid w:val="00253452"/>
    <w:rsid w:val="00253CB5"/>
    <w:rsid w:val="002547FA"/>
    <w:rsid w:val="00255071"/>
    <w:rsid w:val="00255284"/>
    <w:rsid w:val="00256C24"/>
    <w:rsid w:val="00256E77"/>
    <w:rsid w:val="00260A5C"/>
    <w:rsid w:val="0026331D"/>
    <w:rsid w:val="00264C44"/>
    <w:rsid w:val="00264C94"/>
    <w:rsid w:val="002651F1"/>
    <w:rsid w:val="002668D2"/>
    <w:rsid w:val="0026744D"/>
    <w:rsid w:val="00267BB0"/>
    <w:rsid w:val="00270045"/>
    <w:rsid w:val="0027030C"/>
    <w:rsid w:val="00270AF2"/>
    <w:rsid w:val="00272287"/>
    <w:rsid w:val="002772FA"/>
    <w:rsid w:val="0028071D"/>
    <w:rsid w:val="00280932"/>
    <w:rsid w:val="002857C6"/>
    <w:rsid w:val="00286D34"/>
    <w:rsid w:val="0029255F"/>
    <w:rsid w:val="00292F36"/>
    <w:rsid w:val="00294EA9"/>
    <w:rsid w:val="002955A8"/>
    <w:rsid w:val="00295B4B"/>
    <w:rsid w:val="002A1154"/>
    <w:rsid w:val="002A2EB7"/>
    <w:rsid w:val="002A3457"/>
    <w:rsid w:val="002A3C46"/>
    <w:rsid w:val="002A5928"/>
    <w:rsid w:val="002A5F74"/>
    <w:rsid w:val="002A61BB"/>
    <w:rsid w:val="002B0B8D"/>
    <w:rsid w:val="002B2174"/>
    <w:rsid w:val="002B2DDD"/>
    <w:rsid w:val="002B30CD"/>
    <w:rsid w:val="002B5305"/>
    <w:rsid w:val="002B56FC"/>
    <w:rsid w:val="002B6B30"/>
    <w:rsid w:val="002B6CAC"/>
    <w:rsid w:val="002B72D5"/>
    <w:rsid w:val="002C186A"/>
    <w:rsid w:val="002C2DE8"/>
    <w:rsid w:val="002D097A"/>
    <w:rsid w:val="002D0B85"/>
    <w:rsid w:val="002D1074"/>
    <w:rsid w:val="002D1B4F"/>
    <w:rsid w:val="002D36A3"/>
    <w:rsid w:val="002D5824"/>
    <w:rsid w:val="002E19A7"/>
    <w:rsid w:val="002E1A00"/>
    <w:rsid w:val="002E3C50"/>
    <w:rsid w:val="002E4093"/>
    <w:rsid w:val="002E45B8"/>
    <w:rsid w:val="002F07A2"/>
    <w:rsid w:val="002F0E1C"/>
    <w:rsid w:val="002F25F0"/>
    <w:rsid w:val="002F4DC9"/>
    <w:rsid w:val="002F56B9"/>
    <w:rsid w:val="002F677B"/>
    <w:rsid w:val="00300375"/>
    <w:rsid w:val="0030089F"/>
    <w:rsid w:val="0030319A"/>
    <w:rsid w:val="00303F77"/>
    <w:rsid w:val="003058FB"/>
    <w:rsid w:val="003076D8"/>
    <w:rsid w:val="003137D5"/>
    <w:rsid w:val="00313E56"/>
    <w:rsid w:val="003165C0"/>
    <w:rsid w:val="00317579"/>
    <w:rsid w:val="00317CA7"/>
    <w:rsid w:val="003208B9"/>
    <w:rsid w:val="003228CE"/>
    <w:rsid w:val="00323A04"/>
    <w:rsid w:val="00326A4F"/>
    <w:rsid w:val="00326F78"/>
    <w:rsid w:val="0032794C"/>
    <w:rsid w:val="00330898"/>
    <w:rsid w:val="0033507B"/>
    <w:rsid w:val="003351C1"/>
    <w:rsid w:val="00337926"/>
    <w:rsid w:val="0034778A"/>
    <w:rsid w:val="00350DDD"/>
    <w:rsid w:val="003514D9"/>
    <w:rsid w:val="00352B05"/>
    <w:rsid w:val="00354350"/>
    <w:rsid w:val="00355EB3"/>
    <w:rsid w:val="0035768E"/>
    <w:rsid w:val="003664F9"/>
    <w:rsid w:val="00367C54"/>
    <w:rsid w:val="003731BB"/>
    <w:rsid w:val="00374EDE"/>
    <w:rsid w:val="003755AB"/>
    <w:rsid w:val="00375DA1"/>
    <w:rsid w:val="00376274"/>
    <w:rsid w:val="00377105"/>
    <w:rsid w:val="003771DF"/>
    <w:rsid w:val="003802F4"/>
    <w:rsid w:val="0038052F"/>
    <w:rsid w:val="00381890"/>
    <w:rsid w:val="00383254"/>
    <w:rsid w:val="0038570A"/>
    <w:rsid w:val="00391291"/>
    <w:rsid w:val="00395792"/>
    <w:rsid w:val="00396A71"/>
    <w:rsid w:val="003A0B0A"/>
    <w:rsid w:val="003A1525"/>
    <w:rsid w:val="003A2AB9"/>
    <w:rsid w:val="003A452B"/>
    <w:rsid w:val="003A702E"/>
    <w:rsid w:val="003B5C44"/>
    <w:rsid w:val="003B6430"/>
    <w:rsid w:val="003B7CA9"/>
    <w:rsid w:val="003C6F77"/>
    <w:rsid w:val="003D0EB7"/>
    <w:rsid w:val="003D2E08"/>
    <w:rsid w:val="003D4983"/>
    <w:rsid w:val="003D5851"/>
    <w:rsid w:val="003D663A"/>
    <w:rsid w:val="003D7F65"/>
    <w:rsid w:val="003E2282"/>
    <w:rsid w:val="003E637F"/>
    <w:rsid w:val="003E6E69"/>
    <w:rsid w:val="003E70C5"/>
    <w:rsid w:val="003E736E"/>
    <w:rsid w:val="003F0C9F"/>
    <w:rsid w:val="003F223F"/>
    <w:rsid w:val="003F22D5"/>
    <w:rsid w:val="00401114"/>
    <w:rsid w:val="0040393D"/>
    <w:rsid w:val="00407020"/>
    <w:rsid w:val="004105DE"/>
    <w:rsid w:val="00410E3A"/>
    <w:rsid w:val="00411906"/>
    <w:rsid w:val="00413B73"/>
    <w:rsid w:val="00414056"/>
    <w:rsid w:val="004146E2"/>
    <w:rsid w:val="00416112"/>
    <w:rsid w:val="00422815"/>
    <w:rsid w:val="00424C60"/>
    <w:rsid w:val="004271B7"/>
    <w:rsid w:val="00431706"/>
    <w:rsid w:val="004322D2"/>
    <w:rsid w:val="004322E6"/>
    <w:rsid w:val="004334F8"/>
    <w:rsid w:val="004343F8"/>
    <w:rsid w:val="00440E41"/>
    <w:rsid w:val="0044160B"/>
    <w:rsid w:val="004454E0"/>
    <w:rsid w:val="00447E47"/>
    <w:rsid w:val="004513E5"/>
    <w:rsid w:val="00457D54"/>
    <w:rsid w:val="004604B1"/>
    <w:rsid w:val="00462388"/>
    <w:rsid w:val="00464D8F"/>
    <w:rsid w:val="00470DE0"/>
    <w:rsid w:val="004710BC"/>
    <w:rsid w:val="00471B70"/>
    <w:rsid w:val="004764D8"/>
    <w:rsid w:val="0048633B"/>
    <w:rsid w:val="00487237"/>
    <w:rsid w:val="004878C7"/>
    <w:rsid w:val="0048791B"/>
    <w:rsid w:val="00490FA6"/>
    <w:rsid w:val="00493F50"/>
    <w:rsid w:val="0049448A"/>
    <w:rsid w:val="0049485A"/>
    <w:rsid w:val="00495807"/>
    <w:rsid w:val="004A0CB9"/>
    <w:rsid w:val="004A480D"/>
    <w:rsid w:val="004A5C18"/>
    <w:rsid w:val="004A614D"/>
    <w:rsid w:val="004B2F3C"/>
    <w:rsid w:val="004B321A"/>
    <w:rsid w:val="004B5F96"/>
    <w:rsid w:val="004B7F5A"/>
    <w:rsid w:val="004C0889"/>
    <w:rsid w:val="004C2DE6"/>
    <w:rsid w:val="004C3A4E"/>
    <w:rsid w:val="004C4F50"/>
    <w:rsid w:val="004C51D0"/>
    <w:rsid w:val="004C5B8B"/>
    <w:rsid w:val="004D25E7"/>
    <w:rsid w:val="004D2A33"/>
    <w:rsid w:val="004E0B03"/>
    <w:rsid w:val="004E3525"/>
    <w:rsid w:val="004E3739"/>
    <w:rsid w:val="004E7C2B"/>
    <w:rsid w:val="004F2657"/>
    <w:rsid w:val="004F44D9"/>
    <w:rsid w:val="004F5E26"/>
    <w:rsid w:val="00500AA9"/>
    <w:rsid w:val="00501015"/>
    <w:rsid w:val="0050132C"/>
    <w:rsid w:val="00501CCA"/>
    <w:rsid w:val="005025F1"/>
    <w:rsid w:val="005038A8"/>
    <w:rsid w:val="0050478E"/>
    <w:rsid w:val="00505A7E"/>
    <w:rsid w:val="005063AB"/>
    <w:rsid w:val="00506571"/>
    <w:rsid w:val="005069E7"/>
    <w:rsid w:val="00512F5B"/>
    <w:rsid w:val="00513BF2"/>
    <w:rsid w:val="00517491"/>
    <w:rsid w:val="0052093B"/>
    <w:rsid w:val="005224C5"/>
    <w:rsid w:val="00524285"/>
    <w:rsid w:val="0052457B"/>
    <w:rsid w:val="005246C8"/>
    <w:rsid w:val="00524887"/>
    <w:rsid w:val="00525CB3"/>
    <w:rsid w:val="005261DD"/>
    <w:rsid w:val="00530A8D"/>
    <w:rsid w:val="00530BEC"/>
    <w:rsid w:val="00532A1A"/>
    <w:rsid w:val="005337F9"/>
    <w:rsid w:val="00534B79"/>
    <w:rsid w:val="00536830"/>
    <w:rsid w:val="00541CC3"/>
    <w:rsid w:val="00542175"/>
    <w:rsid w:val="0054236A"/>
    <w:rsid w:val="0054325E"/>
    <w:rsid w:val="00544943"/>
    <w:rsid w:val="0054642F"/>
    <w:rsid w:val="00553AC1"/>
    <w:rsid w:val="00555E21"/>
    <w:rsid w:val="00561200"/>
    <w:rsid w:val="00563E9F"/>
    <w:rsid w:val="00570568"/>
    <w:rsid w:val="00574A82"/>
    <w:rsid w:val="00575AAC"/>
    <w:rsid w:val="005810A9"/>
    <w:rsid w:val="005813F4"/>
    <w:rsid w:val="005819F3"/>
    <w:rsid w:val="00581B65"/>
    <w:rsid w:val="00583ADA"/>
    <w:rsid w:val="005926E5"/>
    <w:rsid w:val="00592C49"/>
    <w:rsid w:val="005A0D94"/>
    <w:rsid w:val="005A1058"/>
    <w:rsid w:val="005A4D55"/>
    <w:rsid w:val="005A69DC"/>
    <w:rsid w:val="005A7B88"/>
    <w:rsid w:val="005B19DC"/>
    <w:rsid w:val="005B3AF1"/>
    <w:rsid w:val="005B3BEB"/>
    <w:rsid w:val="005B5AAA"/>
    <w:rsid w:val="005B69C5"/>
    <w:rsid w:val="005B6AD5"/>
    <w:rsid w:val="005B6B1B"/>
    <w:rsid w:val="005B71C6"/>
    <w:rsid w:val="005B74E6"/>
    <w:rsid w:val="005B7938"/>
    <w:rsid w:val="005C1A43"/>
    <w:rsid w:val="005C20EC"/>
    <w:rsid w:val="005C24E7"/>
    <w:rsid w:val="005C5F17"/>
    <w:rsid w:val="005C7514"/>
    <w:rsid w:val="005D0830"/>
    <w:rsid w:val="005D0EA1"/>
    <w:rsid w:val="005D14AF"/>
    <w:rsid w:val="005D1872"/>
    <w:rsid w:val="005D3AED"/>
    <w:rsid w:val="005D4D88"/>
    <w:rsid w:val="005D584E"/>
    <w:rsid w:val="005D6960"/>
    <w:rsid w:val="005D7223"/>
    <w:rsid w:val="005D752E"/>
    <w:rsid w:val="005E02E7"/>
    <w:rsid w:val="005E0BFB"/>
    <w:rsid w:val="005E6222"/>
    <w:rsid w:val="005E697D"/>
    <w:rsid w:val="005F1D3C"/>
    <w:rsid w:val="0060028F"/>
    <w:rsid w:val="006018D2"/>
    <w:rsid w:val="0060198C"/>
    <w:rsid w:val="0060522C"/>
    <w:rsid w:val="00605ABB"/>
    <w:rsid w:val="00610171"/>
    <w:rsid w:val="00610437"/>
    <w:rsid w:val="00610579"/>
    <w:rsid w:val="00611C22"/>
    <w:rsid w:val="00612227"/>
    <w:rsid w:val="0061401C"/>
    <w:rsid w:val="00620294"/>
    <w:rsid w:val="00621433"/>
    <w:rsid w:val="00622B10"/>
    <w:rsid w:val="0062358A"/>
    <w:rsid w:val="00630D61"/>
    <w:rsid w:val="00632034"/>
    <w:rsid w:val="00632270"/>
    <w:rsid w:val="00634C24"/>
    <w:rsid w:val="00636344"/>
    <w:rsid w:val="00640B9A"/>
    <w:rsid w:val="00642493"/>
    <w:rsid w:val="00644624"/>
    <w:rsid w:val="00645CA0"/>
    <w:rsid w:val="00646ABA"/>
    <w:rsid w:val="00647C3E"/>
    <w:rsid w:val="0065389A"/>
    <w:rsid w:val="00654780"/>
    <w:rsid w:val="00654A65"/>
    <w:rsid w:val="006565E7"/>
    <w:rsid w:val="0065676D"/>
    <w:rsid w:val="006579B8"/>
    <w:rsid w:val="006619FE"/>
    <w:rsid w:val="0066532B"/>
    <w:rsid w:val="00670580"/>
    <w:rsid w:val="006714D7"/>
    <w:rsid w:val="00671B49"/>
    <w:rsid w:val="006724FB"/>
    <w:rsid w:val="0067402C"/>
    <w:rsid w:val="00674A38"/>
    <w:rsid w:val="00675071"/>
    <w:rsid w:val="00676D69"/>
    <w:rsid w:val="006774DE"/>
    <w:rsid w:val="00680FAA"/>
    <w:rsid w:val="006831AA"/>
    <w:rsid w:val="00686AA5"/>
    <w:rsid w:val="00686E5A"/>
    <w:rsid w:val="006913E9"/>
    <w:rsid w:val="006934AA"/>
    <w:rsid w:val="006946DC"/>
    <w:rsid w:val="00697726"/>
    <w:rsid w:val="006A06DB"/>
    <w:rsid w:val="006A1B3F"/>
    <w:rsid w:val="006A26CD"/>
    <w:rsid w:val="006A6A57"/>
    <w:rsid w:val="006B1270"/>
    <w:rsid w:val="006B1981"/>
    <w:rsid w:val="006B24F2"/>
    <w:rsid w:val="006B64CC"/>
    <w:rsid w:val="006C23C0"/>
    <w:rsid w:val="006C7D8F"/>
    <w:rsid w:val="006D30F4"/>
    <w:rsid w:val="006D4F7C"/>
    <w:rsid w:val="006D7B16"/>
    <w:rsid w:val="006E1B5B"/>
    <w:rsid w:val="006E3A22"/>
    <w:rsid w:val="006E52F6"/>
    <w:rsid w:val="006E57E1"/>
    <w:rsid w:val="006E626E"/>
    <w:rsid w:val="006E6556"/>
    <w:rsid w:val="006E65EB"/>
    <w:rsid w:val="006F2B04"/>
    <w:rsid w:val="00700E53"/>
    <w:rsid w:val="007104EF"/>
    <w:rsid w:val="00712087"/>
    <w:rsid w:val="007130DA"/>
    <w:rsid w:val="007141C2"/>
    <w:rsid w:val="00717F52"/>
    <w:rsid w:val="0072168B"/>
    <w:rsid w:val="0072205A"/>
    <w:rsid w:val="00722097"/>
    <w:rsid w:val="0072274A"/>
    <w:rsid w:val="0072372A"/>
    <w:rsid w:val="00731729"/>
    <w:rsid w:val="00734C0C"/>
    <w:rsid w:val="0074164A"/>
    <w:rsid w:val="0074290A"/>
    <w:rsid w:val="00747118"/>
    <w:rsid w:val="00747E69"/>
    <w:rsid w:val="00757145"/>
    <w:rsid w:val="00757902"/>
    <w:rsid w:val="00761F24"/>
    <w:rsid w:val="007642CB"/>
    <w:rsid w:val="00764F90"/>
    <w:rsid w:val="0076682E"/>
    <w:rsid w:val="0076726C"/>
    <w:rsid w:val="00770A06"/>
    <w:rsid w:val="007773CD"/>
    <w:rsid w:val="007814D6"/>
    <w:rsid w:val="007835AB"/>
    <w:rsid w:val="00785E83"/>
    <w:rsid w:val="007869D5"/>
    <w:rsid w:val="0079036C"/>
    <w:rsid w:val="0079074D"/>
    <w:rsid w:val="007920DF"/>
    <w:rsid w:val="007926EC"/>
    <w:rsid w:val="00792FF1"/>
    <w:rsid w:val="00793351"/>
    <w:rsid w:val="00793D6F"/>
    <w:rsid w:val="00794133"/>
    <w:rsid w:val="00795DDD"/>
    <w:rsid w:val="00796D94"/>
    <w:rsid w:val="0079774C"/>
    <w:rsid w:val="007A026A"/>
    <w:rsid w:val="007A03AC"/>
    <w:rsid w:val="007A0402"/>
    <w:rsid w:val="007A0893"/>
    <w:rsid w:val="007A1D13"/>
    <w:rsid w:val="007A504E"/>
    <w:rsid w:val="007A52F9"/>
    <w:rsid w:val="007A7677"/>
    <w:rsid w:val="007B336E"/>
    <w:rsid w:val="007B36F7"/>
    <w:rsid w:val="007B4A77"/>
    <w:rsid w:val="007C036D"/>
    <w:rsid w:val="007C219D"/>
    <w:rsid w:val="007C460D"/>
    <w:rsid w:val="007C500D"/>
    <w:rsid w:val="007C6805"/>
    <w:rsid w:val="007C7F1C"/>
    <w:rsid w:val="007D155F"/>
    <w:rsid w:val="007D3AE2"/>
    <w:rsid w:val="007D3E85"/>
    <w:rsid w:val="007D5C25"/>
    <w:rsid w:val="007D5DEC"/>
    <w:rsid w:val="007D7482"/>
    <w:rsid w:val="007D7AB9"/>
    <w:rsid w:val="007D7DEF"/>
    <w:rsid w:val="007E112D"/>
    <w:rsid w:val="007E2D7B"/>
    <w:rsid w:val="007E5ADC"/>
    <w:rsid w:val="007F1130"/>
    <w:rsid w:val="007F30B8"/>
    <w:rsid w:val="007F4882"/>
    <w:rsid w:val="007F5CFE"/>
    <w:rsid w:val="0080042F"/>
    <w:rsid w:val="00802F93"/>
    <w:rsid w:val="00804117"/>
    <w:rsid w:val="008042CA"/>
    <w:rsid w:val="008043C3"/>
    <w:rsid w:val="00806AA5"/>
    <w:rsid w:val="00807C52"/>
    <w:rsid w:val="00810CC1"/>
    <w:rsid w:val="00813D87"/>
    <w:rsid w:val="00814245"/>
    <w:rsid w:val="008166F8"/>
    <w:rsid w:val="00817112"/>
    <w:rsid w:val="008177C6"/>
    <w:rsid w:val="008177F4"/>
    <w:rsid w:val="008224EB"/>
    <w:rsid w:val="0082387E"/>
    <w:rsid w:val="0082502B"/>
    <w:rsid w:val="00826454"/>
    <w:rsid w:val="00831067"/>
    <w:rsid w:val="0083248E"/>
    <w:rsid w:val="0083544F"/>
    <w:rsid w:val="008358B6"/>
    <w:rsid w:val="00835DFF"/>
    <w:rsid w:val="00835F6D"/>
    <w:rsid w:val="00836BBF"/>
    <w:rsid w:val="0084025A"/>
    <w:rsid w:val="00840CE2"/>
    <w:rsid w:val="00844FAE"/>
    <w:rsid w:val="008476E8"/>
    <w:rsid w:val="0085106F"/>
    <w:rsid w:val="00852E07"/>
    <w:rsid w:val="00852F8E"/>
    <w:rsid w:val="00853245"/>
    <w:rsid w:val="008538B4"/>
    <w:rsid w:val="00853F0F"/>
    <w:rsid w:val="0085462A"/>
    <w:rsid w:val="008566D2"/>
    <w:rsid w:val="00856AA4"/>
    <w:rsid w:val="0085797B"/>
    <w:rsid w:val="00863088"/>
    <w:rsid w:val="00863834"/>
    <w:rsid w:val="00882608"/>
    <w:rsid w:val="00883725"/>
    <w:rsid w:val="0088438F"/>
    <w:rsid w:val="00885DB7"/>
    <w:rsid w:val="0088745B"/>
    <w:rsid w:val="00887D19"/>
    <w:rsid w:val="0089254A"/>
    <w:rsid w:val="008A3057"/>
    <w:rsid w:val="008A33D2"/>
    <w:rsid w:val="008A705C"/>
    <w:rsid w:val="008A7627"/>
    <w:rsid w:val="008B22AD"/>
    <w:rsid w:val="008B7560"/>
    <w:rsid w:val="008B7F92"/>
    <w:rsid w:val="008C28AC"/>
    <w:rsid w:val="008C540D"/>
    <w:rsid w:val="008C63A5"/>
    <w:rsid w:val="008C6B34"/>
    <w:rsid w:val="008C71A7"/>
    <w:rsid w:val="008C7F5A"/>
    <w:rsid w:val="008D1B97"/>
    <w:rsid w:val="008D2054"/>
    <w:rsid w:val="008D42D1"/>
    <w:rsid w:val="008D43A4"/>
    <w:rsid w:val="008D4C89"/>
    <w:rsid w:val="008D5CFC"/>
    <w:rsid w:val="008E0A66"/>
    <w:rsid w:val="008E1CA7"/>
    <w:rsid w:val="008E2EFE"/>
    <w:rsid w:val="008E331B"/>
    <w:rsid w:val="008E3990"/>
    <w:rsid w:val="008E4A2A"/>
    <w:rsid w:val="008E4DC5"/>
    <w:rsid w:val="008E68D6"/>
    <w:rsid w:val="008F1686"/>
    <w:rsid w:val="008F29DE"/>
    <w:rsid w:val="008F47C7"/>
    <w:rsid w:val="008F5C12"/>
    <w:rsid w:val="00900183"/>
    <w:rsid w:val="00900CE6"/>
    <w:rsid w:val="00901472"/>
    <w:rsid w:val="009057F3"/>
    <w:rsid w:val="00907E87"/>
    <w:rsid w:val="00911973"/>
    <w:rsid w:val="0091297C"/>
    <w:rsid w:val="00914CFA"/>
    <w:rsid w:val="00916DDB"/>
    <w:rsid w:val="00917597"/>
    <w:rsid w:val="0092556B"/>
    <w:rsid w:val="00925E63"/>
    <w:rsid w:val="0092654D"/>
    <w:rsid w:val="009331E0"/>
    <w:rsid w:val="00934F08"/>
    <w:rsid w:val="00937C15"/>
    <w:rsid w:val="00941292"/>
    <w:rsid w:val="0094149D"/>
    <w:rsid w:val="009416AC"/>
    <w:rsid w:val="00942F94"/>
    <w:rsid w:val="009471F2"/>
    <w:rsid w:val="0094742B"/>
    <w:rsid w:val="00947892"/>
    <w:rsid w:val="009514CB"/>
    <w:rsid w:val="0095294A"/>
    <w:rsid w:val="00954F59"/>
    <w:rsid w:val="00960E14"/>
    <w:rsid w:val="009614F0"/>
    <w:rsid w:val="00962D15"/>
    <w:rsid w:val="009635DD"/>
    <w:rsid w:val="00966A4C"/>
    <w:rsid w:val="009679FF"/>
    <w:rsid w:val="009707ED"/>
    <w:rsid w:val="00970FFA"/>
    <w:rsid w:val="00976ECC"/>
    <w:rsid w:val="009800C3"/>
    <w:rsid w:val="00980D5E"/>
    <w:rsid w:val="0098294B"/>
    <w:rsid w:val="00985041"/>
    <w:rsid w:val="009852A1"/>
    <w:rsid w:val="009862A1"/>
    <w:rsid w:val="00987F36"/>
    <w:rsid w:val="00993384"/>
    <w:rsid w:val="00993B24"/>
    <w:rsid w:val="00993C8E"/>
    <w:rsid w:val="00994525"/>
    <w:rsid w:val="00994555"/>
    <w:rsid w:val="00994FFD"/>
    <w:rsid w:val="00996481"/>
    <w:rsid w:val="0099666D"/>
    <w:rsid w:val="009979D9"/>
    <w:rsid w:val="009A131E"/>
    <w:rsid w:val="009A3787"/>
    <w:rsid w:val="009A4241"/>
    <w:rsid w:val="009A6071"/>
    <w:rsid w:val="009A75D8"/>
    <w:rsid w:val="009B152C"/>
    <w:rsid w:val="009B362A"/>
    <w:rsid w:val="009B3FFB"/>
    <w:rsid w:val="009B73E6"/>
    <w:rsid w:val="009B7CF8"/>
    <w:rsid w:val="009B7EE7"/>
    <w:rsid w:val="009C31B5"/>
    <w:rsid w:val="009C477B"/>
    <w:rsid w:val="009C47B0"/>
    <w:rsid w:val="009C4D92"/>
    <w:rsid w:val="009C67D9"/>
    <w:rsid w:val="009D09DA"/>
    <w:rsid w:val="009D3225"/>
    <w:rsid w:val="009D417D"/>
    <w:rsid w:val="009E027E"/>
    <w:rsid w:val="009E2ED6"/>
    <w:rsid w:val="009E3E7D"/>
    <w:rsid w:val="009E50B9"/>
    <w:rsid w:val="009F4A94"/>
    <w:rsid w:val="009F4FBB"/>
    <w:rsid w:val="009F68A4"/>
    <w:rsid w:val="009F6BBB"/>
    <w:rsid w:val="009F7A5B"/>
    <w:rsid w:val="00A0087A"/>
    <w:rsid w:val="00A04B58"/>
    <w:rsid w:val="00A052F7"/>
    <w:rsid w:val="00A0704A"/>
    <w:rsid w:val="00A105FE"/>
    <w:rsid w:val="00A113AF"/>
    <w:rsid w:val="00A115C5"/>
    <w:rsid w:val="00A17C5B"/>
    <w:rsid w:val="00A2157F"/>
    <w:rsid w:val="00A30F5D"/>
    <w:rsid w:val="00A3412B"/>
    <w:rsid w:val="00A36244"/>
    <w:rsid w:val="00A52159"/>
    <w:rsid w:val="00A539DE"/>
    <w:rsid w:val="00A541A0"/>
    <w:rsid w:val="00A542A0"/>
    <w:rsid w:val="00A543CB"/>
    <w:rsid w:val="00A5732E"/>
    <w:rsid w:val="00A62EB0"/>
    <w:rsid w:val="00A63107"/>
    <w:rsid w:val="00A6356F"/>
    <w:rsid w:val="00A655C4"/>
    <w:rsid w:val="00A6796D"/>
    <w:rsid w:val="00A71144"/>
    <w:rsid w:val="00A72458"/>
    <w:rsid w:val="00A73A92"/>
    <w:rsid w:val="00A75D1B"/>
    <w:rsid w:val="00A8074A"/>
    <w:rsid w:val="00A84810"/>
    <w:rsid w:val="00A90BF9"/>
    <w:rsid w:val="00A929B5"/>
    <w:rsid w:val="00A948BE"/>
    <w:rsid w:val="00A9498F"/>
    <w:rsid w:val="00A95632"/>
    <w:rsid w:val="00AA093E"/>
    <w:rsid w:val="00AA16F8"/>
    <w:rsid w:val="00AA52D7"/>
    <w:rsid w:val="00AA66D3"/>
    <w:rsid w:val="00AB2057"/>
    <w:rsid w:val="00AB7DD0"/>
    <w:rsid w:val="00AB7E16"/>
    <w:rsid w:val="00AC09EE"/>
    <w:rsid w:val="00AC2E67"/>
    <w:rsid w:val="00AC4549"/>
    <w:rsid w:val="00AC5B4A"/>
    <w:rsid w:val="00AD06AB"/>
    <w:rsid w:val="00AD3752"/>
    <w:rsid w:val="00AD434F"/>
    <w:rsid w:val="00AD453E"/>
    <w:rsid w:val="00AD48BB"/>
    <w:rsid w:val="00AD4EDA"/>
    <w:rsid w:val="00AE01D3"/>
    <w:rsid w:val="00AE12FD"/>
    <w:rsid w:val="00AE442B"/>
    <w:rsid w:val="00AE5BF8"/>
    <w:rsid w:val="00AF1D87"/>
    <w:rsid w:val="00AF1EB9"/>
    <w:rsid w:val="00AF343A"/>
    <w:rsid w:val="00AF4480"/>
    <w:rsid w:val="00AF473A"/>
    <w:rsid w:val="00AF6052"/>
    <w:rsid w:val="00AF66D5"/>
    <w:rsid w:val="00B02D45"/>
    <w:rsid w:val="00B04B87"/>
    <w:rsid w:val="00B04F34"/>
    <w:rsid w:val="00B05A53"/>
    <w:rsid w:val="00B066B4"/>
    <w:rsid w:val="00B07800"/>
    <w:rsid w:val="00B07DAA"/>
    <w:rsid w:val="00B1019A"/>
    <w:rsid w:val="00B11893"/>
    <w:rsid w:val="00B13165"/>
    <w:rsid w:val="00B13CCD"/>
    <w:rsid w:val="00B177C5"/>
    <w:rsid w:val="00B20881"/>
    <w:rsid w:val="00B20EC3"/>
    <w:rsid w:val="00B226AD"/>
    <w:rsid w:val="00B24F84"/>
    <w:rsid w:val="00B32F6B"/>
    <w:rsid w:val="00B33939"/>
    <w:rsid w:val="00B34706"/>
    <w:rsid w:val="00B34CBA"/>
    <w:rsid w:val="00B35CA8"/>
    <w:rsid w:val="00B35EFD"/>
    <w:rsid w:val="00B35F99"/>
    <w:rsid w:val="00B410E6"/>
    <w:rsid w:val="00B536F1"/>
    <w:rsid w:val="00B53E40"/>
    <w:rsid w:val="00B5479A"/>
    <w:rsid w:val="00B56530"/>
    <w:rsid w:val="00B5660E"/>
    <w:rsid w:val="00B569F0"/>
    <w:rsid w:val="00B6007F"/>
    <w:rsid w:val="00B605F4"/>
    <w:rsid w:val="00B65657"/>
    <w:rsid w:val="00B66013"/>
    <w:rsid w:val="00B7192E"/>
    <w:rsid w:val="00B74D69"/>
    <w:rsid w:val="00B80753"/>
    <w:rsid w:val="00B81DDC"/>
    <w:rsid w:val="00B8540E"/>
    <w:rsid w:val="00B86C9A"/>
    <w:rsid w:val="00B91069"/>
    <w:rsid w:val="00B915E6"/>
    <w:rsid w:val="00B91982"/>
    <w:rsid w:val="00B94EDE"/>
    <w:rsid w:val="00B952AF"/>
    <w:rsid w:val="00BA005C"/>
    <w:rsid w:val="00BA14A4"/>
    <w:rsid w:val="00BA2716"/>
    <w:rsid w:val="00BA2ABE"/>
    <w:rsid w:val="00BA2F3C"/>
    <w:rsid w:val="00BA3663"/>
    <w:rsid w:val="00BA392E"/>
    <w:rsid w:val="00BA4344"/>
    <w:rsid w:val="00BA7CA3"/>
    <w:rsid w:val="00BB0F24"/>
    <w:rsid w:val="00BB18FE"/>
    <w:rsid w:val="00BB2A27"/>
    <w:rsid w:val="00BB74E9"/>
    <w:rsid w:val="00BC277C"/>
    <w:rsid w:val="00BC53A3"/>
    <w:rsid w:val="00BC6516"/>
    <w:rsid w:val="00BD2106"/>
    <w:rsid w:val="00BD4107"/>
    <w:rsid w:val="00BD679C"/>
    <w:rsid w:val="00BE0776"/>
    <w:rsid w:val="00BE3DF2"/>
    <w:rsid w:val="00BE465C"/>
    <w:rsid w:val="00BE5140"/>
    <w:rsid w:val="00BE6BE4"/>
    <w:rsid w:val="00BE7217"/>
    <w:rsid w:val="00BF08F0"/>
    <w:rsid w:val="00BF49BE"/>
    <w:rsid w:val="00C050F5"/>
    <w:rsid w:val="00C0568F"/>
    <w:rsid w:val="00C11A5D"/>
    <w:rsid w:val="00C11EAB"/>
    <w:rsid w:val="00C15984"/>
    <w:rsid w:val="00C1703A"/>
    <w:rsid w:val="00C17FFC"/>
    <w:rsid w:val="00C2027F"/>
    <w:rsid w:val="00C214B3"/>
    <w:rsid w:val="00C22D19"/>
    <w:rsid w:val="00C239AF"/>
    <w:rsid w:val="00C24995"/>
    <w:rsid w:val="00C32A57"/>
    <w:rsid w:val="00C32F42"/>
    <w:rsid w:val="00C35C8B"/>
    <w:rsid w:val="00C41EE2"/>
    <w:rsid w:val="00C4523A"/>
    <w:rsid w:val="00C460EA"/>
    <w:rsid w:val="00C53EC4"/>
    <w:rsid w:val="00C55F26"/>
    <w:rsid w:val="00C5705B"/>
    <w:rsid w:val="00C570A4"/>
    <w:rsid w:val="00C608FE"/>
    <w:rsid w:val="00C60BDD"/>
    <w:rsid w:val="00C628EA"/>
    <w:rsid w:val="00C62B53"/>
    <w:rsid w:val="00C638FB"/>
    <w:rsid w:val="00C65C4E"/>
    <w:rsid w:val="00C71476"/>
    <w:rsid w:val="00C71B2B"/>
    <w:rsid w:val="00C72D6E"/>
    <w:rsid w:val="00C73DF1"/>
    <w:rsid w:val="00C75305"/>
    <w:rsid w:val="00C75DE7"/>
    <w:rsid w:val="00C8069C"/>
    <w:rsid w:val="00C81A6C"/>
    <w:rsid w:val="00C8395E"/>
    <w:rsid w:val="00C84D56"/>
    <w:rsid w:val="00C84F3F"/>
    <w:rsid w:val="00C86C69"/>
    <w:rsid w:val="00C90216"/>
    <w:rsid w:val="00C92D6A"/>
    <w:rsid w:val="00C93731"/>
    <w:rsid w:val="00C95447"/>
    <w:rsid w:val="00C97642"/>
    <w:rsid w:val="00CA0DCB"/>
    <w:rsid w:val="00CA13F2"/>
    <w:rsid w:val="00CA2C41"/>
    <w:rsid w:val="00CA54A4"/>
    <w:rsid w:val="00CB0D62"/>
    <w:rsid w:val="00CB10C2"/>
    <w:rsid w:val="00CB2163"/>
    <w:rsid w:val="00CB59DB"/>
    <w:rsid w:val="00CB72F3"/>
    <w:rsid w:val="00CC1E79"/>
    <w:rsid w:val="00CC5B10"/>
    <w:rsid w:val="00CC5CA3"/>
    <w:rsid w:val="00CC5E50"/>
    <w:rsid w:val="00CC623D"/>
    <w:rsid w:val="00CC6DB3"/>
    <w:rsid w:val="00CD102F"/>
    <w:rsid w:val="00CD16DC"/>
    <w:rsid w:val="00CD204C"/>
    <w:rsid w:val="00CD31AB"/>
    <w:rsid w:val="00CD3459"/>
    <w:rsid w:val="00CD7D67"/>
    <w:rsid w:val="00CE2EDF"/>
    <w:rsid w:val="00CE38A3"/>
    <w:rsid w:val="00CE3D0D"/>
    <w:rsid w:val="00CE55BF"/>
    <w:rsid w:val="00CF118B"/>
    <w:rsid w:val="00CF2F3E"/>
    <w:rsid w:val="00CF51EB"/>
    <w:rsid w:val="00CF6F5B"/>
    <w:rsid w:val="00CF7680"/>
    <w:rsid w:val="00CF78A8"/>
    <w:rsid w:val="00D028E2"/>
    <w:rsid w:val="00D04E18"/>
    <w:rsid w:val="00D0509A"/>
    <w:rsid w:val="00D116B2"/>
    <w:rsid w:val="00D119D3"/>
    <w:rsid w:val="00D11C9E"/>
    <w:rsid w:val="00D12479"/>
    <w:rsid w:val="00D1335D"/>
    <w:rsid w:val="00D15037"/>
    <w:rsid w:val="00D157D2"/>
    <w:rsid w:val="00D16006"/>
    <w:rsid w:val="00D164E3"/>
    <w:rsid w:val="00D17C30"/>
    <w:rsid w:val="00D23309"/>
    <w:rsid w:val="00D2343B"/>
    <w:rsid w:val="00D2344C"/>
    <w:rsid w:val="00D2433D"/>
    <w:rsid w:val="00D251EF"/>
    <w:rsid w:val="00D25FFD"/>
    <w:rsid w:val="00D32A1E"/>
    <w:rsid w:val="00D33137"/>
    <w:rsid w:val="00D33DB2"/>
    <w:rsid w:val="00D35C38"/>
    <w:rsid w:val="00D4018D"/>
    <w:rsid w:val="00D42313"/>
    <w:rsid w:val="00D438D5"/>
    <w:rsid w:val="00D43907"/>
    <w:rsid w:val="00D4716D"/>
    <w:rsid w:val="00D47F03"/>
    <w:rsid w:val="00D503FE"/>
    <w:rsid w:val="00D51413"/>
    <w:rsid w:val="00D5392F"/>
    <w:rsid w:val="00D633D3"/>
    <w:rsid w:val="00D64655"/>
    <w:rsid w:val="00D67FD3"/>
    <w:rsid w:val="00D70749"/>
    <w:rsid w:val="00D70A18"/>
    <w:rsid w:val="00D71E92"/>
    <w:rsid w:val="00D75483"/>
    <w:rsid w:val="00D76385"/>
    <w:rsid w:val="00D77B17"/>
    <w:rsid w:val="00D77D92"/>
    <w:rsid w:val="00D822B3"/>
    <w:rsid w:val="00D82F32"/>
    <w:rsid w:val="00D87C60"/>
    <w:rsid w:val="00D93862"/>
    <w:rsid w:val="00D93BF5"/>
    <w:rsid w:val="00D957F7"/>
    <w:rsid w:val="00D96F30"/>
    <w:rsid w:val="00D97E15"/>
    <w:rsid w:val="00DA189F"/>
    <w:rsid w:val="00DA49CD"/>
    <w:rsid w:val="00DA4F0A"/>
    <w:rsid w:val="00DB04E4"/>
    <w:rsid w:val="00DB1605"/>
    <w:rsid w:val="00DB2426"/>
    <w:rsid w:val="00DB249E"/>
    <w:rsid w:val="00DB2843"/>
    <w:rsid w:val="00DB2F2C"/>
    <w:rsid w:val="00DB36E5"/>
    <w:rsid w:val="00DB41BC"/>
    <w:rsid w:val="00DB5D3B"/>
    <w:rsid w:val="00DB7EBD"/>
    <w:rsid w:val="00DC09D6"/>
    <w:rsid w:val="00DC1947"/>
    <w:rsid w:val="00DC624C"/>
    <w:rsid w:val="00DD0B2A"/>
    <w:rsid w:val="00DD2944"/>
    <w:rsid w:val="00DD6200"/>
    <w:rsid w:val="00DD692D"/>
    <w:rsid w:val="00DD6F74"/>
    <w:rsid w:val="00DD6FFE"/>
    <w:rsid w:val="00DD76DE"/>
    <w:rsid w:val="00DD7F88"/>
    <w:rsid w:val="00DE0836"/>
    <w:rsid w:val="00DE4D10"/>
    <w:rsid w:val="00DE501C"/>
    <w:rsid w:val="00DE5962"/>
    <w:rsid w:val="00DF1E4E"/>
    <w:rsid w:val="00DF42E6"/>
    <w:rsid w:val="00DF5C58"/>
    <w:rsid w:val="00E055EB"/>
    <w:rsid w:val="00E07763"/>
    <w:rsid w:val="00E1128B"/>
    <w:rsid w:val="00E1546F"/>
    <w:rsid w:val="00E16170"/>
    <w:rsid w:val="00E17A62"/>
    <w:rsid w:val="00E17E82"/>
    <w:rsid w:val="00E2030A"/>
    <w:rsid w:val="00E20CBF"/>
    <w:rsid w:val="00E25ADD"/>
    <w:rsid w:val="00E26D86"/>
    <w:rsid w:val="00E30FF3"/>
    <w:rsid w:val="00E33F1D"/>
    <w:rsid w:val="00E369DA"/>
    <w:rsid w:val="00E40597"/>
    <w:rsid w:val="00E40E6A"/>
    <w:rsid w:val="00E415C3"/>
    <w:rsid w:val="00E4418F"/>
    <w:rsid w:val="00E458AF"/>
    <w:rsid w:val="00E4662C"/>
    <w:rsid w:val="00E4668E"/>
    <w:rsid w:val="00E47818"/>
    <w:rsid w:val="00E503FE"/>
    <w:rsid w:val="00E50F09"/>
    <w:rsid w:val="00E53107"/>
    <w:rsid w:val="00E53A1D"/>
    <w:rsid w:val="00E62085"/>
    <w:rsid w:val="00E6263B"/>
    <w:rsid w:val="00E65F6C"/>
    <w:rsid w:val="00E6624C"/>
    <w:rsid w:val="00E6722C"/>
    <w:rsid w:val="00E672C2"/>
    <w:rsid w:val="00E67AC9"/>
    <w:rsid w:val="00E7143C"/>
    <w:rsid w:val="00E723FA"/>
    <w:rsid w:val="00E77576"/>
    <w:rsid w:val="00E85201"/>
    <w:rsid w:val="00E8584C"/>
    <w:rsid w:val="00E877D4"/>
    <w:rsid w:val="00E87A67"/>
    <w:rsid w:val="00E906B3"/>
    <w:rsid w:val="00E96510"/>
    <w:rsid w:val="00E965E7"/>
    <w:rsid w:val="00E97B77"/>
    <w:rsid w:val="00EA11C3"/>
    <w:rsid w:val="00EA1CF3"/>
    <w:rsid w:val="00EA43AB"/>
    <w:rsid w:val="00EA7563"/>
    <w:rsid w:val="00EA7B9E"/>
    <w:rsid w:val="00EB383B"/>
    <w:rsid w:val="00EC19A0"/>
    <w:rsid w:val="00EC413A"/>
    <w:rsid w:val="00EC5BED"/>
    <w:rsid w:val="00EC61DA"/>
    <w:rsid w:val="00EC674A"/>
    <w:rsid w:val="00ED054E"/>
    <w:rsid w:val="00ED0C92"/>
    <w:rsid w:val="00ED1448"/>
    <w:rsid w:val="00ED198F"/>
    <w:rsid w:val="00ED28D2"/>
    <w:rsid w:val="00ED2F06"/>
    <w:rsid w:val="00ED3720"/>
    <w:rsid w:val="00ED44DE"/>
    <w:rsid w:val="00ED44E5"/>
    <w:rsid w:val="00EE0147"/>
    <w:rsid w:val="00EE235D"/>
    <w:rsid w:val="00EE2BF4"/>
    <w:rsid w:val="00EE3D64"/>
    <w:rsid w:val="00EE4F07"/>
    <w:rsid w:val="00EE567C"/>
    <w:rsid w:val="00EE5756"/>
    <w:rsid w:val="00EE74A5"/>
    <w:rsid w:val="00EF0147"/>
    <w:rsid w:val="00EF0CAD"/>
    <w:rsid w:val="00EF161E"/>
    <w:rsid w:val="00EF1A1F"/>
    <w:rsid w:val="00EF2838"/>
    <w:rsid w:val="00EF2F0E"/>
    <w:rsid w:val="00F02A23"/>
    <w:rsid w:val="00F03735"/>
    <w:rsid w:val="00F03958"/>
    <w:rsid w:val="00F05F54"/>
    <w:rsid w:val="00F16F5C"/>
    <w:rsid w:val="00F24435"/>
    <w:rsid w:val="00F244D4"/>
    <w:rsid w:val="00F24883"/>
    <w:rsid w:val="00F325C0"/>
    <w:rsid w:val="00F32E5B"/>
    <w:rsid w:val="00F32FEA"/>
    <w:rsid w:val="00F33B00"/>
    <w:rsid w:val="00F35279"/>
    <w:rsid w:val="00F355B1"/>
    <w:rsid w:val="00F35674"/>
    <w:rsid w:val="00F36C5C"/>
    <w:rsid w:val="00F41FB6"/>
    <w:rsid w:val="00F42F99"/>
    <w:rsid w:val="00F4602D"/>
    <w:rsid w:val="00F50173"/>
    <w:rsid w:val="00F50A86"/>
    <w:rsid w:val="00F5376A"/>
    <w:rsid w:val="00F56A4E"/>
    <w:rsid w:val="00F56A7D"/>
    <w:rsid w:val="00F56DA0"/>
    <w:rsid w:val="00F611BE"/>
    <w:rsid w:val="00F61F78"/>
    <w:rsid w:val="00F64E24"/>
    <w:rsid w:val="00F66E02"/>
    <w:rsid w:val="00F670C5"/>
    <w:rsid w:val="00F70BE7"/>
    <w:rsid w:val="00F70C3D"/>
    <w:rsid w:val="00F72D2D"/>
    <w:rsid w:val="00F731EE"/>
    <w:rsid w:val="00F7416F"/>
    <w:rsid w:val="00F74792"/>
    <w:rsid w:val="00F76C0E"/>
    <w:rsid w:val="00F8122A"/>
    <w:rsid w:val="00F87135"/>
    <w:rsid w:val="00F90D46"/>
    <w:rsid w:val="00F93B56"/>
    <w:rsid w:val="00F93EC9"/>
    <w:rsid w:val="00F96B2F"/>
    <w:rsid w:val="00FA44DD"/>
    <w:rsid w:val="00FA4704"/>
    <w:rsid w:val="00FB1605"/>
    <w:rsid w:val="00FB1D63"/>
    <w:rsid w:val="00FB2CE9"/>
    <w:rsid w:val="00FB5AF6"/>
    <w:rsid w:val="00FB6463"/>
    <w:rsid w:val="00FB6992"/>
    <w:rsid w:val="00FB6B15"/>
    <w:rsid w:val="00FB6C23"/>
    <w:rsid w:val="00FB7A81"/>
    <w:rsid w:val="00FC1725"/>
    <w:rsid w:val="00FC29E3"/>
    <w:rsid w:val="00FC34FB"/>
    <w:rsid w:val="00FC591B"/>
    <w:rsid w:val="00FC5E59"/>
    <w:rsid w:val="00FC69E9"/>
    <w:rsid w:val="00FC6AFA"/>
    <w:rsid w:val="00FC6D72"/>
    <w:rsid w:val="00FD022C"/>
    <w:rsid w:val="00FD1666"/>
    <w:rsid w:val="00FD1ADC"/>
    <w:rsid w:val="00FD368E"/>
    <w:rsid w:val="00FD7516"/>
    <w:rsid w:val="00FE0A14"/>
    <w:rsid w:val="00FE1FA9"/>
    <w:rsid w:val="00FE35B8"/>
    <w:rsid w:val="00FE3F59"/>
    <w:rsid w:val="00FE45A1"/>
    <w:rsid w:val="00FE5CC6"/>
    <w:rsid w:val="00FF09E2"/>
    <w:rsid w:val="00FF7C76"/>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953CD5"/>
  <w15:docId w15:val="{DD227164-149A-46DB-B074-40964C7DC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CC5"/>
    <w:rPr>
      <w:rFonts w:cs="Arial"/>
    </w:rPr>
  </w:style>
  <w:style w:type="paragraph" w:styleId="Heading1">
    <w:name w:val="heading 1"/>
    <w:basedOn w:val="Normal"/>
    <w:next w:val="Normal"/>
    <w:link w:val="Heading1Char"/>
    <w:qFormat/>
    <w:rsid w:val="006E3A22"/>
    <w:pPr>
      <w:keepNext/>
      <w:keepLines/>
      <w:spacing w:before="480" w:after="0" w:line="276" w:lineRule="auto"/>
      <w:outlineLvl w:val="0"/>
    </w:pPr>
    <w:rPr>
      <w:rFonts w:asciiTheme="majorHAnsi" w:eastAsiaTheme="majorEastAsia" w:hAnsiTheme="majorHAnsi" w:cs="Times New Roman"/>
      <w:b/>
      <w:bCs/>
      <w:color w:val="2E74B5"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E3A22"/>
    <w:rPr>
      <w:rFonts w:asciiTheme="majorHAnsi" w:eastAsiaTheme="majorEastAsia" w:hAnsiTheme="majorHAnsi" w:cs="Times New Roman"/>
      <w:b/>
      <w:bCs/>
      <w:color w:val="2E74B5" w:themeColor="accent1" w:themeShade="BF"/>
      <w:sz w:val="28"/>
      <w:szCs w:val="28"/>
    </w:rPr>
  </w:style>
  <w:style w:type="paragraph" w:styleId="Header">
    <w:name w:val="header"/>
    <w:basedOn w:val="Normal"/>
    <w:link w:val="HeaderChar"/>
    <w:uiPriority w:val="99"/>
    <w:unhideWhenUsed/>
    <w:rsid w:val="00BC651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C6516"/>
    <w:rPr>
      <w:rFonts w:cs="Times New Roman"/>
    </w:rPr>
  </w:style>
  <w:style w:type="paragraph" w:styleId="Footer">
    <w:name w:val="footer"/>
    <w:basedOn w:val="Normal"/>
    <w:link w:val="FooterChar"/>
    <w:uiPriority w:val="99"/>
    <w:unhideWhenUsed/>
    <w:rsid w:val="00BC651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C6516"/>
    <w:rPr>
      <w:rFonts w:cs="Times New Roman"/>
    </w:rPr>
  </w:style>
  <w:style w:type="paragraph" w:styleId="BodyText">
    <w:name w:val="Body Text"/>
    <w:basedOn w:val="Normal"/>
    <w:link w:val="BodyTextChar"/>
    <w:uiPriority w:val="99"/>
    <w:rsid w:val="00A6796D"/>
    <w:pPr>
      <w:spacing w:after="0" w:line="480" w:lineRule="auto"/>
      <w:jc w:val="both"/>
    </w:pPr>
    <w:rPr>
      <w:rFonts w:ascii="Times New Roman" w:hAnsi="Times New Roman" w:cs="Times New Roman"/>
      <w:sz w:val="24"/>
      <w:szCs w:val="20"/>
    </w:rPr>
  </w:style>
  <w:style w:type="character" w:customStyle="1" w:styleId="BodyTextChar">
    <w:name w:val="Body Text Char"/>
    <w:basedOn w:val="DefaultParagraphFont"/>
    <w:link w:val="BodyText"/>
    <w:uiPriority w:val="99"/>
    <w:locked/>
    <w:rsid w:val="00A6796D"/>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4F26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F2657"/>
    <w:rPr>
      <w:rFonts w:ascii="Segoe UI" w:hAnsi="Segoe UI" w:cs="Segoe UI"/>
      <w:sz w:val="18"/>
      <w:szCs w:val="18"/>
    </w:rPr>
  </w:style>
  <w:style w:type="character" w:styleId="Hyperlink">
    <w:name w:val="Hyperlink"/>
    <w:basedOn w:val="DefaultParagraphFont"/>
    <w:unhideWhenUsed/>
    <w:rsid w:val="008A7627"/>
    <w:rPr>
      <w:rFonts w:cs="Times New Roman"/>
      <w:color w:val="0563C1" w:themeColor="hyperlink"/>
      <w:u w:val="single"/>
    </w:rPr>
  </w:style>
  <w:style w:type="character" w:customStyle="1" w:styleId="apple-converted-space">
    <w:name w:val="apple-converted-space"/>
    <w:basedOn w:val="DefaultParagraphFont"/>
    <w:rsid w:val="00814245"/>
    <w:rPr>
      <w:rFonts w:cs="Times New Roman"/>
    </w:rPr>
  </w:style>
  <w:style w:type="paragraph" w:styleId="ListParagraph">
    <w:name w:val="List Paragraph"/>
    <w:basedOn w:val="Normal"/>
    <w:uiPriority w:val="99"/>
    <w:qFormat/>
    <w:rsid w:val="009471F2"/>
    <w:pPr>
      <w:ind w:left="720"/>
      <w:contextualSpacing/>
    </w:pPr>
  </w:style>
  <w:style w:type="paragraph" w:customStyle="1" w:styleId="2008">
    <w:name w:val="/2008)"/>
    <w:basedOn w:val="Normal"/>
    <w:rsid w:val="00422815"/>
    <w:pPr>
      <w:spacing w:after="0" w:line="240" w:lineRule="auto"/>
    </w:pPr>
    <w:rPr>
      <w:rFonts w:ascii="Times New Roman" w:hAnsi="Times New Roman" w:cs="Times New Roman"/>
      <w:sz w:val="24"/>
      <w:szCs w:val="24"/>
    </w:rPr>
  </w:style>
  <w:style w:type="paragraph" w:styleId="FootnoteText">
    <w:name w:val="footnote text"/>
    <w:basedOn w:val="Normal"/>
    <w:link w:val="FootnoteTextChar"/>
    <w:uiPriority w:val="99"/>
    <w:unhideWhenUsed/>
    <w:rsid w:val="00422815"/>
    <w:pPr>
      <w:spacing w:after="0" w:line="240" w:lineRule="auto"/>
    </w:pPr>
    <w:rPr>
      <w:sz w:val="20"/>
      <w:szCs w:val="20"/>
    </w:rPr>
  </w:style>
  <w:style w:type="character" w:customStyle="1" w:styleId="FootnoteTextChar">
    <w:name w:val="Footnote Text Char"/>
    <w:basedOn w:val="DefaultParagraphFont"/>
    <w:link w:val="FootnoteText"/>
    <w:uiPriority w:val="99"/>
    <w:locked/>
    <w:rsid w:val="00422815"/>
    <w:rPr>
      <w:rFonts w:cs="Arial"/>
      <w:sz w:val="20"/>
      <w:szCs w:val="20"/>
    </w:rPr>
  </w:style>
  <w:style w:type="paragraph" w:customStyle="1" w:styleId="Default">
    <w:name w:val="Default"/>
    <w:rsid w:val="007B4A77"/>
    <w:pPr>
      <w:autoSpaceDE w:val="0"/>
      <w:autoSpaceDN w:val="0"/>
      <w:adjustRightInd w:val="0"/>
      <w:spacing w:after="0" w:line="240" w:lineRule="auto"/>
    </w:pPr>
    <w:rPr>
      <w:rFonts w:ascii="Arial" w:hAnsi="Arial" w:cs="Arial"/>
      <w:color w:val="000000"/>
      <w:sz w:val="24"/>
      <w:szCs w:val="24"/>
    </w:rPr>
  </w:style>
  <w:style w:type="paragraph" w:customStyle="1" w:styleId="ColorfulList-Accent11">
    <w:name w:val="Colorful List - Accent 11"/>
    <w:basedOn w:val="Normal"/>
    <w:uiPriority w:val="34"/>
    <w:qFormat/>
    <w:rsid w:val="007B4A77"/>
    <w:pPr>
      <w:spacing w:after="200" w:line="276" w:lineRule="auto"/>
      <w:ind w:left="720"/>
      <w:contextualSpacing/>
    </w:pPr>
    <w:rPr>
      <w:rFonts w:ascii="Calibri" w:hAnsi="Calibri"/>
    </w:rPr>
  </w:style>
  <w:style w:type="character" w:styleId="CommentReference">
    <w:name w:val="annotation reference"/>
    <w:basedOn w:val="DefaultParagraphFont"/>
    <w:uiPriority w:val="99"/>
    <w:semiHidden/>
    <w:unhideWhenUsed/>
    <w:rsid w:val="007B4A77"/>
    <w:rPr>
      <w:rFonts w:cs="Times New Roman"/>
      <w:sz w:val="16"/>
      <w:szCs w:val="16"/>
    </w:rPr>
  </w:style>
  <w:style w:type="table" w:styleId="TableGrid">
    <w:name w:val="Table Grid"/>
    <w:basedOn w:val="TableNormal"/>
    <w:uiPriority w:val="59"/>
    <w:rsid w:val="007B4A77"/>
    <w:pPr>
      <w:spacing w:after="0" w:line="240" w:lineRule="auto"/>
    </w:pPr>
    <w:rPr>
      <w:rFonts w:eastAsiaTheme="minorEastAs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DE5962"/>
    <w:pPr>
      <w:spacing w:after="0" w:line="240" w:lineRule="auto"/>
    </w:pPr>
    <w:rPr>
      <w:rFonts w:ascii="Times New Roman" w:hAnsi="Times New Roman" w:cs="Times New Roman"/>
      <w:sz w:val="24"/>
      <w:szCs w:val="24"/>
    </w:rPr>
  </w:style>
  <w:style w:type="paragraph" w:customStyle="1" w:styleId="JLLS-body-text">
    <w:name w:val="JLLS-body-text"/>
    <w:qFormat/>
    <w:rsid w:val="003076D8"/>
    <w:pPr>
      <w:spacing w:after="80" w:line="276" w:lineRule="auto"/>
      <w:ind w:firstLine="284"/>
      <w:jc w:val="both"/>
    </w:pPr>
    <w:rPr>
      <w:rFonts w:ascii="Times New Roman" w:eastAsia="SimSun" w:hAnsi="Times New Roman" w:cs="Times New Roman"/>
      <w:szCs w:val="20"/>
    </w:rPr>
  </w:style>
  <w:style w:type="paragraph" w:customStyle="1" w:styleId="Pa2">
    <w:name w:val="Pa2"/>
    <w:basedOn w:val="Default"/>
    <w:next w:val="Default"/>
    <w:uiPriority w:val="99"/>
    <w:rsid w:val="00407020"/>
    <w:pPr>
      <w:spacing w:line="241" w:lineRule="atLeast"/>
    </w:pPr>
    <w:rPr>
      <w:rFonts w:ascii="Times New Roman" w:hAnsi="Times New Roman" w:cs="Times New Roman"/>
      <w:color w:val="auto"/>
    </w:rPr>
  </w:style>
  <w:style w:type="paragraph" w:customStyle="1" w:styleId="Pa3">
    <w:name w:val="Pa3"/>
    <w:basedOn w:val="Default"/>
    <w:next w:val="Default"/>
    <w:uiPriority w:val="99"/>
    <w:rsid w:val="00407020"/>
    <w:pPr>
      <w:spacing w:line="241" w:lineRule="atLeast"/>
    </w:pPr>
    <w:rPr>
      <w:rFonts w:ascii="Times New Roman" w:hAnsi="Times New Roman" w:cs="Times New Roman"/>
      <w:color w:val="auto"/>
    </w:rPr>
  </w:style>
  <w:style w:type="character" w:customStyle="1" w:styleId="A1">
    <w:name w:val="A1"/>
    <w:uiPriority w:val="99"/>
    <w:rsid w:val="00407020"/>
    <w:rPr>
      <w:color w:val="000000"/>
      <w:u w:val="single"/>
    </w:rPr>
  </w:style>
  <w:style w:type="character" w:styleId="Emphasis">
    <w:name w:val="Emphasis"/>
    <w:basedOn w:val="DefaultParagraphFont"/>
    <w:uiPriority w:val="20"/>
    <w:qFormat/>
    <w:rsid w:val="00407020"/>
    <w:rPr>
      <w:rFonts w:cs="Times New Roman"/>
      <w:i/>
      <w:iCs/>
    </w:rPr>
  </w:style>
  <w:style w:type="paragraph" w:styleId="BodyTextIndent">
    <w:name w:val="Body Text Indent"/>
    <w:basedOn w:val="Normal"/>
    <w:link w:val="BodyTextIndentChar"/>
    <w:uiPriority w:val="99"/>
    <w:semiHidden/>
    <w:unhideWhenUsed/>
    <w:rsid w:val="00A541A0"/>
    <w:pPr>
      <w:spacing w:after="120"/>
      <w:ind w:left="360"/>
    </w:pPr>
  </w:style>
  <w:style w:type="character" w:customStyle="1" w:styleId="BodyTextIndentChar">
    <w:name w:val="Body Text Indent Char"/>
    <w:basedOn w:val="DefaultParagraphFont"/>
    <w:link w:val="BodyTextIndent"/>
    <w:uiPriority w:val="99"/>
    <w:semiHidden/>
    <w:rsid w:val="00A541A0"/>
    <w:rPr>
      <w:rFonts w:cs="Arial"/>
    </w:rPr>
  </w:style>
  <w:style w:type="paragraph" w:styleId="BodyTextIndent2">
    <w:name w:val="Body Text Indent 2"/>
    <w:basedOn w:val="Normal"/>
    <w:link w:val="BodyTextIndent2Char"/>
    <w:uiPriority w:val="99"/>
    <w:semiHidden/>
    <w:unhideWhenUsed/>
    <w:rsid w:val="0054642F"/>
    <w:pPr>
      <w:spacing w:after="120" w:line="480" w:lineRule="auto"/>
      <w:ind w:left="360"/>
    </w:pPr>
  </w:style>
  <w:style w:type="character" w:customStyle="1" w:styleId="BodyTextIndent2Char">
    <w:name w:val="Body Text Indent 2 Char"/>
    <w:basedOn w:val="DefaultParagraphFont"/>
    <w:link w:val="BodyTextIndent2"/>
    <w:uiPriority w:val="99"/>
    <w:semiHidden/>
    <w:rsid w:val="0054642F"/>
    <w:rPr>
      <w:rFonts w:cs="Arial"/>
    </w:rPr>
  </w:style>
  <w:style w:type="character" w:styleId="FootnoteReference">
    <w:name w:val="footnote reference"/>
    <w:basedOn w:val="DefaultParagraphFont"/>
    <w:uiPriority w:val="99"/>
    <w:unhideWhenUsed/>
    <w:rsid w:val="0065676D"/>
    <w:rPr>
      <w:vertAlign w:val="superscript"/>
    </w:rPr>
  </w:style>
  <w:style w:type="character" w:customStyle="1" w:styleId="A2">
    <w:name w:val="A2"/>
    <w:uiPriority w:val="99"/>
    <w:rsid w:val="007141C2"/>
    <w:rPr>
      <w:rFonts w:cs="Myriad Pro"/>
      <w:color w:val="000000"/>
      <w:sz w:val="20"/>
      <w:szCs w:val="20"/>
    </w:rPr>
  </w:style>
  <w:style w:type="paragraph" w:styleId="BodyText2">
    <w:name w:val="Body Text 2"/>
    <w:basedOn w:val="Normal"/>
    <w:link w:val="BodyText2Char"/>
    <w:uiPriority w:val="99"/>
    <w:semiHidden/>
    <w:unhideWhenUsed/>
    <w:rsid w:val="009F7A5B"/>
    <w:pPr>
      <w:spacing w:after="120" w:line="480" w:lineRule="auto"/>
    </w:pPr>
  </w:style>
  <w:style w:type="character" w:customStyle="1" w:styleId="BodyText2Char">
    <w:name w:val="Body Text 2 Char"/>
    <w:basedOn w:val="DefaultParagraphFont"/>
    <w:link w:val="BodyText2"/>
    <w:uiPriority w:val="99"/>
    <w:semiHidden/>
    <w:rsid w:val="009F7A5B"/>
    <w:rPr>
      <w:rFonts w:cs="Arial"/>
    </w:rPr>
  </w:style>
  <w:style w:type="paragraph" w:styleId="CommentText">
    <w:name w:val="annotation text"/>
    <w:basedOn w:val="Normal"/>
    <w:link w:val="CommentTextChar"/>
    <w:uiPriority w:val="99"/>
    <w:semiHidden/>
    <w:unhideWhenUsed/>
    <w:rsid w:val="000B7357"/>
    <w:pPr>
      <w:spacing w:after="200" w:line="240" w:lineRule="auto"/>
    </w:pPr>
    <w:rPr>
      <w:rFonts w:eastAsiaTheme="minorHAnsi" w:cstheme="minorBidi"/>
      <w:sz w:val="20"/>
      <w:szCs w:val="20"/>
      <w:lang w:val="id-ID"/>
    </w:rPr>
  </w:style>
  <w:style w:type="character" w:customStyle="1" w:styleId="CommentTextChar">
    <w:name w:val="Comment Text Char"/>
    <w:basedOn w:val="DefaultParagraphFont"/>
    <w:link w:val="CommentText"/>
    <w:uiPriority w:val="99"/>
    <w:semiHidden/>
    <w:rsid w:val="000B7357"/>
    <w:rPr>
      <w:rFonts w:eastAsiaTheme="minorHAnsi" w:cstheme="minorBidi"/>
      <w:sz w:val="20"/>
      <w:szCs w:val="20"/>
      <w:lang w:val="id-ID"/>
    </w:rPr>
  </w:style>
  <w:style w:type="character" w:styleId="Strong">
    <w:name w:val="Strong"/>
    <w:basedOn w:val="DefaultParagraphFont"/>
    <w:uiPriority w:val="22"/>
    <w:qFormat/>
    <w:rsid w:val="003802F4"/>
    <w:rPr>
      <w:b/>
      <w:bCs/>
    </w:rPr>
  </w:style>
  <w:style w:type="paragraph" w:styleId="Caption">
    <w:name w:val="caption"/>
    <w:basedOn w:val="Normal"/>
    <w:next w:val="Normal"/>
    <w:unhideWhenUsed/>
    <w:qFormat/>
    <w:rsid w:val="00B410E6"/>
    <w:pPr>
      <w:spacing w:after="200" w:line="240" w:lineRule="auto"/>
    </w:pPr>
    <w:rPr>
      <w:b/>
      <w:bCs/>
      <w:color w:val="5B9BD5" w:themeColor="accent1"/>
      <w:sz w:val="18"/>
      <w:szCs w:val="18"/>
    </w:rPr>
  </w:style>
  <w:style w:type="paragraph" w:styleId="CommentSubject">
    <w:name w:val="annotation subject"/>
    <w:basedOn w:val="CommentText"/>
    <w:next w:val="CommentText"/>
    <w:link w:val="CommentSubjectChar"/>
    <w:unhideWhenUsed/>
    <w:rsid w:val="00B410E6"/>
    <w:pPr>
      <w:spacing w:after="0"/>
    </w:pPr>
    <w:rPr>
      <w:rFonts w:ascii="Times New Roman" w:eastAsia="Malgun Gothic" w:hAnsi="Times New Roman" w:cs="Times New Roman"/>
      <w:b/>
      <w:bCs/>
      <w:lang w:val="en-US"/>
    </w:rPr>
  </w:style>
  <w:style w:type="character" w:customStyle="1" w:styleId="CommentSubjectChar">
    <w:name w:val="Comment Subject Char"/>
    <w:basedOn w:val="CommentTextChar"/>
    <w:link w:val="CommentSubject"/>
    <w:rsid w:val="00B410E6"/>
    <w:rPr>
      <w:rFonts w:ascii="Times New Roman" w:eastAsia="Malgun Gothic" w:hAnsi="Times New Roman" w:cs="Times New Roman"/>
      <w:b/>
      <w:bCs/>
      <w:sz w:val="20"/>
      <w:szCs w:val="20"/>
      <w:lang w:val="id-ID"/>
    </w:rPr>
  </w:style>
  <w:style w:type="paragraph" w:customStyle="1" w:styleId="1JournalTitle">
    <w:name w:val="1. Journal Title"/>
    <w:rsid w:val="00EA1CF3"/>
    <w:pPr>
      <w:spacing w:after="0" w:line="240" w:lineRule="auto"/>
    </w:pPr>
    <w:rPr>
      <w:rFonts w:ascii="Times New Roman" w:hAnsi="Times New Roman" w:cs="Times New Roman"/>
      <w:iCs/>
      <w:sz w:val="20"/>
      <w:szCs w:val="20"/>
    </w:rPr>
  </w:style>
  <w:style w:type="character" w:styleId="PageNumber">
    <w:name w:val="page number"/>
    <w:basedOn w:val="DefaultParagraphFont"/>
    <w:rsid w:val="00EA1CF3"/>
  </w:style>
  <w:style w:type="paragraph" w:styleId="NormalWeb">
    <w:name w:val="Normal (Web)"/>
    <w:basedOn w:val="Normal"/>
    <w:uiPriority w:val="99"/>
    <w:unhideWhenUsed/>
    <w:rsid w:val="00EA1CF3"/>
    <w:pPr>
      <w:spacing w:before="100" w:beforeAutospacing="1" w:after="100" w:afterAutospacing="1" w:line="240" w:lineRule="auto"/>
    </w:pPr>
    <w:rPr>
      <w:rFonts w:ascii="Times New Roman" w:hAnsi="Times New Roman" w:cs="Times New Roman"/>
      <w:sz w:val="24"/>
      <w:szCs w:val="24"/>
    </w:rPr>
  </w:style>
  <w:style w:type="paragraph" w:styleId="Bibliography">
    <w:name w:val="Bibliography"/>
    <w:basedOn w:val="Normal"/>
    <w:next w:val="Normal"/>
    <w:uiPriority w:val="37"/>
    <w:unhideWhenUsed/>
    <w:rsid w:val="004322E6"/>
    <w:pPr>
      <w:spacing w:after="240" w:line="240" w:lineRule="auto"/>
      <w:ind w:left="720" w:hanging="720"/>
    </w:pPr>
  </w:style>
  <w:style w:type="character" w:customStyle="1" w:styleId="value">
    <w:name w:val="value"/>
    <w:basedOn w:val="DefaultParagraphFont"/>
    <w:rsid w:val="00D77B17"/>
  </w:style>
  <w:style w:type="character" w:customStyle="1" w:styleId="UnresolvedMention1">
    <w:name w:val="Unresolved Mention1"/>
    <w:basedOn w:val="DefaultParagraphFont"/>
    <w:uiPriority w:val="99"/>
    <w:semiHidden/>
    <w:unhideWhenUsed/>
    <w:rsid w:val="00DB04E4"/>
    <w:rPr>
      <w:color w:val="605E5C"/>
      <w:shd w:val="clear" w:color="auto" w:fill="E1DFDD"/>
    </w:rPr>
  </w:style>
  <w:style w:type="table" w:styleId="PlainTable3">
    <w:name w:val="Plain Table 3"/>
    <w:basedOn w:val="TableNormal"/>
    <w:uiPriority w:val="43"/>
    <w:rsid w:val="0008773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08773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semiHidden/>
    <w:unhideWhenUsed/>
    <w:rsid w:val="005B6A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249848">
      <w:marLeft w:val="0"/>
      <w:marRight w:val="0"/>
      <w:marTop w:val="0"/>
      <w:marBottom w:val="0"/>
      <w:divBdr>
        <w:top w:val="none" w:sz="0" w:space="0" w:color="auto"/>
        <w:left w:val="none" w:sz="0" w:space="0" w:color="auto"/>
        <w:bottom w:val="none" w:sz="0" w:space="0" w:color="auto"/>
        <w:right w:val="none" w:sz="0" w:space="0" w:color="auto"/>
      </w:divBdr>
    </w:div>
    <w:div w:id="57516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diqulwahdi@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5911575D-5220-4CDA-A3DF-C12B2D681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11247</Words>
  <Characters>64112</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sheeraz ali</dc:creator>
  <cp:lastModifiedBy>thayyibahuyun@gmail.com</cp:lastModifiedBy>
  <cp:revision>7</cp:revision>
  <cp:lastPrinted>2019-12-20T09:59:00Z</cp:lastPrinted>
  <dcterms:created xsi:type="dcterms:W3CDTF">2025-05-05T05:29:00Z</dcterms:created>
  <dcterms:modified xsi:type="dcterms:W3CDTF">2025-12-11T23:57:00Z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zotero-version="5.0.70"&gt;&lt;session id="1oMCTwF6"/&gt;&lt;style id="http://www.zotero.org/styles/turabian-fullnote-bibliography" hasBibliography="1" bibliographyStyleHasBeenSet="1"/&gt;&lt;prefs&gt;&lt;pref name="fieldType" value="Field"/&gt;&lt;pref name="au</vt:lpwstr>
  </property>
  <property fmtid="{D5CDD505-2E9C-101B-9397-08002B2CF9AE}" pid="3" name="ZOTERO_PREF_2">
    <vt:lpwstr>tomaticJournalAbbreviations" value="true"/&gt;&lt;pref name="noteType" value="1"/&gt;&lt;/prefs&gt;&lt;/data&gt;</vt:lpwstr>
  </property>
  <property fmtid="{D5CDD505-2E9C-101B-9397-08002B2CF9AE}" pid="4" name="Mendeley Document_1">
    <vt:lpwstr>True</vt:lpwstr>
  </property>
  <property fmtid="{D5CDD505-2E9C-101B-9397-08002B2CF9AE}" pid="5" name="Mendeley Citation Style_1">
    <vt:lpwstr>http://www.zotero.org/styles/apa</vt:lpwstr>
  </property>
  <property fmtid="{D5CDD505-2E9C-101B-9397-08002B2CF9AE}" pid="6" name="Mendeley Recent Style Id 0_1">
    <vt:lpwstr>http://www.zotero.org/styles/apa-6th-edition</vt:lpwstr>
  </property>
  <property fmtid="{D5CDD505-2E9C-101B-9397-08002B2CF9AE}" pid="7" name="Mendeley Recent Style Name 0_1">
    <vt:lpwstr>American Psychological Association 6th edition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 edition</vt:lpwstr>
  </property>
  <property fmtid="{D5CDD505-2E9C-101B-9397-08002B2CF9AE}" pid="12" name="Mendeley Recent Style Id 3_1">
    <vt:lpwstr>http://www.zotero.org/styles/chicago-fullnote-bibliography</vt:lpwstr>
  </property>
  <property fmtid="{D5CDD505-2E9C-101B-9397-08002B2CF9AE}" pid="13" name="Mendeley Recent Style Name 3_1">
    <vt:lpwstr>Chicago Manual of Style 17th edition (full note)</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12th edition - Harvard</vt:lpwstr>
  </property>
  <property fmtid="{D5CDD505-2E9C-101B-9397-08002B2CF9AE}" pid="16" name="Mendeley Recent Style Id 5_1">
    <vt:lpwstr>http://csl.mendeley.com/styles/411175231/iop-454RI</vt:lpwstr>
  </property>
  <property fmtid="{D5CDD505-2E9C-101B-9397-08002B2CF9AE}" pid="17" name="Mendeley Recent Style Name 5_1">
    <vt:lpwstr>IOP AS Ahmar</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3rd edition (note with bibliography)</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 9th edition</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http://www.zotero.org/styles/turabian-fullnote-bibliography-8th-edition</vt:lpwstr>
  </property>
  <property fmtid="{D5CDD505-2E9C-101B-9397-08002B2CF9AE}" pid="25" name="Mendeley Recent Style Name 9_1">
    <vt:lpwstr>Turabian 8th edition (full note)</vt:lpwstr>
  </property>
  <property fmtid="{D5CDD505-2E9C-101B-9397-08002B2CF9AE}" pid="26" name="Mendeley Unique User Id_1">
    <vt:lpwstr>6525de8b-24d0-3445-bf93-87659d399bc3</vt:lpwstr>
  </property>
</Properties>
</file>