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before="240" w:lineRule="auto" w:line="240"/>
        <w:jc w:val="center"/>
        <w:rPr>
          <w:rFonts w:ascii="Segoe UI" w:cs="Segoe UI" w:hAnsi="Segoe UI"/>
          <w:b/>
          <w:sz w:val="26"/>
        </w:rPr>
      </w:pPr>
      <w:r>
        <w:rPr>
          <w:rFonts w:ascii="Segoe UI" w:cs="Segoe UI" w:hAnsi="Segoe UI"/>
          <w:b/>
          <w:sz w:val="26"/>
        </w:rPr>
        <w:t>Gayatri Rajapatni: Perempuan Revolusioner Pendesain Visi Imperium Majapahit</w:t>
      </w:r>
    </w:p>
    <w:p>
      <w:pPr>
        <w:pStyle w:val="style0"/>
        <w:spacing w:lineRule="auto" w:line="240"/>
        <w:jc w:val="center"/>
        <w:rPr>
          <w:rFonts w:ascii="Segoe UI Light" w:cs="Segoe UI Light" w:hAnsi="Segoe UI Light"/>
          <w:b/>
          <w:sz w:val="24"/>
        </w:rPr>
      </w:pPr>
      <w:r>
        <w:rPr>
          <w:rStyle w:val="style4098"/>
          <w:rFonts w:ascii="Segoe UI Light" w:cs="Segoe UI Light" w:hAnsi="Segoe UI Light"/>
        </w:rPr>
        <w:t>Devy Adillia Maharani</w:t>
      </w:r>
      <w:r>
        <w:rPr>
          <w:rStyle w:val="style4098"/>
          <w:rFonts w:ascii="Segoe UI Light" w:cs="Segoe UI Light" w:hAnsi="Segoe UI Light"/>
        </w:rPr>
        <w:t>*</w:t>
      </w:r>
      <w:r>
        <w:rPr>
          <w:rStyle w:val="style4098"/>
          <w:rFonts w:ascii="Segoe UI Light" w:cs="Segoe UI Light" w:hAnsi="Segoe UI Light"/>
        </w:rPr>
        <w:t>, Ali Badar</w:t>
      </w:r>
    </w:p>
    <w:p>
      <w:pPr>
        <w:pStyle w:val="style0"/>
        <w:spacing w:lineRule="auto" w:line="240"/>
        <w:jc w:val="center"/>
        <w:rPr>
          <w:rFonts w:ascii="Segoe UI Light" w:cs="Segoe UI Light" w:hAnsi="Segoe UI Light"/>
          <w:sz w:val="18"/>
        </w:rPr>
      </w:pPr>
      <w:r>
        <w:rPr>
          <w:rFonts w:ascii="Segoe UI Light" w:cs="Segoe UI Light" w:hAnsi="Segoe UI Light"/>
          <w:sz w:val="18"/>
        </w:rPr>
        <w:t>Universitas Insan Budi Utomo</w:t>
      </w:r>
    </w:p>
    <w:p>
      <w:pPr>
        <w:pStyle w:val="style0"/>
        <w:spacing w:lineRule="auto" w:line="240"/>
        <w:jc w:val="center"/>
        <w:rPr>
          <w:rFonts w:ascii="Segoe UI Light" w:cs="Segoe UI Light" w:hAnsi="Segoe UI Light"/>
          <w:sz w:val="18"/>
          <w:lang w:val="en-ID"/>
        </w:rPr>
      </w:pPr>
      <w:r>
        <w:rPr/>
        <w:fldChar w:fldCharType="begin"/>
      </w:r>
      <w:r>
        <w:instrText xml:space="preserve"> HYPERLINK "mailto:devyadillia97@gmail.com" </w:instrText>
      </w:r>
      <w:r>
        <w:rPr/>
        <w:fldChar w:fldCharType="separate"/>
      </w:r>
      <w:r>
        <w:rPr>
          <w:rStyle w:val="style85"/>
          <w:rFonts w:ascii="Segoe UI Light" w:cs="Segoe UI Light" w:hAnsi="Segoe UI Light"/>
          <w:sz w:val="18"/>
        </w:rPr>
        <w:t>devyadillia97@gmail.com</w:t>
      </w:r>
      <w:r>
        <w:rPr/>
        <w:fldChar w:fldCharType="end"/>
      </w:r>
      <w:r>
        <w:rPr>
          <w:rFonts w:ascii="Segoe UI Light" w:cs="Segoe UI Light" w:hAnsi="Segoe UI Light"/>
          <w:sz w:val="18"/>
        </w:rPr>
        <w:t xml:space="preserve">, </w:t>
      </w:r>
      <w:r>
        <w:rPr/>
        <w:fldChar w:fldCharType="begin"/>
      </w:r>
      <w:r>
        <w:instrText xml:space="preserve"> HYPERLINK "mailto:alibikma034@gmail.com" </w:instrText>
      </w:r>
      <w:r>
        <w:rPr/>
        <w:fldChar w:fldCharType="separate"/>
      </w:r>
      <w:r>
        <w:rPr>
          <w:rStyle w:val="style85"/>
          <w:rFonts w:ascii="Segoe UI Light" w:cs="Segoe UI Light" w:hAnsi="Segoe UI Light"/>
          <w:sz w:val="18"/>
        </w:rPr>
        <w:t>alibikma034@gmail.com</w:t>
      </w:r>
      <w:r>
        <w:rPr/>
        <w:fldChar w:fldCharType="end"/>
      </w:r>
      <w:r>
        <w:rPr>
          <w:rFonts w:ascii="Segoe UI Light" w:cs="Segoe UI Light" w:hAnsi="Segoe UI Light"/>
          <w:sz w:val="18"/>
        </w:rPr>
        <w:t xml:space="preserve"> </w:t>
      </w:r>
      <w:r>
        <w:rPr>
          <w:rFonts w:ascii="Segoe UI Light" w:cs="Segoe UI Light" w:hAnsi="Segoe UI Light"/>
          <w:sz w:val="18"/>
          <w:lang w:val="en-ID"/>
        </w:rPr>
        <w:t xml:space="preserve"> </w:t>
      </w:r>
    </w:p>
    <w:p>
      <w:pPr>
        <w:pStyle w:val="style0"/>
        <w:spacing w:lineRule="auto" w:line="240"/>
        <w:jc w:val="center"/>
        <w:rPr>
          <w:rFonts w:ascii="Segoe UI Light" w:cs="Segoe UI Light" w:hAnsi="Segoe UI Light"/>
          <w:sz w:val="18"/>
        </w:rPr>
      </w:pPr>
      <w:r>
        <w:rPr>
          <w:rFonts w:ascii="Segoe UI Light" w:cs="Segoe UI Light" w:hAnsi="Segoe UI Light"/>
          <w:sz w:val="18"/>
        </w:rPr>
        <w:t>Devy Adillia : 085 856 929 940</w:t>
      </w:r>
    </w:p>
    <w:tbl>
      <w:tblPr>
        <w:tblStyle w:val="style154"/>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trPr>
          <w:trHeight w:val="340" w:hRule="atLeast"/>
        </w:trPr>
        <w:tc>
          <w:tcPr>
            <w:tcW w:w="4536" w:type="dxa"/>
            <w:tcBorders/>
            <w:shd w:val="clear" w:color="auto" w:fill="bfbfbf"/>
            <w:vAlign w:val="center"/>
          </w:tcPr>
          <w:p>
            <w:pPr>
              <w:pStyle w:val="style0"/>
              <w:jc w:val="center"/>
              <w:rPr>
                <w:rFonts w:ascii="Book Antiqua" w:cs="Open Sans Condensed" w:hAnsi="Book Antiqua"/>
                <w:sz w:val="24"/>
              </w:rPr>
            </w:pPr>
            <w:r>
              <w:rPr>
                <w:rFonts w:ascii="Book Antiqua" w:cs="Open Sans Condensed" w:hAnsi="Book Antiqua"/>
                <w:b/>
                <w:i/>
              </w:rPr>
              <w:t>Abstract</w:t>
            </w:r>
          </w:p>
        </w:tc>
        <w:tc>
          <w:tcPr>
            <w:tcW w:w="4535" w:type="dxa"/>
            <w:tcBorders/>
            <w:shd w:val="clear" w:color="auto" w:fill="bfbfbf"/>
            <w:vAlign w:val="center"/>
          </w:tcPr>
          <w:p>
            <w:pPr>
              <w:pStyle w:val="style0"/>
              <w:jc w:val="center"/>
              <w:rPr>
                <w:rFonts w:ascii="Book Antiqua" w:cs="Open Sans Condensed" w:hAnsi="Book Antiqua"/>
                <w:b/>
                <w:i/>
              </w:rPr>
            </w:pPr>
            <w:r>
              <w:rPr>
                <w:rFonts w:ascii="Book Antiqua" w:cs="Open Sans Condensed" w:hAnsi="Book Antiqua"/>
                <w:b/>
              </w:rPr>
              <w:t>Abstrak</w:t>
            </w:r>
          </w:p>
        </w:tc>
      </w:tr>
      <w:tr>
        <w:tblPrEx/>
        <w:trPr/>
        <w:tc>
          <w:tcPr>
            <w:tcW w:w="4536" w:type="dxa"/>
            <w:tcBorders/>
            <w:shd w:val="clear" w:color="auto" w:fill="f2f2f2"/>
          </w:tcPr>
          <w:p>
            <w:pPr>
              <w:pStyle w:val="style0"/>
              <w:spacing w:before="240"/>
              <w:jc w:val="both"/>
              <w:rPr>
                <w:rStyle w:val="style4099"/>
                <w:rFonts w:ascii="Segoe UI" w:cs="Segoe UI" w:hAnsi="Segoe UI"/>
                <w:i/>
                <w:sz w:val="18"/>
                <w:szCs w:val="18"/>
              </w:rPr>
            </w:pPr>
            <w:r>
              <w:rPr>
                <w:rStyle w:val="style4099"/>
                <w:rFonts w:ascii="Segoe UI" w:cs="Segoe UI" w:hAnsi="Segoe UI"/>
                <w:i/>
                <w:sz w:val="18"/>
                <w:szCs w:val="18"/>
              </w:rPr>
              <w:t>Society has a difference in how women are viewed. For communities with a modern stigma, women's positions are similar to those of men in government. On the other hand, for communities with a traditional stigma would assume that women only have domestic jurisdiction. There's little room for women to occupy the same positions as men especially in government. According to the historical experiences of javanese women particularly in the ancient javanese era, women have a strategic position in providing government direction and political policies. The condition can be seen with them positions of women in the majapahit kingdom government. She is gayatri rajapatni. Gayatri acted as the king's advisor and royal policy deciding even though she was not legally the queen to rule the throne. This research is aimed at knowing gayatri rajapatni's knight, an ancient javanese woman who became the leading figure in the majapahit empire. The study was done using historical research methods and produced a study on gayatri rajapatni's lead in building the majapahit empire. The conclusion reached by the authors of this study is gayatri rajapatni has contributed greatly to the running of the empire's vision the majapahit involved the political tactic of the mandala firmament, advocating the formation of independent groups to trade growth through the port, strategizing strategies to unify the countryside and port</w:t>
            </w:r>
            <w:r>
              <w:rPr>
                <w:rFonts w:ascii="Segoe UI" w:cs="Segoe UI" w:hAnsi="Segoe UI"/>
                <w:i/>
                <w:sz w:val="18"/>
                <w:szCs w:val="18"/>
              </w:rPr>
              <w:t xml:space="preserve"> </w:t>
            </w:r>
            <w:r>
              <w:rPr>
                <w:rStyle w:val="style4099"/>
                <w:rFonts w:ascii="Segoe UI" w:cs="Segoe UI" w:hAnsi="Segoe UI"/>
                <w:i/>
                <w:sz w:val="18"/>
                <w:szCs w:val="18"/>
              </w:rPr>
              <w:t>cities, initiating the establishment of royal law, initiating the establishment of the king's privy council, and putting accountants to conquer the territory.</w:t>
            </w:r>
            <w:r>
              <w:rPr>
                <w:rStyle w:val="style4099"/>
                <w:rFonts w:ascii="Segoe UI" w:cs="Segoe UI" w:hAnsi="Segoe UI"/>
                <w:i/>
                <w:sz w:val="18"/>
                <w:szCs w:val="18"/>
              </w:rPr>
              <w:t xml:space="preserve"> </w:t>
            </w:r>
          </w:p>
          <w:p>
            <w:pPr>
              <w:pStyle w:val="style0"/>
              <w:spacing w:before="240"/>
              <w:jc w:val="both"/>
              <w:rPr>
                <w:rFonts w:ascii="Segoe UI" w:cs="Segoe UI" w:hAnsi="Segoe UI"/>
                <w:i/>
                <w:sz w:val="20"/>
              </w:rPr>
            </w:pPr>
            <w:r>
              <w:rPr>
                <w:rFonts w:ascii="Segoe UI" w:cs="Segoe UI" w:hAnsi="Segoe UI"/>
                <w:i/>
                <w:sz w:val="18"/>
              </w:rPr>
              <w:t xml:space="preserve">Keywords: </w:t>
            </w:r>
            <w:r>
              <w:rPr>
                <w:rFonts w:ascii="Segoe UI" w:cs="Segoe UI" w:hAnsi="Segoe UI"/>
                <w:i/>
                <w:sz w:val="18"/>
              </w:rPr>
              <w:t>Gayatri Rajapatni; Majapahit Kingdom; Javanese Women</w:t>
            </w:r>
          </w:p>
        </w:tc>
        <w:tc>
          <w:tcPr>
            <w:tcW w:w="4535" w:type="dxa"/>
            <w:tcBorders/>
            <w:shd w:val="clear" w:color="auto" w:fill="f2f2f2"/>
          </w:tcPr>
          <w:p>
            <w:pPr>
              <w:pStyle w:val="style0"/>
              <w:jc w:val="both"/>
              <w:rPr>
                <w:rFonts w:ascii="Segoe UI" w:cs="Segoe UI" w:hAnsi="Segoe UI"/>
                <w:sz w:val="18"/>
                <w:szCs w:val="18"/>
              </w:rPr>
            </w:pPr>
            <w:r>
              <w:rPr>
                <w:rFonts w:ascii="Segoe UI" w:cs="Segoe UI" w:hAnsi="Segoe UI"/>
                <w:sz w:val="18"/>
                <w:szCs w:val="18"/>
              </w:rPr>
              <w:t>Bagi masyarakat dengan stigma modern akan memandang posisi perempuan sama dengan laki-laki terlebih dalam bidang pemerintahan. Sebaliknya, bagi masyarakat dengan stigma tradisional akan beranggapan bahwa perempuan hanya memiliki kuasa pada wilayah domestik. Sedikit ruang bagi perempuan untuk dapat menduduki posisi yang sama dengan laki-laki terutama dalam pemerintahan. Padahal apabila dilihat dari pengalaman historis perempuan Jawa khususnya pada era Jawa kuno, perempuan mempunyai posisi strategis dalam memberikan arahan dan kebijakan politik pemerintahan. Kondisi tersebut dapat dilihat dengan adanya kedudukan perempuan dalam pemerintahan Kerajaan Majapahit. Dia adalah Gayatri Rajapatni. Gayatri berperan sebagai penasehat raja dan penentu kebijakan kerajaan meskipun secara legal bukan ratu yang memimpin kekuasaan. Penelitian ini bertujuan untuk mengetahui kiprah Gayatri Rajapatni, seorang perempuan Jawa kuno yang menjadi tokoh dibalik layar dalam kejayaan imperium Majapahit. Penelitian ini dilakukan dengan menggunakan metode penelitian historis dan menghasilkan kajian mengenai kiprah Gayatri Rajapatni dalam membangun imperium Majapahit. Kesimpulan yang didapatkan penulis dalam penelitian ini adalah Gayatri Rajapatni memiliki kontribusi yang besar dalam menjalankan visi imperium Majapahit meliputi taktik politik Cakrawala Mandala, menginisiasi pembentukan kelompok independen untuk pertumbuhan perdagagangan melalui pelabuhan, menyusun strategi untuk menyatukan pedesaan dan kota pelabuhan, menginisiasi pembentukan tata hukum kerajaan, menginisiasi pendirian dewan penasihat raja, dan menempatkan akuntan untuk menaklukkan wilayah kekuasaan.</w:t>
            </w:r>
          </w:p>
          <w:p>
            <w:pPr>
              <w:pStyle w:val="style0"/>
              <w:spacing w:before="240"/>
              <w:jc w:val="both"/>
              <w:rPr>
                <w:rFonts w:ascii="Segoe UI" w:cs="Segoe UI" w:hAnsi="Segoe UI"/>
                <w:i/>
                <w:sz w:val="18"/>
              </w:rPr>
            </w:pPr>
            <w:r>
              <w:rPr>
                <w:rFonts w:ascii="Segoe UI" w:cs="Segoe UI" w:hAnsi="Segoe UI"/>
                <w:sz w:val="18"/>
              </w:rPr>
              <w:t xml:space="preserve">Kata </w:t>
            </w:r>
            <w:r>
              <w:rPr>
                <w:rFonts w:cs="Segoe UI" w:hAnsi="Segoe UI"/>
                <w:sz w:val="18"/>
                <w:lang w:val="en-US"/>
              </w:rPr>
              <w:t xml:space="preserve">Kunci : </w:t>
            </w:r>
            <w:r>
              <w:rPr>
                <w:rFonts w:ascii="Segoe UI" w:cs="Segoe UI" w:hAnsi="Segoe UI"/>
                <w:sz w:val="18"/>
                <w:szCs w:val="18"/>
              </w:rPr>
              <w:t>Gayatri Rajapatni</w:t>
            </w:r>
            <w:r>
              <w:rPr>
                <w:rFonts w:ascii="Segoe UI" w:cs="Segoe UI" w:hAnsi="Segoe UI"/>
                <w:sz w:val="18"/>
                <w:szCs w:val="18"/>
                <w:lang w:val="sv-SE"/>
              </w:rPr>
              <w:t xml:space="preserve">; </w:t>
            </w:r>
            <w:r>
              <w:rPr>
                <w:rFonts w:ascii="Segoe UI" w:cs="Segoe UI" w:hAnsi="Segoe UI"/>
                <w:sz w:val="18"/>
                <w:szCs w:val="18"/>
              </w:rPr>
              <w:t>Kerajaan Majapahit</w:t>
            </w:r>
            <w:r>
              <w:rPr>
                <w:rFonts w:ascii="Segoe UI" w:cs="Segoe UI" w:hAnsi="Segoe UI"/>
                <w:sz w:val="18"/>
                <w:szCs w:val="18"/>
                <w:lang w:val="sv-SE"/>
              </w:rPr>
              <w:t xml:space="preserve">; </w:t>
            </w:r>
            <w:r>
              <w:rPr>
                <w:rFonts w:ascii="Segoe UI" w:cs="Segoe UI" w:hAnsi="Segoe UI"/>
                <w:sz w:val="18"/>
                <w:szCs w:val="18"/>
              </w:rPr>
              <w:t>Perempuan Jawa</w:t>
            </w:r>
          </w:p>
        </w:tc>
      </w:tr>
    </w:tbl>
    <w:p>
      <w:pPr>
        <w:pStyle w:val="style0"/>
        <w:spacing w:before="240" w:lineRule="auto" w:line="240"/>
        <w:rPr>
          <w:rFonts w:ascii="Constantia" w:hAnsi="Constantia"/>
          <w:sz w:val="24"/>
        </w:rPr>
      </w:pPr>
      <w:r>
        <w:rPr>
          <w:rFonts w:ascii="Constantia" w:hAnsi="Constantia"/>
          <w:b/>
          <w:sz w:val="24"/>
        </w:rPr>
        <w:t>PENDAHULUAN</w:t>
      </w:r>
    </w:p>
    <w:p>
      <w:pPr>
        <w:pStyle w:val="style0"/>
        <w:spacing w:after="0"/>
        <w:jc w:val="both"/>
        <w:rPr>
          <w:rFonts w:ascii="Constantia" w:eastAsia="Times New Roman" w:hAnsi="Constantia"/>
          <w:sz w:val="24"/>
          <w:szCs w:val="24"/>
        </w:rPr>
      </w:pPr>
      <w:r>
        <w:rPr>
          <w:rFonts w:ascii="Constantia" w:hAnsi="Constantia"/>
          <w:sz w:val="24"/>
        </w:rPr>
        <w:tab/>
      </w:r>
      <w:r>
        <w:rPr>
          <w:rFonts w:ascii="Constantia" w:eastAsia="Times New Roman" w:hAnsi="Constantia"/>
          <w:sz w:val="24"/>
          <w:szCs w:val="24"/>
        </w:rPr>
        <w:t xml:space="preserve">Stigma masyarakat mengenai peran dan posisi perempuan terus berkembang sejalan dengan era modernisasi. Sebelum memasuki era modernisasi dan berkembangnya ilmu pengetahuan terutama mengenai kajian gender, kesempatan kerja didominasi oleh laki-laki. Keikutsertaan perempuan pada masyarakat perkotaan umumnya dapat terjadi karena didukung oleh berbagai macam faktor seperti perkembangan ilmu pengetahuan dan juga masyarakat yang lebih terbuka dalam menghadapi arus modernisasi. Dalam penelitian yang dilakukan oleh Larashati pada tahun 2022 dengan judul "Ketimpangan dan Peningkatan Kesetaraan Gender dalam SDGs </w:t>
      </w:r>
      <w:r>
        <w:rPr>
          <w:rFonts w:ascii="Constantia" w:eastAsia="Times New Roman" w:hAnsi="Constantia"/>
          <w:i/>
          <w:sz w:val="24"/>
          <w:szCs w:val="24"/>
        </w:rPr>
        <w:t>(Sustainable Development Goals)</w:t>
      </w:r>
      <w:r>
        <w:rPr>
          <w:rFonts w:ascii="Constantia" w:eastAsia="Times New Roman" w:hAnsi="Constantia"/>
          <w:sz w:val="24"/>
          <w:szCs w:val="24"/>
        </w:rPr>
        <w:t xml:space="preserve">," dijelaskan mengenai peran perempuan dalam mendukung pembangunan berkelanjutan terutama bidang ketenagakerjaan. Hasil penelitian tersebut menunjukkan terdapat perbedaan signifikan antara jumlah pekerja laki-laki dan perempuan dengan persentase laki-laki bekerja 36,2% dan perempuan bekerja 43,39%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{"citationItems":[{"id":"ITEM-1","itemData":{"abstract":"… kekerasan seksual yang masih kurang serta ketegasan dalam implementasi hukum dan penanganan kasus kekerasan seksual … Arah kebijakan dan strategi peningkatan kesetaraan …","author":[{"dropping-particle":"","family":"Larashati","given":"","non-dropping-particle":"","parse-names":false,"suffix":""}],"container-title":"Jurnal Sains Edukatika Indonesia","id":"ITEM-1","issue":"2","issued":{"date-parts":[["2022"]]},"page":"55-61","title":"Ketimpangan Dan Peningkatan Kesetaraan Gender Dalam Sdgs ( Sustainable Development Goals )","type":"article-journal","volume":"4"},"uris":["http://www.mendeley.com/documents/?uuid=73b632f2-de06-41b2-b889-06739366c28e"]}],"mendeley":{"formattedCitation":"(Larashati, 2022)","plainTextFormattedCitation":"(Larashati, 2022)","previouslyFormattedCitation":"(Larashati, 2022)"},"properties":{"noteIndex":0},"schema":"https://github.com/citation-style-language/schema/raw/master/csl-citation.json"}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(Larashati, 2022)</w:t>
      </w:r>
      <w:r>
        <w:rPr>
          <w:rFonts w:ascii="Constantia" w:eastAsia="Times New Roman" w:hAnsi="Constantia"/>
          <w:sz w:val="24"/>
          <w:szCs w:val="24"/>
        </w:rPr>
        <w:fldChar w:fldCharType="end"/>
      </w:r>
      <w:r>
        <w:rPr>
          <w:rFonts w:ascii="Constantia" w:eastAsia="Times New Roman" w:hAnsi="Constantia"/>
          <w:sz w:val="24"/>
          <w:szCs w:val="24"/>
        </w:rPr>
        <w:t>.</w:t>
      </w:r>
    </w:p>
    <w:p>
      <w:pPr>
        <w:pStyle w:val="style0"/>
        <w:spacing w:after="0"/>
        <w:jc w:val="both"/>
        <w:rPr>
          <w:rFonts w:ascii="Constantia" w:eastAsia="Times New Roman" w:hAnsi="Constantia"/>
          <w:color w:val="ff0000"/>
          <w:sz w:val="24"/>
          <w:szCs w:val="24"/>
        </w:rPr>
      </w:pPr>
      <w:r>
        <w:rPr>
          <w:rFonts w:ascii="Constantia" w:eastAsia="Times New Roman" w:hAnsi="Constantia"/>
          <w:sz w:val="24"/>
          <w:szCs w:val="24"/>
        </w:rPr>
        <w:tab/>
      </w:r>
      <w:r>
        <w:rPr>
          <w:rFonts w:ascii="Constantia" w:eastAsia="Times New Roman" w:hAnsi="Constantia"/>
          <w:sz w:val="24"/>
          <w:szCs w:val="24"/>
        </w:rPr>
        <w:t xml:space="preserve">Stigma masyarakat perkotaan mengenai peran dan posisi perempuan di masyarakat berbanding terbalik dengan kondisi perempuan pada masyarakat dengan stigma tradisional dan tidak terbuka dalam menghadapi arus modernisasi. Sistem patriarki yang berkembang dalam struktur budaya masyarakat tradisional menyebabkan adanya ketimpangan gender sehingga berdampak pada ketidakadilan gender terutama bagi perempuan. Patriarki berasal dari kata patriarkat, yang berarti struktur dimana menempatkan laki-laki sebagai penguasa tunggal, sentral, dan segala-galanya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{"citationItems":[{"id":"ITEM-1","itemData":{"abstract":"Sampai saat ini budaya patriarki masih langgeng berkembang di tatanan masyarakat Indonesia. Budaya ini dapat ditemukan dalam berbagai aspek dan ruang lingkup, seperti ekonomi, pendidikan, politik, hingga hukum sekalipun. Akibatnya, muncul berbagai masalah sosial yang membelenggu kebebasan perempuan dan melanggar hak-hak yang seharusnya dimiliki oleh perempuan. Meskipun Indonesia adalah negara hukum, namun kenyataannya payung hukum sendiri belum mampu mengakomodasi berbagai permasalahan sosial tersebut. Penyebabnya masih klasik, karena ranah perempuan masih dianggap terlalu domestik. Sehingga penegakan hukum pun masih cukup lemah dan tidak adil gender. Oleh karena itu, peran pekerja sosial sangat dibutuhkan pada situasi ini agar penyelesaian masalah bisa cepat dilakukan. Artikel ini menggunakan metode penelitian kualitatif dan mengumpulkan data melalui studi pustaka, yaitu buku dan jurnal. Hasilnya menunjukkan keterkaitan antara budaya patriarki dan berbagai permasalahan sosial serta realitas sosial yang terjadi di masyarakat Indonesia.","author":[{"dropping-particle":"","family":"Irma","given":"Ade","non-dropping-particle":"","parse-names":false,"suffix":""},{"dropping-particle":"","family":"Hasanah","given":"Dessy","non-dropping-particle":"","parse-names":false,"suffix":""}],"container-title":"Social Work Jurnal","id":"ITEM-1","issue":"1","issued":{"date-parts":[["2019"]]},"page":"1-129","title":"Menyoroti budaya patriarki di indonesia","type":"article-journal","volume":"7"},"uris":["http://www.mendeley.com/documents/?uuid=be7b7742-a6c0-4711-8c65-4c0f268229ae"]}],"mendeley":{"formattedCitation":"(Irma &amp; Hasanah, 2019)","manualFormatting":"(Irma &amp; Hasanah, 2017)","plainTextFormattedCitation":"(Irma &amp; Hasanah, 2019)","previouslyFormattedCitation":"(Irma &amp; Hasanah, 2019)"},"properties":{"noteIndex":0},"schema":"https://github.com/citation-style-language/schema/raw/master/csl-citation.json"}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(Irma &amp; Hasanah, 2017)</w:t>
      </w:r>
      <w:r>
        <w:rPr>
          <w:rFonts w:ascii="Constantia" w:eastAsia="Times New Roman" w:hAnsi="Constantia"/>
          <w:sz w:val="24"/>
          <w:szCs w:val="24"/>
        </w:rPr>
        <w:fldChar w:fldCharType="end"/>
      </w:r>
      <w:r>
        <w:rPr>
          <w:rFonts w:ascii="Constantia" w:eastAsia="Times New Roman" w:hAnsi="Constantia"/>
          <w:sz w:val="24"/>
          <w:szCs w:val="24"/>
        </w:rPr>
        <w:t xml:space="preserve">. Pada masyarakat tradisional, perempuan mendominasi pekerjaan sektor informal seperti buruh harian lepas dan pesuruh. Pandangan tersebut didasarkan pada hambatan biologis perempuan yaitu kodrat perempuan untuk mengandung, melahirkan, dan menyusui anak sehingga tidak memungkinkan bagi perempuan untuk berpindah pada sektor formal karena adanya peran dan tanggung jawab rumah tangga. </w:t>
      </w:r>
    </w:p>
    <w:p>
      <w:pPr>
        <w:pStyle w:val="style0"/>
        <w:spacing w:after="0"/>
        <w:jc w:val="both"/>
        <w:rPr>
          <w:rFonts w:ascii="Constantia" w:eastAsia="Times New Roman" w:hAnsi="Constantia"/>
          <w:sz w:val="24"/>
          <w:szCs w:val="24"/>
        </w:rPr>
      </w:pPr>
      <w:r>
        <w:rPr>
          <w:rFonts w:ascii="Constantia" w:eastAsia="Times New Roman" w:hAnsi="Constantia"/>
          <w:color w:val="ff0000"/>
          <w:sz w:val="24"/>
          <w:szCs w:val="24"/>
        </w:rPr>
        <w:tab/>
      </w:r>
      <w:r>
        <w:rPr>
          <w:rFonts w:ascii="Constantia" w:eastAsia="Times New Roman" w:hAnsi="Constantia"/>
          <w:sz w:val="24"/>
          <w:szCs w:val="24"/>
        </w:rPr>
        <w:t xml:space="preserve">Budaya patriarki yang berkembang pada masyarakat tradisional berbanding terbalik dengan representasi perempuan Jawa kuno. </w:t>
      </w:r>
      <w:r>
        <w:rPr>
          <w:rFonts w:ascii="Constantia" w:eastAsia="Times New Roman" w:hAnsi="Constantia"/>
          <w:color w:val="000000"/>
          <w:sz w:val="24"/>
          <w:szCs w:val="24"/>
        </w:rPr>
        <w:t>Hal tersebut menimbulkan asumsi apakah isu gender baru muncul beberapa waktu terakhir seiring dengan perkembangan arus modernisasi. Kondisi ini</w:t>
      </w:r>
      <w:r>
        <w:rPr>
          <w:rFonts w:ascii="Constantia" w:eastAsia="Times New Roman" w:hAnsi="Constantia"/>
          <w:sz w:val="24"/>
          <w:szCs w:val="24"/>
        </w:rPr>
        <w:t xml:space="preserve"> dikarenakan representasi perempuan dalam masyarakat adalah seseorang yang mempunyai sifat halus, lemah lembut, penurut dan berada dalam subordinat laki-laki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{"citationItems":[{"id":"ITEM-1","itemData":{"author":[{"dropping-particle":"","family":"Indradjaja","given":"Agustijanto","non-dropping-particle":"","parse-names":false,"suffix":""}],"container-title":"Purbawidya: Jurnal Penelitian Dan Pengembangan Arkeologi","id":"ITEM-1","issue":"7","issued":{"date-parts":[["2017"]]},"page":"105-116","title":"Penggambaran Ideal Perempuan Jawa pada Masa Hindu-Buddha: Refleksi pada Arca-Arca Perempuan","type":"article-journal","volume":"6"},"uris":["http://www.mendeley.com/documents/?uuid=0b73bd65-a904-4fe9-8106-c4ba21fb0950"]}],"mendeley":{"formattedCitation":"(Indradjaja, 2017)","plainTextFormattedCitation":"(Indradjaja, 2017)","previouslyFormattedCitation":"(Indradjaja, 2017)"},"properties":{"noteIndex":0},"schema":"https://github.com/citation-style-language/schema/raw/master/csl-citation.json"}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(Indradjaja, 2017)</w:t>
      </w:r>
      <w:r>
        <w:rPr>
          <w:rFonts w:ascii="Constantia" w:eastAsia="Times New Roman" w:hAnsi="Constantia"/>
          <w:sz w:val="24"/>
          <w:szCs w:val="24"/>
        </w:rPr>
        <w:fldChar w:fldCharType="end"/>
      </w:r>
      <w:r>
        <w:rPr>
          <w:rFonts w:ascii="Constantia" w:eastAsia="Times New Roman" w:hAnsi="Constantia"/>
          <w:sz w:val="24"/>
          <w:szCs w:val="24"/>
        </w:rPr>
        <w:t xml:space="preserve">. Pada masa Jawa kuno, perempuan banyak yang menjadi pejabat daerah seperti pada saat pemerintahan Kerajaan Singosari dan Majapahit. Perempuan berperan dalam sektor ekonomi, sosial, pelaku upacara, petani, perajin, pedagang, dan profesi lainnya yang dilakukan oleh laki-laki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{"citationItems":[{"id":"ITEM-1","itemData":{"ISBN":"9786237144915","author":[{"dropping-particle":"","family":"Marwah","given":"S","non-dropping-particle":"","parse-names":false,"suffix":""}],"id":"ITEM-1","issued":{"date-parts":[["2020"]]},"title":"Kajian Gender dalam Ragam Disiplin Ilmu","type":"article-journal"},"uris":["http://www.mendeley.com/documents/?uuid=9aca3e18-df23-4efa-9cb2-5dcd0216c00a"]}],"mendeley":{"formattedCitation":"(Marwah, 2020)","plainTextFormattedCitation":"(Marwah, 2020)","previouslyFormattedCitation":"(Marwah, 2020)"},"properties":{"noteIndex":0},"schema":"https://github.com/citation-style-language/schema/raw/master/csl-citation.json"}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(Marwah, 2020)</w:t>
      </w:r>
      <w:r>
        <w:rPr>
          <w:rFonts w:ascii="Constantia" w:eastAsia="Times New Roman" w:hAnsi="Constantia"/>
          <w:sz w:val="24"/>
          <w:szCs w:val="24"/>
        </w:rPr>
        <w:fldChar w:fldCharType="end"/>
      </w:r>
      <w:r>
        <w:rPr>
          <w:rFonts w:ascii="Constantia" w:eastAsia="Times New Roman" w:hAnsi="Constantia"/>
          <w:sz w:val="24"/>
          <w:szCs w:val="24"/>
        </w:rPr>
        <w:t xml:space="preserve">. Peran yang diidealkan untuk perempuan adalah aktivitas dalam mengurus rumah tangga, pendukung karir suami, dan istri </w:t>
      </w:r>
      <w:r>
        <w:rPr>
          <w:rFonts w:ascii="Constantia" w:eastAsia="Times New Roman" w:hAnsi="Constantia"/>
          <w:sz w:val="24"/>
          <w:szCs w:val="24"/>
        </w:rPr>
        <w:t xml:space="preserve">yang penurut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{"citationItems":[{"id":"ITEM-1","itemData":{"DOI":"10.24198/ptvf.v4i1.24008","ISSN":"2548-687X","abstract":"Film menjadi sebuah media yang saat ini masih diminati khalayak. Melalui film, masyarakat dapat memahami fenomena apa yang pernah dan bahkan sedang terjadi berdasarkan kisah nyata atau hanya fiktif belaka. Film Kartini yang distutradarai oleh Hanung Bramantyo dan diperankan oleh Dian Sastrowardoyo sebagai sosok Kartini merupakan sebuah media yang menampilkan kisah nyata, berdasarkan sejarah kepada masyarakat. Film ini menggambarkan tentang kaum perempuan abad ke-19 yang tidak dapat bebas dan tidak setara dengan laki-laki. Namun yang menarik sosok Kartini digambarkan sebagai sosok perempuan yang bukan hanya tokoh emansipasi, tetapi juga memiliki jiwa revolusioner. Penelitian ini bertujuan untuk mengetahui bagaimana sesungguhnya film Kartini ini mampu merepresentasikan gambaran kesetaraan gender atas sosok perempuan yang berada dalam kukungan tradisi Jawa. Konsep  kesetaraan gender menjadi dasar dalam penelitian ini. Gender merupakan suatu pembeda peran, fungsi, status dan tanggungjawab antara laki-laki dengan perempuan sebagai hasil dari bentukan (konstruksi) sosial budaya yang tercipta melalui proses sosialisasi dari satu generasi ke generasi. Penelitian ini menggunakan analisis wacana Sara Mills yang memiliki fokus pada wacana mengenai feminisme; bagaimana perempuan ditampilkan dalam teks, teks yang dimaksud ialah film Kartini versi Hanung Bramantyo. Hasil penelitian ini menunjukan bagaimana sesungguhnya sebuah karya film fiksi, yang disadur dari sebuah peristiwa nyata, dengan latar belakang situasi tadisi Jawa yang penuh aturan dan kolot,  mampu memunculkan sosok perempuan yang memiliki kesadaran atas kesetaraan gender.","author":[{"dropping-particle":"","family":"Putri","given":"Alycia","non-dropping-particle":"","parse-names":false,"suffix":""},{"dropping-particle":"","family":"Nurhajati","given":"Lestari","non-dropping-particle":"","parse-names":false,"suffix":""}],"container-title":"ProTVF","id":"ITEM-1","issue":"1","issued":{"date-parts":[["2020"]]},"page":"42","title":"Representasi perempuan dalam kukungan tradisi Jawa pada film Kartini karya Hanung Bramantyo","type":"article-journal","volume":"4"},"uris":["http://www.mendeley.com/documents/?uuid=8b9f0561-836e-4032-ae3d-05a099d17cc3"]}],"mendeley":{"formattedCitation":"(Putri &amp; Nurhajati, 2020)","plainTextFormattedCitation":"(Putri &amp; Nurhajati, 2020)","previouslyFormattedCitation":"(Putri &amp; Nurhajati, 2020)"},"properties":{"noteIndex":0},"schema":"https://github.com/citation-style-language/schema/raw/master/csl-citation.json"}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(Putri &amp; Nurhajati, 2020)</w:t>
      </w:r>
      <w:r>
        <w:rPr>
          <w:rFonts w:ascii="Constantia" w:eastAsia="Times New Roman" w:hAnsi="Constantia"/>
          <w:sz w:val="24"/>
          <w:szCs w:val="24"/>
        </w:rPr>
        <w:fldChar w:fldCharType="end"/>
      </w:r>
      <w:r>
        <w:rPr>
          <w:rFonts w:ascii="Constantia" w:eastAsia="Times New Roman" w:hAnsi="Constantia"/>
          <w:sz w:val="24"/>
          <w:szCs w:val="24"/>
        </w:rPr>
        <w:t>. Dalam karya sastra Jawa, perempuan diposisikan sebagai “</w:t>
      </w:r>
      <w:r>
        <w:rPr>
          <w:rFonts w:ascii="Constantia" w:eastAsia="Times New Roman" w:hAnsi="Constantia"/>
          <w:i/>
          <w:sz w:val="24"/>
          <w:szCs w:val="24"/>
        </w:rPr>
        <w:t>kanca wingking”</w:t>
      </w:r>
      <w:r>
        <w:rPr>
          <w:rFonts w:ascii="Constantia" w:eastAsia="Times New Roman" w:hAnsi="Constantia"/>
          <w:sz w:val="24"/>
          <w:szCs w:val="24"/>
        </w:rPr>
        <w:t xml:space="preserve"> yang berarti menempatkan perempuan pada urusan sumur, kasur, dapur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{"citationItems":[{"id":"ITEM-1","itemData":{"author":[{"dropping-particle":"","family":"Rizqillah","given":"Zidah Alfi","non-dropping-particle":"","parse-names":false,"suffix":""}],"id":"ITEM-1","issued":{"date-parts":[["2023"]]},"title":"NUSANTARA ABAD XVI KIAI HAJI ACHMAD SIDDIQ JEMBER FAKULTAS USHULUDDIN , ADAB DAN HUMANIORA","type":"article-journal"},"uris":["http://www.mendeley.com/documents/?uuid=78ea65c0-55b7-4ff9-884c-39d985d844af"]}],"mendeley":{"formattedCitation":"(Rizqillah, 2023)","plainTextFormattedCitation":"(Rizqillah, 2023)","previouslyFormattedCitation":"(Rizqillah, 2023)"},"properties":{"noteIndex":0},"schema":"https://github.com/citation-style-language/schema/raw/master/csl-citation.json"}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(Rizqillah, 2023)</w:t>
      </w:r>
      <w:r>
        <w:rPr>
          <w:rFonts w:ascii="Constantia" w:eastAsia="Times New Roman" w:hAnsi="Constantia"/>
          <w:sz w:val="24"/>
          <w:szCs w:val="24"/>
        </w:rPr>
        <w:fldChar w:fldCharType="end"/>
      </w:r>
      <w:r>
        <w:rPr>
          <w:rFonts w:ascii="Constantia" w:eastAsia="Times New Roman" w:hAnsi="Constantia"/>
          <w:sz w:val="24"/>
          <w:szCs w:val="24"/>
        </w:rPr>
        <w:t>. Terdapat istilah lain yaitu “</w:t>
      </w:r>
      <w:r>
        <w:rPr>
          <w:rFonts w:ascii="Constantia" w:eastAsia="Times New Roman" w:hAnsi="Constantia"/>
          <w:i/>
          <w:sz w:val="24"/>
          <w:szCs w:val="24"/>
        </w:rPr>
        <w:t>swarga nunut nraka katut”</w:t>
      </w:r>
      <w:r>
        <w:rPr>
          <w:rFonts w:ascii="Constantia" w:eastAsia="Times New Roman" w:hAnsi="Constantia"/>
          <w:sz w:val="24"/>
          <w:szCs w:val="24"/>
        </w:rPr>
        <w:t xml:space="preserve"> yang berarti “di surga hanya mengekor dengan laki-laki, di neraka sekedar mengikuti”. </w:t>
      </w:r>
      <w:r>
        <w:rPr>
          <w:rFonts w:ascii="Constantia" w:eastAsia="Times New Roman" w:hAnsi="Constantia"/>
          <w:color w:val="000000"/>
          <w:sz w:val="24"/>
          <w:szCs w:val="24"/>
        </w:rPr>
        <w:t xml:space="preserve">Sedangkan dalam masyarakat Jawa kuno terdapat sebuah istilah </w:t>
      </w:r>
      <w:r>
        <w:rPr>
          <w:rFonts w:ascii="Constantia" w:eastAsia="Times New Roman" w:hAnsi="Constantia"/>
          <w:i/>
          <w:color w:val="000000"/>
          <w:sz w:val="24"/>
          <w:szCs w:val="24"/>
        </w:rPr>
        <w:t>“wani ing tata”</w:t>
      </w:r>
      <w:r>
        <w:rPr>
          <w:rFonts w:ascii="Constantia" w:eastAsia="Times New Roman" w:hAnsi="Constantia"/>
          <w:color w:val="000000"/>
          <w:sz w:val="24"/>
          <w:szCs w:val="24"/>
        </w:rPr>
        <w:t xml:space="preserve"> dimana makna konsepsi ini adalah sejatinya perempuan mempunyai posisi yang sama dengan laki-laki pada umumnya dengan melihat kepemimpinannya </w:t>
      </w:r>
      <w:r>
        <w:rPr>
          <w:rFonts w:ascii="Constantia" w:eastAsia="Times New Roman" w:hAnsi="Constantia"/>
          <w:color w:val="000000"/>
          <w:sz w:val="24"/>
          <w:szCs w:val="24"/>
        </w:rPr>
        <w:fldChar w:fldCharType="begin"/>
      </w:r>
      <w:r>
        <w:rPr>
          <w:rFonts w:ascii="Constantia" w:eastAsia="Times New Roman" w:hAnsi="Constantia"/>
          <w:color w:val="000000"/>
          <w:sz w:val="24"/>
          <w:szCs w:val="24"/>
        </w:rPr>
        <w:instrText>ADDIN CSL_CITATION {"citationItems":[{"id":"ITEM-1","itemData":{"abstract":"Notion of “wani ing tata” basically is manifestation of noble conception to regard women having dignity in society. Its actualization explained in dual roles which operated in both areas; domestic and social engangement. The words “wanita” basically has been encountered in three social realms such as “wanodya” and “putri”. Those three concepts symbolized multifunctional roles that ascribed women as educator, nurse, and balancer. Javanese women leadership has proved by prominent famous figure like Queen Shima, Tribhuana Tungga Dewi, and Suhita. In this case, its conception has ramified into both others notion; ardhaneswari and prameswari. Prameswari can be understood as main women; meanwhile ardhananeswari can be explained as tough and strong women. The emergence of patriarchal system into sociey reduced concept of “wani ing tata”. It puts women as inferior symbolized by “kasur”, “pupur’, and “sumur”.","author":[{"dropping-particle":"","family":"Jati","given":"Wasisto Raharjo","non-dropping-particle":"","parse-names":false,"suffix":""}],"container-title":"Jurnal Perempuan","id":"ITEM-1","issue":"1","issued":{"date-parts":[["2015"]]},"page":"82-91","title":"Wani Ing Tata: Konstruksi Wanita Jawa dalam Studi Poskolonialisme","type":"article-journal","volume":"20"},"uris":["http://www.mendeley.com/documents/?uuid=ff038d6d-9722-4a0b-bbf1-35a96575fbc3"]}],"mendeley":{"formattedCitation":"(Jati, 2015)","plainTextFormattedCitation":"(Jati, 2015)","previouslyFormattedCitation":"(Jati, 2015)"},"properties":{"noteIndex":0},"schema":"https://github.com/citation-style-language/schema/raw/master/csl-citation.json"}</w:instrText>
      </w:r>
      <w:r>
        <w:rPr>
          <w:rFonts w:ascii="Constantia" w:eastAsia="Times New Roman" w:hAnsi="Constantia"/>
          <w:color w:val="000000"/>
          <w:sz w:val="24"/>
          <w:szCs w:val="24"/>
        </w:rPr>
        <w:fldChar w:fldCharType="separate"/>
      </w:r>
      <w:r>
        <w:rPr>
          <w:rFonts w:ascii="Constantia" w:eastAsia="Times New Roman" w:hAnsi="Constantia"/>
          <w:color w:val="000000"/>
          <w:sz w:val="24"/>
          <w:szCs w:val="24"/>
        </w:rPr>
        <w:t>(Jati, 2015)</w:t>
      </w:r>
      <w:r>
        <w:rPr>
          <w:rFonts w:ascii="Constantia" w:eastAsia="Times New Roman" w:hAnsi="Constantia"/>
          <w:color w:val="000000"/>
          <w:sz w:val="24"/>
          <w:szCs w:val="24"/>
        </w:rPr>
        <w:fldChar w:fldCharType="end"/>
      </w:r>
      <w:r>
        <w:rPr>
          <w:rFonts w:ascii="Constantia" w:eastAsia="Times New Roman" w:hAnsi="Constantia"/>
          <w:color w:val="000000"/>
          <w:sz w:val="24"/>
          <w:szCs w:val="24"/>
        </w:rPr>
        <w:t xml:space="preserve">. Istilah </w:t>
      </w:r>
      <w:r>
        <w:rPr>
          <w:rFonts w:ascii="Constantia" w:eastAsia="Times New Roman" w:hAnsi="Constantia"/>
          <w:i/>
          <w:color w:val="000000"/>
          <w:sz w:val="24"/>
          <w:szCs w:val="24"/>
        </w:rPr>
        <w:t>“wani ing tata”</w:t>
      </w:r>
      <w:r>
        <w:rPr>
          <w:rFonts w:ascii="Constantia" w:eastAsia="Times New Roman" w:hAnsi="Constantia"/>
          <w:color w:val="000000"/>
          <w:sz w:val="24"/>
          <w:szCs w:val="24"/>
        </w:rPr>
        <w:t xml:space="preserve"> dalam menempatkan posisi dan peran perempuan mendapatkan pembenaran dari tampilnya Bhatari Durga yang menampilkan sosok perempuan kuat dan menolak adanya subordinasi laki-laki </w:t>
      </w:r>
      <w:r>
        <w:rPr>
          <w:rFonts w:ascii="Constantia" w:eastAsia="Times New Roman" w:hAnsi="Constantia"/>
          <w:color w:val="000000"/>
          <w:sz w:val="24"/>
          <w:szCs w:val="24"/>
        </w:rPr>
        <w:fldChar w:fldCharType="begin"/>
      </w:r>
      <w:r>
        <w:rPr>
          <w:rFonts w:ascii="Constantia" w:eastAsia="Times New Roman" w:hAnsi="Constantia"/>
          <w:color w:val="000000"/>
          <w:sz w:val="24"/>
          <w:szCs w:val="24"/>
        </w:rPr>
        <w:instrText>ADDIN CSL_CITATION {"citationItems":[{"id":"ITEM-1","itemData":{"ISBN":"9786236322437","author":[{"dropping-particle":"","family":"Ki Sigit Sapto Nugroho","given":"","non-dropping-particle":"","parse-names":false,"suffix":""}],"id":"ITEM-1","issued":{"date-parts":[["2021"]]},"number-of-pages":"5","title":"Konco Wingking: Re-Eksistensi Citra, Peran dan Kehebatan Wanita","type":"book"},"uris":["http://www.mendeley.com/documents/?uuid=f82f11ef-e442-4588-88b3-5400e41b9241"]}],"mendeley":{"formattedCitation":"(Ki Sigit Sapto Nugroho, 2021)","manualFormatting":"(Nugroho, 2021)","plainTextFormattedCitation":"(Ki Sigit Sapto Nugroho, 2021)","previouslyFormattedCitation":"(Ki Sigit Sapto Nugroho, 2021)"},"properties":{"noteIndex":0},"schema":"https://github.com/citation-style-language/schema/raw/master/csl-citation.json"}</w:instrText>
      </w:r>
      <w:r>
        <w:rPr>
          <w:rFonts w:ascii="Constantia" w:eastAsia="Times New Roman" w:hAnsi="Constantia"/>
          <w:color w:val="000000"/>
          <w:sz w:val="24"/>
          <w:szCs w:val="24"/>
        </w:rPr>
        <w:fldChar w:fldCharType="separate"/>
      </w:r>
      <w:r>
        <w:rPr>
          <w:rFonts w:ascii="Constantia" w:eastAsia="Times New Roman" w:hAnsi="Constantia"/>
          <w:color w:val="000000"/>
          <w:sz w:val="24"/>
          <w:szCs w:val="24"/>
        </w:rPr>
        <w:t>(Nugroho, 2021)</w:t>
      </w:r>
      <w:r>
        <w:rPr>
          <w:rFonts w:ascii="Constantia" w:eastAsia="Times New Roman" w:hAnsi="Constantia"/>
          <w:color w:val="000000"/>
          <w:sz w:val="24"/>
          <w:szCs w:val="24"/>
        </w:rPr>
        <w:fldChar w:fldCharType="end"/>
      </w:r>
      <w:r>
        <w:rPr>
          <w:rFonts w:ascii="Constantia" w:eastAsia="Times New Roman" w:hAnsi="Constantia"/>
          <w:color w:val="000000"/>
          <w:sz w:val="24"/>
          <w:szCs w:val="24"/>
        </w:rPr>
        <w:t xml:space="preserve">. Pernyataan tersebut menunjukkan bahwa perempuan memiliki potensi dan kekuatan yang mungkin bisa lebih dominan dari laki-laki. </w:t>
      </w:r>
      <w:r>
        <w:rPr>
          <w:rFonts w:ascii="Constantia" w:eastAsia="Times New Roman" w:hAnsi="Constantia"/>
          <w:sz w:val="24"/>
          <w:szCs w:val="24"/>
        </w:rPr>
        <w:t xml:space="preserve">Bukti partisipasi perempuan dalam pemerintahan terlihat pada era </w:t>
      </w:r>
      <w:r>
        <w:rPr>
          <w:rFonts w:ascii="Constantia" w:eastAsia="Times New Roman" w:hAnsi="Constantia"/>
          <w:color w:val="000000"/>
          <w:sz w:val="24"/>
          <w:szCs w:val="24"/>
        </w:rPr>
        <w:t xml:space="preserve">kerajaan-kerajaan dengan hadirnya tokoh perempuan khususnya tanah Jawa seperti Ratu Shima, Ken Dedes, Gayatri Rajapatni, hingga Tribuwanatunggadewi </w:t>
      </w:r>
      <w:r>
        <w:rPr>
          <w:rFonts w:ascii="Constantia" w:eastAsia="Times New Roman" w:hAnsi="Constantia"/>
          <w:color w:val="000000"/>
          <w:sz w:val="24"/>
          <w:szCs w:val="24"/>
        </w:rPr>
        <w:fldChar w:fldCharType="begin"/>
      </w:r>
      <w:r>
        <w:rPr>
          <w:rFonts w:ascii="Constantia" w:eastAsia="Times New Roman" w:hAnsi="Constantia"/>
          <w:color w:val="000000"/>
          <w:sz w:val="24"/>
          <w:szCs w:val="24"/>
        </w:rPr>
        <w:instrText>ADDIN CSL_CITATION {"citationItems":[{"id":"ITEM-1","itemData":{"DOI":"10.22236/jhe.v4i1.9236","abstract":"Pemahaman masyarakat terhadap teori gender dapat dikatakan belum sepenuhnya memahami. Banyak dari kalangan masyarakat yang hanya berpikiran bahwa peran perempuan hanya sebatas di ruang domestik saja, tetapi dibatasi perannya dalam ruang publik seperti yang digambarkan pada karya-karya sastra. Padahal sejarah mencatat bahwa sejak era kerajaan kuno khususnya di tanah Jawa, perempuan telah memegang peranan penting dalam membangun suatu kerajaan. Sehingga tujuan dari penelitian ini untuk mengkaji dan mendeskripsikan kedudukan dan peran perempuan pada masa kerajaan-kerajaan di tanah Jawa kuno. Penelitian ini menggunakan metode historis yang meliputi empat langkah yakni heuristik, kritik sumber, interpretasi, dan historiografi. Hasil penelitian menunjukan bahwa pada masa kerajaan-kerajaan di tanah Jawa kuno telah muncul sosok-sosok perempuan yang berpengaruh terhadap perkembangan kehidupan sosial masyarakat dan kemajuan suatu kerajaan seperti kehadiran Ratu Shima, Pramodawardhani, Ken Dedes, Gayatri, Tribuwanatunggadewi, dan Ratu Suhita. Sehingga dari kehadiran perempuan-perempuan hebat di Jawa kuno dapat disimpulkan bahwa kedudukan dan peran perempuan khususnya di tanah Jawa tidak hanya sebatas dalam ruang domestik, namun memiliki kedudukan dan peran juga di ruang publik.","author":[{"dropping-particle":"","family":"Erlangga","given":"Gery","non-dropping-particle":"","parse-names":false,"suffix":""},{"dropping-particle":"","family":"Nelsusmena","given":"Nelsusmena","non-dropping-particle":"","parse-names":false,"suffix":""}],"container-title":"Chronologia","id":"ITEM-1","issue":"1","issued":{"date-parts":[["2022"]]},"page":"25-33","title":"Perempuan di Era Jawa Kuno: Tinjauan Historis Peran Perempuan pada Masa Kerajaan di Tanah Jawa","type":"article-journal","volume":"4"},"uris":["http://www.mendeley.com/documents/?uuid=33f9b901-ba3d-4f95-abf5-87e5cad08537"]}],"mendeley":{"formattedCitation":"(Erlangga &amp; Nelsusmena, 2022)","plainTextFormattedCitation":"(Erlangga &amp; Nelsusmena, 2022)","previouslyFormattedCitation":"(Erlangga &amp; Nelsusmena, 2022)"},"properties":{"noteIndex":0},"schema":"https://github.com/citation-style-language/schema/raw/master/csl-citation.json"}</w:instrText>
      </w:r>
      <w:r>
        <w:rPr>
          <w:rFonts w:ascii="Constantia" w:eastAsia="Times New Roman" w:hAnsi="Constantia"/>
          <w:color w:val="000000"/>
          <w:sz w:val="24"/>
          <w:szCs w:val="24"/>
        </w:rPr>
        <w:fldChar w:fldCharType="separate"/>
      </w:r>
      <w:r>
        <w:rPr>
          <w:rFonts w:ascii="Constantia" w:eastAsia="Times New Roman" w:hAnsi="Constantia"/>
          <w:color w:val="000000"/>
          <w:sz w:val="24"/>
          <w:szCs w:val="24"/>
        </w:rPr>
        <w:t>(Erlangga &amp; Nelsusmena, 2022)</w:t>
      </w:r>
      <w:r>
        <w:rPr>
          <w:rFonts w:ascii="Constantia" w:eastAsia="Times New Roman" w:hAnsi="Constantia"/>
          <w:color w:val="000000"/>
          <w:sz w:val="24"/>
          <w:szCs w:val="24"/>
        </w:rPr>
        <w:fldChar w:fldCharType="end"/>
      </w:r>
      <w:r>
        <w:rPr>
          <w:rFonts w:ascii="Constantia" w:eastAsia="Times New Roman" w:hAnsi="Constantia"/>
          <w:color w:val="000000"/>
          <w:sz w:val="24"/>
          <w:szCs w:val="24"/>
        </w:rPr>
        <w:t>.</w:t>
      </w:r>
      <w:r>
        <w:rPr>
          <w:rFonts w:ascii="Constantia" w:eastAsia="Times New Roman" w:hAnsi="Constantia"/>
          <w:sz w:val="24"/>
          <w:szCs w:val="24"/>
        </w:rPr>
        <w:t xml:space="preserve"> Diantara tokoh tersebut, yang menjadi sorotan peneliti adalah Gayatri Rajapatni. Gayatri merupakan putri Kertanegara (raja terakhir Kerajaan Singosari). Gayatri menikah dengan Raden Wijaya yang merupakan pendiri Kerajaan Majapahit. </w:t>
      </w:r>
    </w:p>
    <w:p>
      <w:pPr>
        <w:pStyle w:val="style0"/>
        <w:spacing w:after="0"/>
        <w:jc w:val="both"/>
        <w:rPr>
          <w:rFonts w:ascii="Constantia" w:eastAsia="Times New Roman" w:hAnsi="Constantia"/>
          <w:sz w:val="24"/>
          <w:szCs w:val="24"/>
        </w:rPr>
      </w:pPr>
      <w:r>
        <w:rPr>
          <w:rFonts w:ascii="Constantia" w:eastAsia="Times New Roman" w:hAnsi="Constantia"/>
          <w:sz w:val="24"/>
          <w:szCs w:val="24"/>
        </w:rPr>
        <w:tab/>
      </w:r>
      <w:r>
        <w:rPr>
          <w:rFonts w:ascii="Constantia" w:eastAsia="Times New Roman" w:hAnsi="Constantia"/>
          <w:sz w:val="24"/>
          <w:szCs w:val="24"/>
        </w:rPr>
        <w:t xml:space="preserve">Dalam penelitian yang dilakukan oleh (Agustina &amp; Wany, 2024) dengan judul “Analisis Kuasa Akuntan Gayatri dalam Sistem Pemungutan Pajak di Masa Kerajaan Majapahit” disebutkan bahwa kebijakan yang dilakukan Gayatri dalam bidang ekonomi yaitu dalam sistem pemungutan pajak menjadi alasan kejayaan Majapahit waktu itu. Pada penelitian ini, penulis tidak hanya mengkaji kebijakan ekonomi Gayatri melainkan bagaimana Gayatri memberikan kiprahnya dalam bidang pemerintahan yaitu mengenai pengambilan keputusan kerajaan dan strategi politik yang diterapkan. Sebelum Singosari runtuh, Kertanegara mempunyai visi untuk menyatukan Nusantara akan tetapi sampai Kertanegara wafat visi tersebut belum dapat direalisasikan. Gayatri sebagai seorang putri kemudian mewujudkan visi sang ayah melalui kerajaan yang didirikan oleh suaminya (Raden Wijaya). Berbekal ketertarikan Gayatri dalam dunia politik dari kecil, Gayatri berhasil menaruh pengaruhnya dalam perkembangan Majapahit. Dalam memberikan kiprahnya, Gayatri tidak mempunyai legalitas sebagai ratu, melainkan turut membantu kebijakan politik Majapahit sehingga melahirkan pemerintahan yang berjaya dimasanya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{"citationItems":[{"id":"ITEM-1","itemData":{"DOI":"10.19105/ghancaran.vi.8334","ISSN":"2714-8955","abstract":"Folklore is a variety of literary works that existed earlier than other literary works. Folklore developed from generation to generation. It can be from old stories to fibers or chronicles written by ancient masters or writers. The figure of Gayatri Rajapatni himself is the daughter of King Kertanegara of the Singosari Kingdom. The leadership of the Majapahit government at that time, Gayatri had the right to rule. In fact Gayatri chose to become a royal advisor. Character formation in students can be developed through the material in the learning process. It was Gayatri's figure that made the second era after Raden Wijaya a great empire because he had an agile and intelligent regent for his upbringing. The intelligent, feminine, and nationalist character of Gayatri Rajapatni can be used as character teaching materials by students. This study aims to introduce and utilize local folklore as a form of character education for students. Researchers used a qualitative descriptive approach by using literature review techniques. Researchers get data from the results of previous research collections, the youtube platform, and so on.","author":[{"dropping-particle":"","family":"Arpriansyah","given":"Achmad Ichsan","non-dropping-particle":"","parse-names":false,"suffix":""},{"dropping-particle":"","family":"Hakim","given":"Titik Dwi Ramthi","non-dropping-particle":"","parse-names":false,"suffix":""}],"container-title":"GHANCARAN: Jurnal Pendidikan Bahasa dan Sastra Indonesia","id":"ITEM-1","issued":{"date-parts":[["2023"]]},"page":"439-448","title":"Cerita Rakyat Tokoh Gayatri Rajapatni sebagai Sarana Penguatan Profil Pelajar Pancasila Pada Siswa SMA","type":"article-journal"},"uris":["http://www.mendeley.com/documents/?uuid=59affdc1-c4d8-423e-b28e-a460cebc80e3"]}],"mendeley":{"formattedCitation":"(Arpriansyah &amp; Hakim, 2023)","plainTextFormattedCitation":"(Arpriansyah &amp; Hakim, 2023)","previouslyFormattedCitation":"(Arpriansyah &amp; Hakim, 2023)"},"properties":{"noteIndex":0},"schema":"https://github.com/citation-style-language/schema/raw/master/csl-citation.json"}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(Arpriansyah &amp; Hakim, 2023)</w:t>
      </w:r>
      <w:r>
        <w:rPr>
          <w:rFonts w:ascii="Constantia" w:eastAsia="Times New Roman" w:hAnsi="Constantia"/>
          <w:sz w:val="24"/>
          <w:szCs w:val="24"/>
        </w:rPr>
        <w:fldChar w:fldCharType="end"/>
      </w:r>
      <w:r>
        <w:rPr>
          <w:rFonts w:ascii="Constantia" w:eastAsia="Times New Roman" w:hAnsi="Constantia"/>
          <w:sz w:val="24"/>
          <w:szCs w:val="24"/>
        </w:rPr>
        <w:t xml:space="preserve">. Gayatri membentuk kader hebat bernama Maha Patih Gajah Mada yang kemudian terkenal dengan sumpahnya yaitu </w:t>
      </w:r>
      <w:r>
        <w:rPr>
          <w:rFonts w:ascii="Constantia" w:eastAsia="Times New Roman" w:hAnsi="Constantia"/>
          <w:i/>
          <w:sz w:val="24"/>
          <w:szCs w:val="24"/>
        </w:rPr>
        <w:t xml:space="preserve">“sumpah palapa” </w:t>
      </w:r>
      <w:r>
        <w:rPr>
          <w:rFonts w:ascii="Constantia" w:eastAsia="Times New Roman" w:hAnsi="Constantia"/>
          <w:i/>
          <w:sz w:val="24"/>
          <w:szCs w:val="24"/>
        </w:rPr>
        <w:fldChar w:fldCharType="begin"/>
      </w:r>
      <w:r>
        <w:rPr>
          <w:rFonts w:ascii="Constantia" w:eastAsia="Times New Roman" w:hAnsi="Constantia"/>
          <w:i/>
          <w:sz w:val="24"/>
          <w:szCs w:val="24"/>
        </w:rPr>
        <w:instrText>ADDIN CSL_CITATION {"citationItems":[{"id":"ITEM-1","itemData":{"ISBN":"1965041719900","author":[{"dropping-particle":"","family":"Wahyuni","given":"E","non-dropping-particle":"","parse-names":false,"suffix":""}],"id":"ITEM-1","issued":{"date-parts":[["2016"]]},"title":"Pengembangan Cerita Sejarah \"Gayatri Sri Rajapatni Perempuan Pembangun Imperium Majapahit\" pada Mata Pelajaran Sejarah SMA Kelas X dengan Model Assure","type":"book"},"uris":["http://www.mendeley.com/documents/?uuid=794b3037-36cf-41ef-b2d4-361687e39353"]}],"mendeley":{"formattedCitation":"(Wahyuni, 2016)","plainTextFormattedCitation":"(Wahyuni, 2016)","previouslyFormattedCitation":"(Wahyuni, 2016)"},"properties":{"noteIndex":0},"schema":"https://github.com/citation-style-language/schema/raw/master/csl-citation.json"}</w:instrText>
      </w:r>
      <w:r>
        <w:rPr>
          <w:rFonts w:ascii="Constantia" w:eastAsia="Times New Roman" w:hAnsi="Constantia"/>
          <w:i/>
          <w:sz w:val="24"/>
          <w:szCs w:val="24"/>
        </w:rPr>
        <w:fldChar w:fldCharType="separate"/>
      </w:r>
      <w:r>
        <w:rPr>
          <w:rFonts w:ascii="Constantia" w:eastAsia="Times New Roman" w:hAnsi="Constantia"/>
          <w:sz w:val="24"/>
          <w:szCs w:val="24"/>
        </w:rPr>
        <w:t>(Wahyuni, 2016)</w:t>
      </w:r>
      <w:r>
        <w:rPr>
          <w:rFonts w:ascii="Constantia" w:eastAsia="Times New Roman" w:hAnsi="Constantia"/>
          <w:i/>
          <w:sz w:val="24"/>
          <w:szCs w:val="24"/>
        </w:rPr>
        <w:fldChar w:fldCharType="end"/>
      </w:r>
      <w:r>
        <w:rPr>
          <w:rFonts w:ascii="Constantia" w:eastAsia="Times New Roman" w:hAnsi="Constantia"/>
          <w:sz w:val="24"/>
          <w:szCs w:val="24"/>
        </w:rPr>
        <w:t xml:space="preserve">. </w:t>
      </w:r>
      <w:r>
        <w:rPr>
          <w:rFonts w:ascii="Constantia" w:eastAsia="Times New Roman" w:hAnsi="Constantia"/>
          <w:color w:val="000000"/>
          <w:sz w:val="24"/>
          <w:szCs w:val="24"/>
        </w:rPr>
        <w:t xml:space="preserve">Keikutsertaan Gayatri dalam pengambilan kebijakan politik Majapahit memperlihatkan bahwa perempuan memiliki posisi yang sama dalam pemerintahan dengan laki-laki </w:t>
      </w:r>
      <w:r>
        <w:rPr>
          <w:rFonts w:ascii="Constantia" w:eastAsia="Times New Roman" w:hAnsi="Constantia"/>
          <w:color w:val="000000"/>
          <w:sz w:val="24"/>
          <w:szCs w:val="24"/>
        </w:rPr>
        <w:fldChar w:fldCharType="begin"/>
      </w:r>
      <w:r>
        <w:rPr>
          <w:rFonts w:ascii="Constantia" w:eastAsia="Times New Roman" w:hAnsi="Constantia"/>
          <w:color w:val="000000"/>
          <w:sz w:val="24"/>
          <w:szCs w:val="24"/>
        </w:rPr>
        <w:instrText>ADDIN CSL_CITATION {"citationItems":[{"id":"ITEM-1","itemData":{"DOI":"10.22146/jwk.764","abstract":"Gerakan Islam Transnasional yang berkembang setelah reformasi, mendudukkan perempuan pada posisi kuat dalam rumah tangga. Gerakan ini menggunakan istilah hijrah yaitu mengembalikan perempuan pada fitrahnya sesuai syariat Islam; perempuan bertugas mengurus rumah tangga dan laki-laki bekerja mencari nafkah. Kondisi ini sangat berbeda dengan gerakan kesetaraan gender yang mendorong perempuan untuk berkiprah di wilayah publik dan tidak hanya di wilayah domestik.\r Kajian historis melalui literatur menunjukkan bahwa perempuan Indonesia banyak berkiprah pada sektor publik. Pada zaman pra kolonial perempuan Indonesia berperan sentral pada bidang perdagangan dan pertanian, pada zaman kerajaan Hindu Budha bahkan kerajaan Islam pernah terjadi perempuan memimpin kerajaan. Pada zaman Majapahit memerintah Tri Bhuana Tungga Dewi, pada kerajaan Islam di Aceh pernah memimpin Taj-Al Alam Safiatuddin dan Sri Sultanah Nur Al-Alam Nagiat ad-Din Syah yang memerintah di Kerajaan Aceh Darussalam. Di Jawa juga pernah memerintah kerajaan Islam Pajang yaitu Ratu Kalinyamat. Pada masa pergerakan, perempuan Indonesia juga sangat berperan seperti pejuang perempuan yang sekarang menjadi pahlawan perempuan. Gerakan Islam Transnasional yang menguat memberi andil besar terhadap gerakan perempuan Indonesia yang semakin terdomestifikasi. Gerakan ini kontraproduktif dengan gerakan kesetaraan gender yang telah berkembang di Indonesia pada saat ini.","author":[{"dropping-particle":"","family":"Fathoni","given":"Rifai Shodiq","non-dropping-particle":"","parse-names":false,"suffix":""}],"container-title":"Jurnal Wanita dan Keluarga","id":"ITEM-1","issue":"1","issued":{"date-parts":[["2020"]]},"page":"1-6","title":"Domestifikasi Perempuan dalam Gerakan Islam Transnasional di Indonesia 1998 – 2016 M","type":"article-journal","volume":"1"},"uris":["http://www.mendeley.com/documents/?uuid=99999164-5a50-4e48-acd5-0cb00f0a1e0c"]}],"mendeley":{"formattedCitation":"(Fathoni, 2020)","plainTextFormattedCitation":"(Fathoni, 2020)","previouslyFormattedCitation":"(Fathoni, 2020)"},"properties":{"noteIndex":0},"schema":"https://github.com/citation-style-language/schema/raw/master/csl-citation.json"}</w:instrText>
      </w:r>
      <w:r>
        <w:rPr>
          <w:rFonts w:ascii="Constantia" w:eastAsia="Times New Roman" w:hAnsi="Constantia"/>
          <w:color w:val="000000"/>
          <w:sz w:val="24"/>
          <w:szCs w:val="24"/>
        </w:rPr>
        <w:fldChar w:fldCharType="separate"/>
      </w:r>
      <w:r>
        <w:rPr>
          <w:rFonts w:ascii="Constantia" w:eastAsia="Times New Roman" w:hAnsi="Constantia"/>
          <w:color w:val="000000"/>
          <w:sz w:val="24"/>
          <w:szCs w:val="24"/>
        </w:rPr>
        <w:t>(Fathoni, 2020)</w:t>
      </w:r>
      <w:r>
        <w:rPr>
          <w:rFonts w:ascii="Constantia" w:eastAsia="Times New Roman" w:hAnsi="Constantia"/>
          <w:color w:val="000000"/>
          <w:sz w:val="24"/>
          <w:szCs w:val="24"/>
        </w:rPr>
        <w:fldChar w:fldCharType="end"/>
      </w:r>
      <w:r>
        <w:rPr>
          <w:rFonts w:ascii="Constantia" w:eastAsia="Times New Roman" w:hAnsi="Constantia"/>
          <w:color w:val="000000"/>
          <w:sz w:val="24"/>
          <w:szCs w:val="24"/>
        </w:rPr>
        <w:t xml:space="preserve">. Pada masa pemerintahan Majapahit, perempuan memperoleh kedudukan dan jabatan politik yang setara dengan lai-laki serta mendapatkan perlindungan hukum </w:t>
      </w:r>
      <w:r>
        <w:rPr>
          <w:rFonts w:ascii="Constantia" w:eastAsia="Times New Roman" w:hAnsi="Constantia"/>
          <w:color w:val="000000"/>
          <w:sz w:val="24"/>
          <w:szCs w:val="24"/>
        </w:rPr>
        <w:fldChar w:fldCharType="begin"/>
      </w:r>
      <w:r>
        <w:rPr>
          <w:rFonts w:ascii="Constantia" w:eastAsia="Times New Roman" w:hAnsi="Constantia"/>
          <w:color w:val="000000"/>
          <w:sz w:val="24"/>
          <w:szCs w:val="24"/>
        </w:rPr>
        <w:instrText>ADDIN CSL_CITATION {"citationItems":[{"id":"ITEM-1","itemData":{"DOI":"10.29408/fhs.v6i2.6593","abstract":"In ancient Java, women and men had an equal position in politics. This equality can be seen from the mention of men and women who have positions in high positions in royal politics. These positions include crown son/princess, regional ruler to the supreme ruler as the king/empress of the kingdom. This research uses historiographic methods that go through five stages, including topic selection, heuristics, source verification, source interpretation and historiography. This research found that during the Majapahit period, in addition to women having an equal position, women during the Majapahit era had also received legal protection as stated in Kutaramanawa. In addition to obtaining legal protection, women during the Majapahit period also had the same opportunity to obtain education or political training. Tribhuwanottu</w:instrText>
      </w:r>
      <w:r>
        <w:rPr>
          <w:rFonts w:ascii="Times New Roman" w:cs="Times New Roman" w:eastAsia="Times New Roman" w:hAnsi="Times New Roman"/>
          <w:color w:val="000000"/>
          <w:sz w:val="24"/>
          <w:szCs w:val="24"/>
        </w:rPr>
        <w:instrText>ṅ</w:instrText>
      </w:r>
      <w:r>
        <w:rPr>
          <w:rFonts w:ascii="Constantia" w:eastAsia="Times New Roman" w:hAnsi="Constantia"/>
          <w:color w:val="000000"/>
          <w:sz w:val="24"/>
          <w:szCs w:val="24"/>
        </w:rPr>
        <w:instrText>gadew</w:instrText>
      </w:r>
      <w:r>
        <w:rPr>
          <w:rFonts w:ascii="Constantia" w:cs="Constantia" w:eastAsia="Times New Roman" w:hAnsi="Constantia"/>
          <w:color w:val="000000"/>
          <w:sz w:val="24"/>
          <w:szCs w:val="24"/>
        </w:rPr>
        <w:instrText>ī</w:instrText>
      </w:r>
      <w:r>
        <w:rPr>
          <w:rFonts w:ascii="Constantia" w:eastAsia="Times New Roman" w:hAnsi="Constantia"/>
          <w:color w:val="000000"/>
          <w:sz w:val="24"/>
          <w:szCs w:val="24"/>
        </w:rPr>
        <w:instrText xml:space="preserve"> and R</w:instrText>
      </w:r>
      <w:r>
        <w:rPr>
          <w:rFonts w:ascii="Constantia" w:cs="Constantia" w:eastAsia="Times New Roman" w:hAnsi="Constantia"/>
          <w:color w:val="000000"/>
          <w:sz w:val="24"/>
          <w:szCs w:val="24"/>
        </w:rPr>
        <w:instrText>ā</w:instrText>
      </w:r>
      <w:r>
        <w:rPr>
          <w:rFonts w:ascii="Constantia" w:eastAsia="Times New Roman" w:hAnsi="Constantia"/>
          <w:color w:val="000000"/>
          <w:sz w:val="24"/>
          <w:szCs w:val="24"/>
        </w:rPr>
        <w:instrText>jadew</w:instrText>
      </w:r>
      <w:r>
        <w:rPr>
          <w:rFonts w:ascii="Constantia" w:cs="Constantia" w:eastAsia="Times New Roman" w:hAnsi="Constantia"/>
          <w:color w:val="000000"/>
          <w:sz w:val="24"/>
          <w:szCs w:val="24"/>
        </w:rPr>
        <w:instrText>ī</w:instrText>
      </w:r>
      <w:r>
        <w:rPr>
          <w:rFonts w:ascii="Constantia" w:eastAsia="Times New Roman" w:hAnsi="Constantia"/>
          <w:color w:val="000000"/>
          <w:sz w:val="24"/>
          <w:szCs w:val="24"/>
        </w:rPr>
        <w:instrText xml:space="preserve"> had been given the opportunity to occupy the territories of vassal kingdoms as regional rulers in Kahuripan and Daha. After Tribhuwanottu</w:instrText>
      </w:r>
      <w:r>
        <w:rPr>
          <w:rFonts w:ascii="Times New Roman" w:cs="Times New Roman" w:eastAsia="Times New Roman" w:hAnsi="Times New Roman"/>
          <w:color w:val="000000"/>
          <w:sz w:val="24"/>
          <w:szCs w:val="24"/>
        </w:rPr>
        <w:instrText>ṅ</w:instrText>
      </w:r>
      <w:r>
        <w:rPr>
          <w:rFonts w:ascii="Constantia" w:eastAsia="Times New Roman" w:hAnsi="Constantia"/>
          <w:color w:val="000000"/>
          <w:sz w:val="24"/>
          <w:szCs w:val="24"/>
        </w:rPr>
        <w:instrText>gadew</w:instrText>
      </w:r>
      <w:r>
        <w:rPr>
          <w:rFonts w:ascii="Constantia" w:cs="Constantia" w:eastAsia="Times New Roman" w:hAnsi="Constantia"/>
          <w:color w:val="000000"/>
          <w:sz w:val="24"/>
          <w:szCs w:val="24"/>
        </w:rPr>
        <w:instrText>ī</w:instrText>
      </w:r>
      <w:r>
        <w:rPr>
          <w:rFonts w:ascii="Constantia" w:eastAsia="Times New Roman" w:hAnsi="Constantia"/>
          <w:color w:val="000000"/>
          <w:sz w:val="24"/>
          <w:szCs w:val="24"/>
        </w:rPr>
        <w:instrText xml:space="preserve"> ascended the throne to become empress in 1329, Gayatr</w:instrText>
      </w:r>
      <w:r>
        <w:rPr>
          <w:rFonts w:ascii="Constantia" w:cs="Constantia" w:eastAsia="Times New Roman" w:hAnsi="Constantia"/>
          <w:color w:val="000000"/>
          <w:sz w:val="24"/>
          <w:szCs w:val="24"/>
        </w:rPr>
        <w:instrText>ī</w:instrText>
      </w:r>
      <w:r>
        <w:rPr>
          <w:rFonts w:ascii="Constantia" w:eastAsia="Times New Roman" w:hAnsi="Constantia"/>
          <w:color w:val="000000"/>
          <w:sz w:val="24"/>
          <w:szCs w:val="24"/>
        </w:rPr>
        <w:instrText xml:space="preserve"> guided and played a behind the scenes role in the reign of Tribhuwanottu</w:instrText>
      </w:r>
      <w:r>
        <w:rPr>
          <w:rFonts w:ascii="Times New Roman" w:cs="Times New Roman" w:eastAsia="Times New Roman" w:hAnsi="Times New Roman"/>
          <w:color w:val="000000"/>
          <w:sz w:val="24"/>
          <w:szCs w:val="24"/>
        </w:rPr>
        <w:instrText>ṅ</w:instrText>
      </w:r>
      <w:r>
        <w:rPr>
          <w:rFonts w:ascii="Constantia" w:eastAsia="Times New Roman" w:hAnsi="Constantia"/>
          <w:color w:val="000000"/>
          <w:sz w:val="24"/>
          <w:szCs w:val="24"/>
        </w:rPr>
        <w:instrText>gadew</w:instrText>
      </w:r>
      <w:r>
        <w:rPr>
          <w:rFonts w:ascii="Constantia" w:cs="Constantia" w:eastAsia="Times New Roman" w:hAnsi="Constantia"/>
          <w:color w:val="000000"/>
          <w:sz w:val="24"/>
          <w:szCs w:val="24"/>
        </w:rPr>
        <w:instrText>ī</w:instrText>
      </w:r>
      <w:r>
        <w:rPr>
          <w:rFonts w:ascii="Constantia" w:eastAsia="Times New Roman" w:hAnsi="Constantia"/>
          <w:color w:val="000000"/>
          <w:sz w:val="24"/>
          <w:szCs w:val="24"/>
        </w:rPr>
        <w:instrText>. During the Majapahit era, women had an important position in royal politics, ranging from rulers (central and regional) to playing a role behind the scenes of government.Pada masa Jawa Kuno perempuan dan laki-laki mempunyai kedudukan yang setara dalam bidang politik. Kesetaraan tersebut terlihat dari disebutkannya laki-laki dan perempuan yang mempunyai kedudukan dalam jabatan tinggi politik kerajaan. Jabatan tersebut antara lain putra/putri mahkota, penguasa daerah hingga penguasa tertinggi kerajaan. Penelitian ini menggunakan metode historiografi yang melalui lima tahapan, diantaranya pemilihan topik, heuristik, verifikasi sumber, interpretasi sumber dan historiography. Penelitian ini menemukan bahwa pada masa Majapahit selain perempuan telah mempunyai kedudukan yang setara, perempuan pada masa Majapahit juga telah memperoleh perlindungan hukum seperti yang telah tertera dalam Kutaramanawa. Selain memperoleh perlindungan hukum, perempuan pada masa Majapahit juga telah mempunyai kesempatan yang sama untuk memperoleh pendidikan ataupun pelatihan politik. Tribhuwanottu</w:instrText>
      </w:r>
      <w:r>
        <w:rPr>
          <w:rFonts w:ascii="Times New Roman" w:cs="Times New Roman" w:eastAsia="Times New Roman" w:hAnsi="Times New Roman"/>
          <w:color w:val="000000"/>
          <w:sz w:val="24"/>
          <w:szCs w:val="24"/>
        </w:rPr>
        <w:instrText>ṅ</w:instrText>
      </w:r>
      <w:r>
        <w:rPr>
          <w:rFonts w:ascii="Constantia" w:eastAsia="Times New Roman" w:hAnsi="Constantia"/>
          <w:color w:val="000000"/>
          <w:sz w:val="24"/>
          <w:szCs w:val="24"/>
        </w:rPr>
        <w:instrText>gadew</w:instrText>
      </w:r>
      <w:r>
        <w:rPr>
          <w:rFonts w:ascii="Constantia" w:cs="Constantia" w:eastAsia="Times New Roman" w:hAnsi="Constantia"/>
          <w:color w:val="000000"/>
          <w:sz w:val="24"/>
          <w:szCs w:val="24"/>
        </w:rPr>
        <w:instrText>ī</w:instrText>
      </w:r>
      <w:r>
        <w:rPr>
          <w:rFonts w:ascii="Constantia" w:eastAsia="Times New Roman" w:hAnsi="Constantia"/>
          <w:color w:val="000000"/>
          <w:sz w:val="24"/>
          <w:szCs w:val="24"/>
        </w:rPr>
        <w:instrText xml:space="preserve"> dan Rājadewī telah diberikan kesempatan untuk menduduki wilayah kerajaan bawahan sebagai penguasa daerah di Kahuripan dan Daha. Setelah Tribhuwanottu</w:instrText>
      </w:r>
      <w:r>
        <w:rPr>
          <w:rFonts w:ascii="Times New Roman" w:cs="Times New Roman" w:eastAsia="Times New Roman" w:hAnsi="Times New Roman"/>
          <w:color w:val="000000"/>
          <w:sz w:val="24"/>
          <w:szCs w:val="24"/>
        </w:rPr>
        <w:instrText>ṅ</w:instrText>
      </w:r>
      <w:r>
        <w:rPr>
          <w:rFonts w:ascii="Constantia" w:eastAsia="Times New Roman" w:hAnsi="Constantia"/>
          <w:color w:val="000000"/>
          <w:sz w:val="24"/>
          <w:szCs w:val="24"/>
        </w:rPr>
        <w:instrText>gadew</w:instrText>
      </w:r>
      <w:r>
        <w:rPr>
          <w:rFonts w:ascii="Constantia" w:cs="Constantia" w:eastAsia="Times New Roman" w:hAnsi="Constantia"/>
          <w:color w:val="000000"/>
          <w:sz w:val="24"/>
          <w:szCs w:val="24"/>
        </w:rPr>
        <w:instrText>ī</w:instrText>
      </w:r>
      <w:r>
        <w:rPr>
          <w:rFonts w:ascii="Constantia" w:eastAsia="Times New Roman" w:hAnsi="Constantia"/>
          <w:color w:val="000000"/>
          <w:sz w:val="24"/>
          <w:szCs w:val="24"/>
        </w:rPr>
        <w:instrText xml:space="preserve"> naik tahta menjadi ratu tahun 1329, Gayatr</w:instrText>
      </w:r>
      <w:r>
        <w:rPr>
          <w:rFonts w:ascii="Constantia" w:cs="Constantia" w:eastAsia="Times New Roman" w:hAnsi="Constantia"/>
          <w:color w:val="000000"/>
          <w:sz w:val="24"/>
          <w:szCs w:val="24"/>
        </w:rPr>
        <w:instrText>ī</w:instrText>
      </w:r>
      <w:r>
        <w:rPr>
          <w:rFonts w:ascii="Constantia" w:eastAsia="Times New Roman" w:hAnsi="Constantia"/>
          <w:color w:val="000000"/>
          <w:sz w:val="24"/>
          <w:szCs w:val="24"/>
        </w:rPr>
        <w:instrText xml:space="preserve"> membimbing serta berperan dari balik layar pemerintahan selama pemerintaha…","author":[{"dropping-particle":"","family":"Mu'aafi","given":"Gilang Harits","non-dropping-particle":"","parse-names":false,"suffix":""},{"dropping-particle":"","family":"Yuliati","given":"Yuliati","non-dropping-particle":"","parse-names":false,"suffix":""},{"dropping-particle":"","family":"Khakim","given":"Moch. Nurfahrul Lukmanul","non-dropping-particle":"","parse-names":false,"suffix":""}],"container-title":"Fajar Historia: Jurnal Ilmu Sejarah dan Pendidikan","id":"ITEM-1","issue":"2","issued":{"date-parts":[["2022"]]},"page":"244-258","title":"Egaliter Masa Majapahit: Studi Kasus Penguasa Perempuan Majapahit Tribhuwanottu</w:instrText>
      </w:r>
      <w:r>
        <w:rPr>
          <w:rFonts w:ascii="Times New Roman" w:cs="Times New Roman" w:eastAsia="Times New Roman" w:hAnsi="Times New Roman"/>
          <w:color w:val="000000"/>
          <w:sz w:val="24"/>
          <w:szCs w:val="24"/>
        </w:rPr>
        <w:instrText>ṅ</w:instrText>
      </w:r>
      <w:r>
        <w:rPr>
          <w:rFonts w:ascii="Constantia" w:eastAsia="Times New Roman" w:hAnsi="Constantia"/>
          <w:color w:val="000000"/>
          <w:sz w:val="24"/>
          <w:szCs w:val="24"/>
        </w:rPr>
        <w:instrText>gadew</w:instrText>
      </w:r>
      <w:r>
        <w:rPr>
          <w:rFonts w:ascii="Constantia" w:cs="Constantia" w:eastAsia="Times New Roman" w:hAnsi="Constantia"/>
          <w:color w:val="000000"/>
          <w:sz w:val="24"/>
          <w:szCs w:val="24"/>
        </w:rPr>
        <w:instrText>ī</w:instrText>
      </w:r>
      <w:r>
        <w:rPr>
          <w:rFonts w:ascii="Constantia" w:eastAsia="Times New Roman" w:hAnsi="Constantia"/>
          <w:color w:val="000000"/>
          <w:sz w:val="24"/>
          <w:szCs w:val="24"/>
        </w:rPr>
        <w:instrText xml:space="preserve"> Jayawi</w:instrText>
      </w:r>
      <w:r>
        <w:rPr>
          <w:rFonts w:ascii="Times New Roman" w:cs="Times New Roman" w:eastAsia="Times New Roman" w:hAnsi="Times New Roman"/>
          <w:color w:val="000000"/>
          <w:sz w:val="24"/>
          <w:szCs w:val="24"/>
        </w:rPr>
        <w:instrText>ṣṇ</w:instrText>
      </w:r>
      <w:r>
        <w:rPr>
          <w:rFonts w:ascii="Constantia" w:eastAsia="Times New Roman" w:hAnsi="Constantia"/>
          <w:color w:val="000000"/>
          <w:sz w:val="24"/>
          <w:szCs w:val="24"/>
        </w:rPr>
        <w:instrText>uwarddhan</w:instrText>
      </w:r>
      <w:r>
        <w:rPr>
          <w:rFonts w:ascii="Constantia" w:cs="Constantia" w:eastAsia="Times New Roman" w:hAnsi="Constantia"/>
          <w:color w:val="000000"/>
          <w:sz w:val="24"/>
          <w:szCs w:val="24"/>
        </w:rPr>
        <w:instrText>ī</w:instrText>
      </w:r>
      <w:r>
        <w:rPr>
          <w:rFonts w:ascii="Constantia" w:eastAsia="Times New Roman" w:hAnsi="Constantia"/>
          <w:color w:val="000000"/>
          <w:sz w:val="24"/>
          <w:szCs w:val="24"/>
        </w:rPr>
        <w:instrText>, 1329-1350","type":"article-journal","volume":"6"},"uris":["http://www.mendeley.com/documents/?uuid=4ee99ebb-214d-47b8-83f2-995b0e0eb732"]}],"mendeley":{"formattedCitation":"(Mu’aafi et al., 2022)","plainTextFormattedCitation":"(Mu’aafi et al., 2022)","previouslyFormattedCitation":"(Mu’aafi et al., 2022)"},"properties":{"noteIndex":0},"schema":"https://github.com/citation-style-language/schema/raw/master/csl-citation.json"}</w:instrText>
      </w:r>
      <w:r>
        <w:rPr>
          <w:rFonts w:ascii="Constantia" w:eastAsia="Times New Roman" w:hAnsi="Constantia"/>
          <w:color w:val="000000"/>
          <w:sz w:val="24"/>
          <w:szCs w:val="24"/>
        </w:rPr>
        <w:fldChar w:fldCharType="separate"/>
      </w:r>
      <w:r>
        <w:rPr>
          <w:rFonts w:ascii="Constantia" w:eastAsia="Times New Roman" w:hAnsi="Constantia"/>
          <w:color w:val="000000"/>
          <w:sz w:val="24"/>
          <w:szCs w:val="24"/>
        </w:rPr>
        <w:t>(Mu’aafi et al., 2022)</w:t>
      </w:r>
      <w:r>
        <w:rPr>
          <w:rFonts w:ascii="Constantia" w:eastAsia="Times New Roman" w:hAnsi="Constantia"/>
          <w:color w:val="000000"/>
          <w:sz w:val="24"/>
          <w:szCs w:val="24"/>
        </w:rPr>
        <w:fldChar w:fldCharType="end"/>
      </w:r>
      <w:r>
        <w:rPr>
          <w:rFonts w:ascii="Constantia" w:eastAsia="Times New Roman" w:hAnsi="Constantia"/>
          <w:color w:val="000000"/>
          <w:sz w:val="24"/>
          <w:szCs w:val="24"/>
        </w:rPr>
        <w:t xml:space="preserve">. Penelitian ini bertujuan untuk meningkatkan motivasi dan partisipasi perempuan dalam pengambilan </w:t>
      </w:r>
      <w:r>
        <w:rPr>
          <w:rFonts w:ascii="Constantia" w:eastAsia="Times New Roman" w:hAnsi="Constantia"/>
          <w:color w:val="000000"/>
          <w:sz w:val="24"/>
          <w:szCs w:val="24"/>
        </w:rPr>
        <w:t xml:space="preserve">keputusan politik sehingga dapat meningkatkan representasi perempuan di masyarakat dan dapat membantu mengawal serta mempengaruhi proses pembuatan kebijakan, sehingga dapat mendorong proses pembangunan kebijakan yang berkeadilan gender </w:t>
      </w:r>
      <w:r>
        <w:rPr>
          <w:rFonts w:ascii="Constantia" w:eastAsia="Times New Roman" w:hAnsi="Constantia"/>
          <w:color w:val="000000"/>
          <w:sz w:val="24"/>
          <w:szCs w:val="24"/>
        </w:rPr>
        <w:fldChar w:fldCharType="begin"/>
      </w:r>
      <w:r>
        <w:rPr>
          <w:rFonts w:ascii="Constantia" w:eastAsia="Times New Roman" w:hAnsi="Constantia"/>
          <w:color w:val="000000"/>
          <w:sz w:val="24"/>
          <w:szCs w:val="24"/>
        </w:rPr>
        <w:instrText>ADDIN CSL_CITATION {"citationItems":[{"id":"ITEM-1","itemData":{"author":[{"dropping-particle":"","family":"Suhra","given":"S","non-dropping-particle":"","parse-names":false,"suffix":""}],"id":"ITEM-1","issue":"September 2016","issued":{"date-parts":[["2018"]]},"page":"335-344","title":"Potret Perempuan dalam Ranah Politik di Indonesia","type":"article-journal","volume":"XI"},"uris":["http://www.mendeley.com/documents/?uuid=65177658-5d70-46ea-9dd4-31eeb972d536"]}],"mendeley":{"formattedCitation":"(Suhra, 2018)","plainTextFormattedCitation":"(Suhra, 2018)","previouslyFormattedCitation":"(Suhra, 2018)"},"properties":{"noteIndex":0},"schema":"https://github.com/citation-style-language/schema/raw/master/csl-citation.json"}</w:instrText>
      </w:r>
      <w:r>
        <w:rPr>
          <w:rFonts w:ascii="Constantia" w:eastAsia="Times New Roman" w:hAnsi="Constantia"/>
          <w:color w:val="000000"/>
          <w:sz w:val="24"/>
          <w:szCs w:val="24"/>
        </w:rPr>
        <w:fldChar w:fldCharType="separate"/>
      </w:r>
      <w:r>
        <w:rPr>
          <w:rFonts w:ascii="Constantia" w:eastAsia="Times New Roman" w:hAnsi="Constantia"/>
          <w:color w:val="000000"/>
          <w:sz w:val="24"/>
          <w:szCs w:val="24"/>
        </w:rPr>
        <w:t>(Suhra, 2018)</w:t>
      </w:r>
      <w:r>
        <w:rPr>
          <w:rFonts w:ascii="Constantia" w:eastAsia="Times New Roman" w:hAnsi="Constantia"/>
          <w:color w:val="000000"/>
          <w:sz w:val="24"/>
          <w:szCs w:val="24"/>
        </w:rPr>
        <w:fldChar w:fldCharType="end"/>
      </w:r>
      <w:r>
        <w:rPr>
          <w:rFonts w:ascii="Constantia" w:eastAsia="Times New Roman" w:hAnsi="Constantia"/>
          <w:color w:val="000000"/>
          <w:sz w:val="24"/>
          <w:szCs w:val="24"/>
        </w:rPr>
        <w:t>. Selain itu, penelitian ini juga bertujuan untuk menambah kajian literatur sejarah terutama sejarah perempuan pada masa Jawa kuno yang dapat dijadikan teladan bagi generasi muda dalam menjalani kehidupan di masyarakat.</w:t>
      </w:r>
    </w:p>
    <w:p>
      <w:pPr>
        <w:pStyle w:val="style0"/>
        <w:spacing w:before="240" w:lineRule="auto" w:line="240"/>
        <w:rPr>
          <w:rFonts w:ascii="Constantia" w:hAnsi="Constantia"/>
          <w:b/>
          <w:sz w:val="24"/>
        </w:rPr>
      </w:pPr>
      <w:r>
        <w:rPr>
          <w:rFonts w:ascii="Constantia" w:hAnsi="Constantia"/>
          <w:b/>
          <w:sz w:val="24"/>
        </w:rPr>
        <w:t>METODE</w:t>
      </w:r>
    </w:p>
    <w:p>
      <w:pPr>
        <w:pStyle w:val="style4101"/>
        <w:spacing w:lineRule="auto" w:line="240"/>
        <w:rPr>
          <w:rFonts w:ascii="Constantia" w:hAnsi="Constantia"/>
          <w:sz w:val="24"/>
          <w:szCs w:val="24"/>
          <w:lang w:val="id-ID"/>
        </w:rPr>
      </w:pPr>
      <w:r>
        <w:rPr>
          <w:rFonts w:ascii="Constantia" w:hAnsi="Constantia"/>
          <w:sz w:val="24"/>
          <w:szCs w:val="24"/>
        </w:rPr>
        <w:t>Penulis menggunakan metode historis sebagai metode penelitian dengan menggunakan studi literatur sebagai teknik penelitiannya.</w:t>
      </w:r>
      <w:r>
        <w:rPr>
          <w:rFonts w:ascii="Constantia" w:hAnsi="Constantia"/>
          <w:sz w:val="24"/>
          <w:szCs w:val="24"/>
        </w:rPr>
        <w:t xml:space="preserve"> Metode historis adalah proses menguji dan menganalisis secara kritis rekaman peninggalan masa lampau agar peristiwa yang terjadi dimasa lalu dapat direkonstruksikan secara imajinatif </w:t>
      </w:r>
      <w:r>
        <w:rPr>
          <w:rFonts w:ascii="Constantia" w:hAnsi="Constantia"/>
          <w:sz w:val="24"/>
          <w:szCs w:val="24"/>
        </w:rPr>
        <w:fldChar w:fldCharType="begin"/>
      </w:r>
      <w:r>
        <w:rPr>
          <w:rFonts w:ascii="Constantia" w:hAnsi="Constantia"/>
          <w:sz w:val="24"/>
          <w:szCs w:val="24"/>
        </w:rPr>
        <w:instrText>ADDIN CSL_CITATION {"citationItems":[{"id":"ITEM-1","itemData":{"abstract":"Penelitian ini bertujuan untuk meningkatkan minat membaca dengan menggunakan media Puzzel dari rangkaian gambar pada siswa kelas III SD Negeri 5 Rikit Gaib. Penelitian ini adalah penelitian tindakan kelas kolaboratif. Subjek penelitian ini adalah siswa kelas III SD Negeri 5 Rikit Gaib, Tahun Ajaran 2022/2023 yang berjumlah 15 siswa. Desain penelitian yang digunakan adalah model Kemmis dan Mc. Taggart. Teknik pengumpulan data yang digunakan dalam penelitian ini adalah: 1) skala, 2) observasi, dan 3) dokumentasi. Teknik analisis data menggunakan analisis deskriptif kuantitatif dan kualitatif. Hasil penelitian menunjukkan bahwa minat membaca siswa kelas III SD Negeri 5 Rikit Gaib dapat ditingkatkan dengan menggunakan media Puzzel dari rangkaian gambar melalui langkah pengamatan terhadap media Puzzel dari gambar, menyimak dan membaca paragraf, bertanya jawab dan mengarahkan perhatian terhadap pembelajaran. Pada pra tindakan, persentase jumlah siswa yang memiliki minat membaca minimal sudah mencapai predikatbaik sebesar 0%. Pada siklus I peningkatan persentase jumlah siswa yang memiliki minat membaca minimal sudah mencapai predikat baik sebesar 47,62%. Pada siklus II peningkatan persentase jumlah siswa yang memiliki minat membaca minimal sudah mencapai predikat baik sebesar 80,95%.","author":[{"dropping-particle":"","family":"Viranny &amp; Wardhono","given":"2024","non-dropping-particle":"","parse-names":false,"suffix":""}],"container-title":"Cendekia Pendidikan","id":"ITEM-1","issue":"4","issued":{"date-parts":[["2024"]]},"page":"50-54","title":"Cendikia pendidikan","type":"article-journal","volume":"4"},"uris":["http://www.mendeley.com/documents/?uuid=8f6db7d8-3fe8-406e-a7f1-6fd3c2f29722"]}],"mendeley":{"formattedCitation":"(Viranny &amp; Wardhono, 2024)","plainTextFormattedCitation":"(Viranny &amp; Wardhono, 2024)","previouslyFormattedCitation":"(Viranny &amp; Wardhono, 2024)"},"properties":{"noteIndex":0},"schema":"https://github.com/citation-style-language/schema/raw/master/csl-citation.json"}</w:instrText>
      </w:r>
      <w:r>
        <w:rPr>
          <w:rFonts w:ascii="Constantia" w:hAnsi="Constantia"/>
          <w:sz w:val="24"/>
          <w:szCs w:val="24"/>
        </w:rPr>
        <w:fldChar w:fldCharType="separate"/>
      </w:r>
      <w:r>
        <w:rPr>
          <w:rFonts w:ascii="Constantia" w:hAnsi="Constantia"/>
          <w:noProof/>
          <w:sz w:val="24"/>
          <w:szCs w:val="24"/>
        </w:rPr>
        <w:t>(Viranny &amp; Wardhono, 2024)</w:t>
      </w:r>
      <w:r>
        <w:rPr>
          <w:rFonts w:ascii="Constantia" w:hAnsi="Constantia"/>
          <w:sz w:val="24"/>
          <w:szCs w:val="24"/>
        </w:rPr>
        <w:fldChar w:fldCharType="end"/>
      </w:r>
      <w:r>
        <w:rPr>
          <w:rFonts w:ascii="Constantia" w:hAnsi="Constantia"/>
          <w:sz w:val="24"/>
          <w:szCs w:val="24"/>
        </w:rPr>
        <w:t xml:space="preserve">. Hasil analisis tersebut didapatkan dengan </w:t>
      </w:r>
      <w:r>
        <w:rPr>
          <w:rFonts w:ascii="Constantia" w:hAnsi="Constantia"/>
          <w:sz w:val="24"/>
          <w:szCs w:val="24"/>
        </w:rPr>
        <w:t>cara</w:t>
      </w:r>
      <w:r>
        <w:rPr>
          <w:rFonts w:ascii="Constantia" w:hAnsi="Constantia"/>
          <w:sz w:val="24"/>
          <w:szCs w:val="24"/>
        </w:rPr>
        <w:t xml:space="preserve"> menggali, memberi penilaian, mengartikan dan menafsirkan fakta-fakta masa lampau supaya kemudian dapat dianalisis untuk ditarik kesimpulan dari sebuah peristiwa yang terjadi.</w:t>
      </w:r>
      <w:r>
        <w:rPr>
          <w:rFonts w:ascii="Constantia" w:hAnsi="Constantia"/>
          <w:b/>
          <w:sz w:val="24"/>
          <w:szCs w:val="24"/>
        </w:rPr>
        <w:t xml:space="preserve"> </w:t>
      </w:r>
      <w:r>
        <w:rPr>
          <w:rFonts w:ascii="Constantia" w:hAnsi="Constantia"/>
          <w:sz w:val="24"/>
          <w:szCs w:val="24"/>
        </w:rPr>
        <w:t xml:space="preserve">1) Penulisan dimulai dengan pengumpulan data (heuristik) berupa sumber tertulis meliputi artikel, jurnal, dan buku. 2) Selanjutnya peneliti melakukan kritik sumber dimana peneliti melakukan penilaian keautentikan sumber baik secara eksternal maupun internal </w:t>
      </w:r>
      <w:r>
        <w:rPr>
          <w:rFonts w:ascii="Constantia" w:hAnsi="Constantia"/>
          <w:sz w:val="24"/>
          <w:szCs w:val="24"/>
        </w:rPr>
        <w:fldChar w:fldCharType="begin"/>
      </w:r>
      <w:r>
        <w:rPr>
          <w:rFonts w:ascii="Constantia" w:hAnsi="Constantia"/>
          <w:sz w:val="24"/>
          <w:szCs w:val="24"/>
        </w:rPr>
        <w:instrText>ADDIN CSL_CITATION {"citationItems":[{"id":"ITEM-1","itemData":{"DOI":"10.21580/ws.24.2.974","ISSN":"0852-7172","abstract":"&lt;p class=\"IIABSBARU\"&gt;The history of the collapse of the Majapahit showed the discourse of power. In this context  rule has been supporting a particular version of historical knowledge. Applying  historical method and multi-dimensional approach, this study aims to find out why the knowledge about the collapse of Majapahit spreading among community members was more tended toward the version that Girindra-wardhana  as a single actor who overthrow Prabu Brawijaya V. The results of this study indicated  that the knowledge  among Javanese  community about the collapse  of Majapahit that stated Girindrawardhana as the sole actor that attacked  and subverted  the kingdom of Majapahit which at the time was ruled by King Kertabhumi (Brawijaya V) is supported by a wide range of all power of the ruling elite that were largely due to ideological motives. Power and ideology are used as a means of legalizing knowledge.&lt;/p&gt;&lt;p class=\"IIABSBARU\"&gt;***&lt;/p&gt;&lt;p class=\"NewStyle17\"&gt;Sejarah runtuhnya Majapahit memunculkan diskursus yang menampilkan ke­kuasaan. Dengan demikian kekuasaan telah menyokong versi pengetahuan sejarah tertentu. Dengan menggunakan metode sejarah dan pendekatan multi-dimensional, penelitian ini bertujuan untuk mengetahui mengapa penge­tahuan tentang peristiwa runtuhnya Majapahit yang berkembang dalam masyarakat lebih me­nisbatkan pada versi Girindrawardhana sebagai aktor tunggal yang melengserkan kekuasaan Prabu Brawijaya V. Hasil dari penelitian ini menunjuk­kan bahwa pengetahuan masyarakat Jawa mengenai peristiwa runtuhnya Majapahit yang meletakkan Girindrawardhana sebagai aktor tunggal yang menyerang dan menumbangkan kerajaan Majapahit yang pada waktu diperintah oleh Prabu Kertabhumi (Brawijaya V) disokong oleh berbagai ke­kuataan elit penguasa yang sebagian besar karena motif ideologi. Kekuasaan dan ideologi digunakan sebagai alat legalisasi pengetahuan.&lt;/p&gt;","author":[{"dropping-particle":"","family":"Birsyada","given":"Muhammad Iqbal","non-dropping-particle":"","parse-names":false,"suffix":""}],"container-title":"Walisongo: Jurnal Penelitian Sosial Keagamaan","id":"ITEM-1","issue":"2","issued":{"date-parts":[["2016"]]},"page":"311","title":"Legitimasi Kekuasaan Atas Sejarah Keruntuhan Kerajaan Majapahit Dalam Wacana Foucault","type":"article-journal","volume":"24"},"uris":["http://www.mendeley.com/documents/?uuid=c928ef0b-4b80-460f-b736-009f71337423"]}],"mendeley":{"formattedCitation":"(Birsyada, 2016)","plainTextFormattedCitation":"(Birsyada, 2016)","previouslyFormattedCitation":"(Birsyada, 2016)"},"properties":{"noteIndex":0},"schema":"https://github.com/citation-style-language/schema/raw/master/csl-citation.json"}</w:instrText>
      </w:r>
      <w:r>
        <w:rPr>
          <w:rFonts w:ascii="Constantia" w:hAnsi="Constantia"/>
          <w:sz w:val="24"/>
          <w:szCs w:val="24"/>
        </w:rPr>
        <w:fldChar w:fldCharType="separate"/>
      </w:r>
      <w:r>
        <w:rPr>
          <w:rFonts w:ascii="Constantia" w:hAnsi="Constantia"/>
          <w:noProof/>
          <w:sz w:val="24"/>
          <w:szCs w:val="24"/>
        </w:rPr>
        <w:t>(Birsyada, 2016)</w:t>
      </w:r>
      <w:r>
        <w:rPr>
          <w:rFonts w:ascii="Constantia" w:hAnsi="Constantia"/>
          <w:sz w:val="24"/>
          <w:szCs w:val="24"/>
        </w:rPr>
        <w:fldChar w:fldCharType="end"/>
      </w:r>
      <w:r>
        <w:rPr>
          <w:rFonts w:ascii="Constantia" w:hAnsi="Constantia"/>
          <w:sz w:val="24"/>
          <w:szCs w:val="24"/>
        </w:rPr>
        <w:t xml:space="preserve">. </w:t>
      </w:r>
      <w:r>
        <w:rPr>
          <w:rFonts w:ascii="Constantia" w:hAnsi="Constantia"/>
          <w:sz w:val="24"/>
          <w:szCs w:val="24"/>
        </w:rPr>
        <w:t>Pada tahap ini, peneliti memilah informasi yang didapatkan kemudian menentukan informasi yang mendekati dengan fakta sejarah dan menentukan informasi dari sumber primer atau sumber sekunder.</w:t>
      </w:r>
      <w:r>
        <w:rPr>
          <w:rFonts w:ascii="Constantia" w:hAnsi="Constantia"/>
          <w:sz w:val="24"/>
          <w:szCs w:val="24"/>
        </w:rPr>
        <w:t xml:space="preserve"> 3) Interpretasi. </w:t>
      </w:r>
      <w:r>
        <w:rPr>
          <w:rFonts w:ascii="Constantia" w:hAnsi="Constantia"/>
          <w:sz w:val="24"/>
          <w:szCs w:val="24"/>
        </w:rPr>
        <w:t>Pada tahap ini peneliti menghubungkan fakta atau peristiwa sejarah menjadi sebuah gambaran yang utuh sesuai dengan sumber yang diperoleh.</w:t>
      </w:r>
      <w:r>
        <w:rPr>
          <w:rFonts w:ascii="Constantia" w:hAnsi="Constantia"/>
          <w:sz w:val="24"/>
          <w:szCs w:val="24"/>
        </w:rPr>
        <w:t xml:space="preserve"> 4) Pada bagian terakhir, yaitu historiografi peneliti melakukan penulisan sejarah yang telah dilakukan berdasarkan fakta yang telah dikumpulkan.</w:t>
      </w:r>
    </w:p>
    <w:p>
      <w:pPr>
        <w:pStyle w:val="style0"/>
        <w:spacing w:before="240" w:lineRule="auto" w:line="240"/>
        <w:rPr>
          <w:rFonts w:ascii="Constantia" w:hAnsi="Constantia"/>
          <w:b/>
          <w:sz w:val="24"/>
        </w:rPr>
      </w:pPr>
      <w:r>
        <w:rPr>
          <w:rFonts w:ascii="Constantia" w:hAnsi="Constantia"/>
          <w:b/>
          <w:sz w:val="24"/>
        </w:rPr>
        <w:t>HASIL DAN PEMBAHASAN</w:t>
      </w:r>
    </w:p>
    <w:p>
      <w:pPr>
        <w:pStyle w:val="style0"/>
        <w:spacing w:after="0"/>
        <w:jc w:val="both"/>
        <w:rPr>
          <w:rFonts w:ascii="Constantia" w:eastAsia="Times New Roman" w:hAnsi="Constantia"/>
          <w:b/>
          <w:sz w:val="24"/>
          <w:szCs w:val="24"/>
        </w:rPr>
      </w:pPr>
      <w:r>
        <w:rPr>
          <w:rFonts w:ascii="Constantia" w:eastAsia="Times New Roman" w:hAnsi="Constantia"/>
          <w:b/>
          <w:sz w:val="24"/>
          <w:szCs w:val="24"/>
        </w:rPr>
        <w:t>Gayatri dengan Anugerah “Rajapatni” dan “Prajnaparamita”</w:t>
      </w:r>
    </w:p>
    <w:p>
      <w:pPr>
        <w:pStyle w:val="style179"/>
        <w:spacing w:after="0"/>
        <w:ind w:left="0"/>
        <w:jc w:val="both"/>
        <w:rPr>
          <w:rFonts w:ascii="Constantia" w:cs="Times New Roman" w:eastAsia="Times New Roman" w:hAnsi="Constantia"/>
          <w:szCs w:val="24"/>
        </w:rPr>
      </w:pPr>
      <w:r>
        <w:rPr>
          <w:rFonts w:ascii="Constantia" w:cs="Times New Roman" w:eastAsia="Times New Roman" w:hAnsi="Constantia"/>
          <w:b/>
          <w:szCs w:val="24"/>
        </w:rPr>
        <w:tab/>
      </w:r>
      <w:r>
        <w:rPr>
          <w:rFonts w:ascii="Constantia" w:cs="Times New Roman" w:eastAsia="Times New Roman" w:hAnsi="Constantia"/>
          <w:szCs w:val="24"/>
        </w:rPr>
        <w:t xml:space="preserve">Gayatri adalah putri Kertanegara yang merupakan raja terakhir Kerajaan Singosari. Gayatri mempunyai kepribadian yang berbanding terbalik dengan saudaranya. Gayatri menampilkan diri sebagai seorang perempuan intelektual yang sederhana dan tidak menonjolkan fisiknya seperti perempuan pada umumnya </w:t>
      </w:r>
      <w:r>
        <w:rPr>
          <w:rFonts w:ascii="Constantia" w:cs="Times New Roman" w:eastAsia="Times New Roman" w:hAnsi="Constantia"/>
          <w:smallCaps/>
          <w:szCs w:val="24"/>
        </w:rPr>
        <w:fldChar w:fldCharType="begin"/>
      </w:r>
      <w:r>
        <w:rPr>
          <w:rFonts w:ascii="Constantia" w:cs="Times New Roman" w:eastAsia="Times New Roman" w:hAnsi="Constantia"/>
          <w:szCs w:val="24"/>
        </w:rPr>
        <w:instrText>ADDIN CSL_CITATION {"citationItems":[{"id":"ITEM-1","itemData":{"DOI":"10.19105/ghancaran.vi.8334","ISSN":"2714-8955","abstract":"Folklore is a variety of literary works that existed earlier than other literary works. Folklore developed from generation to generation. It can be from old stories to fibers or chronicles written by ancient masters or writers. The figure of Gayatri Rajapatni himself is the daughter of King Kertanegara of the Singosari Kingdom. The leadership of the Majapahit government at that time, Gayatri had the right to rule. In fact Gayatri chose to become a royal advisor. Character formation in students can be developed through the material in the learning process. It was Gayatri's figure that made the second era after Raden Wijaya a great empire because he had an agile and intelligent regent for his upbringing. The intelligent, feminine, and nationalist character of Gayatri Rajapatni can be used as character teaching materials by students. This study aims to introduce and utilize local folklore as a form of character education for students. Researchers used a qualitative descriptive approach by using literature review techniques. Researchers get data from the results of previous research collections, the youtube platform, and so on.","author":[{"dropping-particle":"","family":"Arpriansyah","given":"Achmad Ichsan","non-dropping-particle":"","parse-names":false,"suffix":""},{"dropping-particle":"","family":"Hakim","given":"Titik Dwi Ramthi","non-dropping-particle":"","parse-names":false,"suffix":""}],"container-title":"GHANCARAN: Jurnal Pendidikan Bahasa dan Sastra Indonesia","id":"ITEM-1","issued":{"date-parts":[["2023"]]},"page":"439-448","title":"Cerita Rakyat Tokoh Gayatri Rajapatni sebagai Sarana Penguatan Profil Pelajar Pancasila Pada Siswa SMA","type":"article-journal"},"uris":["http://www.mendeley.com/documents/?uuid=59affdc1-c4d8-423e-b28e-a460cebc80e3"]}],"mendeley":{"formattedCitation":"(Arpriansyah &amp; Hakim, 2023)","plainTextFormattedCitation":"(Arpriansyah &amp; Hakim, 2023)","previouslyFormattedCitation":"(Arpriansyah &amp; Hakim, 2023)"},"properties":{"noteIndex":0},"schema":"https://github.com/citation-style-language/schema/raw/master/csl-citation.json"}</w:instrText>
      </w:r>
      <w:r>
        <w:rPr>
          <w:rFonts w:ascii="Constantia" w:cs="Times New Roman" w:eastAsia="Times New Roman" w:hAnsi="Constantia"/>
          <w:smallCaps/>
          <w:szCs w:val="24"/>
        </w:rPr>
        <w:fldChar w:fldCharType="separate"/>
      </w:r>
      <w:r>
        <w:rPr>
          <w:rFonts w:ascii="Constantia" w:cs="Times New Roman" w:eastAsia="Times New Roman" w:hAnsi="Constantia"/>
          <w:noProof/>
          <w:szCs w:val="24"/>
        </w:rPr>
        <w:t>(Arpriansyah &amp; Hakim, 2023)</w:t>
      </w:r>
      <w:r>
        <w:rPr>
          <w:rFonts w:ascii="Constantia" w:cs="Times New Roman" w:eastAsia="Times New Roman" w:hAnsi="Constantia"/>
          <w:smallCaps/>
          <w:szCs w:val="24"/>
        </w:rPr>
        <w:fldChar w:fldCharType="end"/>
      </w:r>
      <w:r>
        <w:rPr>
          <w:rFonts w:ascii="Constantia" w:cs="Times New Roman" w:eastAsia="Times New Roman" w:hAnsi="Constantia"/>
          <w:b/>
          <w:szCs w:val="24"/>
        </w:rPr>
        <w:t xml:space="preserve">. </w:t>
      </w:r>
      <w:r>
        <w:rPr>
          <w:rFonts w:ascii="Constantia" w:cs="Times New Roman" w:eastAsia="Times New Roman" w:hAnsi="Constantia"/>
          <w:szCs w:val="24"/>
        </w:rPr>
        <w:t xml:space="preserve">Gayatri mendapatkan gelar “Rajapatni” dimana gelar tersebut merupakan gelar keistimewaan yang menunjukkan kedudukannya dalam kerajaan. “Rajapatni” memiliki makna istri yang menjadi pendamping dan diutamakan oleh raja. Gelar “Rajapatni” yang dianugerahkan kepada Gayatri bermakna “utama” sekaligus menjadi istri yang disayangi Raden Wijaya. Selain gelar “Rajapatni” yang dianugerahkan kepadanya, Gayatri juga mendapatkan gelar penghormatan lain yaitu “Prajnaparamita” dengan makna “dewi kebijaksanaan tertinggi”. Dalam aliran Budha Mahayana,  Prajnaparamita merujuk pada persononifikasi atau perwujudan dari konsep kebijaksanaan yang sempurna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{"citationItems":[{"id":"ITEM-1","itemData":{"author":[{"dropping-particle":"","family":"Mahfudhoh","given":"L","non-dropping-particle":"","parse-names":false,"suffix":""}],"id":"ITEM-1","issued":{"date-parts":[["2016"]]},"page":"85","title":"Antologi Sejarah Candi Boyolangu","type":"article"},"uris":["http://www.mendeley.com/documents/?uuid=a9a8def3-ea4e-4672-a5da-888cfef9b5ab"]}],"mendeley":{"formattedCitation":"(Mahfudhoh, 2016)","plainTextFormattedCitation":"(Mahfudhoh, 2016)","previouslyFormattedCitation":"(Mahfudhoh, 2016)"},"properties":{"noteIndex":0},"schema":"https://github.com/citation-style-language/schema/raw/master/csl-citation.json"}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(Mahfudhoh, 2016)</w:t>
      </w:r>
      <w:r>
        <w:rPr>
          <w:rFonts w:ascii="Constantia" w:cs="Times New Roman" w:eastAsia="Times New Roman" w:hAnsi="Constantia"/>
          <w:szCs w:val="24"/>
        </w:rPr>
        <w:fldChar w:fldCharType="end"/>
      </w:r>
      <w:r>
        <w:rPr>
          <w:rFonts w:ascii="Constantia" w:cs="Times New Roman" w:eastAsia="Times New Roman" w:hAnsi="Constantia"/>
          <w:szCs w:val="24"/>
        </w:rPr>
        <w:t xml:space="preserve">. Dari makna tersebut kemudian berhasil melahirkan pemimpin yang bukan hanya lahir dalam rahimnya, melainkan juga dari kebijaksanaan dan budi yang terasah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{"citationItems":[{"id":"ITEM-1","itemData":{"author":[{"dropping-particle":"","family":"Bonga","given":"J","non-dropping-particle":"","parse-names":false,"suffix":""}],"edition":"Cetakan 1","id":"ITEM-1","issued":{"date-parts":[["2021"]]},"number-of-pages":"135","publisher":"Sliletto Indie Book","publisher-place":"Yogyakarta","title":"The Philosophy of Longing: Memaknai Hakikat Rindu","type":"book"},"uris":["http://www.mendeley.com/documents/?uuid=998a1b6a-2f70-4a49-b94d-b94b74df2b93"]}],"mendeley":{"formattedCitation":"(Bonga, 2021)","plainTextFormattedCitation":"(Bonga, 2021)","previouslyFormattedCitation":"(Bonga, 2021)"},"properties":{"noteIndex":0},"schema":"https://github.com/citation-style-language/schema/raw/master/csl-citation.json"}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(Bonga, 2021)</w:t>
      </w:r>
      <w:r>
        <w:rPr>
          <w:rFonts w:ascii="Constantia" w:cs="Times New Roman" w:eastAsia="Times New Roman" w:hAnsi="Constantia"/>
          <w:szCs w:val="24"/>
        </w:rPr>
        <w:fldChar w:fldCharType="end"/>
      </w:r>
      <w:r>
        <w:rPr>
          <w:rFonts w:ascii="Constantia" w:cs="Times New Roman" w:eastAsia="Times New Roman" w:hAnsi="Constantia"/>
          <w:szCs w:val="24"/>
        </w:rPr>
        <w:t xml:space="preserve">. </w:t>
      </w:r>
      <w:r>
        <w:rPr>
          <w:rFonts w:ascii="Constantia" w:cs="Times New Roman" w:eastAsia="Times New Roman" w:hAnsi="Constantia"/>
          <w:szCs w:val="24"/>
        </w:rPr>
        <w:t xml:space="preserve">Penganugerahan gelar tersebut juga didasarkan pada kehidupan sosial Gayatri dalam menyelaraskan pengalaman hidupnya sehingga menjadi kepercayaan masyarakat pada waktu itu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{"citationItems":[{"id":"ITEM-1","itemData":{"abstract":"Pendekatan psychohistory merupakan studi motivasi dan juga dapat dikembangkan menjadi konsep psikologi sosial (sociopsychological) untuk menjelaskan perilaku individu, kelompok dan anggota masyarakat. Psychohistory akan memberikan sebuah nilai self-esteem yang mampu diserap oleh generasi selanjutnya, Psychohistory dalam tulisan ini bertugas mencari nilai sejarah. Sosok Gayatri sebagai bikshuni menempatkan dewi kebijaksanaan ini menjadi guru besar dalam kerohanian kerajaan, disisi lain sumber sejarah mengatakan dia adalah sosok pembina serta pembimbing raja-raja majapahit. kehidupan Gayatri ketika ditelisik melalui studi motivasi atau psychohistory, memliki perjalanan yang panjang akan warisan nilai. Kehadiran nilai-nilai kejuangan tersebut lahir diperuntukkan kemaslahatan masyarakat pada waktu itu. Roh progesif merupakan pondasi bagi generasi mendatang. Roh progesif pancasila adalah nilai yang dimiliki oleh Gayatri Rajapatni sebagai pelaku sejarah yang memiliki warisan nilai pancasila dalam praktek. Tujuan dari penulisan ini memberikan gambaran sejarah dalam praktik nilai-nilai pancasila, maksudnya adalah memberikan asumsi nilai-nilai pancasila yang pernah dialami Gayatri Rajapatni sebagai perempuan dibalik kejayaan majapahit.","author":[{"dropping-particle":"","family":"Jamil","given":"Robit Nurul","non-dropping-particle":"","parse-names":false,"suffix":""},{"dropping-particle":"","family":"Joebagio","given":"Hermanu","non-dropping-particle":"","parse-names":false,"suffix":""},{"dropping-particle":"","family":"Djono","given":"","non-dropping-particle":"","parse-names":false,"suffix":""}],"container-title":"Jantra","id":"ITEM-1","issue":"2","issued":{"date-parts":[["2018"]]},"page":"97-106","title":"Psychohistory Gayatri Rajapatni sebagai Roh Pancasilais","type":"article-journal","volume":"13"},"uris":["http://www.mendeley.com/documents/?uuid=a126fac9-c95f-4566-bc91-5f8002f285f5"]}],"mendeley":{"formattedCitation":"(Jamil et al., 2018)","plainTextFormattedCitation":"(Jamil et al., 2018)","previouslyFormattedCitation":"(Jamil et al., 2018)"},"properties":{"noteIndex":0},"schema":"https://github.com/citation-style-language/schema/raw/master/csl-citation.json"}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(Jamil et al., 2018)</w:t>
      </w:r>
      <w:r>
        <w:rPr>
          <w:rFonts w:ascii="Constantia" w:cs="Times New Roman" w:eastAsia="Times New Roman" w:hAnsi="Constantia"/>
          <w:szCs w:val="24"/>
        </w:rPr>
        <w:fldChar w:fldCharType="end"/>
      </w:r>
      <w:r>
        <w:rPr>
          <w:rFonts w:ascii="Constantia" w:cs="Times New Roman" w:eastAsia="Times New Roman" w:hAnsi="Constantia"/>
          <w:szCs w:val="24"/>
        </w:rPr>
        <w:t xml:space="preserve">. Pada saat itu, masyarakat Jawa mengakui kapasitas intelektual yang dimiliki Gayatri melalui cara belajar yang ditempuh untuk memahami tata cara berpolitik dalam kehidupan sehari-hari. </w:t>
      </w:r>
    </w:p>
    <w:p>
      <w:pPr>
        <w:pStyle w:val="style0"/>
        <w:spacing w:after="0"/>
        <w:jc w:val="both"/>
        <w:rPr>
          <w:rFonts w:ascii="Constantia" w:eastAsia="Times New Roman" w:hAnsi="Constantia"/>
          <w:b/>
          <w:sz w:val="24"/>
          <w:szCs w:val="24"/>
        </w:rPr>
      </w:pPr>
      <w:r>
        <w:rPr>
          <w:rFonts w:ascii="Constantia" w:eastAsia="Times New Roman" w:hAnsi="Constantia"/>
          <w:b/>
          <w:sz w:val="24"/>
          <w:szCs w:val="24"/>
        </w:rPr>
        <w:t>Gayatri dalam Mendesain Visi Imperium Majapahit</w:t>
      </w:r>
    </w:p>
    <w:p>
      <w:pPr>
        <w:pStyle w:val="style0"/>
        <w:spacing w:after="0"/>
        <w:jc w:val="both"/>
        <w:rPr>
          <w:rFonts w:ascii="Constantia" w:eastAsia="Times New Roman" w:hAnsi="Constantia"/>
          <w:sz w:val="24"/>
          <w:szCs w:val="24"/>
        </w:rPr>
      </w:pPr>
      <w:r>
        <w:rPr>
          <w:rFonts w:ascii="Constantia" w:eastAsia="Times New Roman" w:hAnsi="Constantia"/>
          <w:sz w:val="24"/>
          <w:szCs w:val="24"/>
        </w:rPr>
        <w:tab/>
      </w:r>
      <w:r>
        <w:rPr>
          <w:rFonts w:ascii="Constantia" w:eastAsia="Times New Roman" w:hAnsi="Constantia"/>
          <w:sz w:val="24"/>
          <w:szCs w:val="24"/>
        </w:rPr>
        <w:t>Hidup dilingkungan istana bersama sang ayah melahirkan sosok Gayatri dengan kecakapan menimba ilmu mulai dari kecil. Gelar “Rajapatni” yang dianugerahkan kepada Gayatri menjadi bukti bahwa dirinya berhasil menjadi guru perempuan yang sukses mendorong kemajuan otoritas intelektual Majapahit. Dalam panggilan Jawa, nama Gayatri merupakan pembuktian bahwa dirinya adalah seorang guru intelektual, spiritual, dan pengontrol dalam setiap kebijakan kerajaan. Dalam Negarakertagama pupuh 44.4 yang merupakan bukti tertulis ambisi Kertanegara atas visinya disebutkan bahwa :</w:t>
      </w:r>
    </w:p>
    <w:p>
      <w:pPr>
        <w:pStyle w:val="style0"/>
        <w:spacing w:after="0"/>
        <w:ind w:left="720"/>
        <w:jc w:val="both"/>
        <w:rPr>
          <w:rFonts w:ascii="Constantia" w:eastAsia="Times New Roman" w:hAnsi="Constantia"/>
          <w:sz w:val="24"/>
          <w:szCs w:val="24"/>
        </w:rPr>
      </w:pPr>
      <w:r>
        <w:rPr>
          <w:rFonts w:ascii="Constantia" w:eastAsia="Times New Roman" w:hAnsi="Constantia"/>
          <w:sz w:val="24"/>
          <w:szCs w:val="24"/>
        </w:rPr>
        <w:t>Cara Gayatri untuk tetap bisa mencapai visi ayahnya melalui suaminya sebaga raja Majapahit pertama, merupakan bentuk citra kuasa kuasa wanita Jawa dalam keikutsertaan pengambilan keputusan.</w:t>
      </w:r>
    </w:p>
    <w:p>
      <w:pPr>
        <w:pStyle w:val="style0"/>
        <w:spacing w:after="0"/>
        <w:jc w:val="both"/>
        <w:rPr>
          <w:rFonts w:ascii="Constantia" w:eastAsia="Times New Roman" w:hAnsi="Constantia"/>
          <w:color w:val="000000"/>
          <w:sz w:val="24"/>
          <w:szCs w:val="24"/>
        </w:rPr>
      </w:pPr>
      <w:r>
        <w:rPr>
          <w:rFonts w:ascii="Constantia" w:eastAsia="Times New Roman" w:hAnsi="Constantia"/>
          <w:color w:val="000000"/>
          <w:sz w:val="24"/>
          <w:szCs w:val="24"/>
        </w:rPr>
        <w:t xml:space="preserve">Terdapat istilah dalam masyarakat Jawa kuno untuk merepresentasikan perempuan, yaitu  </w:t>
      </w:r>
      <w:r>
        <w:rPr>
          <w:rFonts w:ascii="Constantia" w:eastAsia="Times New Roman" w:hAnsi="Constantia"/>
          <w:i/>
          <w:color w:val="000000"/>
          <w:sz w:val="24"/>
          <w:szCs w:val="24"/>
        </w:rPr>
        <w:t>“wani ing tata”</w:t>
      </w:r>
      <w:r>
        <w:rPr>
          <w:rFonts w:ascii="Constantia" w:eastAsia="Times New Roman" w:hAnsi="Constantia"/>
          <w:color w:val="000000"/>
          <w:sz w:val="24"/>
          <w:szCs w:val="24"/>
        </w:rPr>
        <w:t xml:space="preserve"> yang mempunyai makna konsepsi Batari Durga dimana menempatkan perempuan sebagai pemilik kekuatan lebih dalam mengendalikan laki-laki pada kehidupan sehari-hari </w:t>
      </w:r>
      <w:r>
        <w:rPr>
          <w:rFonts w:ascii="Constantia" w:eastAsia="Times New Roman" w:hAnsi="Constantia"/>
          <w:color w:val="000000"/>
          <w:sz w:val="24"/>
          <w:szCs w:val="24"/>
        </w:rPr>
        <w:fldChar w:fldCharType="begin"/>
      </w:r>
      <w:r>
        <w:rPr>
          <w:rFonts w:ascii="Constantia" w:eastAsia="Times New Roman" w:hAnsi="Constantia"/>
          <w:color w:val="000000"/>
          <w:sz w:val="24"/>
          <w:szCs w:val="24"/>
        </w:rPr>
        <w:instrText>ADDIN CSL_CITATION {"citationItems":[{"id":"ITEM-1","itemData":{"abstract":"Notion of “wani ing tata” basically is manifestation of noble conception to regard women having dignity in society. Its actualization explained in dual roles which operated in both areas; domestic and social engangement. The words “wanita” basically has been encountered in three social realms such as “wanodya” and “putri”. Those three concepts symbolized multifunctional roles that ascribed women as educator, nurse, and balancer. Javanese women leadership has proved by prominent famous figure like Queen Shima, Tribhuana Tungga Dewi, and Suhita. In this case, its conception has ramified into both others notion; ardhaneswari and prameswari. Prameswari can be understood as main women; meanwhile ardhananeswari can be explained as tough and strong women. The emergence of patriarchal system into sociey reduced concept of “wani ing tata”. It puts women as inferior symbolized by “kasur”, “pupur’, and “sumur”.","author":[{"dropping-particle":"","family":"Jati","given":"Wasisto Raharjo","non-dropping-particle":"","parse-names":false,"suffix":""}],"container-title":"Jurnal Perempuan","id":"ITEM-1","issue":"1","issued":{"date-parts":[["2015"]]},"page":"82-91","title":"Wani Ing Tata: Konstruksi Wanita Jawa dalam Studi Poskolonialisme","type":"article-journal","volume":"20"},"uris":["http://www.mendeley.com/documents/?uuid=ff038d6d-9722-4a0b-bbf1-35a96575fbc3"]}],"mendeley":{"formattedCitation":"(Jati, 2015)","plainTextFormattedCitation":"(Jati, 2015)","previouslyFormattedCitation":"(Jati, 2015)"},"properties":{"noteIndex":0},"schema":"https://github.com/citation-style-language/schema/raw/master/csl-citation.json"}</w:instrText>
      </w:r>
      <w:r>
        <w:rPr>
          <w:rFonts w:ascii="Constantia" w:eastAsia="Times New Roman" w:hAnsi="Constantia"/>
          <w:color w:val="000000"/>
          <w:sz w:val="24"/>
          <w:szCs w:val="24"/>
        </w:rPr>
        <w:fldChar w:fldCharType="separate"/>
      </w:r>
      <w:r>
        <w:rPr>
          <w:rFonts w:ascii="Constantia" w:eastAsia="Times New Roman" w:hAnsi="Constantia"/>
          <w:color w:val="000000"/>
          <w:sz w:val="24"/>
          <w:szCs w:val="24"/>
        </w:rPr>
        <w:t>(Jati, 2015)</w:t>
      </w:r>
      <w:r>
        <w:rPr>
          <w:rFonts w:ascii="Constantia" w:eastAsia="Times New Roman" w:hAnsi="Constantia"/>
          <w:color w:val="000000"/>
          <w:sz w:val="24"/>
          <w:szCs w:val="24"/>
        </w:rPr>
        <w:fldChar w:fldCharType="end"/>
      </w:r>
      <w:r>
        <w:rPr>
          <w:rFonts w:ascii="Constantia" w:eastAsia="Times New Roman" w:hAnsi="Constantia"/>
          <w:color w:val="000000"/>
          <w:sz w:val="24"/>
          <w:szCs w:val="24"/>
        </w:rPr>
        <w:t xml:space="preserve">. Sedangkan dalam istilah teologi </w:t>
      </w:r>
      <w:r>
        <w:rPr>
          <w:rFonts w:ascii="Constantia" w:eastAsia="Times New Roman" w:hAnsi="Constantia"/>
          <w:i/>
          <w:color w:val="000000"/>
          <w:sz w:val="24"/>
          <w:szCs w:val="24"/>
        </w:rPr>
        <w:t>“wani ing tata”</w:t>
      </w:r>
      <w:r>
        <w:rPr>
          <w:rFonts w:ascii="Constantia" w:eastAsia="Times New Roman" w:hAnsi="Constantia"/>
          <w:color w:val="000000"/>
          <w:sz w:val="24"/>
          <w:szCs w:val="24"/>
        </w:rPr>
        <w:t xml:space="preserve"> disebut sebagai </w:t>
      </w:r>
      <w:r>
        <w:rPr>
          <w:rFonts w:ascii="Constantia" w:eastAsia="Times New Roman" w:hAnsi="Constantia"/>
          <w:i/>
          <w:color w:val="000000"/>
          <w:sz w:val="24"/>
          <w:szCs w:val="24"/>
        </w:rPr>
        <w:t>“Ardhanareswari”</w:t>
      </w:r>
      <w:r>
        <w:rPr>
          <w:rFonts w:ascii="Constantia" w:eastAsia="Times New Roman" w:hAnsi="Constantia"/>
          <w:color w:val="000000"/>
          <w:sz w:val="24"/>
          <w:szCs w:val="24"/>
        </w:rPr>
        <w:t xml:space="preserve"> yang memiliki makna keseimbangan antara laki-laki sebagai jiwa </w:t>
      </w:r>
      <w:r>
        <w:rPr>
          <w:rFonts w:ascii="Constantia" w:eastAsia="Times New Roman" w:hAnsi="Constantia"/>
          <w:i/>
          <w:color w:val="000000"/>
          <w:sz w:val="24"/>
          <w:szCs w:val="24"/>
        </w:rPr>
        <w:t>(purusa)</w:t>
      </w:r>
      <w:r>
        <w:rPr>
          <w:rFonts w:ascii="Constantia" w:eastAsia="Times New Roman" w:hAnsi="Constantia"/>
          <w:color w:val="000000"/>
          <w:sz w:val="24"/>
          <w:szCs w:val="24"/>
        </w:rPr>
        <w:t xml:space="preserve"> dan perempuan sebagai raga </w:t>
      </w:r>
      <w:r>
        <w:rPr>
          <w:rFonts w:ascii="Constantia" w:eastAsia="Times New Roman" w:hAnsi="Constantia"/>
          <w:i/>
          <w:color w:val="000000"/>
          <w:sz w:val="24"/>
          <w:szCs w:val="24"/>
        </w:rPr>
        <w:t>(pradana)</w:t>
      </w:r>
      <w:r>
        <w:rPr>
          <w:rFonts w:ascii="Constantia" w:eastAsia="Times New Roman" w:hAnsi="Constantia"/>
          <w:color w:val="000000"/>
          <w:sz w:val="24"/>
          <w:szCs w:val="24"/>
        </w:rPr>
        <w:t xml:space="preserve">. </w:t>
      </w:r>
      <w:r>
        <w:rPr>
          <w:rFonts w:ascii="Constantia" w:eastAsia="Times New Roman" w:hAnsi="Constantia"/>
          <w:i/>
          <w:color w:val="000000"/>
          <w:sz w:val="24"/>
          <w:szCs w:val="24"/>
        </w:rPr>
        <w:t>“Ardhanareswari”</w:t>
      </w:r>
      <w:r>
        <w:rPr>
          <w:rFonts w:ascii="Constantia" w:eastAsia="Times New Roman" w:hAnsi="Constantia"/>
          <w:color w:val="000000"/>
          <w:sz w:val="24"/>
          <w:szCs w:val="24"/>
        </w:rPr>
        <w:t xml:space="preserve"> menunjukkan bahwa perempuan Jawa pada masa Hindu Budha sudah menjalankan perannya dalam bidang sosial, ekonomi, hukum, dan keagamaan. </w:t>
      </w:r>
    </w:p>
    <w:p>
      <w:pPr>
        <w:pStyle w:val="style0"/>
        <w:spacing w:after="0"/>
        <w:jc w:val="both"/>
        <w:rPr>
          <w:rFonts w:ascii="Constantia" w:eastAsia="Times New Roman" w:hAnsi="Constantia"/>
          <w:sz w:val="24"/>
          <w:szCs w:val="24"/>
        </w:rPr>
      </w:pPr>
      <w:r>
        <w:rPr>
          <w:rFonts w:ascii="Constantia" w:eastAsia="Times New Roman" w:hAnsi="Constantia"/>
          <w:color w:val="000000"/>
          <w:sz w:val="24"/>
          <w:szCs w:val="24"/>
        </w:rPr>
        <w:tab/>
      </w:r>
      <w:r>
        <w:rPr>
          <w:rFonts w:ascii="Constantia" w:eastAsia="Times New Roman" w:hAnsi="Constantia"/>
          <w:sz w:val="24"/>
          <w:szCs w:val="24"/>
        </w:rPr>
        <w:t xml:space="preserve">Memaknai istilah perempuan menurut masyarakat Jawa, Gayatri juga menjadi bagi perempuan tersebut. Peran Gayatri mempresentasikan bahwa perempuan Jawa dapat melakukan pekerjaan diluar ranah domestik yaitu sebagai penentu kebijakan pemerintah selayaknya laki-laki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{"citationItems":[{"id":"ITEM-1","itemData":{"abstract":"The novel of Putri Rajapatni by Putu Felisia specifically describes the life of Gayatri Rajapatni, the wife of Raden Wijaya who is the rulers of the Majapahit Kingdom and in general the novel describes the life of the people during the Majapahit Kingdom. This novel is interesting to research by using a liberal feminism review which will be reviewed by the writer. The purpose of this research was to determine the role of Gayatri Rajapatni as a woman who represented in the novel of Putri Rajapatni which is associated by using liberal feminism theory. The primary data source is the novel Putri Rajapatni. Research data is a group of information was obtained from the novel of Putri Rajapatni, which is a group of words, clauses, sentences, or paragraphs that explain the intrinsic elements contained in the novel. This research used descriptive qualitative method. Data collection techniques were carried out by applying reading and writing techniques and library research. Data analysis techniques in this research included descriptive analysis techniques and content analysis or \"content study\" of Putu Felisia's Putri Rajapatni novel. The result of the research shows that the role of Gayatri Rajapatni represents women who can work, women who are knowledgeable, women who have freedom of opinion and women who are exempt to be different","author":[{"dropping-particle":"","family":"Yeni","given":"Alexis Audi Gayatri Krisnamurti","non-dropping-particle":"","parse-names":false,"suffix":""},{"dropping-particle":"","family":"Septiana","given":"Hespi","non-dropping-particle":"","parse-names":false,"suffix":""}],"container-title":"Bapala","id":"ITEM-1","issue":"5","issued":{"date-parts":[["2022"]]},"page":"61-73","title":"Eksistensi Gayatri Rajapatni dalam Novel Putri Rajapatni Karya Putu Felisia (Kajian Feminisme Liberal)","type":"article-journal","volume":"9"},"uris":["http://www.mendeley.com/documents/?uuid=2c71843a-6343-4c84-b903-3e7ff7484a07"]}],"mendeley":{"formattedCitation":"(Yeni &amp; Septiana, 2022)","plainTextFormattedCitation":"(Yeni &amp; Septiana, 2022)","previouslyFormattedCitation":"(Yeni &amp; Septiana, 2022)"},"properties":{"noteIndex":0},"schema":"https://github.com/citation-style-language/schema/raw/master/csl-citation.json"}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(Yeni &amp; Septiana, 2022)</w:t>
      </w:r>
      <w:r>
        <w:rPr>
          <w:rFonts w:ascii="Constantia" w:eastAsia="Times New Roman" w:hAnsi="Constantia"/>
          <w:sz w:val="24"/>
          <w:szCs w:val="24"/>
        </w:rPr>
        <w:fldChar w:fldCharType="end"/>
      </w:r>
      <w:r>
        <w:rPr>
          <w:rFonts w:ascii="Constantia" w:eastAsia="Times New Roman" w:hAnsi="Constantia"/>
          <w:sz w:val="24"/>
          <w:szCs w:val="24"/>
        </w:rPr>
        <w:t xml:space="preserve">. Pengambilan keputusan yang dilakukan oleh Gayatri untuk meneruskan visi sang ayah melalui pemerintahan Raden Wijaya merupakan bentuk kuasa wanita Jawa </w:t>
      </w:r>
      <w:r>
        <w:rPr>
          <w:rFonts w:ascii="Constantia" w:eastAsia="Times New Roman" w:hAnsi="Constantia"/>
          <w:smallCaps/>
          <w:sz w:val="24"/>
          <w:szCs w:val="24"/>
        </w:rPr>
        <w:fldChar w:fldCharType="begin"/>
      </w:r>
      <w:r>
        <w:rPr>
          <w:rFonts w:ascii="Constantia" w:eastAsia="Times New Roman" w:hAnsi="Constantia"/>
          <w:sz w:val="24"/>
          <w:szCs w:val="24"/>
        </w:rPr>
        <w:instrText>ADDIN CSL_CITATION {"citationItems":[{"id":"ITEM-1","itemData":{"author":[{"dropping-particle":"","family":"Lutfillah","given":"N.Q","non-dropping-particle":"","parse-names":false,"suffix":""}],"id":"ITEM-1","issued":{"date-parts":[["2021"]]},"title":"Gayatri Akuntan Majapahit","type":"book"},"uris":["http://www.mendeley.com/documents/?uuid=b00f3e00-872e-40d7-8eab-34f6fb0796b3"]}],"mendeley":{"formattedCitation":"(Lutfillah, 2021)","plainTextFormattedCitation":"(Lutfillah, 2021)","previouslyFormattedCitation":"(Lutfillah, 2021)"},"properties":{"noteIndex":0},"schema":"https://github.com/citation-style-language/schema/raw/master/csl-citation.json"}</w:instrText>
      </w:r>
      <w:r>
        <w:rPr>
          <w:rFonts w:ascii="Constantia" w:eastAsia="Times New Roman" w:hAnsi="Constantia"/>
          <w:smallCaps/>
          <w:sz w:val="24"/>
          <w:szCs w:val="24"/>
        </w:rPr>
        <w:fldChar w:fldCharType="separate"/>
      </w:r>
      <w:r>
        <w:rPr>
          <w:rFonts w:ascii="Constantia" w:eastAsia="Times New Roman" w:hAnsi="Constantia"/>
          <w:sz w:val="24"/>
          <w:szCs w:val="24"/>
        </w:rPr>
        <w:t>(Lutfillah, 2021)</w:t>
      </w:r>
      <w:r>
        <w:rPr>
          <w:rFonts w:ascii="Constantia" w:eastAsia="Times New Roman" w:hAnsi="Constantia"/>
          <w:smallCaps/>
          <w:sz w:val="24"/>
          <w:szCs w:val="24"/>
        </w:rPr>
        <w:fldChar w:fldCharType="end"/>
      </w:r>
      <w:r>
        <w:rPr>
          <w:rFonts w:ascii="Constantia" w:eastAsia="Times New Roman" w:hAnsi="Constantia"/>
          <w:sz w:val="24"/>
          <w:szCs w:val="24"/>
        </w:rPr>
        <w:t>.</w:t>
      </w:r>
      <w:r>
        <w:rPr>
          <w:rFonts w:ascii="Constantia" w:eastAsia="Times New Roman" w:hAnsi="Constantia"/>
          <w:color w:val="000000"/>
          <w:sz w:val="24"/>
          <w:szCs w:val="24"/>
        </w:rPr>
        <w:t xml:space="preserve"> </w:t>
      </w:r>
      <w:r>
        <w:rPr>
          <w:rFonts w:ascii="Constantia" w:eastAsia="Times New Roman" w:hAnsi="Constantia"/>
          <w:sz w:val="24"/>
          <w:szCs w:val="24"/>
        </w:rPr>
        <w:t xml:space="preserve">Gayatri mempunyai pencapaian dalam menjadi sosok balik layar kejayaan Majapahit yang kemudian membawanya pada posisi sebagai perempuan dengan </w:t>
      </w:r>
      <w:r>
        <w:rPr>
          <w:rFonts w:ascii="Constantia" w:eastAsia="Times New Roman" w:hAnsi="Constantia"/>
          <w:i/>
          <w:sz w:val="24"/>
          <w:szCs w:val="24"/>
        </w:rPr>
        <w:t>self-esteem</w:t>
      </w:r>
      <w:r>
        <w:rPr>
          <w:rFonts w:ascii="Constantia" w:eastAsia="Times New Roman" w:hAnsi="Constantia"/>
          <w:sz w:val="24"/>
          <w:szCs w:val="24"/>
        </w:rPr>
        <w:t xml:space="preserve"> tertinggi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{"citationItems":[{"id":"ITEM-1","itemData":{"abstract":"Pendekatan psychohistory merupakan studi motivasi dan juga dapat dikembangkan menjadi konsep psikologi sosial (sociopsychological) untuk menjelaskan perilaku individu, kelompok dan anggota masyarakat. Psychohistory akan memberikan sebuah nilai self-esteem yang mampu diserap oleh generasi selanjutnya, Psychohistory dalam tulisan ini bertugas mencari nilai sejarah. Sosok Gayatri sebagai bikshuni menempatkan dewi kebijaksanaan ini menjadi guru besar dalam kerohanian kerajaan, disisi lain sumber sejarah mengatakan dia adalah sosok pembina serta pembimbing raja-raja majapahit. kehidupan Gayatri ketika ditelisik melalui studi motivasi atau psychohistory, memliki perjalanan yang panjang akan warisan nilai. Kehadiran nilai-nilai kejuangan tersebut lahir diperuntukkan kemaslahatan masyarakat pada waktu itu. Roh progesif merupakan pondasi bagi generasi mendatang. Roh progesif pancasila adalah nilai yang dimiliki oleh Gayatri Rajapatni sebagai pelaku sejarah yang memiliki warisan nilai pancasila dalam praktek. Tujuan dari penulisan ini memberikan gambaran sejarah dalam praktik nilai-nilai pancasila, maksudnya adalah memberikan asumsi nilai-nilai pancasila yang pernah dialami Gayatri Rajapatni sebagai perempuan dibalik kejayaan majapahit.","author":[{"dropping-particle":"","family":"Jamil","given":"Robit Nurul","non-dropping-particle":"","parse-names":false,"suffix":""},{"dropping-particle":"","family":"Joebagio","given":"Hermanu","non-dropping-particle":"","parse-names":false,"suffix":""},{"dropping-particle":"","family":"Djono","given":"","non-dropping-particle":"","parse-names":false,"suffix":""}],"container-title":"Jantra","id":"ITEM-1","issue":"2","issued":{"date-parts":[["2018"]]},"page":"97-106","title":"Psychohistory Gayatri Rajapatni sebagai Roh Pancasilais","type":"article-journal","volume":"13"},"uris":["http://www.mendeley.com/documents/?uuid=a126fac9-c95f-4566-bc91-5f8002f285f5"]}],"mendeley":{"formattedCitation":"(Jamil et al., 2018)","plainTextFormattedCitation":"(Jamil et al., 2018)","previouslyFormattedCitation":"(Jamil et al., 2018)"},"properties":{"noteIndex":0},"schema":"https://github.com/citation-style-language/schema/raw/master/csl-citation.json"}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(Jamil et al., 2018)</w:t>
      </w:r>
      <w:r>
        <w:rPr>
          <w:rFonts w:ascii="Constantia" w:eastAsia="Times New Roman" w:hAnsi="Constantia"/>
          <w:sz w:val="24"/>
          <w:szCs w:val="24"/>
        </w:rPr>
        <w:fldChar w:fldCharType="end"/>
      </w:r>
      <w:r>
        <w:rPr>
          <w:rFonts w:ascii="Constantia" w:eastAsia="Times New Roman" w:hAnsi="Constantia"/>
          <w:sz w:val="24"/>
          <w:szCs w:val="24"/>
        </w:rPr>
        <w:t xml:space="preserve">. Ketertarikan Gayatri dalam bidang kenegaraan tumbuh karena sering melihat ayahnya dalam mengambil keputusan untuk kerajaan. Gayatri memahami permasalahan politik kerajaan melalui imajinasi yang dikemas dalam konteks kultural dan kemudian diterapkan melalui kehidupan sehari-hari dengan cerita sejarah yang disajikannya sendiri melalui lakon pewayangan sesuai dengan permasalahan kerajaan. Dalam hal ini berarti refleksi sejarah dan imajinasi Gayatri digunakan untuk menghadapi masalah yang sedang berlangsung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{"citationItems":[{"id":"ITEM-1","itemData":{"abstract":"Pendekatan psychohistory merupakan studi motivasi dan juga dapat dikembangkan menjadi konsep psikologi sosial (sociopsychological) untuk menjelaskan perilaku individu, kelompok dan anggota masyarakat. Psychohistory akan memberikan sebuah nilai self-esteem yang mampu diserap oleh generasi selanjutnya, Psychohistory dalam tulisan ini bertugas mencari nilai sejarah. Sosok Gayatri sebagai bikshuni menempatkan dewi kebijaksanaan ini menjadi guru besar dalam kerohanian kerajaan, disisi lain sumber sejarah mengatakan dia adalah sosok pembina serta pembimbing raja-raja majapahit. kehidupan Gayatri ketika ditelisik melalui studi motivasi atau psychohistory, memliki perjalanan yang panjang akan warisan nilai. Kehadiran nilai-nilai kejuangan tersebut lahir diperuntukkan kemaslahatan masyarakat pada waktu itu. Roh progesif merupakan pondasi bagi generasi mendatang. Roh progesif pancasila adalah nilai yang dimiliki oleh Gayatri Rajapatni sebagai pelaku sejarah yang memiliki warisan nilai pancasila dalam praktek. Tujuan dari penulisan ini memberikan gambaran sejarah dalam praktik nilai-nilai pancasila, maksudnya adalah memberikan asumsi nilai-nilai pancasila yang pernah dialami Gayatri Rajapatni sebagai perempuan dibalik kejayaan majapahit.","author":[{"dropping-particle":"","family":"Jamil","given":"Robit Nurul","non-dropping-particle":"","parse-names":false,"suffix":""},{"dropping-particle":"","family":"Joebagio","given":"Hermanu","non-dropping-particle":"","parse-names":false,"suffix":""},{"dropping-particle":"","family":"Djono","given":"","non-dropping-particle":"","parse-names":false,"suffix":""}],"container-title":"Jantra","id":"ITEM-1","issue":"2","issued":{"date-parts":[["2018"]]},"page":"97-106","title":"Psychohistory Gayatri Rajapatni sebagai Roh Pancasilais","type":"article-journal","volume":"13"},"uris":["http://www.mendeley.com/documents/?uuid=a126fac9-c95f-4566-bc91-5f8002f285f5"]}],"mendeley":{"formattedCitation":"(Jamil et al., 2018)","plainTextFormattedCitation":"(Jamil et al., 2018)","previouslyFormattedCitation":"(Jamil et al., 2018)"},"properties":{"noteIndex":0},"schema":"https://github.com/citation-style-language/schema/raw/master/csl-citation.json"}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(Jamil et al., 2018)</w:t>
      </w:r>
      <w:r>
        <w:rPr>
          <w:rFonts w:ascii="Constantia" w:eastAsia="Times New Roman" w:hAnsi="Constantia"/>
          <w:sz w:val="24"/>
          <w:szCs w:val="24"/>
        </w:rPr>
        <w:fldChar w:fldCharType="end"/>
      </w:r>
      <w:r>
        <w:rPr>
          <w:rFonts w:ascii="Constantia" w:eastAsia="Times New Roman" w:hAnsi="Constantia"/>
          <w:sz w:val="24"/>
          <w:szCs w:val="24"/>
        </w:rPr>
        <w:t xml:space="preserve">. Pengalaman belajar Gayatri menjadikan dirinyalah salah satu harapan untuk menjembatani ambisi </w:t>
      </w:r>
      <w:r>
        <w:rPr>
          <w:rFonts w:ascii="Constantia" w:eastAsia="Times New Roman" w:hAnsi="Constantia"/>
          <w:sz w:val="24"/>
          <w:szCs w:val="24"/>
        </w:rPr>
        <w:t xml:space="preserve">Kertanegara dalam penyatuan nusantara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{"citationItems":[{"id":"ITEM-1","itemData":{"ISBN":"9786026182418","abstract":"The Mexican transition zone is the area where the Neotropical and Nearctic regions overlap (Figure 4.1). In its broad sense, it comprises southwestern United States, Mexico, and most of Central America (Halffter, 1987; Zunino and Halffter, 1988; Gutiérrez-Velázquez et al., 2013). It is partially coincident with the areas named Megamexico 3 (Rzedowski, 1991) and biotic Mesoamerica (Ríos-Muñoz, 2013). The Mexican transition zone in the strict sense, which is followed in this book, corresponds to the moderate to high elevation highlands of Mexico, Guatemala, Honduras, El Salvador, and Nicaragua (Morrone, 2006, 2010b, 2014b, 2015c; Espinosa Organista et al., 2008).","author":[{"dropping-particle":"","family":"Maftukhin","given":"","non-dropping-particle":"","parse-names":false,"suffix":""}],"id":"ITEM-1","issued":{"date-parts":[["2017"]]},"number-of-pages":"1-160","title":"Melacak Jejak Spiritualitas Bhinneka Tunggal Ika dan Visi Penyatuan Nusantara","type":"book"},"uris":["http://www.mendeley.com/documents/?uuid=e27c3119-9139-49c3-bd3d-11f51bf848a0"]}],"mendeley":{"formattedCitation":"(Maftukhin, 2017)","plainTextFormattedCitation":"(Maftukhin, 2017)","previouslyFormattedCitation":"(Maftukhin, 2017)"},"properties":{"noteIndex":0},"schema":"https://github.com/citation-style-language/schema/raw/master/csl-citation.json"}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(Maftukhin, 2017)</w:t>
      </w:r>
      <w:r>
        <w:rPr>
          <w:rFonts w:ascii="Constantia" w:eastAsia="Times New Roman" w:hAnsi="Constantia"/>
          <w:sz w:val="24"/>
          <w:szCs w:val="24"/>
        </w:rPr>
        <w:fldChar w:fldCharType="end"/>
      </w:r>
      <w:r>
        <w:rPr>
          <w:rFonts w:ascii="Constantia" w:eastAsia="Times New Roman" w:hAnsi="Constantia"/>
          <w:sz w:val="24"/>
          <w:szCs w:val="24"/>
        </w:rPr>
        <w:t>. Berikut kiprah Gayatri dalam mendesain visi imperium Majapahit:</w:t>
      </w:r>
    </w:p>
    <w:p>
      <w:pPr>
        <w:pStyle w:val="style179"/>
        <w:numPr>
          <w:ilvl w:val="0"/>
          <w:numId w:val="1"/>
        </w:numPr>
        <w:spacing w:after="0"/>
        <w:jc w:val="both"/>
        <w:rPr>
          <w:rFonts w:ascii="Constantia" w:cs="Times New Roman" w:eastAsia="Times New Roman" w:hAnsi="Constantia"/>
          <w:b/>
          <w:szCs w:val="24"/>
        </w:rPr>
      </w:pPr>
      <w:r>
        <w:rPr>
          <w:rFonts w:ascii="Constantia" w:cs="Times New Roman" w:eastAsia="Times New Roman" w:hAnsi="Constantia"/>
          <w:b/>
          <w:szCs w:val="24"/>
        </w:rPr>
        <w:t xml:space="preserve">Menggunakan Taktik Politik Cakrawala Mandala </w:t>
      </w:r>
    </w:p>
    <w:p>
      <w:pPr>
        <w:pStyle w:val="style179"/>
        <w:spacing w:after="0"/>
        <w:ind w:left="0"/>
        <w:jc w:val="both"/>
        <w:rPr>
          <w:rFonts w:ascii="Constantia" w:cs="Times New Roman" w:eastAsia="Times New Roman" w:hAnsi="Constantia"/>
          <w:szCs w:val="24"/>
        </w:rPr>
      </w:pPr>
      <w:r>
        <w:rPr>
          <w:rFonts w:ascii="Constantia" w:cs="Times New Roman" w:eastAsia="Times New Roman" w:hAnsi="Constantia"/>
          <w:szCs w:val="24"/>
        </w:rPr>
        <w:tab/>
      </w:r>
      <w:r>
        <w:rPr>
          <w:rFonts w:ascii="Constantia" w:cs="Times New Roman" w:eastAsia="Times New Roman" w:hAnsi="Constantia"/>
          <w:szCs w:val="24"/>
        </w:rPr>
        <w:t xml:space="preserve">Politik Cakrawala Mandala merupakan taktik politik yang digunakan oleh Kertanegara pada masa Kerajaan Singosari dengan menempatkan Arya Wiraraja di Sumenep untuk menjalankan pemerintahan khususnya Madura. Taktik politik tersebut diajarkan Kertanegara kepada Gayatri dalam mempelajari ilmu pemerintahan. Setelah runtuhnya Kerajaan Singosari yang disebabkan karena banyaknya pengiriman pasukan ke Melayu dan Champa sekitar tahun 1292 M, periode kegelapan atas keruntuhan Kerajaan Singosari tidak berlangsung lama. Dalam Negarakertagama pupuh 44.4 dituliskan bahwa Kerajaan Singosari dapat segera dipulihkan dengan adanya </w:t>
      </w:r>
      <w:r>
        <w:rPr>
          <w:rFonts w:ascii="Constantia" w:cs="Times New Roman" w:eastAsia="Times New Roman" w:hAnsi="Constantia"/>
          <w:i/>
          <w:szCs w:val="24"/>
        </w:rPr>
        <w:t xml:space="preserve">sri nrpati </w:t>
      </w:r>
      <w:r>
        <w:rPr>
          <w:rFonts w:ascii="Constantia" w:cs="Times New Roman" w:eastAsia="Times New Roman" w:hAnsi="Constantia"/>
          <w:szCs w:val="24"/>
        </w:rPr>
        <w:t xml:space="preserve">(putri Kertanegara, Sri Gayatri Rajapatni) dan menantu Kertanegara yaitu Raden Wijaya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{"citationItems":[{"id":"ITEM-1","itemData":{"author":[{"dropping-particle":"","family":"Lutfillah","given":"N.Q","non-dropping-particle":"","parse-names":false,"suffix":""}],"id":"ITEM-1","issued":{"date-parts":[["2021"]]},"title":"Gayatri Akuntan Majapahit","type":"book"},"uris":["http://www.mendeley.com/documents/?uuid=b00f3e00-872e-40d7-8eab-34f6fb0796b3"]}],"mendeley":{"formattedCitation":"(Lutfillah, 2021)","plainTextFormattedCitation":"(Lutfillah, 2021)","previouslyFormattedCitation":"(Lutfillah, 2021)"},"properties":{"noteIndex":0},"schema":"https://github.com/citation-style-language/schema/raw/master/csl-citation.json"}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(Lutfillah, 2021)</w:t>
      </w:r>
      <w:r>
        <w:rPr>
          <w:rFonts w:ascii="Constantia" w:cs="Times New Roman" w:eastAsia="Times New Roman" w:hAnsi="Constantia"/>
          <w:szCs w:val="24"/>
        </w:rPr>
        <w:fldChar w:fldCharType="end"/>
      </w:r>
      <w:r>
        <w:rPr>
          <w:rFonts w:ascii="Constantia" w:cs="Times New Roman" w:eastAsia="Times New Roman" w:hAnsi="Constantia"/>
          <w:szCs w:val="24"/>
        </w:rPr>
        <w:t xml:space="preserve">. Melalui Raden Wijaya inilah, Gayatri mewujudkan visi besar Kertanegara dalam menyatukan nusantara. Semangat sang ayah dalam taktik Politik Cakrawala Mandala yang terwariskan dalam diri Gayatri merupakan salah satu alasan Raden Wijaya tertarik pada Gayatri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{"citationItems":[{"id":"ITEM-1","itemData":{"author":[{"dropping-particle":"","family":"Febianty","given":"F.A","non-dropping-particle":"","parse-names":false,"suffix":""}],"id":"ITEM-1","issue":"1","issued":{"date-parts":[["2024"]]},"title":"IMPLEMENTASI KETOKOHAN GAYATRI RAJAPATNI TERHADAP TOKOH PUBLIK PEREMPUAN DI KABUPATEN TULUNGAGUNG AVATARA","type":"article-journal","volume":"15"},"uris":["http://www.mendeley.com/documents/?uuid=6ac43573-d223-4d4a-a4b2-83eade74ff76"]}],"mendeley":{"formattedCitation":"(Febianty, 2024)","plainTextFormattedCitation":"(Febianty, 2024)","previouslyFormattedCitation":"(Febianty, 2024)"},"properties":{"noteIndex":0},"schema":"https://github.com/citation-style-language/schema/raw/master/csl-citation.json"}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(Febianty, 2024)</w:t>
      </w:r>
      <w:r>
        <w:rPr>
          <w:rFonts w:ascii="Constantia" w:cs="Times New Roman" w:eastAsia="Times New Roman" w:hAnsi="Constantia"/>
          <w:szCs w:val="24"/>
        </w:rPr>
        <w:fldChar w:fldCharType="end"/>
      </w:r>
      <w:r>
        <w:rPr>
          <w:rFonts w:ascii="Constantia" w:cs="Times New Roman" w:eastAsia="Times New Roman" w:hAnsi="Constantia"/>
          <w:szCs w:val="24"/>
        </w:rPr>
        <w:t>.</w:t>
      </w:r>
    </w:p>
    <w:p>
      <w:pPr>
        <w:pStyle w:val="style179"/>
        <w:spacing w:after="0"/>
        <w:ind w:left="0"/>
        <w:jc w:val="both"/>
        <w:rPr>
          <w:rFonts w:ascii="Constantia" w:cs="Times New Roman" w:eastAsia="Times New Roman" w:hAnsi="Constantia"/>
          <w:szCs w:val="24"/>
        </w:rPr>
      </w:pPr>
      <w:r>
        <w:rPr>
          <w:rFonts w:ascii="Constantia" w:cs="Times New Roman" w:eastAsia="Times New Roman" w:hAnsi="Constantia"/>
          <w:szCs w:val="24"/>
        </w:rPr>
        <w:tab/>
      </w:r>
      <w:r>
        <w:rPr>
          <w:rFonts w:ascii="Constantia" w:cs="Times New Roman" w:eastAsia="Times New Roman" w:hAnsi="Constantia"/>
          <w:szCs w:val="24"/>
        </w:rPr>
        <w:t xml:space="preserve">Kertanegara mempunyai ciri khas kepemimpinan dinamis dan ekspasionis yang kemudian terwariskan dalam diri Gayatri. Berbagai macam persoalan kerajaan yang terjadi pada awal berdirinya Kerajaan Majapahit dapat diatasi oleh Raden Wijaya berkat dorongan dan nasihat dari Gayatri. Permasalahan internal kerajaan yang terjadi tidak pernah lepas dari campur tangan Gayatri. Pengetahuan mengenai perluasan wilayah yang dimiliki Gayatri menjadi modal awal dalam pelaksanaan pemerintahan. Ditambah dengan posisi Gayatri sebagai penasehat raja yang mempunyai tugas membuat rumusan strategi awal untuk membangun ibu kota baru, memulihkan kedamaian, serta stabilitas pemerintahan agar bisa melegitimasi status Raden Wijaya sebagai pemangku tahta Majapahit. Raden Wijaya dan Gayatri sering mendiskusikan hal yang harus di prioritaskan untuk mencapai visinya. Dalam diskusi tersebut tidak jarang Gayatri membagikan pengalaman kepada Raden Wijaya mengenai diskusi yang dilakukan dengan sang ayah seperti halnya mengenai strategi pertahanan terhadap ancaman Khublai Khan sampai penyelesaian konflik kepentingan antara Kerajaan Singosari dan Kerajaan Kediri. Pada saat itu, utusan Khublai Khan menuntut supaya mengirimkan anggota keluarga kerajaan untuk dikirimkan ke istana Khanbalik sebagai sandera supaya tunduk kepada Kekaisaran Yuan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{"citationItems":[{"id":"ITEM-1","itemData":{"author":[{"dropping-particle":"","family":"Oktorino","given":"N","non-dropping-particle":"","parse-names":false,"suffix":""}],"edition":"Edisi Pert","id":"ITEM-1","issued":{"date-parts":[["2020"]]},"number-of-pages":"209","publisher":"PT Elex Media Komputindo","publisher-place":"Jakarta","title":"Hikayat Majapahit: Kebangkitan dan Keruntuhan Kerajaan Terbesar di Nusantara","type":"book"},"uris":["http://www.mendeley.com/documents/?uuid=28ec7c20-4926-4b7f-bd19-960451110d74"]}],"mendeley":{"formattedCitation":"(Oktorino, 2020)","plainTextFormattedCitation":"(Oktorino, 2020)","previouslyFormattedCitation":"(Oktorino, 2020)"},"properties":{"noteIndex":0},"schema":"https://github.com/citation-style-language/schema/raw/master/csl-citation.json"}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(Oktorino, 2020)</w:t>
      </w:r>
      <w:r>
        <w:rPr>
          <w:rFonts w:ascii="Constantia" w:cs="Times New Roman" w:eastAsia="Times New Roman" w:hAnsi="Constantia"/>
          <w:szCs w:val="24"/>
        </w:rPr>
        <w:fldChar w:fldCharType="end"/>
      </w:r>
      <w:r>
        <w:rPr>
          <w:rFonts w:ascii="Constantia" w:cs="Times New Roman" w:eastAsia="Times New Roman" w:hAnsi="Constantia"/>
          <w:szCs w:val="24"/>
        </w:rPr>
        <w:t xml:space="preserve">. Dari diskusi tersebut, Gayatri memberikan pandangan mengenai prioritas kerajaan misalnya mempersatukan kerajaan yang baru dirintis, mensejahterakan rakyat, memulihkan hubungan kebudayaan dan ekonomi dengan negara lain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{"citationItems":[{"id":"ITEM-1","itemData":{"author":[{"dropping-particle":"","family":"Lutfillah","given":"N.Q","non-dropping-particle":"","parse-names":false,"suffix":""}],"id":"ITEM-1","issued":{"date-parts":[["2021"]]},"title":"Gayatri Akuntan Majapahit","type":"book"},"uris":["http://www.mendeley.com/documents/?uuid=b00f3e00-872e-40d7-8eab-34f6fb0796b3"]}],"mendeley":{"formattedCitation":"(Lutfillah, 2021)","plainTextFormattedCitation":"(Lutfillah, 2021)","previouslyFormattedCitation":"(Lutfillah, 2021)"},"properties":{"noteIndex":0},"schema":"https://github.com/citation-style-language/schema/raw/master/csl-citation.json"}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(Lutfillah, 2021)</w:t>
      </w:r>
      <w:r>
        <w:rPr>
          <w:rFonts w:ascii="Constantia" w:cs="Times New Roman" w:eastAsia="Times New Roman" w:hAnsi="Constantia"/>
          <w:szCs w:val="24"/>
        </w:rPr>
        <w:fldChar w:fldCharType="end"/>
      </w:r>
      <w:r>
        <w:rPr>
          <w:rFonts w:ascii="Constantia" w:cs="Times New Roman" w:eastAsia="Times New Roman" w:hAnsi="Constantia"/>
          <w:szCs w:val="24"/>
        </w:rPr>
        <w:t>.</w:t>
      </w:r>
    </w:p>
    <w:p>
      <w:pPr>
        <w:pStyle w:val="style179"/>
        <w:spacing w:after="0"/>
        <w:ind w:left="0"/>
        <w:jc w:val="both"/>
        <w:rPr>
          <w:rFonts w:ascii="Constantia" w:cs="Times New Roman" w:eastAsia="Calibri" w:hAnsi="Constantia"/>
          <w:szCs w:val="24"/>
        </w:rPr>
      </w:pPr>
      <w:r>
        <w:rPr>
          <w:rFonts w:ascii="Constantia" w:cs="Times New Roman" w:eastAsia="Times New Roman" w:hAnsi="Constantia"/>
          <w:szCs w:val="24"/>
        </w:rPr>
        <w:tab/>
      </w:r>
      <w:r>
        <w:rPr>
          <w:rFonts w:ascii="Constantia" w:cs="Times New Roman" w:eastAsia="Times New Roman" w:hAnsi="Constantia"/>
          <w:szCs w:val="24"/>
        </w:rPr>
        <w:t xml:space="preserve">Setelah Raden Wijaya wafat, tahta kerajaan jatuh kepada Jayanegara (putra Raden Wijaya dengan Tribhuaneswari). Pada masa kepemimpinannya, situasi kerajaan tidak stabil karena sering terjadi pemberontakan. Dengan kondisi tersebut, Gayatri melihat sosok Gajah Mada yang merupakan pengawal elit keraton. Gayatri melihat </w:t>
      </w:r>
      <w:r>
        <w:rPr>
          <w:rFonts w:ascii="Constantia" w:cs="Times New Roman" w:eastAsia="Times New Roman" w:hAnsi="Constantia"/>
          <w:szCs w:val="24"/>
        </w:rPr>
        <w:t>kapasitas intelektual yang dimiliki Gajah Mada dan memanfaatkannya untuk menjadikan Gajah Mada sebagai murid yang akan dibimbing dalam mempelajari ilmu pemerintahan. Sebagai pengawal keraton, Gajah Mada memiliki peran untuk menyelamatkan Jayanegara selama terjadinya pemberontakan Kuti.</w:t>
      </w:r>
      <w:r>
        <w:rPr>
          <w:rFonts w:ascii="Constantia" w:cs="Times New Roman" w:hAnsi="Constantia"/>
          <w:szCs w:val="24"/>
        </w:rPr>
        <w:t xml:space="preserve"> Pada pemberontakan tersebut, pasukan Ra Kuti tidak dapat menguasai Majapahit sepenuhnya dikarenakan adanya simbol akan kuasa keturunan Rajasa yang dipegang oleh Gayatri </w:t>
      </w:r>
      <w:r>
        <w:rPr>
          <w:rFonts w:ascii="Constantia" w:cs="Times New Roman" w:hAnsi="Constantia"/>
          <w:szCs w:val="24"/>
        </w:rPr>
        <w:fldChar w:fldCharType="begin"/>
      </w:r>
      <w:r>
        <w:rPr>
          <w:rFonts w:ascii="Constantia" w:cs="Times New Roman" w:hAnsi="Constantia"/>
          <w:szCs w:val="24"/>
        </w:rPr>
        <w:instrText>ADDIN CSL_CITATION {"citationItems":[{"id":"ITEM-1","itemData":{"author":[{"dropping-particle":"","family":"Munandar","given":"A","non-dropping-particle":"","parse-names":false,"suffix":""}],"id":"ITEM-1","issue":"c","issued":{"date-parts":[["2015"]]},"page":"1-18","title":"Kedudukan dan Peran Perempuan dalam Masa Jawa kuno : Era Majapahit","type":"article-journal"},"uris":["http://www.mendeley.com/documents/?uuid=823e0ae9-6adb-4394-81c1-6229839bea59"]}],"mendeley":{"formattedCitation":"(Munandar, 2015)","plainTextFormattedCitation":"(Munandar, 2015)","previouslyFormattedCitation":"(Munandar, 2015)"},"properties":{"noteIndex":0},"schema":"https://github.com/citation-style-language/schema/raw/master/csl-citation.json"}</w:instrText>
      </w:r>
      <w:r>
        <w:rPr>
          <w:rFonts w:ascii="Constantia" w:cs="Times New Roman" w:hAnsi="Constantia"/>
          <w:szCs w:val="24"/>
        </w:rPr>
        <w:fldChar w:fldCharType="separate"/>
      </w:r>
      <w:r>
        <w:rPr>
          <w:rFonts w:ascii="Constantia" w:cs="Times New Roman" w:hAnsi="Constantia"/>
          <w:noProof/>
          <w:szCs w:val="24"/>
        </w:rPr>
        <w:t>(Munandar, 2015)</w:t>
      </w:r>
      <w:r>
        <w:rPr>
          <w:rFonts w:ascii="Constantia" w:cs="Times New Roman" w:hAnsi="Constantia"/>
          <w:szCs w:val="24"/>
        </w:rPr>
        <w:fldChar w:fldCharType="end"/>
      </w:r>
      <w:r>
        <w:rPr>
          <w:rFonts w:ascii="Constantia" w:cs="Times New Roman" w:hAnsi="Constantia"/>
          <w:szCs w:val="24"/>
        </w:rPr>
        <w:t xml:space="preserve">. Peran Gajah Mada dalam pemberontakan tersebut adalah sebagai Bekel (kepala pasukan) khusus Bhayangkara (pengawal raja). Gajah Mada sangat dihormati karena memiliki sikap yang tegas dan dalam mengambil keputusan </w:t>
      </w:r>
      <w:r>
        <w:rPr>
          <w:rFonts w:ascii="Constantia" w:cs="Times New Roman" w:hAnsi="Constantia"/>
          <w:szCs w:val="24"/>
        </w:rPr>
        <w:fldChar w:fldCharType="begin"/>
      </w:r>
      <w:r>
        <w:rPr>
          <w:rFonts w:ascii="Constantia" w:cs="Times New Roman" w:hAnsi="Constantia"/>
          <w:szCs w:val="24"/>
        </w:rPr>
        <w:instrText>ADDIN CSL_CITATION {"citationItems":[{"id":"ITEM-1","itemData":{"abstract":"Conquest of Bali by the Majapahit Kingdom in 1343 AD. The purpose of this research is to find out the strategies used by Gajah Mada in the conquest of Bali. Using historical methods with library and documentation data collection techniques. Data analysis techniques used are data reduction, data presentation, and data verification. The results of the analysis and discussion showed that in conquering Bali in 1343 AD the Majapahit army was led by Gajah Mada by using various strategies: (1) Strategy of Deception / Reaso, (2) Military Strategy: Attack through the Four Paths and Attack From All directions, (3) Religious Approach Strategies; and in the end Majapahit Kingdom could conquer Bali successfully.","author":[{"dropping-particle":"","family":"Pangestika","given":"Armandira Eno","non-dropping-particle":"","parse-names":false,"suffix":""},{"dropping-particle":"","family":"Susanto","given":"Henry","non-dropping-particle":"","parse-names":false,"suffix":""},{"dropping-particle":"","family":"Imanita","given":"Myristica","non-dropping-particle":"","parse-names":false,"suffix":""}],"container-title":"Download.Garuda.Kemdikbud.Go.Id","id":"ITEM-1","issue":"01","issued":{"date-parts":[["2019"]]},"title":"Penaklukan Bali Oleh Kerajaan Majapahit Tahun 1343 M","type":"article-journal"},"uris":["http://www.mendeley.com/documents/?uuid=ff6b436c-ca47-4133-9964-5956fc15792b"]}],"mendeley":{"formattedCitation":"(Pangestika et al., 2019)","plainTextFormattedCitation":"(Pangestika et al., 2019)","previouslyFormattedCitation":"(Pangestika et al., 2019)"},"properties":{"noteIndex":0},"schema":"https://github.com/citation-style-language/schema/raw/master/csl-citation.json"}</w:instrText>
      </w:r>
      <w:r>
        <w:rPr>
          <w:rFonts w:ascii="Constantia" w:cs="Times New Roman" w:hAnsi="Constantia"/>
          <w:szCs w:val="24"/>
        </w:rPr>
        <w:fldChar w:fldCharType="separate"/>
      </w:r>
      <w:r>
        <w:rPr>
          <w:rFonts w:ascii="Constantia" w:cs="Times New Roman" w:hAnsi="Constantia"/>
          <w:noProof/>
          <w:szCs w:val="24"/>
        </w:rPr>
        <w:t>(Pangestika et al., 2019)</w:t>
      </w:r>
      <w:r>
        <w:rPr>
          <w:rFonts w:ascii="Constantia" w:cs="Times New Roman" w:hAnsi="Constantia"/>
          <w:szCs w:val="24"/>
        </w:rPr>
        <w:fldChar w:fldCharType="end"/>
      </w:r>
      <w:r>
        <w:rPr>
          <w:rFonts w:ascii="Constantia" w:cs="Times New Roman" w:hAnsi="Constantia"/>
          <w:szCs w:val="24"/>
        </w:rPr>
        <w:t>. Selama menjalankan tugas, Gajah Mada memiliki kesetian yang luar biasa kepada Jayanegara. Kesetiaan tersebut diluruskan Gayatri untuk memaknai ketulusannya dan meminta Gajah Mada untuk membandingkan era kepemimpinan setiap raja Majapahit. Namun, Gajah Mada tidak mudah terpengaruh karena kesetiaan yang dimilikinya, hingga pada akhirnya Gajah Mada diangkat menjadi Mahapatih Daha pada tahun 1330.</w:t>
      </w:r>
      <w:r>
        <w:rPr>
          <w:rFonts w:ascii="Constantia" w:cs="Times New Roman" w:eastAsia="Calibri" w:hAnsi="Constantia"/>
          <w:szCs w:val="24"/>
        </w:rPr>
        <w:t xml:space="preserve"> </w:t>
      </w:r>
      <w:r>
        <w:rPr>
          <w:rFonts w:ascii="Constantia" w:cs="Times New Roman" w:hAnsi="Constantia"/>
          <w:szCs w:val="24"/>
        </w:rPr>
        <w:t xml:space="preserve">Gayatri mulai menanamkan doktrin ideologi dan kebijakan pemerintahan pada Gajah Mada melalui pendekatan kekeluargaan </w:t>
      </w:r>
      <w:r>
        <w:rPr>
          <w:rFonts w:ascii="Constantia" w:cs="Times New Roman" w:hAnsi="Constantia"/>
          <w:szCs w:val="24"/>
        </w:rPr>
        <w:fldChar w:fldCharType="begin"/>
      </w:r>
      <w:r>
        <w:rPr>
          <w:rFonts w:ascii="Constantia" w:cs="Times New Roman" w:hAnsi="Constantia"/>
          <w:szCs w:val="24"/>
        </w:rPr>
        <w:instrText>ADDIN CSL_CITATION {"citationItems":[{"id":"ITEM-1","itemData":{"author":[{"dropping-particle":"","family":"Wijaya","given":"D.N","non-dropping-particle":"","parse-names":false,"suffix":""}],"id":"ITEM-1","issued":{"date-parts":[["2016"]]},"page":"86","title":"Sejarah Gagasan: Teori dan Praksis","type":"article"},"uris":["http://www.mendeley.com/documents/?uuid=005b3983-113d-4d6e-a214-ca1500114eb5"]}],"mendeley":{"formattedCitation":"(Wijaya, 2016)","plainTextFormattedCitation":"(Wijaya, 2016)","previouslyFormattedCitation":"(Wijaya, 2016)"},"properties":{"noteIndex":0},"schema":"https://github.com/citation-style-language/schema/raw/master/csl-citation.json"}</w:instrText>
      </w:r>
      <w:r>
        <w:rPr>
          <w:rFonts w:ascii="Constantia" w:cs="Times New Roman" w:hAnsi="Constantia"/>
          <w:szCs w:val="24"/>
        </w:rPr>
        <w:fldChar w:fldCharType="separate"/>
      </w:r>
      <w:r>
        <w:rPr>
          <w:rFonts w:ascii="Constantia" w:cs="Times New Roman" w:hAnsi="Constantia"/>
          <w:noProof/>
          <w:szCs w:val="24"/>
        </w:rPr>
        <w:t>(Wijaya, 2016)</w:t>
      </w:r>
      <w:r>
        <w:rPr>
          <w:rFonts w:ascii="Constantia" w:cs="Times New Roman" w:hAnsi="Constantia"/>
          <w:szCs w:val="24"/>
        </w:rPr>
        <w:fldChar w:fldCharType="end"/>
      </w:r>
      <w:r>
        <w:rPr>
          <w:rFonts w:ascii="Constantia" w:cs="Times New Roman" w:hAnsi="Constantia"/>
          <w:szCs w:val="24"/>
        </w:rPr>
        <w:t xml:space="preserve">. Secara halus Gayatri menanamkan pandangannya ke Gajah Mada mengenai perbedaan pengambilan keputusan pada masa Raden Wijaya dan Jayanegara. Dalam setiap pengambilan keputusan, Raden Wijaya mengutamakan pengambilan keputusan melalui negosiasi, sedangkan Jayanegara melalui konfrontasi bersenjata. Pada kondisi ini, Gajah Mada mulai meragukan kebijakan politik yang dilakukan Jayanegara dan menyadari bahwa kebijakan politik Jayanegara menimbulkan kekacauan stabilitas politik dan ekonomi kerajaan. Kepercayaan Gajah Mada pada Gayatri lambat laun meningkat dan secara tidak resmi Gayatri telah menjadi guru pemerintahan bagi Gajah Mada. </w:t>
      </w:r>
      <w:r>
        <w:rPr>
          <w:rFonts w:ascii="Constantia" w:cs="Times New Roman" w:hAnsi="Constantia"/>
          <w:szCs w:val="24"/>
        </w:rPr>
        <w:tab/>
      </w:r>
      <w:r>
        <w:rPr>
          <w:rFonts w:ascii="Constantia" w:cs="Times New Roman" w:hAnsi="Constantia"/>
          <w:szCs w:val="24"/>
        </w:rPr>
        <w:t xml:space="preserve">Ditengah proses pemahaman Gajah Mada mengenai politik kerajaan, Gayatri mendorong Gajah Mada untuk menggulingkan Jayanegara. Hingga pada akhirnya Jayanegara wafat dan kemudian tahta kerajaan jatuh ke tangan Tribhuwanatunggadewi (Putri Raden Wijaya dan Gayatri) yang nantinya akan meletakkan dasar-dasar politik kenegaraan Majapahit </w:t>
      </w:r>
      <w:r>
        <w:rPr>
          <w:rFonts w:ascii="Constantia" w:cs="Times New Roman" w:hAnsi="Constantia"/>
          <w:szCs w:val="24"/>
        </w:rPr>
        <w:fldChar w:fldCharType="begin"/>
      </w:r>
      <w:r>
        <w:rPr>
          <w:rFonts w:ascii="Constantia" w:cs="Times New Roman" w:hAnsi="Constantia"/>
          <w:szCs w:val="24"/>
        </w:rPr>
        <w:instrText>ADDIN CSL_CITATION {"citationItems":[{"id":"ITEM-1","itemData":{"author":[{"dropping-particle":"","family":"Ramadhan","given":"P","non-dropping-particle":"","parse-names":false,"suffix":""}],"id":"ITEM-1","issued":{"date-parts":[["2020"]]},"page":"77","title":"Jejak-Jejak Peradaban Majapahit Imperium Raksasa Penguasa Nusantara","type":"article"},"uris":["http://www.mendeley.com/documents/?uuid=5b5eec7e-326a-4376-88cd-c6db69afc49c"]}],"mendeley":{"formattedCitation":"(Ramadhan, 2020)","plainTextFormattedCitation":"(Ramadhan, 2020)","previouslyFormattedCitation":"(Ramadhan, 2020)"},"properties":{"noteIndex":0},"schema":"https://github.com/citation-style-language/schema/raw/master/csl-citation.json"}</w:instrText>
      </w:r>
      <w:r>
        <w:rPr>
          <w:rFonts w:ascii="Constantia" w:cs="Times New Roman" w:hAnsi="Constantia"/>
          <w:szCs w:val="24"/>
        </w:rPr>
        <w:fldChar w:fldCharType="separate"/>
      </w:r>
      <w:r>
        <w:rPr>
          <w:rFonts w:ascii="Constantia" w:cs="Times New Roman" w:hAnsi="Constantia"/>
          <w:noProof/>
          <w:szCs w:val="24"/>
        </w:rPr>
        <w:t>(Ramadhan, 2020)</w:t>
      </w:r>
      <w:r>
        <w:rPr>
          <w:rFonts w:ascii="Constantia" w:cs="Times New Roman" w:hAnsi="Constantia"/>
          <w:szCs w:val="24"/>
        </w:rPr>
        <w:fldChar w:fldCharType="end"/>
      </w:r>
      <w:r>
        <w:rPr>
          <w:rFonts w:ascii="Constantia" w:cs="Times New Roman" w:hAnsi="Constantia"/>
          <w:szCs w:val="24"/>
        </w:rPr>
        <w:t xml:space="preserve">. Relasi kuasa yang dijalankan melalui perkawinan antara Raden Wijaya dan Gayatri diturunkan kepada Tribhuwanatunggadewi dengan peralihan konsep menjadi pendidik penerusnya supaya dapat menjadi pemimpin kerajaan </w:t>
      </w:r>
      <w:r>
        <w:rPr>
          <w:rFonts w:ascii="Constantia" w:cs="Times New Roman" w:hAnsi="Constantia"/>
          <w:szCs w:val="24"/>
        </w:rPr>
        <w:fldChar w:fldCharType="begin"/>
      </w:r>
      <w:r>
        <w:rPr>
          <w:rFonts w:ascii="Constantia" w:cs="Times New Roman" w:hAnsi="Constantia"/>
          <w:szCs w:val="24"/>
        </w:rPr>
        <w:instrText>ADDIN CSL_CITATION {"citationItems":[{"id":"ITEM-1","itemData":{"abstract":"… tradisi Hindu. Gayatri mencoba membujuk mereka untuk beralih ke ajaran … (Buddha Gotama) menjadi pelopor berdirinya Sangha Bhikkhuni, perempuan monastik dalam agama Buddha…","author":[{"dropping-particle":"","family":"Pranidhi","given":"Dharmika","non-dropping-particle":"","parse-names":false,"suffix":""},{"dropping-particle":"","family":"Santoso","given":"Widjajanti M","non-dropping-particle":"","parse-names":false,"suffix":""},{"dropping-particle":"","family":"Siscawati","given":"Mia","non-dropping-particle":"","parse-names":false,"suffix":""}],"container-title":"Dharmasmrti: Jurnal Ilmu Agama dan Kebudayaan","id":"ITEM-1","issue":"1","issued":{"date-parts":[["2022"]]},"page":"1-8","title":"Otoritas Perempuan dan Religiusitas Gayatri Rajapatni","type":"article-journal","volume":"22"},"uris":["http://www.mendeley.com/documents/?uuid=cee88143-31f9-4931-9b57-1646e63206cb"]}],"mendeley":{"formattedCitation":"(Pranidhi et al., 2022)","plainTextFormattedCitation":"(Pranidhi et al., 2022)","previouslyFormattedCitation":"(Pranidhi et al., 2022)"},"properties":{"noteIndex":0},"schema":"https://github.com/citation-style-language/schema/raw/master/csl-citation.json"}</w:instrText>
      </w:r>
      <w:r>
        <w:rPr>
          <w:rFonts w:ascii="Constantia" w:cs="Times New Roman" w:hAnsi="Constantia"/>
          <w:szCs w:val="24"/>
        </w:rPr>
        <w:fldChar w:fldCharType="separate"/>
      </w:r>
      <w:r>
        <w:rPr>
          <w:rFonts w:ascii="Constantia" w:cs="Times New Roman" w:hAnsi="Constantia"/>
          <w:noProof/>
          <w:szCs w:val="24"/>
        </w:rPr>
        <w:t>(Pranidhi et al., 2022)</w:t>
      </w:r>
      <w:r>
        <w:rPr>
          <w:rFonts w:ascii="Constantia" w:cs="Times New Roman" w:hAnsi="Constantia"/>
          <w:szCs w:val="24"/>
        </w:rPr>
        <w:fldChar w:fldCharType="end"/>
      </w:r>
      <w:r>
        <w:rPr>
          <w:rFonts w:ascii="Constantia" w:cs="Times New Roman" w:hAnsi="Constantia"/>
          <w:szCs w:val="24"/>
        </w:rPr>
        <w:t xml:space="preserve">. Hal tersebut dilakukan oleh Gayatri karena ketika tahta kerajaan yang seharusnya dipegang olehnya, justru diberikan kepada putrinya dan dirinya memilih untuk menjadi </w:t>
      </w:r>
      <w:r>
        <w:rPr>
          <w:rFonts w:ascii="Constantia" w:cs="Times New Roman" w:hAnsi="Constantia"/>
          <w:i/>
          <w:szCs w:val="24"/>
        </w:rPr>
        <w:t>bhuksuni</w:t>
      </w:r>
      <w:r>
        <w:rPr>
          <w:rFonts w:ascii="Constantia" w:cs="Times New Roman" w:hAnsi="Constantia"/>
          <w:szCs w:val="24"/>
        </w:rPr>
        <w:t xml:space="preserve">. </w:t>
      </w:r>
      <w:r>
        <w:rPr>
          <w:rFonts w:ascii="Constantia" w:cs="Times New Roman" w:eastAsia="Times New Roman" w:hAnsi="Constantia"/>
          <w:szCs w:val="24"/>
        </w:rPr>
        <w:t xml:space="preserve">Pada masa pemerintahan putrinya dan tanpa mempunyai legalitas sebagai seorang ratu, Gayatri tetap melanjutkan visi ayahnya untuk menyatukan nusantara. Upaya tersebut dilakukan Gayatri dengan semangat asketisme seorang Jawa dimana Gayatri membentuk dirinya untuk memiliki kesediaan dalam memberikan perhatian dan berusaha menguasasi nafsunya dengan </w:t>
      </w:r>
      <w:r>
        <w:rPr>
          <w:rFonts w:ascii="Constantia" w:cs="Times New Roman" w:eastAsia="Times New Roman" w:hAnsi="Constantia"/>
          <w:i/>
          <w:szCs w:val="24"/>
        </w:rPr>
        <w:t>laku tapa.</w:t>
      </w:r>
      <w:r>
        <w:rPr>
          <w:rFonts w:ascii="Constantia" w:cs="Times New Roman" w:eastAsia="Times New Roman" w:hAnsi="Constantia"/>
          <w:szCs w:val="24"/>
        </w:rPr>
        <w:t xml:space="preserve"> Laku tapa yang dilakukan Gayatri digambarkan dalam Negarakertagama pupuh 69.1 dan disebutkan bahwa:</w:t>
      </w:r>
    </w:p>
    <w:p>
      <w:pPr>
        <w:pStyle w:val="style179"/>
        <w:spacing w:after="0"/>
        <w:ind w:left="360"/>
        <w:jc w:val="both"/>
        <w:rPr>
          <w:rFonts w:ascii="Constantia" w:cs="Times New Roman" w:eastAsia="Times New Roman" w:hAnsi="Constantia"/>
          <w:szCs w:val="24"/>
        </w:rPr>
      </w:pPr>
      <w:r>
        <w:rPr>
          <w:rFonts w:ascii="Constantia" w:cs="Times New Roman" w:eastAsia="Times New Roman" w:hAnsi="Constantia"/>
          <w:szCs w:val="24"/>
        </w:rPr>
        <w:t xml:space="preserve">“...Arca Sri Rajapatni diberkahi oleh Sang pendeta </w:t>
      </w:r>
      <w:r>
        <w:rPr>
          <w:rFonts w:ascii="Constantia" w:cs="Times New Roman" w:eastAsia="Times New Roman" w:hAnsi="Constantia"/>
          <w:i/>
          <w:szCs w:val="24"/>
        </w:rPr>
        <w:t>Jnyanawidi</w:t>
      </w:r>
      <w:r>
        <w:rPr>
          <w:rFonts w:ascii="Constantia" w:cs="Times New Roman" w:eastAsia="Times New Roman" w:hAnsi="Constantia"/>
          <w:szCs w:val="24"/>
        </w:rPr>
        <w:t xml:space="preserve">, telah lanjut usia, paham akan tantra, menghimpun ilmu agama, Laksana titisan Mpu Barada...”. </w:t>
      </w:r>
    </w:p>
    <w:p>
      <w:pPr>
        <w:pStyle w:val="style179"/>
        <w:spacing w:after="0"/>
        <w:ind w:left="0"/>
        <w:jc w:val="both"/>
        <w:rPr>
          <w:rFonts w:ascii="Constantia" w:cs="Times New Roman" w:eastAsia="Times New Roman" w:hAnsi="Constantia"/>
          <w:szCs w:val="24"/>
        </w:rPr>
      </w:pPr>
      <w:r>
        <w:rPr>
          <w:rFonts w:ascii="Constantia" w:cs="Times New Roman" w:eastAsia="Times New Roman" w:hAnsi="Constantia"/>
          <w:szCs w:val="24"/>
        </w:rPr>
        <w:t xml:space="preserve">Laku tapa sebagaimana yang disebutkan mempunyai makna bahwa pembebasan diri dapat dilakukan dengan membebaskan egoisme (pamrih) atau </w:t>
      </w:r>
      <w:r>
        <w:rPr>
          <w:rFonts w:ascii="Constantia" w:cs="Times New Roman" w:eastAsia="Times New Roman" w:hAnsi="Constantia"/>
          <w:i/>
          <w:szCs w:val="24"/>
        </w:rPr>
        <w:t>sepi ing pamrih.</w:t>
      </w:r>
      <w:r>
        <w:rPr>
          <w:rFonts w:ascii="Constantia" w:cs="Times New Roman" w:eastAsia="Times New Roman" w:hAnsi="Constantia"/>
          <w:szCs w:val="24"/>
        </w:rPr>
        <w:t xml:space="preserve"> Upaya tersebut merupakan proses penyadaran melalui rasa dalam diri seseorang. Rasa yang ada dalam diri seorang Gayatri diekspresikan melalui kecenderungan dirinya dalam mengayomi, mengalah, dan mengabdi. Pengabdian Gayatri tersebut diceritakan oleh Mpu Prapanca dalam Neagarakertagama pupuh 2.1 yang menyebutkan bahwa:</w:t>
      </w:r>
    </w:p>
    <w:p>
      <w:pPr>
        <w:pStyle w:val="style179"/>
        <w:spacing w:after="0"/>
        <w:ind w:left="360"/>
        <w:jc w:val="both"/>
        <w:rPr>
          <w:rFonts w:ascii="Constantia" w:cs="Times New Roman" w:eastAsia="Times New Roman" w:hAnsi="Constantia"/>
          <w:szCs w:val="24"/>
        </w:rPr>
      </w:pPr>
      <w:r>
        <w:rPr>
          <w:rFonts w:ascii="Constantia" w:cs="Times New Roman" w:eastAsia="Times New Roman" w:hAnsi="Constantia"/>
          <w:szCs w:val="24"/>
        </w:rPr>
        <w:t xml:space="preserve">“...seperti titisan </w:t>
      </w:r>
      <w:r>
        <w:rPr>
          <w:rFonts w:ascii="Constantia" w:cs="Times New Roman" w:eastAsia="Times New Roman" w:hAnsi="Constantia"/>
          <w:i/>
          <w:szCs w:val="24"/>
        </w:rPr>
        <w:t>Parama Bagawati</w:t>
      </w:r>
      <w:r>
        <w:rPr>
          <w:rFonts w:ascii="Constantia" w:cs="Times New Roman" w:eastAsia="Times New Roman" w:hAnsi="Constantia"/>
          <w:szCs w:val="24"/>
        </w:rPr>
        <w:t xml:space="preserve"> memayungi jagat raya...”. </w:t>
      </w:r>
    </w:p>
    <w:p>
      <w:pPr>
        <w:pStyle w:val="style179"/>
        <w:spacing w:after="0"/>
        <w:ind w:left="0"/>
        <w:jc w:val="both"/>
        <w:rPr>
          <w:rFonts w:ascii="Constantia" w:cs="Times New Roman" w:hAnsi="Constantia"/>
          <w:szCs w:val="24"/>
        </w:rPr>
      </w:pPr>
      <w:r>
        <w:rPr>
          <w:rFonts w:ascii="Constantia" w:cs="Times New Roman" w:eastAsia="Times New Roman" w:hAnsi="Constantia"/>
          <w:szCs w:val="24"/>
        </w:rPr>
        <w:t>Mpu Prapanca menyebutkan bahwa keagungan yang dimiliki Gayatrri kemudian di arcakan sebagai Prajnaparamita yang memiliki makna dewi pengetahuan sebagai perwujudan atas kebijaksanaan yang dimiliki oleh sosok Gayatri.</w:t>
      </w:r>
    </w:p>
    <w:p>
      <w:pPr>
        <w:pStyle w:val="style179"/>
        <w:spacing w:after="0"/>
        <w:ind w:left="0"/>
        <w:jc w:val="both"/>
        <w:rPr>
          <w:rFonts w:ascii="Constantia" w:cs="Times New Roman" w:hAnsi="Constantia"/>
          <w:szCs w:val="24"/>
        </w:rPr>
      </w:pPr>
      <w:r>
        <w:rPr>
          <w:rFonts w:ascii="Constantia" w:cs="Times New Roman" w:hAnsi="Constantia"/>
          <w:szCs w:val="24"/>
        </w:rPr>
        <w:tab/>
      </w:r>
      <w:r>
        <w:rPr>
          <w:rFonts w:ascii="Constantia" w:cs="Times New Roman" w:hAnsi="Constantia"/>
          <w:szCs w:val="24"/>
        </w:rPr>
        <w:t xml:space="preserve">Pada tahun 1334, Tribhuwanatunggadewi mengangkat Gajah Mada dan menduduki jabatan sebagai Mahapatih Amungkubhumi </w:t>
      </w:r>
      <w:r>
        <w:rPr>
          <w:rFonts w:ascii="Constantia" w:cs="Times New Roman" w:hAnsi="Constantia"/>
          <w:szCs w:val="24"/>
        </w:rPr>
        <w:fldChar w:fldCharType="begin"/>
      </w:r>
      <w:r>
        <w:rPr>
          <w:rFonts w:ascii="Constantia" w:cs="Times New Roman" w:hAnsi="Constantia"/>
          <w:szCs w:val="24"/>
        </w:rPr>
        <w:instrText>ADDIN CSL_CITATION {"citationItems":[{"id":"ITEM-1","itemData":{"author":[{"dropping-particle":"","family":"Rahmadania","given":"W.A","non-dropping-particle":"","parse-names":false,"suffix":""},{"dropping-particle":"","family":"Wibowo","given":"H","non-dropping-particle":"","parse-names":false,"suffix":""},{"dropping-particle":"","family":"Sarjono","given":"E","non-dropping-particle":"","parse-names":false,"suffix":""},{"dropping-particle":"","family":"Simamora","given":"H.F","non-dropping-particle":"","parse-names":false,"suffix":""},{"dropping-particle":"","family":"Amin","given":"M","non-dropping-particle":"","parse-names":false,"suffix":""},{"dropping-particle":"","family":"Maheswara","given":"A","non-dropping-particle":"","parse-names":false,"suffix":""},{"dropping-particle":"","family":"Vivaldy","given":"J","non-dropping-particle":"","parse-names":false,"suffix":""}],"id":"ITEM-1","issued":{"date-parts":[["2022"]]},"page":"80","title":"Strategi Politik Perempuan dalam Sejarah","type":"article"},"uris":["http://www.mendeley.com/documents/?uuid=7a791309-6b61-46a9-8f0d-e82f13c21e6c"]}],"mendeley":{"formattedCitation":"(Rahmadania et al., 2022)","plainTextFormattedCitation":"(Rahmadania et al., 2022)","previouslyFormattedCitation":"(Rahmadania et al., 2022)"},"properties":{"noteIndex":0},"schema":"https://github.com/citation-style-language/schema/raw/master/csl-citation.json"}</w:instrText>
      </w:r>
      <w:r>
        <w:rPr>
          <w:rFonts w:ascii="Constantia" w:cs="Times New Roman" w:hAnsi="Constantia"/>
          <w:szCs w:val="24"/>
        </w:rPr>
        <w:fldChar w:fldCharType="separate"/>
      </w:r>
      <w:r>
        <w:rPr>
          <w:rFonts w:ascii="Constantia" w:cs="Times New Roman" w:hAnsi="Constantia"/>
          <w:noProof/>
          <w:szCs w:val="24"/>
        </w:rPr>
        <w:t>(Rahmadania et al., 2022)</w:t>
      </w:r>
      <w:r>
        <w:rPr>
          <w:rFonts w:ascii="Constantia" w:cs="Times New Roman" w:hAnsi="Constantia"/>
          <w:szCs w:val="24"/>
        </w:rPr>
        <w:fldChar w:fldCharType="end"/>
      </w:r>
      <w:r>
        <w:rPr>
          <w:rFonts w:ascii="Constantia" w:cs="Times New Roman" w:hAnsi="Constantia"/>
          <w:szCs w:val="24"/>
        </w:rPr>
        <w:t>. Dalam menjalankan tugasnya, Gajah Mada tidak lepas dari arahan Gayatri, sampai pada akhirnya Gajah Mada mengumumkan kebijakannya untuk memperluas wilayah kekuasaan kerajaan dengan Sumpah Amukti Palapa saat pengangkatannya. Usaha Gayatri dalam mencapai visinya adalah dengan memperluas batas wilayah Majapahit. Bukan dengan penaklukkan, melainkan melalui tawaran untuk bergabung dalam konfederasi yang dipimpin Majapahit. Langkah ini dilakukan supaya negara yang bergabung dalam konfederasi Majapahit bukan karena paksaan atau merasa dijajah. Dalam melakukan langkah tersebut, Majapahit tetap mempertahankan pemerintahan dan juga adat setempat dengan cara bekerja sama dalam bidang pertanian, perdagangan, dan pertahanan. Alasan yang mendasari kerja sama ini adalah ikatan kultural dan historis dengan wilayah yang disebutkan Gajah Mada pada saat melakukan sumpahnya. Gayatri memberikan usulan untuk melakukan langkah besar selanjutnya dengan cara menggiring negara tetangga terdekat supaya kembali masuk dalam Majapahit untuk menjaga kedaulatannya, melibatkan wilayah mencanegara, dan melibatkan negeri di kawasan nusantara yang memiliki kesamaan dengan Jawa.</w:t>
      </w:r>
      <w:r>
        <w:rPr>
          <w:rFonts w:ascii="Constantia" w:cs="Times New Roman" w:eastAsia="Times New Roman" w:hAnsi="Constantia"/>
          <w:szCs w:val="24"/>
        </w:rPr>
        <w:t xml:space="preserve"> Dituliskan dalam serat Pararaton bahwa terdapat wilayah yang harus mengakui kejayaan Majapahit meliputi Gurun, Seran, Tanjung Pura, Haru, Pahang, Dompo, Bali, Sunda, Palembang, dan Tumasik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{"citationItems":[{"id":"ITEM-1","itemData":{"DOI":"10.30998/vh.v1i02.29","abstract":"Kerajaan Majapahit merupakan sebuah kerajaan tertua di Indonesia, Berdiri tepatnya di daerah Tarik, Sidoarjdo Jawa Timur. Berjayanya Kerajaan Majapahit yaitu pada masa kepemimpinan Raja Hayam Wuruk, berkat  jasa Mahapatih Gajah Mada dalam  sumpahnya yang terkenal dengan sumpah Palapa. Karena itu Mahapatih Gajah Mada adalah tokoh sejarah Kerajaan Majapahit yang memiliki pengaruh besar dalam memperluas kekuatan Kerajaan Majapahit. Gagasannya yaitu menyatukan wilayah – wilayah di Nusantara. Artikel ini akan membahas perancangan visual karakter Gajah Mada dalam film animasi “Kejayaan Majapahit” dengan tujuan untuk mengetahui karakter visual Gajah Mada sebagai Mahapatih yang berpengaruh di Kerajaan Majapahit. Analisis visual artikel ini menggunakan analisis Kualitiatif, sehingga dengan analisis ini dapat diketahui karakter visual Gajah Mada sesungguhnya. Dan film animasi dibuat sebagai media mendukung agar karakter visual Gajah Mada lebih menarik perhatian khususnya audience yaitu remaja.","author":[{"dropping-particle":"","family":"Alpiyah","given":"Ni'mah","non-dropping-particle":"","parse-names":false,"suffix":""},{"dropping-particle":"","family":"Purnengsih","given":"Iis","non-dropping-particle":"","parse-names":false,"suffix":""}],"container-title":"Visual Heritage: Jurnal Kreasi Seni dan Budaya","id":"ITEM-1","issue":"02","issued":{"date-parts":[["2019"]]},"page":"147-153","title":"Karakter Gajah Mada: Simbol Kejayaan Majapahit","type":"article-journal","volume":"1"},"uris":["http://www.mendeley.com/documents/?uuid=3db19960-c722-4989-84bd-f43d71b085cd"]}],"mendeley":{"formattedCitation":"(Alpiyah &amp; Purnengsih, 2019)","plainTextFormattedCitation":"(Alpiyah &amp; Purnengsih, 2019)","previouslyFormattedCitation":"(Alpiyah &amp; Purnengsih, 2019)"},"properties":{"noteIndex":0},"schema":"https://github.com/citation-style-language/schema/raw/master/csl-citation.json"}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(Alpiyah &amp; Purnengsih, 2019)</w:t>
      </w:r>
      <w:r>
        <w:rPr>
          <w:rFonts w:ascii="Constantia" w:cs="Times New Roman" w:eastAsia="Times New Roman" w:hAnsi="Constantia"/>
          <w:szCs w:val="24"/>
        </w:rPr>
        <w:fldChar w:fldCharType="end"/>
      </w:r>
      <w:r>
        <w:rPr>
          <w:rFonts w:ascii="Constantia" w:cs="Times New Roman" w:eastAsia="Times New Roman" w:hAnsi="Constantia"/>
          <w:szCs w:val="24"/>
        </w:rPr>
        <w:t xml:space="preserve">. Diantara daerah tersebut, Bali menjadi daerah yang menjadi perhatian Gayatri karena budaya tradisional yang dimilikinya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{"citationItems":[{"id":"ITEM-1","itemData":{"abstract":"Conquest of Bali by the Majapahit Kingdom in 1343 AD. The purpose of this research is to find out the strategies used by Gajah Mada in the conquest of Bali. Using historical methods with library and documentation data collection techniques. Data analysis techniques used are data reduction, data presentation, and data verification. The results of the analysis and discussion showed that in conquering Bali in 1343 AD the Majapahit army was led by Gajah Mada by using various strategies: (1) Strategy of Deception / Reaso, (2) Military Strategy: Attack through the Four Paths and Attack From All directions, (3) Religious Approach Strategies; and in the end Majapahit Kingdom could conquer Bali successfully.","author":[{"dropping-particle":"","family":"Pangestika","given":"Armandira Eno","non-dropping-particle":"","parse-names":false,"suffix":""},{"dropping-particle":"","family":"Susanto","given":"Henry","non-dropping-particle":"","parse-names":false,"suffix":""},{"dropping-particle":"","family":"Imanita","given":"Myristica","non-dropping-particle":"","parse-names":false,"suffix":""}],"container-title":"Download.Garuda.Kemdikbud.Go.Id","id":"ITEM-1","issue":"01","issued":{"date-parts":[["2019"]]},"title":"Penaklukan Bali Oleh Kerajaan Majapahit Tahun 1343 M","type":"article-journal"},"uris":["http://www.mendeley.com/documents/?uuid=ff6b436c-ca47-4133-9964-5956fc15792b"]}],"mendeley":{"formattedCitation":"(Pangestika et al., 2019)","plainTextFormattedCitation":"(Pangestika et al., 2019)","previouslyFormattedCitation":"(Pangestika et al., 2019)"},"properties":{"noteIndex":0},"schema":"https://github.com/citation-style-language/schema/raw/master/csl-citation.json"}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(Pangestika et al., 2019)</w:t>
      </w:r>
      <w:r>
        <w:rPr>
          <w:rFonts w:ascii="Constantia" w:cs="Times New Roman" w:eastAsia="Times New Roman" w:hAnsi="Constantia"/>
          <w:szCs w:val="24"/>
        </w:rPr>
        <w:fldChar w:fldCharType="end"/>
      </w:r>
      <w:r>
        <w:rPr>
          <w:rFonts w:ascii="Constantia" w:cs="Times New Roman" w:eastAsia="Times New Roman" w:hAnsi="Constantia"/>
          <w:szCs w:val="24"/>
        </w:rPr>
        <w:t xml:space="preserve">. Selain itu Bali merupakan daerah dimana ajaran Hindu-Buddhis Majapahit dianut oleh para penguasa, pendeta, dan petani. Bali juga merupakan wilayah yang menerapkan sistem pemerintahan seperti pada masa Majapahit yaitu dengan mengadobsi kitab hukum konstitusi negara yang disebut dengan </w:t>
      </w:r>
      <w:r>
        <w:rPr>
          <w:rFonts w:ascii="Constantia" w:cs="Times New Roman" w:eastAsia="Times New Roman" w:hAnsi="Constantia"/>
          <w:i/>
          <w:szCs w:val="24"/>
        </w:rPr>
        <w:t>Kutawarnana</w:t>
      </w:r>
      <w:r>
        <w:rPr>
          <w:rFonts w:ascii="Constantia" w:cs="Times New Roman" w:eastAsia="Times New Roman" w:hAnsi="Constantia"/>
          <w:szCs w:val="24"/>
        </w:rPr>
        <w:t xml:space="preserve"> atau </w:t>
      </w:r>
      <w:r>
        <w:rPr>
          <w:rFonts w:ascii="Constantia" w:cs="Times New Roman" w:eastAsia="Times New Roman" w:hAnsi="Constantia"/>
          <w:i/>
          <w:szCs w:val="24"/>
        </w:rPr>
        <w:t xml:space="preserve">Kutawarnawa </w:t>
      </w:r>
      <w:r>
        <w:rPr>
          <w:rFonts w:ascii="Constantia" w:cs="Times New Roman" w:eastAsia="Times New Roman" w:hAnsi="Constantia"/>
          <w:i/>
          <w:szCs w:val="24"/>
        </w:rPr>
        <w:fldChar w:fldCharType="begin"/>
      </w:r>
      <w:r>
        <w:rPr>
          <w:rFonts w:ascii="Constantia" w:cs="Times New Roman" w:eastAsia="Times New Roman" w:hAnsi="Constantia"/>
          <w:i/>
          <w:szCs w:val="24"/>
        </w:rPr>
        <w:instrText>ADDIN CSL_CITATION {"citationItems":[{"id":"ITEM-1","itemData":{"ISBN":"9786237092100","abstract":"… Kami mengharapkan penulisan sejarah Ida I Dewa Agung Istri Kanya ini tidak menjadi sebatas … Ida I Dewa Agung Istri Kanya diakui sebagai pahlawan nasional dapat segera terwujud. …","author":[{"dropping-particle":"","family":"Noorwatha","given":"I Kadek Dwi","non-dropping-particle":"","parse-names":false,"suffix":""}],"id":"ITEM-1","issued":{"date-parts":[["2019"]]},"title":"NARANATHA-KANYA:\nJejak Sejarah Dewa Agung Istri Kanya\ndan Kebangkitan Seni Kerajaan Klungkung Abad ke-19","type":"book"},"uris":["http://www.mendeley.com/documents/?uuid=39f2c3fb-c151-415b-85c9-f3336333f7d1"]}],"mendeley":{"formattedCitation":"(Noorwatha, 2019)","plainTextFormattedCitation":"(Noorwatha, 2019)","previouslyFormattedCitation":"(Noorwatha, 2019)"},"properties":{"noteIndex":0},"schema":"https://github.com/citation-style-language/schema/raw/master/csl-citation.json"}</w:instrText>
      </w:r>
      <w:r>
        <w:rPr>
          <w:rFonts w:ascii="Constantia" w:cs="Times New Roman" w:eastAsia="Times New Roman" w:hAnsi="Constantia"/>
          <w:i/>
          <w:szCs w:val="24"/>
        </w:rPr>
        <w:fldChar w:fldCharType="separate"/>
      </w:r>
      <w:r>
        <w:rPr>
          <w:rFonts w:ascii="Constantia" w:cs="Times New Roman" w:eastAsia="Times New Roman" w:hAnsi="Constantia"/>
          <w:noProof/>
          <w:szCs w:val="24"/>
        </w:rPr>
        <w:t>(Noorwatha, 2019)</w:t>
      </w:r>
      <w:r>
        <w:rPr>
          <w:rFonts w:ascii="Constantia" w:cs="Times New Roman" w:eastAsia="Times New Roman" w:hAnsi="Constantia"/>
          <w:i/>
          <w:szCs w:val="24"/>
        </w:rPr>
        <w:fldChar w:fldCharType="end"/>
      </w:r>
      <w:r>
        <w:rPr>
          <w:rFonts w:ascii="Constantia" w:cs="Times New Roman" w:eastAsia="Times New Roman" w:hAnsi="Constantia"/>
          <w:i/>
          <w:szCs w:val="24"/>
        </w:rPr>
        <w:t>.</w:t>
      </w:r>
    </w:p>
    <w:p>
      <w:pPr>
        <w:pStyle w:val="style0"/>
        <w:spacing w:after="0"/>
        <w:jc w:val="both"/>
        <w:rPr>
          <w:rFonts w:ascii="Constantia" w:eastAsia="Times New Roman" w:hAnsi="Constantia"/>
          <w:sz w:val="24"/>
          <w:szCs w:val="24"/>
        </w:rPr>
      </w:pPr>
    </w:p>
    <w:p>
      <w:pPr>
        <w:pStyle w:val="style179"/>
        <w:numPr>
          <w:ilvl w:val="0"/>
          <w:numId w:val="1"/>
        </w:numPr>
        <w:spacing w:after="0"/>
        <w:jc w:val="both"/>
        <w:rPr>
          <w:rFonts w:ascii="Constantia" w:cs="Times New Roman" w:eastAsia="Times New Roman" w:hAnsi="Constantia"/>
          <w:b/>
          <w:szCs w:val="24"/>
        </w:rPr>
      </w:pPr>
      <w:r>
        <w:rPr>
          <w:rFonts w:ascii="Constantia" w:cs="Times New Roman" w:eastAsia="Times New Roman" w:hAnsi="Constantia"/>
          <w:b/>
          <w:szCs w:val="24"/>
        </w:rPr>
        <w:t>Menginisiasi Pembentukan Kelompok Independen untuk Pertumbuhan Perdagagangan Melalui Pelabuhan</w:t>
      </w:r>
    </w:p>
    <w:p>
      <w:pPr>
        <w:pStyle w:val="style0"/>
        <w:spacing w:after="0"/>
        <w:jc w:val="both"/>
        <w:rPr>
          <w:rFonts w:ascii="Constantia" w:eastAsia="Times New Roman" w:hAnsi="Constantia"/>
          <w:sz w:val="24"/>
          <w:szCs w:val="24"/>
        </w:rPr>
      </w:pPr>
      <w:r>
        <w:rPr>
          <w:rFonts w:ascii="Constantia" w:eastAsia="Times New Roman" w:hAnsi="Constantia"/>
          <w:sz w:val="24"/>
          <w:szCs w:val="24"/>
        </w:rPr>
        <w:tab/>
      </w:r>
      <w:r>
        <w:rPr>
          <w:rFonts w:ascii="Constantia" w:eastAsia="Times New Roman" w:hAnsi="Constantia"/>
          <w:sz w:val="24"/>
          <w:szCs w:val="24"/>
        </w:rPr>
        <w:t xml:space="preserve">Kerajaan Majapahit merupakan kerajaan bercorak maritim dan agraris dengan mengandalkan perdagangan dan pertanian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{"citationItems":[{"id":"ITEM-1","itemData":{"DOI":"10.30595/pssh.v3i.358","abstract":"… agama Hindu di Jawa, … Perkembangan dan pembangunan suatu bangsa tergantung pada generasi mudanya, karena kualitas karakter bangsa menentukan kemajuan suatu bangsa…","author":[{"dropping-particle":"","family":"Nugroho","given":"Agus","non-dropping-particle":"","parse-names":false,"suffix":""},{"dropping-particle":"","family":"Novianto","given":"Victor","non-dropping-particle":"","parse-names":false,"suffix":""}],"container-title":"Proceedings Series on Social Sciences &amp; Humanities","id":"ITEM-1","issue":"2","issued":{"date-parts":[["2022"]]},"page":"639-643","title":"Analisa Nilai-nilai Pendidikan Karakter Kerajaan Maritim pada Masa Hindu-Buddha di Indonesia","type":"article-journal","volume":"3"},"uris":["http://www.mendeley.com/documents/?uuid=614ab213-5783-4039-9cfb-1b2e51f857ff"]}],"mendeley":{"formattedCitation":"(Nugroho &amp; Novianto, 2022)","plainTextFormattedCitation":"(Nugroho &amp; Novianto, 2022)","previouslyFormattedCitation":"(Nugroho &amp; Novianto, 2022)"},"properties":{"noteIndex":0},"schema":"https://github.com/citation-style-language/schema/raw/master/csl-citation.json"}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(Nugroho &amp; Novianto, 2022)</w:t>
      </w:r>
      <w:r>
        <w:rPr>
          <w:rFonts w:ascii="Constantia" w:eastAsia="Times New Roman" w:hAnsi="Constantia"/>
          <w:sz w:val="24"/>
          <w:szCs w:val="24"/>
        </w:rPr>
        <w:fldChar w:fldCharType="end"/>
      </w:r>
      <w:r>
        <w:rPr>
          <w:rFonts w:ascii="Constantia" w:eastAsia="Times New Roman" w:hAnsi="Constantia"/>
          <w:sz w:val="24"/>
          <w:szCs w:val="24"/>
        </w:rPr>
        <w:t xml:space="preserve">. </w:t>
      </w:r>
      <w:r>
        <w:rPr>
          <w:rFonts w:ascii="Constantia" w:eastAsia="Times New Roman" w:hAnsi="Constantia"/>
          <w:color w:val="000000"/>
          <w:sz w:val="24"/>
          <w:szCs w:val="24"/>
        </w:rPr>
        <w:t xml:space="preserve">Majapahit terletak pada posisi strategis dimana dekat dengan Sungai Brantas dan terdapat puluhan desa yang dibebaskan dari pajak. Pembebasan pajak tersebut sebagai </w:t>
      </w:r>
      <w:r>
        <w:rPr>
          <w:rFonts w:ascii="Constantia" w:eastAsia="Times New Roman" w:hAnsi="Constantia"/>
          <w:i/>
          <w:color w:val="000000"/>
          <w:sz w:val="24"/>
          <w:szCs w:val="24"/>
        </w:rPr>
        <w:t>“nadi tira pradesa”</w:t>
      </w:r>
      <w:r>
        <w:rPr>
          <w:rFonts w:ascii="Constantia" w:eastAsia="Times New Roman" w:hAnsi="Constantia"/>
          <w:color w:val="000000"/>
          <w:sz w:val="24"/>
          <w:szCs w:val="24"/>
        </w:rPr>
        <w:t xml:space="preserve"> yang memiliki makna desa-desa pinggir sungai. Istilah tersebut juga mengandung arti bahwa sungai mempunyai peranan yang sangat penting dalam kegiatan perniagaan dan lalu lintas </w:t>
      </w:r>
      <w:r>
        <w:rPr>
          <w:rFonts w:ascii="Constantia" w:eastAsia="Times New Roman" w:hAnsi="Constantia"/>
          <w:color w:val="000000"/>
          <w:sz w:val="24"/>
          <w:szCs w:val="24"/>
        </w:rPr>
        <w:fldChar w:fldCharType="begin"/>
      </w:r>
      <w:r>
        <w:rPr>
          <w:rFonts w:ascii="Constantia" w:eastAsia="Times New Roman" w:hAnsi="Constantia"/>
          <w:color w:val="000000"/>
          <w:sz w:val="24"/>
          <w:szCs w:val="24"/>
        </w:rPr>
        <w:instrText>ADDIN CSL_CITATION {"citationItems":[{"id":"ITEM-1","itemData":{"abstract":"Majapahit is one of Nusantara big kingdoms in influence of Hindhu-Budha age. As big kindom, Majapahit had glorious and sad history dynamic. Many things can be explored from history of Majapahit because it has abundant data sources, both artifact and textual data or news from the other countries. The historical dynamic can be basic of history wisdom in the present time.","author":[{"dropping-particle":"","family":"Safitri","given":"Sani","non-dropping-particle":"","parse-names":false,"suffix":""}],"container-title":"Sejarah dan Budaya","id":"ITEM-1","issue":"1","issued":{"date-parts":[["2015"]]},"page":"88-95","title":"Telaah Geomorfologi Kerajaan Majapahit","type":"article-journal","volume":"7"},"uris":["http://www.mendeley.com/documents/?uuid=39c3d8a7-e555-4906-be0e-68005caca7b6"]}],"mendeley":{"formattedCitation":"(Safitri, 2015)","plainTextFormattedCitation":"(Safitri, 2015)","previouslyFormattedCitation":"(Safitri, 2015)"},"properties":{"noteIndex":0},"schema":"https://github.com/citation-style-language/schema/raw/master/csl-citation.json"}</w:instrText>
      </w:r>
      <w:r>
        <w:rPr>
          <w:rFonts w:ascii="Constantia" w:eastAsia="Times New Roman" w:hAnsi="Constantia"/>
          <w:color w:val="000000"/>
          <w:sz w:val="24"/>
          <w:szCs w:val="24"/>
        </w:rPr>
        <w:fldChar w:fldCharType="separate"/>
      </w:r>
      <w:r>
        <w:rPr>
          <w:rFonts w:ascii="Constantia" w:eastAsia="Times New Roman" w:hAnsi="Constantia"/>
          <w:color w:val="000000"/>
          <w:sz w:val="24"/>
          <w:szCs w:val="24"/>
        </w:rPr>
        <w:t>(Safitri, 2015)</w:t>
      </w:r>
      <w:r>
        <w:rPr>
          <w:rFonts w:ascii="Constantia" w:eastAsia="Times New Roman" w:hAnsi="Constantia"/>
          <w:color w:val="000000"/>
          <w:sz w:val="24"/>
          <w:szCs w:val="24"/>
        </w:rPr>
        <w:fldChar w:fldCharType="end"/>
      </w:r>
      <w:r>
        <w:rPr>
          <w:rFonts w:ascii="Constantia" w:eastAsia="Times New Roman" w:hAnsi="Constantia"/>
          <w:color w:val="000000"/>
          <w:sz w:val="24"/>
          <w:szCs w:val="24"/>
        </w:rPr>
        <w:t xml:space="preserve">. </w:t>
      </w:r>
      <w:r>
        <w:rPr>
          <w:rFonts w:ascii="Constantia" w:eastAsia="Times New Roman" w:hAnsi="Constantia"/>
          <w:sz w:val="24"/>
          <w:szCs w:val="24"/>
        </w:rPr>
        <w:t xml:space="preserve">Sepak terjang pendidikan yang didapatkan Gayatri menjadikannya pandai dalam menganalisis permasalahan kerajaan seperti dalam analisisnya mengenai Pemberontakan Ronggolawe. Dalam analisis tersebut Gayatri mengkritisi persoalan adanya ikatan yang terjalin antara rakyat Tuban dengan Ronggolawe. Gayatri mengkritisi cara Ronggolawe dalam mendapatkan dukungan masyarakat Tuban, sedangkan keluarganya sendiri tidak mempunyai ikatan dengan masyarakat Tuban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{"citationItems":[{"id":"ITEM-1","itemData":{"author":[{"dropping-particle":"","family":"Kusumastuti","given":"R","non-dropping-particle":"","parse-names":false,"suffix":""}],"id":"ITEM-1","issued":{"date-parts":[["2021"]]},"page":"93-94","title":"Teh Celup Curhat Inspiratif dari Seorang Perempuan yang Suaminya Harus dipenjara karena Kriminalisasi","type":"article"},"uris":["http://www.mendeley.com/documents/?uuid=176ca486-b366-47f8-8a9f-f546e6a13516"]}],"mendeley":{"formattedCitation":"(Kusumastuti, 2021)","plainTextFormattedCitation":"(Kusumastuti, 2021)","previouslyFormattedCitation":"(Kusumastuti, 2021)"},"properties":{"noteIndex":0},"schema":"https://github.com/citation-style-language/schema/raw/master/csl-citation.json"}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(Kusumastuti, 2021)</w:t>
      </w:r>
      <w:r>
        <w:rPr>
          <w:rFonts w:ascii="Constantia" w:eastAsia="Times New Roman" w:hAnsi="Constantia"/>
          <w:sz w:val="24"/>
          <w:szCs w:val="24"/>
        </w:rPr>
        <w:fldChar w:fldCharType="end"/>
      </w:r>
      <w:r>
        <w:rPr>
          <w:rFonts w:ascii="Constantia" w:eastAsia="Times New Roman" w:hAnsi="Constantia"/>
          <w:sz w:val="24"/>
          <w:szCs w:val="24"/>
        </w:rPr>
        <w:t xml:space="preserve">. </w:t>
      </w:r>
    </w:p>
    <w:p>
      <w:pPr>
        <w:pStyle w:val="style0"/>
        <w:spacing w:after="0"/>
        <w:jc w:val="both"/>
        <w:rPr>
          <w:rFonts w:ascii="Constantia" w:eastAsia="Times New Roman" w:hAnsi="Constantia"/>
          <w:color w:val="000000"/>
          <w:sz w:val="24"/>
          <w:szCs w:val="24"/>
        </w:rPr>
      </w:pPr>
      <w:r>
        <w:rPr>
          <w:rFonts w:ascii="Constantia" w:eastAsia="Times New Roman" w:hAnsi="Constantia"/>
          <w:sz w:val="24"/>
          <w:szCs w:val="24"/>
        </w:rPr>
        <w:tab/>
      </w:r>
      <w:r>
        <w:rPr>
          <w:rFonts w:ascii="Constantia" w:eastAsia="Times New Roman" w:hAnsi="Constantia"/>
          <w:sz w:val="24"/>
          <w:szCs w:val="24"/>
        </w:rPr>
        <w:t xml:space="preserve">Sebagai kerajaan maritim yang strategis, Gayatri kemudian memberikan arahan kepada Raden Wijaya untuk membentuk sebuah kelompok khusus atau kelompok independen dan kemudian ditugaskan ke Tuban untuk melakukan pendekatan. Hasil pendekatan tersebut nantinya akan digunakan sebagai alat untuk menyusun laporan mengenai aspirasi, keluhan, serta saran rakyat Tuban. Penyusunan kelompok independen tersebut akhirnya meluas tidak hanya di Tuban saja, melainkan sampai ke pelabuhan Gresik dan sekitarnya. Terbentuknya tim independen ini memudahkan Raden Wijaya dalam mempelajari pertumbuhan pelabuhan yang tidak terlepas dari peran aktif pedagang lokal maupun pedagang dari luar pulau Jawa. Pertumbuhan pelabuhan semakin pesat sehingga tercipta kebijakan-kebijakan di pelabuhan Jawa. Pertumbuhan pelabuhan terjadi karena pedagang yang melakukan perdagangan di pelabuhan tidak sekedar menunggu kedatangan pedagang asing, melainkan juga mengangkut barang dagangannya meliputi beras dan hasil bumi untuk ditukarkan dengan produk asing seperti keramik China, tekstil, dan rempah. Perkembangan pelabuhan ini nantinya menjadi awal dari Islamisasi di Pulau Jawa yang disebabkan karena adanya hubungan dekat antara Malaka dan pantai utara Jawa yaitu Gresik dan Tuban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{"citationItems":[{"id":"ITEM-1","itemData":{"author":[{"dropping-particle":"","family":"Oktorino","given":"N","non-dropping-particle":"","parse-names":false,"suffix":""}],"edition":"Edisi Pert","id":"ITEM-1","issued":{"date-parts":[["2020"]]},"number-of-pages":"209","publisher":"PT Elex Media Komputindo","publisher-place":"Jakarta","title":"Hikayat Majapahit: Kebangkitan dan Keruntuhan Kerajaan Terbesar di Nusantara","type":"book"},"uris":["http://www.mendeley.com/documents/?uuid=28ec7c20-4926-4b7f-bd19-960451110d74"]}],"mendeley":{"formattedCitation":"(Oktorino, 2020)","plainTextFormattedCitation":"(Oktorino, 2020)","previouslyFormattedCitation":"(Oktorino, 2020)"},"properties":{"noteIndex":0},"schema":"https://github.com/citation-style-language/schema/raw/master/csl-citation.json"}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(Oktorino, 2020)</w:t>
      </w:r>
      <w:r>
        <w:rPr>
          <w:rFonts w:ascii="Constantia" w:eastAsia="Times New Roman" w:hAnsi="Constantia"/>
          <w:sz w:val="24"/>
          <w:szCs w:val="24"/>
        </w:rPr>
        <w:fldChar w:fldCharType="end"/>
      </w:r>
      <w:r>
        <w:rPr>
          <w:rFonts w:ascii="Constantia" w:eastAsia="Times New Roman" w:hAnsi="Constantia"/>
          <w:sz w:val="24"/>
          <w:szCs w:val="24"/>
        </w:rPr>
        <w:t xml:space="preserve">. Untuk menjalankan strategi maritim, Gajah Mada dibantu oleh armada ketentaraan Laksamana Nala. Laksamana Nala adalah seorang Resi atau Mpu yang ikut serta dalam pengembangan wilayah Majapahit dengan armada lautnya yang tangguh dan disegani. Berkat kerja sama antara Laksamana Nala dan Gajah Mada, Kali Brantas menjadi salah satu sektor maritim Majapahit yang sangat vital dalam kehidupan kerajaan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{"citationItems":[{"id":"ITEM-1","itemData":{"author":[{"dropping-particle":"","family":"Wijoyo","given":"S","non-dropping-particle":"","parse-names":false,"suffix":""}],"id":"ITEM-1","issued":{"date-parts":[["2016"]]},"title":"MEA Menggugah Membuat Kinerja Menyejarah","type":"article-journal"},"uris":["http://www.mendeley.com/documents/?uuid=fe936322-05ef-4186-b1eb-a7f7a750d4e0"]}],"mendeley":{"formattedCitation":"(Wijoyo, 2016)","plainTextFormattedCitation":"(Wijoyo, 2016)","previouslyFormattedCitation":"(Wijoyo, 2016)"},"properties":{"noteIndex":0},"schema":"https://github.com/citation-style-language/schema/raw/master/csl-citation.json"}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(Wijoyo, 2016)</w:t>
      </w:r>
      <w:r>
        <w:rPr>
          <w:rFonts w:ascii="Constantia" w:eastAsia="Times New Roman" w:hAnsi="Constantia"/>
          <w:sz w:val="24"/>
          <w:szCs w:val="24"/>
        </w:rPr>
        <w:fldChar w:fldCharType="end"/>
      </w:r>
      <w:r>
        <w:rPr>
          <w:rFonts w:ascii="Constantia" w:eastAsia="Times New Roman" w:hAnsi="Constantia"/>
          <w:sz w:val="24"/>
          <w:szCs w:val="24"/>
        </w:rPr>
        <w:t xml:space="preserve">. </w:t>
      </w:r>
    </w:p>
    <w:p>
      <w:pPr>
        <w:pStyle w:val="style179"/>
        <w:numPr>
          <w:ilvl w:val="0"/>
          <w:numId w:val="1"/>
        </w:numPr>
        <w:spacing w:after="0"/>
        <w:jc w:val="both"/>
        <w:rPr>
          <w:rFonts w:ascii="Constantia" w:cs="Times New Roman" w:eastAsia="Times New Roman" w:hAnsi="Constantia"/>
          <w:b/>
          <w:color w:val="000000"/>
          <w:szCs w:val="24"/>
        </w:rPr>
      </w:pPr>
      <w:r>
        <w:rPr>
          <w:rFonts w:ascii="Constantia" w:cs="Times New Roman" w:eastAsia="Times New Roman" w:hAnsi="Constantia"/>
          <w:b/>
          <w:szCs w:val="24"/>
        </w:rPr>
        <w:t>Menyusun Strategi untuk Menyatukan Pedesaan dan Kota Pelabuhan</w:t>
      </w:r>
    </w:p>
    <w:p>
      <w:pPr>
        <w:pStyle w:val="style179"/>
        <w:spacing w:after="0"/>
        <w:ind w:left="0"/>
        <w:jc w:val="both"/>
        <w:rPr>
          <w:rFonts w:ascii="Constantia" w:cs="Times New Roman" w:eastAsia="Times New Roman" w:hAnsi="Constantia"/>
          <w:szCs w:val="24"/>
        </w:rPr>
      </w:pPr>
      <w:r>
        <w:rPr>
          <w:rFonts w:ascii="Constantia" w:cs="Times New Roman" w:eastAsia="Times New Roman" w:hAnsi="Constantia"/>
          <w:szCs w:val="24"/>
        </w:rPr>
        <w:tab/>
      </w:r>
      <w:r>
        <w:rPr>
          <w:rFonts w:ascii="Constantia" w:cs="Times New Roman" w:eastAsia="Times New Roman" w:hAnsi="Constantia"/>
          <w:szCs w:val="24"/>
        </w:rPr>
        <w:t xml:space="preserve">Setelah pembentukan pasukan independen dan berhasil menciptakan pertumbuhan pelabuhan, langkah selanjutnya yang dilakukan Gayatri adalah membuat strategi untuk menciptakan kebaikan bersama di Majapahit dengan cara menyatukan pedesaan dan kota pelabuhan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{"citationItems":[{"id":"ITEM-1","itemData":{"author":[{"dropping-particle":"","family":"Lutfillah","given":"N.Q","non-dropping-particle":"","parse-names":false,"suffix":""}],"id":"ITEM-1","issued":{"date-parts":[["2021"]]},"title":"Gayatri Akuntan Majapahit","type":"book"},"uris":["http://www.mendeley.com/documents/?uuid=b00f3e00-872e-40d7-8eab-34f6fb0796b3"]}],"mendeley":{"formattedCitation":"(Lutfillah, 2021)","plainTextFormattedCitation":"(Lutfillah, 2021)","previouslyFormattedCitation":"(Lutfillah, 2021)"},"properties":{"noteIndex":0},"schema":"https://github.com/citation-style-language/schema/raw/master/csl-citation.json"}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(Lutfillah, 2021)</w:t>
      </w:r>
      <w:r>
        <w:rPr>
          <w:rFonts w:ascii="Constantia" w:cs="Times New Roman" w:eastAsia="Times New Roman" w:hAnsi="Constantia"/>
          <w:szCs w:val="24"/>
        </w:rPr>
        <w:fldChar w:fldCharType="end"/>
      </w:r>
      <w:r>
        <w:rPr>
          <w:rFonts w:ascii="Constantia" w:cs="Times New Roman" w:eastAsia="Times New Roman" w:hAnsi="Constantia"/>
          <w:szCs w:val="24"/>
        </w:rPr>
        <w:t xml:space="preserve">. Menurut Gayatri, kondisi strategis yang dimiliki Majapahit dapat menciptakan kemajuan ekonomi dengan </w:t>
      </w:r>
      <w:r>
        <w:rPr>
          <w:rFonts w:ascii="Constantia" w:cs="Times New Roman" w:eastAsia="Times New Roman" w:hAnsi="Constantia"/>
          <w:szCs w:val="24"/>
        </w:rPr>
        <w:t xml:space="preserve">menggabungkan potensi pertanian dan perdagangan di laut. Majapahit mempunyai posisi strategis dimana terletak  pada posisi lumbung padi dan dekat dengan pelabuhan. Target dalam strategi ini adalah pengunjung pelabuhan yang berasal dari luar Jawa. Penyusunan strategi besar ini Gayatri tidak sendirian, melainkan melakukan diskusi dengan Raden Wijaya. Dalam diskusi yang dilakukan antara Raden Wijaya dan Gayatri menghasilkan keputusan untuk menerima kedatangan pedagang dan golongan cerdik pandai dengan jumlah seimbang. Berdasarkan prasasti Trowulan, golongan cerdik pandai tersebut merupakan petugas pajak, petugas pelabuhan (termasuk akuntan) dan hakim peradilan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{"citationItems":[{"id":"ITEM-1","itemData":{"author":[{"dropping-particle":"","family":"Lutfillah","given":"N.Q","non-dropping-particle":"","parse-names":false,"suffix":""}],"id":"ITEM-1","issued":{"date-parts":[["2021"]]},"title":"Gayatri Akuntan Majapahit","type":"book"},"uris":["http://www.mendeley.com/documents/?uuid=b00f3e00-872e-40d7-8eab-34f6fb0796b3"]}],"mendeley":{"formattedCitation":"(Lutfillah, 2021)","plainTextFormattedCitation":"(Lutfillah, 2021)","previouslyFormattedCitation":"(Lutfillah, 2021)"},"properties":{"noteIndex":0},"schema":"https://github.com/citation-style-language/schema/raw/master/csl-citation.json"}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(Lutfillah, 2021)</w:t>
      </w:r>
      <w:r>
        <w:rPr>
          <w:rFonts w:ascii="Constantia" w:cs="Times New Roman" w:eastAsia="Times New Roman" w:hAnsi="Constantia"/>
          <w:szCs w:val="24"/>
        </w:rPr>
        <w:fldChar w:fldCharType="end"/>
      </w:r>
      <w:r>
        <w:rPr>
          <w:rFonts w:ascii="Constantia" w:cs="Times New Roman" w:eastAsia="Times New Roman" w:hAnsi="Constantia"/>
          <w:szCs w:val="24"/>
        </w:rPr>
        <w:t xml:space="preserve">. </w:t>
      </w:r>
    </w:p>
    <w:p>
      <w:pPr>
        <w:pStyle w:val="style179"/>
        <w:spacing w:after="0"/>
        <w:ind w:left="0"/>
        <w:jc w:val="both"/>
        <w:rPr>
          <w:rFonts w:ascii="Constantia" w:cs="Times New Roman" w:eastAsia="Times New Roman" w:hAnsi="Constantia"/>
          <w:szCs w:val="24"/>
        </w:rPr>
      </w:pPr>
      <w:r>
        <w:rPr>
          <w:rFonts w:ascii="Constantia" w:cs="Times New Roman" w:eastAsia="Times New Roman" w:hAnsi="Constantia"/>
          <w:szCs w:val="24"/>
        </w:rPr>
        <w:tab/>
      </w:r>
      <w:r>
        <w:rPr>
          <w:rFonts w:ascii="Constantia" w:cs="Times New Roman" w:eastAsia="Times New Roman" w:hAnsi="Constantia"/>
          <w:szCs w:val="24"/>
        </w:rPr>
        <w:t xml:space="preserve">Peran penting Gayatri dalam mengembangkan pelabuhan diceritakan dalam ekspedisi </w:t>
      </w:r>
      <w:r>
        <w:rPr>
          <w:rFonts w:ascii="Constantia" w:cs="Times New Roman" w:eastAsia="Times New Roman" w:hAnsi="Constantia"/>
          <w:i/>
          <w:szCs w:val="24"/>
        </w:rPr>
        <w:t>Cheng Ho</w:t>
      </w:r>
      <w:r>
        <w:rPr>
          <w:rFonts w:ascii="Constantia" w:cs="Times New Roman" w:eastAsia="Times New Roman" w:hAnsi="Constantia"/>
          <w:szCs w:val="24"/>
        </w:rPr>
        <w:t xml:space="preserve"> dari Cina dengan pemimpin </w:t>
      </w:r>
      <w:r>
        <w:rPr>
          <w:rFonts w:ascii="Constantia" w:cs="Times New Roman" w:eastAsia="Times New Roman" w:hAnsi="Constantia"/>
          <w:i/>
          <w:szCs w:val="24"/>
        </w:rPr>
        <w:t>ma</w:t>
      </w:r>
      <w:r>
        <w:rPr>
          <w:rFonts w:ascii="Constantia" w:cs="Times New Roman" w:eastAsia="Times New Roman" w:hAnsi="Constantia"/>
          <w:szCs w:val="24"/>
        </w:rPr>
        <w:t xml:space="preserve"> </w:t>
      </w:r>
      <w:r>
        <w:rPr>
          <w:rFonts w:ascii="Constantia" w:cs="Times New Roman" w:eastAsia="Times New Roman" w:hAnsi="Constantia"/>
          <w:i/>
          <w:szCs w:val="24"/>
        </w:rPr>
        <w:t>Huan</w:t>
      </w:r>
      <w:r>
        <w:rPr>
          <w:rFonts w:ascii="Constantia" w:cs="Times New Roman" w:eastAsia="Times New Roman" w:hAnsi="Constantia"/>
          <w:szCs w:val="24"/>
        </w:rPr>
        <w:t xml:space="preserve">. Diketahui bahwa </w:t>
      </w:r>
      <w:r>
        <w:rPr>
          <w:rFonts w:ascii="Constantia" w:cs="Times New Roman" w:eastAsia="Times New Roman" w:hAnsi="Constantia"/>
          <w:i/>
          <w:szCs w:val="24"/>
        </w:rPr>
        <w:t>Cheng Ho</w:t>
      </w:r>
      <w:r>
        <w:rPr>
          <w:rFonts w:ascii="Constantia" w:cs="Times New Roman" w:eastAsia="Times New Roman" w:hAnsi="Constantia"/>
          <w:szCs w:val="24"/>
        </w:rPr>
        <w:t xml:space="preserve"> melakukan kunjungan ke Majapahit pada masa pemerintahan </w:t>
      </w:r>
      <w:r>
        <w:rPr>
          <w:rFonts w:ascii="Constantia" w:cs="Times New Roman" w:eastAsia="Times New Roman" w:hAnsi="Constantia"/>
          <w:i/>
          <w:szCs w:val="24"/>
        </w:rPr>
        <w:t>Wikramawardhana</w:t>
      </w:r>
      <w:r>
        <w:rPr>
          <w:rFonts w:ascii="Constantia" w:cs="Times New Roman" w:eastAsia="Times New Roman" w:hAnsi="Constantia"/>
          <w:szCs w:val="24"/>
        </w:rPr>
        <w:t xml:space="preserve">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{"citationItems":[{"id":"ITEM-1","itemData":{"author":[{"dropping-particle":"","family":"Atmodjo","given":"S","non-dropping-particle":"","parse-names":false,"suffix":""}],"id":"ITEM-1","issued":{"date-parts":[["2017"]]},"number-of-pages":"43","publisher":"Anak Hebat Indonesia","title":"Laksamana Cheng Ho: Jejak Damai Penjelajah Dunia","type":"book"},"uris":["http://www.mendeley.com/documents/?uuid=8f487901-efab-43a3-9d45-3ded94e5a83a"]}],"mendeley":{"formattedCitation":"(Atmodjo, 2017)","plainTextFormattedCitation":"(Atmodjo, 2017)","previouslyFormattedCitation":"(Atmodjo, 2017)"},"properties":{"noteIndex":0},"schema":"https://github.com/citation-style-language/schema/raw/master/csl-citation.json"}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(Atmodjo, 2017)</w:t>
      </w:r>
      <w:r>
        <w:rPr>
          <w:rFonts w:ascii="Constantia" w:cs="Times New Roman" w:eastAsia="Times New Roman" w:hAnsi="Constantia"/>
          <w:szCs w:val="24"/>
        </w:rPr>
        <w:fldChar w:fldCharType="end"/>
      </w:r>
      <w:r>
        <w:rPr>
          <w:rFonts w:ascii="Constantia" w:cs="Times New Roman" w:eastAsia="Times New Roman" w:hAnsi="Constantia"/>
          <w:szCs w:val="24"/>
        </w:rPr>
        <w:t xml:space="preserve">. Dalam ekspedisi tersebut diceritakan bahwa pelabuhan Asia Tenggara tidak mempunyai ketersediaan sayur yang melimpah sebagaimana ketersediaan sayur di Jawa. Gambaran dalam ekspedisi tersebut membuktikan bahwa pengelolaan pelabuhan di Jawa jauh lebih baik dibandingkan dengan pengelolaan pelabuhan di Asia Tenggara. Keberadaan sungai-sungai pada wilayah Majapahit menjadi potensi untuk mengembangkan kondisi perekonomian kerajaan. Sungai besar seperti Brantas, Porong, dan Brangkal merupakan salah satu akses utama dalam menjalankan kegiatan perdagangan. Selain berfungsi sebagai jalur perdagangan, sungai tersebut juga dimanfaatkan sebagai jalur transportasi antara desa yang berada di dekat jalur perairan. Keberadaan sungai sebagai jalur pedagangan menjadi penghubung antar desa menyebabkan perkembangan yang cukup pesat sehingga menjadi pusat pedagangan, pelayaran, dan penyeberangan. Barang-barang hasil muatan yang dibawa kapal besar nantinya akan di distribusikan menggunakan kapal kecil dan diperjual belikan kembali oleh masyarakat untuk memenuhi kebutuhan hidupnya. Sebagai penghubung antar wilayah dan pusat peradaban,  keberadaan sungai pada masa Majapahit memberikan kontribusi positif terhadap perkembangan ekonomi. Selain itu, sungai juga menjadi faktor pendukung pemerintah dalam melaksanakan kegiatan diplomasi, politik, agama, dan kebudayaan. </w:t>
      </w:r>
    </w:p>
    <w:p>
      <w:pPr>
        <w:pStyle w:val="style179"/>
        <w:numPr>
          <w:ilvl w:val="0"/>
          <w:numId w:val="1"/>
        </w:numPr>
        <w:spacing w:after="0"/>
        <w:jc w:val="both"/>
        <w:rPr>
          <w:rFonts w:ascii="Constantia" w:cs="Times New Roman" w:eastAsia="Times New Roman" w:hAnsi="Constantia"/>
          <w:b/>
          <w:szCs w:val="24"/>
        </w:rPr>
      </w:pPr>
      <w:r>
        <w:rPr>
          <w:rFonts w:ascii="Constantia" w:cs="Times New Roman" w:eastAsia="Times New Roman" w:hAnsi="Constantia"/>
          <w:b/>
          <w:szCs w:val="24"/>
        </w:rPr>
        <w:t xml:space="preserve">Menginisiasi Pembentukan Tata Hukum Kerajaan </w:t>
      </w:r>
    </w:p>
    <w:p>
      <w:pPr>
        <w:pStyle w:val="style179"/>
        <w:spacing w:after="0"/>
        <w:ind w:left="0"/>
        <w:jc w:val="both"/>
        <w:rPr>
          <w:rFonts w:ascii="Constantia" w:cs="Times New Roman" w:eastAsia="Times New Roman" w:hAnsi="Constantia"/>
          <w:szCs w:val="24"/>
        </w:rPr>
      </w:pPr>
      <w:r>
        <w:rPr>
          <w:rFonts w:ascii="Constantia" w:cs="Times New Roman" w:eastAsia="Times New Roman" w:hAnsi="Constantia"/>
          <w:szCs w:val="24"/>
        </w:rPr>
        <w:tab/>
      </w:r>
      <w:r>
        <w:rPr>
          <w:rFonts w:ascii="Constantia" w:cs="Times New Roman" w:eastAsia="Times New Roman" w:hAnsi="Constantia"/>
          <w:szCs w:val="24"/>
        </w:rPr>
        <w:t xml:space="preserve">Dalam rangka menguatkan cara kerja kuasa yang dijalankan Gayatri, isu penting mengenai kebijakan domestik dan tata hukum kerajaan mulai diciptakan. Tata hukum yang diharapkan Gayatri adalah peraturan yang dapat menggantikan banyaknya sanksi tradisional dan agama dimana dalam pelaksanaannya masih tumpang tindih dan membingungkan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{"citationItems":[{"id":"ITEM-1","itemData":{"author":[{"dropping-particle":"","family":"Lutfillah","given":"N.Q","non-dropping-particle":"","parse-names":false,"suffix":""}],"id":"ITEM-1","issued":{"date-parts":[["2021"]]},"title":"Gayatri Akuntan Majapahit","type":"book"},"uris":["http://www.mendeley.com/documents/?uuid=b00f3e00-872e-40d7-8eab-34f6fb0796b3"]}],"mendeley":{"formattedCitation":"(Lutfillah, 2021)","plainTextFormattedCitation":"(Lutfillah, 2021)","previouslyFormattedCitation":"(Lutfillah, 2021)"},"properties":{"noteIndex":0},"schema":"https://github.com/citation-style-language/schema/raw/master/csl-citation.json"}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(Lutfillah, 2021)</w:t>
      </w:r>
      <w:r>
        <w:rPr>
          <w:rFonts w:ascii="Constantia" w:cs="Times New Roman" w:eastAsia="Times New Roman" w:hAnsi="Constantia"/>
          <w:szCs w:val="24"/>
        </w:rPr>
        <w:fldChar w:fldCharType="end"/>
      </w:r>
      <w:r>
        <w:rPr>
          <w:rFonts w:ascii="Constantia" w:cs="Times New Roman" w:eastAsia="Times New Roman" w:hAnsi="Constantia"/>
          <w:szCs w:val="24"/>
        </w:rPr>
        <w:t xml:space="preserve">. Gajah Mada meminta bantuan pakar hukum pemerintahan hingga pada akhirnya disusun </w:t>
      </w:r>
      <w:r>
        <w:rPr>
          <w:rFonts w:ascii="Constantia" w:cs="Times New Roman" w:eastAsia="Times New Roman" w:hAnsi="Constantia"/>
          <w:i/>
          <w:szCs w:val="24"/>
        </w:rPr>
        <w:t xml:space="preserve">Kutaramanawa Dharmasastra </w:t>
      </w:r>
      <w:r>
        <w:rPr>
          <w:rFonts w:ascii="Constantia" w:cs="Times New Roman" w:eastAsia="Times New Roman" w:hAnsi="Constantia"/>
          <w:szCs w:val="24"/>
        </w:rPr>
        <w:t xml:space="preserve">yang mencakup peraturan pidana dan perdata. Peraturan tersebut terdiri dari 271 pasal yang membahas mengenai berbagai topik yang menjadi problematika kerajaan. Hukum tersebut mengatur aspek kehidupan masyarakat mulai dari jual beli, pengaturan lingkungan, dan prinsip kesetaraan di depan hukum tanpa </w:t>
      </w:r>
      <w:r>
        <w:rPr>
          <w:rFonts w:ascii="Constantia" w:cs="Times New Roman" w:eastAsia="Times New Roman" w:hAnsi="Constantia"/>
          <w:szCs w:val="24"/>
        </w:rPr>
        <w:t xml:space="preserve">membedakan darimana status sosial seseorang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{"citationItems":[{"id":"ITEM-1","itemData":{"author":[{"dropping-particle":"","family":"Utami","given":"Tanti Kirana","non-dropping-particle":"","parse-names":false,"suffix":""},{"dropping-particle":"","family":"Putri","given":"Artita Andika","non-dropping-particle":"","parse-names":false,"suffix":""},{"dropping-particle":"","family":"Fajriani","given":"Nurul Aulya","non-dropping-particle":"","parse-names":false,"suffix":""},{"dropping-particle":"","family":"Eliska","given":"Viona Hilari","non-dropping-particle":"","parse-names":false,"suffix":""},{"dropping-particle":"","family":"Muldiyanti","given":"Suci","non-dropping-particle":"","parse-names":false,"suffix":""}],"id":"ITEM-1","issue":"2","issued":{"date-parts":[["2024"]]},"page":"1-17","title":"Perkembangan Hukum Indonesia dengan Hukum di Majapahit","type":"article-journal"},"uris":["http://www.mendeley.com/documents/?uuid=49a4368d-097b-47f6-8322-2eb79dc4fda6"]}],"mendeley":{"formattedCitation":"(Utami et al., 2024)","plainTextFormattedCitation":"(Utami et al., 2024)","previouslyFormattedCitation":"(Utami et al., 2024)"},"properties":{"noteIndex":0},"schema":"https://github.com/citation-style-language/schema/raw/master/csl-citation.json"}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(Utami et al., 2024)</w:t>
      </w:r>
      <w:r>
        <w:rPr>
          <w:rFonts w:ascii="Constantia" w:cs="Times New Roman" w:eastAsia="Times New Roman" w:hAnsi="Constantia"/>
          <w:szCs w:val="24"/>
        </w:rPr>
        <w:fldChar w:fldCharType="end"/>
      </w:r>
      <w:r>
        <w:rPr>
          <w:rFonts w:ascii="Constantia" w:cs="Times New Roman" w:eastAsia="Times New Roman" w:hAnsi="Constantia"/>
          <w:szCs w:val="24"/>
        </w:rPr>
        <w:t xml:space="preserve">. Pembagian kasta dalam sistem masyarakat Majapahit juga diatur dalam peraturan tersebut. Istilah kasta digunakan masyarakat Majapahit ketika menguasai kedaulatan atas wilayahnya di Nusantara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{"citationItems":[{"id":"ITEM-1","itemData":{"author":[{"dropping-particle":"","family":"Poetri","given":"Maharanny Setiawan","non-dropping-particle":"","parse-names":false,"suffix":""}],"container-title":"Jurnal Ilmiah Wahana Pendidikan","id":"ITEM-1","issue":"9","issued":{"date-parts":[["2024"]]},"page":"952-958","title":"Representasi Kasta Sudra Dalam Cerpen Kharma Phala Karya Ni Wayan Wijayanti","type":"article-journal","volume":"10"},"uris":["http://www.mendeley.com/documents/?uuid=696f35c6-3520-4351-a92a-59600334cd9d"]}],"mendeley":{"formattedCitation":"(Poetri, 2024)","plainTextFormattedCitation":"(Poetri, 2024)","previouslyFormattedCitation":"(Poetri, 2024)"},"properties":{"noteIndex":0},"schema":"https://github.com/citation-style-language/schema/raw/master/csl-citation.json"}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(Poetri, 2024)</w:t>
      </w:r>
      <w:r>
        <w:rPr>
          <w:rFonts w:ascii="Constantia" w:cs="Times New Roman" w:eastAsia="Times New Roman" w:hAnsi="Constantia"/>
          <w:szCs w:val="24"/>
        </w:rPr>
        <w:fldChar w:fldCharType="end"/>
      </w:r>
      <w:r>
        <w:rPr>
          <w:rFonts w:ascii="Constantia" w:cs="Times New Roman" w:eastAsia="Times New Roman" w:hAnsi="Constantia"/>
          <w:szCs w:val="24"/>
        </w:rPr>
        <w:t xml:space="preserve">. Kewajiban setiap warna atau kasta telah diatur secara tegas dan dalam pelaksanaannya dan tidak dapat ditawar karena berdasarkan kitab undang-undang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{"citationItems":[{"id":"ITEM-1","itemData":{"ISSN":"2774-6542","abstract":"Penelitian ini bertujuan untuk mengetahui mengapa Prapanca menggubah Negarakertagama dalam bentuk puja sastra dan bagaimana puja sastra tersebut tersurat dalam Negarakertagama. Penelitian ini merupakan penelitian sejarah, sehingga akan mengikuti prosedur kerja sejarah yakni heuristic, kritik, interpretasi dan historiografi. Data dikumpulkan mealui studi pustaka. Sumber data yang utama dalam penelitian ini adalah Negarakertagama yang telah diterjemahkan oleh Slamet Mulyana yang termuat dalam Negarakertagama dan tafsir Sejarahnya ditambah dengan sumber sumber lain yang relevan. Data yang sudah terkumpul kemudian dikritik dengan kritik ekstern dan intern untuk mendapatkan fakta. Fakta kemudian diinterpretasikan, dihubung-hubungkan satu dengan yang lainnya yang kemudian dituangkan dalam bentuk cerita sejarah. Hasil analisis data menunjukan bahwa masyarakat Majapahit terstruktur dalam empat kasta atau sering juga disebut catur warna yakni brahmana, kesatria, wesya dan sudra. Prapanca masuk dalam golongan brahmana. Kaum brahmana bertugas dalam bidang keagamaan, pujangga yang juga masuk elite agama bertugas menyusun sastra yang ditujukan untuk menambah keagungan raja, kejayaan raja dan kerajaannya. Negarakertagama merupakan karya sastra dimana sastra merupakan sarana untuk memuja kebesaran seorang raja. Tidak mengherankan bila Prapanca dari awal gubahannya sudah menyampaikan bahwa ada dorongan rasa cinta bakti kepada raja, walaupun menurut Prapanca ia tidak semahir pujangga-pujangga lainnya dalam menggubah kekawin. Bait-bait yang digubah oleh Prapanca penuh dengan pujian di dalamnya tidak ada lagi tempat tanpa pujian akan keagungan, keluhuran, kebesaran, kebijaksanaan, yang ditunjukan oleh sifat-sifat para dewa, istananya, luas wilayah kekuasannya, asal usulnya dan kebaktian rakyat terhadap raja Hayam Wuruk. Bahkan pada bagian akhir Prapanca berharap barang siapa mendengar kisah raja, tak puas hatinya, bertambah baktinya, menjauhkan diri dari tindak durhaka","author":[{"dropping-particle":"","family":"Alit","given":"Dewa Made","non-dropping-particle":"","parse-names":false,"suffix":""},{"dropping-particle":"","family":"Pramartha","given":"Nyoman Bayu","non-dropping-particle":"","parse-names":false,"suffix":""},{"dropping-particle":"","family":"Sandri","given":"Gabriel","non-dropping-particle":"","parse-names":false,"suffix":""},{"dropping-particle":"","family":"Lewa","given":"Susanto","non-dropping-particle":"","parse-names":false,"suffix":""},{"dropping-particle":"","family":"Darmada","given":"I Made","non-dropping-particle":"","parse-names":false,"suffix":""},{"dropping-particle":"","family":"Putu","given":"Ida Ayu","non-dropping-particle":"","parse-names":false,"suffix":""},{"dropping-particle":"","family":"Udiyani","given":"Sri","non-dropping-particle":"","parse-names":false,"suffix":""},{"dropping-particle":"","family":"Sejarah","given":"Prodi Pendidikan","non-dropping-particle":"","parse-names":false,"suffix":""}],"container-title":"Jurnal Nirwasita","id":"ITEM-1","issue":"1","issued":{"date-parts":[["2022"]]},"page":"31-42","title":"Negarakertagama : Kisah Keagungan Kerajaan Majapahit","type":"article-journal","volume":"3"},"uris":["http://www.mendeley.com/documents/?uuid=0a7485be-55b8-4bc8-864f-105ca4b004d6"]}],"mendeley":{"formattedCitation":"(Alit et al., 2022)","plainTextFormattedCitation":"(Alit et al., 2022)","previouslyFormattedCitation":"(Alit et al., 2022)"},"properties":{"noteIndex":0},"schema":"https://github.com/citation-style-language/schema/raw/master/csl-citation.json"}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(Alit et al., 2022)</w:t>
      </w:r>
      <w:r>
        <w:rPr>
          <w:rFonts w:ascii="Constantia" w:cs="Times New Roman" w:eastAsia="Times New Roman" w:hAnsi="Constantia"/>
          <w:szCs w:val="24"/>
        </w:rPr>
        <w:fldChar w:fldCharType="end"/>
      </w:r>
      <w:r>
        <w:rPr>
          <w:rFonts w:ascii="Constantia" w:cs="Times New Roman" w:eastAsia="Times New Roman" w:hAnsi="Constantia"/>
          <w:szCs w:val="24"/>
        </w:rPr>
        <w:t>. Dalam penerapannya, hukum Majapahit menekankan pada prinsip keadilan sosial yang meliputi perlindungan bagi seluruh golongan masyarakat dan perlindungan perempuan.</w:t>
      </w:r>
    </w:p>
    <w:p>
      <w:pPr>
        <w:pStyle w:val="style179"/>
        <w:numPr>
          <w:ilvl w:val="0"/>
          <w:numId w:val="1"/>
        </w:numPr>
        <w:spacing w:after="0"/>
        <w:jc w:val="both"/>
        <w:rPr>
          <w:rFonts w:ascii="Constantia" w:cs="Times New Roman" w:eastAsia="Times New Roman" w:hAnsi="Constantia"/>
          <w:b/>
          <w:szCs w:val="24"/>
        </w:rPr>
      </w:pPr>
      <w:r>
        <w:rPr>
          <w:rFonts w:ascii="Constantia" w:cs="Times New Roman" w:eastAsia="Times New Roman" w:hAnsi="Constantia"/>
          <w:b/>
          <w:szCs w:val="24"/>
        </w:rPr>
        <w:t xml:space="preserve">Menginisiasi Pendirian Dewan Penasihat Raja </w:t>
      </w:r>
    </w:p>
    <w:p>
      <w:pPr>
        <w:pStyle w:val="style179"/>
        <w:spacing w:after="0"/>
        <w:ind w:left="0"/>
        <w:jc w:val="both"/>
        <w:rPr>
          <w:rFonts w:ascii="Constantia" w:cs="Times New Roman" w:eastAsia="Times New Roman" w:hAnsi="Constantia"/>
          <w:szCs w:val="24"/>
        </w:rPr>
      </w:pPr>
      <w:r>
        <w:rPr>
          <w:rFonts w:ascii="Constantia" w:cs="Times New Roman" w:eastAsia="Times New Roman" w:hAnsi="Constantia"/>
          <w:szCs w:val="24"/>
        </w:rPr>
        <w:tab/>
      </w:r>
      <w:r>
        <w:rPr>
          <w:rFonts w:ascii="Constantia" w:cs="Times New Roman" w:eastAsia="Times New Roman" w:hAnsi="Constantia"/>
          <w:szCs w:val="24"/>
        </w:rPr>
        <w:t xml:space="preserve">Dewan penasehat raja yang dibentuk merupakan komposisi dalam pemerintahan raja muda dengan nama </w:t>
      </w:r>
      <w:r>
        <w:rPr>
          <w:rFonts w:ascii="Constantia" w:cs="Times New Roman" w:eastAsia="Times New Roman" w:hAnsi="Constantia"/>
          <w:i/>
          <w:szCs w:val="24"/>
        </w:rPr>
        <w:t>Bhatara Sapta</w:t>
      </w:r>
      <w:r>
        <w:rPr>
          <w:rFonts w:ascii="Constantia" w:cs="Times New Roman" w:eastAsia="Times New Roman" w:hAnsi="Constantia"/>
          <w:szCs w:val="24"/>
        </w:rPr>
        <w:t xml:space="preserve"> dan berisi keluarga kedua putrinya karena berkaitan dengan kehormatan dinasti kerajaan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{"citationItems":[{"id":"ITEM-1","itemData":{"author":[{"dropping-particle":"","family":"Lutfillah","given":"N.Q","non-dropping-particle":"","parse-names":false,"suffix":""}],"id":"ITEM-1","issued":{"date-parts":[["2021"]]},"title":"Gayatri Akuntan Majapahit","type":"book"},"uris":["http://www.mendeley.com/documents/?uuid=b00f3e00-872e-40d7-8eab-34f6fb0796b3"]}],"mendeley":{"formattedCitation":"(Lutfillah, 2021)","plainTextFormattedCitation":"(Lutfillah, 2021)","previouslyFormattedCitation":"(Lutfillah, 2021)"},"properties":{"noteIndex":0},"schema":"https://github.com/citation-style-language/schema/raw/master/csl-citation.json"}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(Lutfillah, 2021)</w:t>
      </w:r>
      <w:r>
        <w:rPr>
          <w:rFonts w:ascii="Constantia" w:cs="Times New Roman" w:eastAsia="Times New Roman" w:hAnsi="Constantia"/>
          <w:szCs w:val="24"/>
        </w:rPr>
        <w:fldChar w:fldCharType="end"/>
      </w:r>
      <w:r>
        <w:rPr>
          <w:rFonts w:ascii="Constantia" w:cs="Times New Roman" w:eastAsia="Times New Roman" w:hAnsi="Constantia"/>
          <w:szCs w:val="24"/>
        </w:rPr>
        <w:t xml:space="preserve">. Nama dewan penasehat raja diambil berdasarkan </w:t>
      </w:r>
      <w:r>
        <w:rPr>
          <w:rFonts w:ascii="Constantia" w:cs="Times New Roman" w:eastAsia="Times New Roman" w:hAnsi="Constantia"/>
          <w:i/>
          <w:szCs w:val="24"/>
        </w:rPr>
        <w:t>Pahom Narendra</w:t>
      </w:r>
      <w:r>
        <w:rPr>
          <w:rFonts w:ascii="Constantia" w:cs="Times New Roman" w:eastAsia="Times New Roman" w:hAnsi="Constantia"/>
          <w:szCs w:val="24"/>
        </w:rPr>
        <w:t xml:space="preserve"> yang merupakan lembaga setingkat dewan pertimbangan agung dalam kerajaan dan terdiri dari tujuh orang raja. Dalam struktur pemerintahannya, raja dibantu oleh pejabat birokrasi yang merupakan putra dan kerabat raja dengan kedudukan tertinggi. Perintah raja diturunkan pada pejabat dibawahnya yang meliputi </w:t>
      </w:r>
      <w:r>
        <w:rPr>
          <w:rFonts w:ascii="Constantia" w:cs="Times New Roman" w:eastAsia="Times New Roman" w:hAnsi="Constantia"/>
          <w:i/>
          <w:szCs w:val="24"/>
        </w:rPr>
        <w:t>Rakryan Mahamantri Katrini</w:t>
      </w:r>
      <w:r>
        <w:rPr>
          <w:rFonts w:ascii="Constantia" w:cs="Times New Roman" w:eastAsia="Times New Roman" w:hAnsi="Constantia"/>
          <w:szCs w:val="24"/>
        </w:rPr>
        <w:t xml:space="preserve"> yang dijabat oleh putra raja, </w:t>
      </w:r>
      <w:r>
        <w:rPr>
          <w:rFonts w:ascii="Constantia" w:cs="Times New Roman" w:eastAsia="Times New Roman" w:hAnsi="Constantia"/>
          <w:i/>
          <w:szCs w:val="24"/>
        </w:rPr>
        <w:t>Rakryan Mantri ri Pakira-kiran</w:t>
      </w:r>
      <w:r>
        <w:rPr>
          <w:rFonts w:ascii="Constantia" w:cs="Times New Roman" w:eastAsia="Times New Roman" w:hAnsi="Constantia"/>
          <w:szCs w:val="24"/>
        </w:rPr>
        <w:t xml:space="preserve"> (dewan mentri dengan tugas pada bidang pemerintahan), </w:t>
      </w:r>
      <w:r>
        <w:rPr>
          <w:rFonts w:ascii="Constantia" w:cs="Times New Roman" w:eastAsia="Times New Roman" w:hAnsi="Constantia"/>
          <w:i/>
          <w:szCs w:val="24"/>
        </w:rPr>
        <w:t>Dharmmadhyaksa</w:t>
      </w:r>
      <w:r>
        <w:rPr>
          <w:rFonts w:ascii="Constantia" w:cs="Times New Roman" w:eastAsia="Times New Roman" w:hAnsi="Constantia"/>
          <w:szCs w:val="24"/>
        </w:rPr>
        <w:t xml:space="preserve"> (pejabat hukum keagamaan), dan </w:t>
      </w:r>
      <w:r>
        <w:rPr>
          <w:rFonts w:ascii="Constantia" w:cs="Times New Roman" w:eastAsia="Times New Roman" w:hAnsi="Constantia"/>
          <w:i/>
          <w:szCs w:val="24"/>
        </w:rPr>
        <w:t>Dharmma-upapatti</w:t>
      </w:r>
      <w:r>
        <w:rPr>
          <w:rFonts w:ascii="Constantia" w:cs="Times New Roman" w:eastAsia="Times New Roman" w:hAnsi="Constantia"/>
          <w:szCs w:val="24"/>
        </w:rPr>
        <w:t xml:space="preserve"> (pejabat keagamaan). </w:t>
      </w:r>
      <w:r>
        <w:rPr>
          <w:rFonts w:ascii="Constantia" w:cs="Times New Roman" w:eastAsia="Times New Roman" w:hAnsi="Constantia"/>
          <w:i/>
          <w:szCs w:val="24"/>
        </w:rPr>
        <w:t>Rakryan Mantri ri Pakira-kiran</w:t>
      </w:r>
      <w:r>
        <w:rPr>
          <w:rFonts w:ascii="Constantia" w:cs="Times New Roman" w:eastAsia="Times New Roman" w:hAnsi="Constantia"/>
          <w:szCs w:val="24"/>
        </w:rPr>
        <w:t xml:space="preserve"> merupakan seorang pejabat terpenting yang disebut dengan </w:t>
      </w:r>
      <w:r>
        <w:rPr>
          <w:rFonts w:ascii="Constantia" w:cs="Times New Roman" w:eastAsia="Times New Roman" w:hAnsi="Constantia"/>
          <w:i/>
          <w:szCs w:val="24"/>
        </w:rPr>
        <w:t>Rakryan Mapatih</w:t>
      </w:r>
      <w:r>
        <w:rPr>
          <w:rFonts w:ascii="Constantia" w:cs="Times New Roman" w:eastAsia="Times New Roman" w:hAnsi="Constantia"/>
          <w:szCs w:val="24"/>
        </w:rPr>
        <w:t xml:space="preserve"> atau </w:t>
      </w:r>
      <w:r>
        <w:rPr>
          <w:rFonts w:ascii="Constantia" w:cs="Times New Roman" w:eastAsia="Times New Roman" w:hAnsi="Constantia"/>
          <w:i/>
          <w:szCs w:val="24"/>
        </w:rPr>
        <w:t>Patih Hamangkubhumi</w:t>
      </w:r>
      <w:r>
        <w:rPr>
          <w:rFonts w:ascii="Constantia" w:cs="Times New Roman" w:eastAsia="Times New Roman" w:hAnsi="Constantia"/>
          <w:szCs w:val="24"/>
        </w:rPr>
        <w:t xml:space="preserve">. Pejabat yang menduduki posisi ini merupakan perdana menteri yang bekerja bersama dengan raja dan ikut serta melaksanakan kebijakan pemerintahan. Terdapat pula </w:t>
      </w:r>
      <w:r>
        <w:rPr>
          <w:rFonts w:ascii="Constantia" w:cs="Times New Roman" w:eastAsia="Times New Roman" w:hAnsi="Constantia"/>
          <w:i/>
          <w:szCs w:val="24"/>
        </w:rPr>
        <w:t>Bhattara Saptaprabhu</w:t>
      </w:r>
      <w:r>
        <w:rPr>
          <w:rFonts w:ascii="Constantia" w:cs="Times New Roman" w:eastAsia="Times New Roman" w:hAnsi="Constantia"/>
          <w:szCs w:val="24"/>
        </w:rPr>
        <w:t xml:space="preserve"> atau dewan petimbangan kerajaan yang terdiri dari anak dan saudara raja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{"citationItems":[{"id":"ITEM-1","itemData":{"DOI":"10.31942/jlp.2022.1.1.8124","ISSN":"2986-6774","abstract":"The greatness of the Majapahit empire has been a source of inspiration for Indonesia's past glory which was formed as a state in the following centuries after the fall of Majapahit. Modern Indonesian nationalists, including those involved in the National Awakening Movement in the early 20th century, have pointed to Majapahit as a shining example of the past glories of the Indonesian nation. Like Majapahit, the Republic of Indonesia covers a large area and is politically centered on the island of Java. The Majapahit Empire is not only an icon of the heyday of Javanese-Hindu civilization, but also historical evidence of the socio-political struggles that occurred in the process of Islamization in the Nusantara.","author":[{"dropping-particle":"","family":"Setiawan","given":"Zudi","non-dropping-particle":"","parse-names":false,"suffix":""}],"container-title":"Jurnal Lanskap Politik","id":"ITEM-1","issue":"1","issued":{"date-parts":[["2022"]]},"page":"110","title":"Sejarah Sosial Politik Kerajaan Majapahit","type":"article-journal","volume":"1"},"uris":["http://www.mendeley.com/documents/?uuid=49f92a2c-f3d7-437c-90f0-5db099c0fb06"]}],"mendeley":{"formattedCitation":"(Z. Setiawan, 2022)","plainTextFormattedCitation":"(Z. Setiawan, 2022)","previouslyFormattedCitation":"(Z. Setiawan, 2022)"},"properties":{"noteIndex":0},"schema":"https://github.com/citation-style-language/schema/raw/master/csl-citation.json"}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(Z. Setiawan, 2022)</w:t>
      </w:r>
      <w:r>
        <w:rPr>
          <w:rFonts w:ascii="Constantia" w:cs="Times New Roman" w:eastAsia="Times New Roman" w:hAnsi="Constantia"/>
          <w:szCs w:val="24"/>
        </w:rPr>
        <w:fldChar w:fldCharType="end"/>
      </w:r>
      <w:r>
        <w:rPr>
          <w:rFonts w:ascii="Constantia" w:cs="Times New Roman" w:eastAsia="Times New Roman" w:hAnsi="Constantia"/>
          <w:szCs w:val="24"/>
        </w:rPr>
        <w:t xml:space="preserve">. Tata pemerintahan Majapahit mengacu pada Piagam Penanggungan tahun 1296 dimana jabatan yang terdapat dalam pemerintahan mengacu pada pemerintahan Kerajaan Kadiri dan Kerajaan Singosari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{"citationItems":[{"id":"ITEM-1","itemData":{"author":[{"dropping-particle":"","family":"Achmad","given":"S.W","non-dropping-particle":"","parse-names":false,"suffix":""}],"id":"ITEM-1","issued":{"date-parts":[["2019"]]},"number-of-pages":"58-59","title":"Sejarah Raja-Raja Majapahit","type":"book"},"uris":["http://www.mendeley.com/documents/?uuid=bb24681a-aaa1-46ab-8128-4beaf22f8559"]}],"mendeley":{"formattedCitation":"(Achmad, 2019)","plainTextFormattedCitation":"(Achmad, 2019)","previouslyFormattedCitation":"(Achmad, 2019)"},"properties":{"noteIndex":0},"schema":"https://github.com/citation-style-language/schema/raw/master/csl-citation.json"}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(Achmad, 2019)</w:t>
      </w:r>
      <w:r>
        <w:rPr>
          <w:rFonts w:ascii="Constantia" w:cs="Times New Roman" w:eastAsia="Times New Roman" w:hAnsi="Constantia"/>
          <w:szCs w:val="24"/>
        </w:rPr>
        <w:fldChar w:fldCharType="end"/>
      </w:r>
      <w:r>
        <w:rPr>
          <w:rFonts w:ascii="Constantia" w:cs="Times New Roman" w:eastAsia="Times New Roman" w:hAnsi="Constantia"/>
          <w:szCs w:val="24"/>
        </w:rPr>
        <w:t xml:space="preserve">. Sebagai kerajaan yang besar dengan seluruh wilayah taklukkannya, Majapahit mempunyai struktur pemerintahan yang rapi dimana kekuasaan dipegang oleh raja sebagai jelmaan dewa tertinggi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{"citationItems":[{"id":"ITEM-1","itemData":{"author":[{"dropping-particle":"","family":"Fahmi","given":"K.A","non-dropping-particle":"","parse-names":false,"suffix":""}],"id":"ITEM-1","issued":{"date-parts":[["2023"]]},"number-of-pages":"8","publisher":"Anak Hebat Indonesia","title":"Sejarah Ringkas Kerajaan Majapahit: Menelusuri Jejak-Jejak Peradaban Besar di Nusantara","type":"book"},"uris":["http://www.mendeley.com/documents/?uuid=41f06318-4a2e-4bff-b4e2-46d5c619a812"]}],"mendeley":{"formattedCitation":"(Fahmi, 2023)","plainTextFormattedCitation":"(Fahmi, 2023)","previouslyFormattedCitation":"(Fahmi, 2023)"},"properties":{"noteIndex":0},"schema":"https://github.com/citation-style-language/schema/raw/master/csl-citation.json"}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(Fahmi, 2023)</w:t>
      </w:r>
      <w:r>
        <w:rPr>
          <w:rFonts w:ascii="Constantia" w:cs="Times New Roman" w:eastAsia="Times New Roman" w:hAnsi="Constantia"/>
          <w:szCs w:val="24"/>
        </w:rPr>
        <w:fldChar w:fldCharType="end"/>
      </w:r>
      <w:r>
        <w:rPr>
          <w:rFonts w:ascii="Constantia" w:cs="Times New Roman" w:eastAsia="Times New Roman" w:hAnsi="Constantia"/>
          <w:szCs w:val="24"/>
        </w:rPr>
        <w:t xml:space="preserve">. Struktur pemerintahan sebagaimana disebutkan diatas, dijalankan oleh cucu Gayatri yaitu Hayam Wuruk. Sistem Mandala seperti yang diterapkan Kertanegara pada Kerajaan Singosari terus terjaga sampai ke tangan Hayam Wuruk melalui relasi yang dilakukan oleh Gayatri. Masa depan Politik Cakrawala Mandala, mencapai puncaknya pada pemerintahan Hayam Wuruk dimana derah yang belum ditaklukkan Majapahit melalui Sumpah Palapa Gajah Mada nantinya akan disatukan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{"citationItems":[{"id":"ITEM-1","itemData":{"DOI":"10.31539/kaganga.v1i1.233","ISSN":"2621-119X","abstract":"Majapahit Kingdom is one of the largest Kingdom in the archipelago that has a very wide territory even to Madagascar. The heyday of Majapahit kingdom during the leadership of King Hayam Wuruk, who is the best king to form Majapahit prosper and experience a very glorious period. This can not be separated servis from Mahapatih Gajah Mada who pronounces his famous oath by the name of oath Amukti Palapa. Where the oath of Amukti Palapa reads: Seagrass huwus lost Nusantara isun amukti palapa, seagrass loses ring desert, ring seran, Tanjung Pura, ring Haru, ring Pahang, Dompo, ring Bali, Sunda, Palembang, Tumasik, samana isun amukti palapa. Relying on a good military and political strategy, Mahapatih Gajah Mada is able to apply the Amukti Palapanya oath, making it the most respected Patih in the Majapahit Kingdom as well as in other regions. Until the end of Mahapatih Gajah Madas involvement in Bubat war caused his name to diminish his kharisman in Majapahit environment. Finally Mahapatih Gajah Mada reached Moksa and left the Majapahit Glory.\r Keywords: Gajah Mada, Archipelago, Majapahit","author":[{"dropping-particle":"","family":"Susilo","given":"Agus","non-dropping-particle":"","parse-names":false,"suffix":""},{"dropping-particle":"","family":"Sofiarini","given":"Andriana","non-dropping-particle":"","parse-names":false,"suffix":""}],"container-title":"KAGANGA: Jurnal Pendidikan Sejarah dan Riset Sosial-Humaniora","id":"ITEM-1","issue":"1","issued":{"date-parts":[["2018"]]},"page":"62-71","title":"Gajah Mada Sang Maha Patih Pemersatu Nusantara di Bawah Majapahit Tahun 1336 M - 1359 M","type":"article-journal","volume":"1"},"uris":["http://www.mendeley.com/documents/?uuid=8405ca5a-c7a6-4acc-8d42-4db496b5f8c9"]}],"mendeley":{"formattedCitation":"(Susilo &amp; Sofiarini, 2018)","plainTextFormattedCitation":"(Susilo &amp; Sofiarini, 2018)","previouslyFormattedCitation":"(Susilo &amp; Sofiarini, 2018)"},"properties":{"noteIndex":0},"schema":"https://github.com/citation-style-language/schema/raw/master/csl-citation.json"}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(Susilo &amp; Sofiarini, 2018)</w:t>
      </w:r>
      <w:r>
        <w:rPr>
          <w:rFonts w:ascii="Constantia" w:cs="Times New Roman" w:eastAsia="Times New Roman" w:hAnsi="Constantia"/>
          <w:szCs w:val="24"/>
        </w:rPr>
        <w:fldChar w:fldCharType="end"/>
      </w:r>
      <w:r>
        <w:rPr>
          <w:rFonts w:ascii="Constantia" w:cs="Times New Roman" w:eastAsia="Times New Roman" w:hAnsi="Constantia"/>
          <w:szCs w:val="24"/>
        </w:rPr>
        <w:t>.</w:t>
      </w:r>
    </w:p>
    <w:p>
      <w:pPr>
        <w:pStyle w:val="style179"/>
        <w:numPr>
          <w:ilvl w:val="0"/>
          <w:numId w:val="1"/>
        </w:numPr>
        <w:spacing w:after="0"/>
        <w:jc w:val="both"/>
        <w:rPr>
          <w:rFonts w:ascii="Constantia" w:cs="Times New Roman" w:eastAsia="Times New Roman" w:hAnsi="Constantia"/>
          <w:b/>
          <w:szCs w:val="24"/>
        </w:rPr>
      </w:pPr>
      <w:r>
        <w:rPr>
          <w:rFonts w:ascii="Constantia" w:cs="Times New Roman" w:eastAsia="Times New Roman" w:hAnsi="Constantia"/>
          <w:b/>
          <w:szCs w:val="24"/>
        </w:rPr>
        <w:t xml:space="preserve">Menempatkan Akuntan untuk Menaklukkan Wilayah Kekuasaan </w:t>
      </w:r>
    </w:p>
    <w:p>
      <w:pPr>
        <w:pStyle w:val="style179"/>
        <w:spacing w:after="0"/>
        <w:ind w:left="0"/>
        <w:jc w:val="both"/>
        <w:rPr>
          <w:rFonts w:ascii="Constantia" w:cs="Times New Roman" w:eastAsia="Times New Roman" w:hAnsi="Constantia"/>
          <w:szCs w:val="24"/>
        </w:rPr>
      </w:pPr>
      <w:r>
        <w:rPr>
          <w:rFonts w:ascii="Constantia" w:cs="Times New Roman" w:eastAsia="Times New Roman" w:hAnsi="Constantia"/>
          <w:szCs w:val="24"/>
        </w:rPr>
        <w:tab/>
      </w:r>
      <w:r>
        <w:rPr>
          <w:rFonts w:ascii="Constantia" w:cs="Times New Roman" w:eastAsia="Times New Roman" w:hAnsi="Constantia"/>
          <w:szCs w:val="24"/>
        </w:rPr>
        <w:t xml:space="preserve">Gayatri menempatkan kuasa akuntansi sebagai salah satu cara untuk meningkatkan daerah perluasan wilayah dominasi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{"citationItems":[{"id":"ITEM-1","itemData":{"author":[{"dropping-particle":"","family":"Lutfillah","given":"N.Q","non-dropping-particle":"","parse-names":false,"suffix":""}],"id":"ITEM-1","issued":{"date-parts":[["2021"]]},"title":"Gayatri Akuntan Majapahit","type":"book"},"uris":["http://www.mendeley.com/documents/?uuid=b00f3e00-872e-40d7-8eab-34f6fb0796b3"]}],"mendeley":{"formattedCitation":"(Lutfillah, 2021)","plainTextFormattedCitation":"(Lutfillah, 2021)","previouslyFormattedCitation":"(Lutfillah, 2021)"},"properties":{"noteIndex":0},"schema":"https://github.com/citation-style-language/schema/raw/master/csl-citation.json"}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(Lutfillah, 2021)</w:t>
      </w:r>
      <w:r>
        <w:rPr>
          <w:rFonts w:ascii="Constantia" w:cs="Times New Roman" w:eastAsia="Times New Roman" w:hAnsi="Constantia"/>
          <w:szCs w:val="24"/>
        </w:rPr>
        <w:fldChar w:fldCharType="end"/>
      </w:r>
      <w:r>
        <w:rPr>
          <w:rFonts w:ascii="Constantia" w:cs="Times New Roman" w:eastAsia="Times New Roman" w:hAnsi="Constantia"/>
          <w:szCs w:val="24"/>
        </w:rPr>
        <w:t xml:space="preserve">. Kuasa akuntansi masa Majapahit merupakan hasil kolaborasi sempurna antara pengetahuan ekonomi dan militer yang saling berhubungan satu sama lain. Pengetahuan ekonomi dalam </w:t>
      </w:r>
      <w:r>
        <w:rPr>
          <w:rFonts w:ascii="Constantia" w:cs="Times New Roman" w:eastAsia="Times New Roman" w:hAnsi="Constantia"/>
          <w:szCs w:val="24"/>
        </w:rPr>
        <w:t xml:space="preserve">kerajaam Majapahit dilakukan dengan adanya sistem administrasi terstruktur, sedangkan pengetahuan militer dilakukan melalui ksatria kerajaan dalam penaklukkan wilayah kekuasaan. Majapahit mempunyai strategi militer dengan tujuan menaklukkan wilayah tertentu dan mengakui kedaulatan raja didaerah tersebut supaya tetap berdaulat dengan wilayahnya sendiri. Dalam perluasan wilayah kekuasaan, akuntan mempunyai peran besar guna melakukan rincian pencatatan serta laporan keuangan serta pembangunan berkelanjutan. Keberadaan Gayatri sebagai akuntan menempatkan pada pemikiran yang tidak dapat dipisahkan dari praktik sosial, politik, dan kelembagaan. Menurut Gayatri, kuasa akuntansi merupakan pemahaman dalam perluasan wilayah kekuasaan yang tidak hanya identik dengan kekerasan melainkan tatanan dari unsur kebatinan, spiritual, subjektif (rasa) dan alturistik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{"citationItems":[{"id":"ITEM-1","itemData":{"author":[{"dropping-particle":"","family":"Lutfillah","given":"N.Q","non-dropping-particle":"","parse-names":false,"suffix":""}],"id":"ITEM-1","issued":{"date-parts":[["2021"]]},"title":"Gayatri Akuntan Majapahit","type":"book"},"uris":["http://www.mendeley.com/documents/?uuid=b00f3e00-872e-40d7-8eab-34f6fb0796b3"]}],"mendeley":{"formattedCitation":"(Lutfillah, 2021)","plainTextFormattedCitation":"(Lutfillah, 2021)","previouslyFormattedCitation":"(Lutfillah, 2021)"},"properties":{"noteIndex":0},"schema":"https://github.com/citation-style-language/schema/raw/master/csl-citation.json"}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(Lutfillah, 2021)</w:t>
      </w:r>
      <w:r>
        <w:rPr>
          <w:rFonts w:ascii="Constantia" w:cs="Times New Roman" w:eastAsia="Times New Roman" w:hAnsi="Constantia"/>
          <w:szCs w:val="24"/>
        </w:rPr>
        <w:fldChar w:fldCharType="end"/>
      </w:r>
      <w:r>
        <w:rPr>
          <w:rFonts w:ascii="Constantia" w:cs="Times New Roman" w:eastAsia="Times New Roman" w:hAnsi="Constantia"/>
          <w:szCs w:val="24"/>
        </w:rPr>
        <w:t xml:space="preserve">. Sistem akuntansi diterapkan Gayatri melalui konsolidasi yang mencakup wilayah, politik, ekonomi, dan spiritual. Konsolidasi dilakukan dengan memanfaatkan tanah sebagai lahan pertanian dan penetapan </w:t>
      </w:r>
      <w:r>
        <w:rPr>
          <w:rFonts w:ascii="Constantia" w:cs="Times New Roman" w:eastAsia="Times New Roman" w:hAnsi="Constantia"/>
          <w:i/>
          <w:szCs w:val="24"/>
        </w:rPr>
        <w:t>sima</w:t>
      </w:r>
      <w:r>
        <w:rPr>
          <w:rFonts w:ascii="Constantia" w:cs="Times New Roman" w:eastAsia="Times New Roman" w:hAnsi="Constantia"/>
          <w:szCs w:val="24"/>
        </w:rPr>
        <w:t xml:space="preserve"> oleh raja yang tujuannya adalah untuk mempertahankan pemerintahan dan juga adat setempat namun tetap bersatu dalam meraih tujuan bersama di bidang pertanian, perdagangan, dan pertahanan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Kamayanti","given":"A","non-dropping-particle":"","parse-names":false,"suffix":""},{"dropping-particle":"","family":"Sokaria","given":"A","non-dropping-particle":"","parse-names":false,"suffix":""},{"dropping-particle":"","family":"Lutfillah","given":"N.Q","non-dropping-particle":"","parse-names":false,"suffix":""},{"dropping-particle":"","family":"Briando","given":"B","non-dropping-particle":"","parse-names":false,"suffix":""},{"dropping-particle":"","family":"Ekasari","given":"K","non-dropping-particle":"","parse-names":false,"suffix":""},{"dropping-particle":"","family":"Suhendri","given":"H","non-dropping-particle":"","parse-names":false,"suffix":""},{"dropping-particle":"","family":"Darmayasa","given":"I.N","non-dropping-particle":"","parse-names":false,"suffix":""}],"id":"ITEM-1","issued":{"date-parts":[["2022"]]},"page":"38-39","title":"Metodologi Paradigma Nusantara","type":"article"},"uris":["http://www.mendeley.com/documents/?uuid=671f4fa8-8c66-4cee-82d4-e53050e2fff0"]}],"mendeley":{"formattedCitation":"(Kamayanti et al., 2022)","plainTextFormattedCitation":"(Kamayanti et al., 2022)","previouslyFormattedCitation":"(Kamayanti et al., 2022)"},"properties":{"noteIndex":0},"schema":"https://github.com/citation-style-language/schema/raw/master/csl-citation.json"}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(Kamayanti et al., 2022)</w:t>
      </w:r>
      <w:r>
        <w:rPr>
          <w:rFonts w:ascii="Constantia" w:cs="Times New Roman" w:eastAsia="Times New Roman" w:hAnsi="Constantia"/>
          <w:szCs w:val="24"/>
        </w:rPr>
        <w:fldChar w:fldCharType="end"/>
      </w:r>
      <w:r>
        <w:rPr>
          <w:rFonts w:ascii="Constantia" w:cs="Times New Roman" w:eastAsia="Times New Roman" w:hAnsi="Constantia"/>
          <w:szCs w:val="24"/>
        </w:rPr>
        <w:t xml:space="preserve">. Akuntansi Gayatri membentuk nilai dalam satu kesatuan yang terdiri dari aspek material (luasnya kekuasaan) dan spiritual. </w:t>
      </w:r>
    </w:p>
    <w:p>
      <w:pPr>
        <w:pStyle w:val="style179"/>
        <w:spacing w:after="0"/>
        <w:ind w:left="0"/>
        <w:jc w:val="both"/>
        <w:rPr>
          <w:rFonts w:ascii="Constantia" w:cs="Times New Roman" w:eastAsia="Times New Roman" w:hAnsi="Constantia"/>
          <w:szCs w:val="24"/>
        </w:rPr>
      </w:pPr>
      <w:r>
        <w:rPr>
          <w:rFonts w:ascii="Constantia" w:cs="Times New Roman" w:eastAsia="Times New Roman" w:hAnsi="Constantia"/>
          <w:szCs w:val="24"/>
        </w:rPr>
        <w:tab/>
      </w:r>
      <w:r>
        <w:rPr>
          <w:rFonts w:ascii="Constantia" w:cs="Times New Roman" w:eastAsia="Times New Roman" w:hAnsi="Constantia"/>
          <w:szCs w:val="24"/>
        </w:rPr>
        <w:t xml:space="preserve">Kuasa akuntansi Gayatri bersifat dinamis. Akuntansi dapat berubah dan berkembang seiring waktu tergantung dimana akuntansi tersebut ditempatkan. Masing-masing wilayah kekuasaan Majapahit dan negara yang menjalin hubungan kerja sama dengan majapahit memiliki otonomi untuk menentukan makna serta wujud akuntansi. Otonomi yang diberikan adalah bentuk pengendalian kuasa akuntansi yang bukan sekadar mengatur tanggung jawab, hak, dan kewajiban daerah, melainkan hubungannya dengan Tuhan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{"citationItems":[{"id":"ITEM-1","itemData":{"author":[{"dropping-particle":"","family":"Agustina","given":"Rackel Dwi","non-dropping-particle":"","parse-names":false,"suffix":""},{"dropping-particle":"","family":"Wany","given":"Eva","non-dropping-particle":"","parse-names":false,"suffix":""}],"id":"ITEM-1","issue":"x","issued":{"date-parts":[["2024"]]},"title":"PEMUNGUTAN PAJAK DI MASA KERAJAAN MAJAPAHIT ( Berdasarkan Metodologi Paradigma Nusantara ) ANALYSIS OF THE POWER OF GAYATRI ACCOUNTANTS IN THE SYSTEM OF TAX COLLECTION IN THE MAJAPAHIT KINGDOM ERA ( Based on the Nusantara Paradigm Methodology )","type":"article-journal","volume":"x"},"uris":["http://www.mendeley.com/documents/?uuid=5e8f83fc-ac71-4345-b316-10bccce7c9cb"]}],"mendeley":{"formattedCitation":"(Agustina &amp; Wany, 2024)","plainTextFormattedCitation":"(Agustina &amp; Wany, 2024)","previouslyFormattedCitation":"(Agustina &amp; Wany, 2024)"},"properties":{"noteIndex":0},"schema":"https://github.com/citation-style-language/schema/raw/master/csl-citation.json"}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(Agustina &amp; Wany, 2024)</w:t>
      </w:r>
      <w:r>
        <w:rPr>
          <w:rFonts w:ascii="Constantia" w:cs="Times New Roman" w:eastAsia="Times New Roman" w:hAnsi="Constantia"/>
          <w:szCs w:val="24"/>
        </w:rPr>
        <w:fldChar w:fldCharType="end"/>
      </w:r>
      <w:r>
        <w:rPr>
          <w:rFonts w:ascii="Constantia" w:cs="Times New Roman" w:eastAsia="Times New Roman" w:hAnsi="Constantia"/>
          <w:szCs w:val="24"/>
        </w:rPr>
        <w:t xml:space="preserve">. Dalam pelaksanaannya, otonomi tidak mendapatkan pengawasan langsung dari pemerintah yang bersifat militer. Akan tetapi bagi daerah yang melanggarnya, akan mendapatkan kutukan </w:t>
      </w:r>
      <w:r>
        <w:rPr>
          <w:rFonts w:ascii="Constantia" w:cs="Times New Roman" w:eastAsia="Times New Roman" w:hAnsi="Constantia"/>
          <w:i/>
          <w:szCs w:val="24"/>
        </w:rPr>
        <w:t>(sapatha).</w:t>
      </w:r>
      <w:r>
        <w:rPr>
          <w:rFonts w:ascii="Constantia" w:cs="Times New Roman" w:eastAsia="Times New Roman" w:hAnsi="Constantia"/>
          <w:szCs w:val="24"/>
        </w:rPr>
        <w:t xml:space="preserve"> Dalam menjalankan kebiajakan atas kuasa akuntansi Gayatri, Majapahit memberikan pembatasan usaha terhadap jenis benda yang bebas dari pungutan pajak supaya hak pembebasan atas pajak dapat dikendalikan </w:t>
      </w:r>
      <w:r>
        <w:rPr>
          <w:rFonts w:ascii="Constantia" w:cs="Times New Roman" w:eastAsia="Times New Roman" w:hAnsi="Constantia"/>
          <w:szCs w:val="24"/>
        </w:rPr>
        <w:fldChar w:fldCharType="begin"/>
      </w:r>
      <w:r>
        <w:rPr>
          <w:rFonts w:ascii="Constantia" w:cs="Times New Roman" w:eastAsia="Times New Roman" w:hAnsi="Constantia"/>
          <w:szCs w:val="24"/>
        </w:rPr>
        <w:instrText>ADDIN CSL_CITATION {"citationItems":[{"id":"ITEM-1","itemData":{"DOI":"10.29303/jkh.v7i2.121","ISSN":"2502-5333","abstract":"Di Indonesia sebelum kedatangan bangsa Eropa, kerajaan seperti Majapahit dan Mataram sudah mengenal bentuk pajak tanah dan pajak tidak langsung terhadap barang dagangan. Pejabat kerajaan pemungut pajak tidak digaji oleh kerajaan, maka sering kali mereka menerapkan pajak secara berlebihan. Upeti perorangan ataupun kelompok orang diberikan kepada raja atau penguasa sebagai bentuk penghormatan dan tunduk patuh pada kekuasaan raja atau penguasa suatu wilayah Indonesia merupakan bentuk pajak pada zaman kerajaan-kerajaan di Indonesia tumbuh. Upeti tersebut berupa hasil bumi dan pemajakan barang perdagangan. Sebagai imbalannya maka rakyat mendapat pelayanan keamanan dan jaminan ketertiban. Di kerajaan Mataram raja-raja sudah melaksanakan hidup swasembada dan otonom. Penyerahan tersebut lebih besar pada kepentingan ekonomi daerah atau kerajaan, membiayai penyelenggaraan pemerintahan setempat, dan membiayai pertanahan dan kekuatan kerajaan.","author":[{"dropping-particle":"","family":"Setiawan","given":"Y","non-dropping-particle":"","parse-names":false,"suffix":""}],"container-title":"Journal Kompilasi Hukum","id":"ITEM-1","issue":"2","issued":{"date-parts":[["2022"]]},"title":"Pajak (Upeti) Majapahit (Wilwatikta) Dalam Meningkatkan Ekonomi Di Era Otonomi","type":"article-journal","volume":"7"},"uris":["http://www.mendeley.com/documents/?uuid=2ec54681-ae33-4470-af41-d69cdd0d8145"]}],"mendeley":{"formattedCitation":"(Y. Setiawan, 2022)","manualFormatting":"(Setiawan, 2022)","plainTextFormattedCitation":"(Y. Setiawan, 2022)","previouslyFormattedCitation":"(Y. Setiawan, 2022)"},"properties":{"noteIndex":0},"schema":"https://github.com/citation-style-language/schema/raw/master/csl-citation.json"}</w:instrText>
      </w:r>
      <w:r>
        <w:rPr>
          <w:rFonts w:ascii="Constantia" w:cs="Times New Roman" w:eastAsia="Times New Roman" w:hAnsi="Constantia"/>
          <w:szCs w:val="24"/>
        </w:rPr>
        <w:fldChar w:fldCharType="separate"/>
      </w:r>
      <w:r>
        <w:rPr>
          <w:rFonts w:ascii="Constantia" w:cs="Times New Roman" w:eastAsia="Times New Roman" w:hAnsi="Constantia"/>
          <w:noProof/>
          <w:szCs w:val="24"/>
        </w:rPr>
        <w:t>(Setiawan, 2022)</w:t>
      </w:r>
      <w:r>
        <w:rPr>
          <w:rFonts w:ascii="Constantia" w:cs="Times New Roman" w:eastAsia="Times New Roman" w:hAnsi="Constantia"/>
          <w:szCs w:val="24"/>
        </w:rPr>
        <w:fldChar w:fldCharType="end"/>
      </w:r>
      <w:r>
        <w:rPr>
          <w:rFonts w:ascii="Constantia" w:cs="Times New Roman" w:eastAsia="Times New Roman" w:hAnsi="Constantia"/>
          <w:szCs w:val="24"/>
        </w:rPr>
        <w:t>. Pajak yang dimaksud adalah pajak tanah, pajak usaha, pajak profesi, pajak orang asing, dan pajak eksploitasi sumber daya alam. Adanya pajak sebagai sumber pendapatan kerajaan disamping pendapatan dari hasil perdagangan, pihak kerajaan memberikan bahasan pajak kepada masyarakat Majapahit meliputi pajak dan pembatasan usaha, objek pajak dan kriteria pemungutannya, mekanisme pemungutan pajak, alokasi hasil pemungutan pajak, serta berbagai kasus yang memiliki hubungan dengan sistem pemungutan pajak.</w:t>
      </w:r>
    </w:p>
    <w:p>
      <w:pPr>
        <w:pStyle w:val="style179"/>
        <w:spacing w:after="0"/>
        <w:ind w:left="0"/>
        <w:jc w:val="both"/>
        <w:rPr>
          <w:rFonts w:ascii="Constantia" w:cs="Times New Roman" w:eastAsia="Times New Roman" w:hAnsi="Constantia"/>
          <w:szCs w:val="24"/>
        </w:rPr>
      </w:pPr>
      <w:r>
        <w:rPr>
          <w:rFonts w:ascii="Constantia" w:cs="Times New Roman" w:eastAsia="Times New Roman" w:hAnsi="Constantia"/>
          <w:szCs w:val="24"/>
        </w:rPr>
        <w:tab/>
      </w:r>
      <w:r>
        <w:rPr>
          <w:rFonts w:ascii="Constantia" w:cs="Times New Roman" w:eastAsia="Times New Roman" w:hAnsi="Constantia"/>
          <w:szCs w:val="24"/>
        </w:rPr>
        <w:t>Dipilihnya Gayatri sebagai pemegang kendali kekuasaan akuntansi Majapahit adalah berdasarkan bukti persembahan untuk menghormati Gayatri dan tertulis dalam Negarakertagama Pupuh 3.1 yang berbunyi:</w:t>
      </w:r>
    </w:p>
    <w:p>
      <w:pPr>
        <w:pStyle w:val="style179"/>
        <w:tabs>
          <w:tab w:val="left" w:leader="none" w:pos="1134"/>
        </w:tabs>
        <w:spacing w:after="0"/>
        <w:ind w:right="-2"/>
        <w:jc w:val="both"/>
        <w:rPr>
          <w:rFonts w:ascii="Constantia" w:cs="Times New Roman" w:eastAsia="Times New Roman" w:hAnsi="Constantia"/>
          <w:szCs w:val="24"/>
        </w:rPr>
      </w:pPr>
      <w:r>
        <w:rPr>
          <w:rFonts w:ascii="Constantia" w:cs="Times New Roman" w:eastAsia="Times New Roman" w:hAnsi="Constantia"/>
          <w:szCs w:val="24"/>
        </w:rPr>
        <w:t xml:space="preserve">Beliau bersembah bakti kepada ibunya Sri Rajapatni, setia mengikuti ajaran Budha, menyekar yang telah mangkat, ayahanda Baginda Raja yalah </w:t>
      </w:r>
      <w:r>
        <w:rPr>
          <w:rFonts w:ascii="Constantia" w:cs="Times New Roman" w:eastAsia="Times New Roman" w:hAnsi="Constantia"/>
          <w:i/>
          <w:szCs w:val="24"/>
        </w:rPr>
        <w:t>Sri Kertawerdanaraja</w:t>
      </w:r>
      <w:r>
        <w:rPr>
          <w:rFonts w:ascii="Constantia" w:cs="Times New Roman" w:eastAsia="Times New Roman" w:hAnsi="Constantia"/>
          <w:szCs w:val="24"/>
        </w:rPr>
        <w:t>, keduanya teguh beriman Bunda demu perdamaian praja.</w:t>
      </w:r>
    </w:p>
    <w:p>
      <w:pPr>
        <w:pStyle w:val="style179"/>
        <w:tabs>
          <w:tab w:val="left" w:leader="none" w:pos="1134"/>
        </w:tabs>
        <w:spacing w:after="0"/>
        <w:ind w:right="-2"/>
        <w:jc w:val="both"/>
        <w:rPr>
          <w:rFonts w:ascii="Constantia" w:cs="Times New Roman" w:eastAsia="Times New Roman" w:hAnsi="Constantia"/>
          <w:szCs w:val="24"/>
        </w:rPr>
      </w:pPr>
      <w:r>
        <w:rPr>
          <w:rFonts w:ascii="Constantia" w:cs="Times New Roman" w:eastAsia="Times New Roman" w:hAnsi="Constantia"/>
          <w:szCs w:val="24"/>
        </w:rPr>
        <w:t xml:space="preserve">Di Bayalangu akan dibangun pula candi makam Sri Rajapatni. Pendeta </w:t>
      </w:r>
      <w:r>
        <w:rPr>
          <w:rFonts w:ascii="Constantia" w:cs="Times New Roman" w:eastAsia="Times New Roman" w:hAnsi="Constantia"/>
          <w:i/>
          <w:szCs w:val="24"/>
        </w:rPr>
        <w:t>Jnanawidi</w:t>
      </w:r>
      <w:r>
        <w:rPr>
          <w:rFonts w:ascii="Constantia" w:cs="Times New Roman" w:eastAsia="Times New Roman" w:hAnsi="Constantia"/>
          <w:szCs w:val="24"/>
        </w:rPr>
        <w:t xml:space="preserve"> lagi yang ditugaskan memberkahi tanahnya. Rencananya telah disetujui oleh sang menteri </w:t>
      </w:r>
      <w:r>
        <w:rPr>
          <w:rFonts w:ascii="Constantia" w:cs="Times New Roman" w:eastAsia="Times New Roman" w:hAnsi="Constantia"/>
          <w:i/>
          <w:szCs w:val="24"/>
        </w:rPr>
        <w:t>demung Boja</w:t>
      </w:r>
      <w:r>
        <w:rPr>
          <w:rFonts w:ascii="Constantia" w:cs="Times New Roman" w:eastAsia="Times New Roman" w:hAnsi="Constantia"/>
          <w:szCs w:val="24"/>
        </w:rPr>
        <w:t xml:space="preserve">. </w:t>
      </w:r>
      <w:r>
        <w:rPr>
          <w:rFonts w:ascii="Constantia" w:cs="Times New Roman" w:eastAsia="Times New Roman" w:hAnsi="Constantia"/>
          <w:i/>
          <w:szCs w:val="24"/>
        </w:rPr>
        <w:t>Wisesapura</w:t>
      </w:r>
      <w:r>
        <w:rPr>
          <w:rFonts w:ascii="Constantia" w:cs="Times New Roman" w:eastAsia="Times New Roman" w:hAnsi="Constantia"/>
          <w:szCs w:val="24"/>
        </w:rPr>
        <w:t xml:space="preserve"> namanya, jika candi sudah berdiri sempurna dibangun.</w:t>
      </w:r>
    </w:p>
    <w:p>
      <w:pPr>
        <w:pStyle w:val="style179"/>
        <w:tabs>
          <w:tab w:val="left" w:leader="none" w:pos="1134"/>
        </w:tabs>
        <w:spacing w:after="0"/>
        <w:ind w:right="-2"/>
        <w:jc w:val="both"/>
        <w:rPr>
          <w:rFonts w:ascii="Constantia" w:cs="Times New Roman" w:eastAsia="Times New Roman" w:hAnsi="Constantia"/>
          <w:szCs w:val="24"/>
        </w:rPr>
      </w:pPr>
      <w:r>
        <w:rPr>
          <w:rFonts w:ascii="Constantia" w:cs="Times New Roman" w:eastAsia="Times New Roman" w:hAnsi="Constantia"/>
          <w:szCs w:val="24"/>
        </w:rPr>
        <w:t xml:space="preserve">Candi makam Sri Rajapatni tersohor sebagai tempat keramat. Tiap bulan </w:t>
      </w:r>
      <w:r>
        <w:rPr>
          <w:rFonts w:ascii="Constantia" w:cs="Times New Roman" w:eastAsia="Times New Roman" w:hAnsi="Constantia"/>
          <w:i/>
          <w:szCs w:val="24"/>
        </w:rPr>
        <w:t>Badrapada</w:t>
      </w:r>
      <w:r>
        <w:rPr>
          <w:rFonts w:ascii="Constantia" w:cs="Times New Roman" w:eastAsia="Times New Roman" w:hAnsi="Constantia"/>
          <w:szCs w:val="24"/>
        </w:rPr>
        <w:t xml:space="preserve"> disekar oleh para menteri dan pendeta. Di tiap daerah, rakyat serentak membuat peringatan dan memuja. Itulah surganya, berkat berputera, bercucu narendra utama.</w:t>
      </w:r>
    </w:p>
    <w:p>
      <w:pPr>
        <w:pStyle w:val="style0"/>
        <w:spacing w:after="0"/>
        <w:jc w:val="both"/>
        <w:rPr>
          <w:rFonts w:ascii="Constantia" w:eastAsia="Times New Roman" w:hAnsi="Constantia"/>
          <w:sz w:val="24"/>
          <w:szCs w:val="24"/>
        </w:rPr>
      </w:pPr>
      <w:r>
        <w:rPr>
          <w:rFonts w:ascii="Constantia" w:eastAsia="Times New Roman" w:hAnsi="Constantia"/>
          <w:sz w:val="24"/>
          <w:szCs w:val="24"/>
        </w:rPr>
        <w:t xml:space="preserve">Pengorbanan Gayatri terhadap Majapahit juga dibuktikan dengan adanya penghormatan yang berupa upacara </w:t>
      </w:r>
      <w:r>
        <w:rPr>
          <w:rFonts w:ascii="Constantia" w:eastAsia="Times New Roman" w:hAnsi="Constantia"/>
          <w:i/>
          <w:sz w:val="24"/>
          <w:szCs w:val="24"/>
        </w:rPr>
        <w:t>Saraddha</w:t>
      </w:r>
      <w:r>
        <w:rPr>
          <w:rFonts w:ascii="Constantia" w:eastAsia="Times New Roman" w:hAnsi="Constantia"/>
          <w:sz w:val="24"/>
          <w:szCs w:val="24"/>
        </w:rPr>
        <w:t xml:space="preserve">. Upacara </w:t>
      </w:r>
      <w:r>
        <w:rPr>
          <w:rFonts w:ascii="Constantia" w:eastAsia="Times New Roman" w:hAnsi="Constantia"/>
          <w:i/>
          <w:sz w:val="24"/>
          <w:szCs w:val="24"/>
        </w:rPr>
        <w:t>Saraddha</w:t>
      </w:r>
      <w:r>
        <w:rPr>
          <w:rFonts w:ascii="Constantia" w:eastAsia="Times New Roman" w:hAnsi="Constantia"/>
          <w:sz w:val="24"/>
          <w:szCs w:val="24"/>
        </w:rPr>
        <w:t xml:space="preserve"> merupakan upacara yang dikakukan secara besar-besaran untuk menghormati Gayatri setelah mangkatnya. Upacara tersebut dilaksanakan pada tahun 1362 yang diungkapkan dalam kitab Negarakertagama sebanyak 7 pupuh (pupuh 6369) atau 30 bait dengan cerita peristiwa mengenang Gayatri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{"citationItems":[{"id":"ITEM-1","itemData":{"author":[{"dropping-particle":"","family":"Lutfillah","given":"N.Q","non-dropping-particle":"","parse-names":false,"suffix":""}],"id":"ITEM-1","issued":{"date-parts":[["2021"]]},"title":"Gayatri Akuntan Majapahit","type":"book"},"uris":["http://www.mendeley.com/documents/?uuid=b00f3e00-872e-40d7-8eab-34f6fb0796b3"]}],"mendeley":{"formattedCitation":"(Lutfillah, 2021)","plainTextFormattedCitation":"(Lutfillah, 2021)","previouslyFormattedCitation":"(Lutfillah, 2021)"},"properties":{"noteIndex":0},"schema":"https://github.com/citation-style-language/schema/raw/master/csl-citation.json"}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(Lutfillah, 2021)</w:t>
      </w:r>
      <w:r>
        <w:rPr>
          <w:rFonts w:ascii="Constantia" w:eastAsia="Times New Roman" w:hAnsi="Constantia"/>
          <w:sz w:val="24"/>
          <w:szCs w:val="24"/>
        </w:rPr>
        <w:fldChar w:fldCharType="end"/>
      </w:r>
      <w:r>
        <w:rPr>
          <w:rFonts w:ascii="Constantia" w:eastAsia="Times New Roman" w:hAnsi="Constantia"/>
          <w:sz w:val="24"/>
          <w:szCs w:val="24"/>
        </w:rPr>
        <w:t xml:space="preserve">. Dikisahkan bahwa dalam peristiwa </w:t>
      </w:r>
      <w:r>
        <w:rPr>
          <w:rFonts w:ascii="Constantia" w:eastAsia="Times New Roman" w:hAnsi="Constantia"/>
          <w:i/>
          <w:sz w:val="24"/>
          <w:szCs w:val="24"/>
        </w:rPr>
        <w:t xml:space="preserve">Saraddha, </w:t>
      </w:r>
      <w:r>
        <w:rPr>
          <w:rFonts w:ascii="Constantia" w:eastAsia="Times New Roman" w:hAnsi="Constantia"/>
          <w:sz w:val="24"/>
          <w:szCs w:val="24"/>
        </w:rPr>
        <w:t xml:space="preserve">yaitu acara untuk memperingati dua belas tahun wafatnya Gayatri tepatnya pada tahun 1362 M dilaksanakan dengan berbagai sesembahan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{"citationItems":[{"id":"ITEM-1","itemData":{"DOI":"10.19105/ghancaran.vi.8334","ISSN":"2714-8955","abstract":"Folklore is a variety of literary works that existed earlier than other literary works. Folklore developed from generation to generation. It can be from old stories to fibers or chronicles written by ancient masters or writers. The figure of Gayatri Rajapatni himself is the daughter of King Kertanegara of the Singosari Kingdom. The leadership of the Majapahit government at that time, Gayatri had the right to rule. In fact Gayatri chose to become a royal advisor. Character formation in students can be developed through the material in the learning process. It was Gayatri's figure that made the second era after Raden Wijaya a great empire because he had an agile and intelligent regent for his upbringing. The intelligent, feminine, and nationalist character of Gayatri Rajapatni can be used as character teaching materials by students. This study aims to introduce and utilize local folklore as a form of character education for students. Researchers used a qualitative descriptive approach by using literature review techniques. Researchers get data from the results of previous research collections, the youtube platform, and so on.","author":[{"dropping-particle":"","family":"Arpriansyah","given":"Achmad Ichsan","non-dropping-particle":"","parse-names":false,"suffix":""},{"dropping-particle":"","family":"Hakim","given":"Titik Dwi Ramthi","non-dropping-particle":"","parse-names":false,"suffix":""}],"container-title":"GHANCARAN: Jurnal Pendidikan Bahasa dan Sastra Indonesia","id":"ITEM-1","issued":{"date-parts":[["2023"]]},"page":"439-448","title":"Cerita Rakyat Tokoh Gayatri Rajapatni sebagai Sarana Penguatan Profil Pelajar Pancasila Pada Siswa SMA","type":"article-journal"},"uris":["http://www.mendeley.com/documents/?uuid=59affdc1-c4d8-423e-b28e-a460cebc80e3"]}],"mendeley":{"formattedCitation":"(Arpriansyah &amp; Hakim, 2023)","plainTextFormattedCitation":"(Arpriansyah &amp; Hakim, 2023)","previouslyFormattedCitation":"(Arpriansyah &amp; Hakim, 2023)"},"properties":{"noteIndex":0},"schema":"https://github.com/citation-style-language/schema/raw/master/csl-citation.json"}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(Arpriansyah &amp; Hakim, 2023)</w:t>
      </w:r>
      <w:r>
        <w:rPr>
          <w:rFonts w:ascii="Constantia" w:eastAsia="Times New Roman" w:hAnsi="Constantia"/>
          <w:sz w:val="24"/>
          <w:szCs w:val="24"/>
        </w:rPr>
        <w:fldChar w:fldCharType="end"/>
      </w:r>
      <w:r>
        <w:rPr>
          <w:rFonts w:ascii="Constantia" w:eastAsia="Times New Roman" w:hAnsi="Constantia"/>
          <w:sz w:val="24"/>
          <w:szCs w:val="24"/>
        </w:rPr>
        <w:t>. Dalam Kakawin Negarakertagama pupuh 67.1 disebutkan :</w:t>
      </w:r>
    </w:p>
    <w:p>
      <w:pPr>
        <w:pStyle w:val="style0"/>
        <w:spacing w:after="0"/>
        <w:ind w:left="720" w:right="-2"/>
        <w:jc w:val="both"/>
        <w:rPr>
          <w:rFonts w:ascii="Constantia" w:eastAsia="Times New Roman" w:hAnsi="Constantia"/>
          <w:sz w:val="24"/>
          <w:szCs w:val="24"/>
        </w:rPr>
      </w:pPr>
      <w:r>
        <w:rPr>
          <w:rFonts w:ascii="Constantia" w:eastAsia="Times New Roman" w:hAnsi="Constantia"/>
          <w:sz w:val="24"/>
          <w:szCs w:val="24"/>
        </w:rPr>
        <w:t>Pesta serada yang diselenggarakan serba meriah dan khidmat. Pasti membuat gembira jiwa Sri Rajapatni yang sudah mangkat. Semoga beliau melimpahkan berkat kepada baginda raja. Sehingga jaya terhadap musuh selama ada bulan dan surya</w:t>
      </w:r>
    </w:p>
    <w:p>
      <w:pPr>
        <w:pStyle w:val="style0"/>
        <w:spacing w:after="0"/>
        <w:jc w:val="both"/>
        <w:rPr>
          <w:rFonts w:ascii="Constantia" w:eastAsia="Times New Roman" w:hAnsi="Constantia"/>
          <w:sz w:val="24"/>
          <w:szCs w:val="24"/>
        </w:rPr>
      </w:pPr>
      <w:r>
        <w:rPr>
          <w:rFonts w:ascii="Constantia" w:eastAsia="Times New Roman" w:hAnsi="Constantia"/>
          <w:sz w:val="24"/>
          <w:szCs w:val="24"/>
        </w:rPr>
        <w:t xml:space="preserve">Upacara tersebut berlangsung selama delapan hari. Pemujaan ini merupakan bentuk penghormatan atas kiprah besar Gayatri Rajapatni dibalik kejayaan Kerajaan Majapahit. Dalam Kakawin Negarakertagama LXXII-LXXIV disebutkan bahwa pendharmaan Gayatri bernama Prajnaparamitapuri di Kamal Pandak dan Wisesapura di Bhayalango </w:t>
      </w:r>
      <w:r>
        <w:rPr>
          <w:rFonts w:ascii="Constantia" w:eastAsia="Times New Roman" w:hAnsi="Constantia"/>
          <w:sz w:val="24"/>
          <w:szCs w:val="24"/>
        </w:rPr>
        <w:fldChar w:fldCharType="begin"/>
      </w:r>
      <w:r>
        <w:rPr>
          <w:rFonts w:ascii="Constantia" w:eastAsia="Times New Roman" w:hAnsi="Constantia"/>
          <w:sz w:val="24"/>
          <w:szCs w:val="24"/>
        </w:rPr>
        <w:instrText>ADDIN CSL_CITATION {"citationItems":[{"id":"ITEM-1","itemData":{"DOI":"10.55981/amt.2024.3076","ISSN":"0215-1324","abstract":"Abstract. The Re-interpretation of The Boyolangu Temple as The Place of Worship of Gayatri Rajapatni. This research attempts to criticize the experts’ debate on the location of Gayatri Rajapatni’s place of worship. Most experts identify this place as Boyolangu Temple in Tulungagung Regency, East Java. This research uses a qualitative descriptive approach involving data collection, processing, analysis, and interpretation. Comparative analysis was conducted on the Prajñāpāramitā statue in the Boyolangu Temple with the Siŋhasāri-style statue. Contextual analysis considers the context of the position of the river as a real and political boundary during the period of the Ancient Mataram and Siŋhasāri-Majapahit. The research findings indicate that two temples are dedicated to Rajapatni in different places and built at different times. The first temple, named Prajñāpāramitāpuri, was built in Kamal Pandak in 1287 Saka (1365 AD). The current location of Kamal Pandak is now Asem Kandang Village, Pasuruan Regency, downstream of the Brantas River. The temple structure has collapsed and has been converted into the tomb of Mbah Damarwulan. The second temple, named Wiśe</w:instrText>
      </w:r>
      <w:r>
        <w:rPr>
          <w:rFonts w:ascii="Times New Roman" w:cs="Times New Roman" w:eastAsia="Times New Roman" w:hAnsi="Times New Roman"/>
          <w:sz w:val="24"/>
          <w:szCs w:val="24"/>
        </w:rPr>
        <w:instrText>ṣ</w:instrText>
      </w:r>
      <w:r>
        <w:rPr>
          <w:rFonts w:ascii="Constantia" w:eastAsia="Times New Roman" w:hAnsi="Constantia"/>
          <w:sz w:val="24"/>
          <w:szCs w:val="24"/>
        </w:rPr>
        <w:instrText>apura at Bhay</w:instrText>
      </w:r>
      <w:r>
        <w:rPr>
          <w:rFonts w:ascii="Constantia" w:cs="Constantia" w:eastAsia="Times New Roman" w:hAnsi="Constantia"/>
          <w:sz w:val="24"/>
          <w:szCs w:val="24"/>
        </w:rPr>
        <w:instrText>ā</w:instrText>
      </w:r>
      <w:r>
        <w:rPr>
          <w:rFonts w:ascii="Constantia" w:eastAsia="Times New Roman" w:hAnsi="Constantia"/>
          <w:sz w:val="24"/>
          <w:szCs w:val="24"/>
        </w:rPr>
        <w:instrText>lang</w:instrText>
      </w:r>
      <w:r>
        <w:rPr>
          <w:rFonts w:ascii="Constantia" w:cs="Constantia" w:eastAsia="Times New Roman" w:hAnsi="Constantia"/>
          <w:sz w:val="24"/>
          <w:szCs w:val="24"/>
        </w:rPr>
        <w:instrText>ö</w:instrText>
      </w:r>
      <w:r>
        <w:rPr>
          <w:rFonts w:ascii="Constantia" w:eastAsia="Times New Roman" w:hAnsi="Constantia"/>
          <w:sz w:val="24"/>
          <w:szCs w:val="24"/>
        </w:rPr>
        <w:instrText>, was built in 1291 Saka (1369 AD). The location of Bhayālangö is still preserved as the name of a village and sub-district in Tulungagung Regency, upstream of the Brantas River. Wiśe</w:instrText>
      </w:r>
      <w:r>
        <w:rPr>
          <w:rFonts w:ascii="Times New Roman" w:cs="Times New Roman" w:eastAsia="Times New Roman" w:hAnsi="Times New Roman"/>
          <w:sz w:val="24"/>
          <w:szCs w:val="24"/>
        </w:rPr>
        <w:instrText>ṣ</w:instrText>
      </w:r>
      <w:r>
        <w:rPr>
          <w:rFonts w:ascii="Constantia" w:eastAsia="Times New Roman" w:hAnsi="Constantia"/>
          <w:sz w:val="24"/>
          <w:szCs w:val="24"/>
        </w:rPr>
        <w:instrText>apura Temple in Bhay</w:instrText>
      </w:r>
      <w:r>
        <w:rPr>
          <w:rFonts w:ascii="Constantia" w:cs="Constantia" w:eastAsia="Times New Roman" w:hAnsi="Constantia"/>
          <w:sz w:val="24"/>
          <w:szCs w:val="24"/>
        </w:rPr>
        <w:instrText>ā</w:instrText>
      </w:r>
      <w:r>
        <w:rPr>
          <w:rFonts w:ascii="Constantia" w:eastAsia="Times New Roman" w:hAnsi="Constantia"/>
          <w:sz w:val="24"/>
          <w:szCs w:val="24"/>
        </w:rPr>
        <w:instrText>lang</w:instrText>
      </w:r>
      <w:r>
        <w:rPr>
          <w:rFonts w:ascii="Constantia" w:cs="Constantia" w:eastAsia="Times New Roman" w:hAnsi="Constantia"/>
          <w:sz w:val="24"/>
          <w:szCs w:val="24"/>
        </w:rPr>
        <w:instrText>ö</w:instrText>
      </w:r>
      <w:r>
        <w:rPr>
          <w:rFonts w:ascii="Constantia" w:eastAsia="Times New Roman" w:hAnsi="Constantia"/>
          <w:sz w:val="24"/>
          <w:szCs w:val="24"/>
        </w:rPr>
        <w:instrText xml:space="preserve"> is now known as Boyolangu Temple or Gayatri Temple. The construction of these two temples was a claim of King Hayam Wuruk’s hegemony to reunite the Java island, which had been divided into two kingdoms during the reign of King Airlangga. The discovery of the Prajñāpāramitā statue at Boyolangu Temple represents a Buddhist goddess statue from the Siŋhasāri period, transformed into a Rajapatni embodiment statue during the Majapahit era. Keywords: Boyolangu Temple, The Place of Worship of Rajapatni, Wiśe</w:instrText>
      </w:r>
      <w:r>
        <w:rPr>
          <w:rFonts w:ascii="Times New Roman" w:cs="Times New Roman" w:eastAsia="Times New Roman" w:hAnsi="Times New Roman"/>
          <w:sz w:val="24"/>
          <w:szCs w:val="24"/>
        </w:rPr>
        <w:instrText>ṣ</w:instrText>
      </w:r>
      <w:r>
        <w:rPr>
          <w:rFonts w:ascii="Constantia" w:eastAsia="Times New Roman" w:hAnsi="Constantia"/>
          <w:sz w:val="24"/>
          <w:szCs w:val="24"/>
        </w:rPr>
        <w:instrText>apura ri Bhay</w:instrText>
      </w:r>
      <w:r>
        <w:rPr>
          <w:rFonts w:ascii="Constantia" w:cs="Constantia" w:eastAsia="Times New Roman" w:hAnsi="Constantia"/>
          <w:sz w:val="24"/>
          <w:szCs w:val="24"/>
        </w:rPr>
        <w:instrText>ā</w:instrText>
      </w:r>
      <w:r>
        <w:rPr>
          <w:rFonts w:ascii="Constantia" w:eastAsia="Times New Roman" w:hAnsi="Constantia"/>
          <w:sz w:val="24"/>
          <w:szCs w:val="24"/>
        </w:rPr>
        <w:instrText>lang</w:instrText>
      </w:r>
      <w:r>
        <w:rPr>
          <w:rFonts w:ascii="Constantia" w:cs="Constantia" w:eastAsia="Times New Roman" w:hAnsi="Constantia"/>
          <w:sz w:val="24"/>
          <w:szCs w:val="24"/>
        </w:rPr>
        <w:instrText>ö</w:instrText>
      </w:r>
      <w:r>
        <w:rPr>
          <w:rFonts w:ascii="Constantia" w:eastAsia="Times New Roman" w:hAnsi="Constantia"/>
          <w:sz w:val="24"/>
          <w:szCs w:val="24"/>
        </w:rPr>
        <w:instrText>, Transformation of Position, Praj</w:instrText>
      </w:r>
      <w:r>
        <w:rPr>
          <w:rFonts w:ascii="Constantia" w:cs="Constantia" w:eastAsia="Times New Roman" w:hAnsi="Constantia"/>
          <w:sz w:val="24"/>
          <w:szCs w:val="24"/>
        </w:rPr>
        <w:instrText>ñā</w:instrText>
      </w:r>
      <w:r>
        <w:rPr>
          <w:rFonts w:ascii="Constantia" w:eastAsia="Times New Roman" w:hAnsi="Constantia"/>
          <w:sz w:val="24"/>
          <w:szCs w:val="24"/>
        </w:rPr>
        <w:instrText>p</w:instrText>
      </w:r>
      <w:r>
        <w:rPr>
          <w:rFonts w:ascii="Constantia" w:cs="Constantia" w:eastAsia="Times New Roman" w:hAnsi="Constantia"/>
          <w:sz w:val="24"/>
          <w:szCs w:val="24"/>
        </w:rPr>
        <w:instrText>ā</w:instrText>
      </w:r>
      <w:r>
        <w:rPr>
          <w:rFonts w:ascii="Constantia" w:eastAsia="Times New Roman" w:hAnsi="Constantia"/>
          <w:sz w:val="24"/>
          <w:szCs w:val="24"/>
        </w:rPr>
        <w:instrText>ramit</w:instrText>
      </w:r>
      <w:r>
        <w:rPr>
          <w:rFonts w:ascii="Constantia" w:cs="Constantia" w:eastAsia="Times New Roman" w:hAnsi="Constantia"/>
          <w:sz w:val="24"/>
          <w:szCs w:val="24"/>
        </w:rPr>
        <w:instrText>ā</w:instrText>
      </w:r>
      <w:r>
        <w:rPr>
          <w:rFonts w:ascii="Constantia" w:eastAsia="Times New Roman" w:hAnsi="Constantia"/>
          <w:sz w:val="24"/>
          <w:szCs w:val="24"/>
        </w:rPr>
        <w:instrText xml:space="preserve"> Statue </w:instrText>
      </w:r>
      <w:r>
        <w:rPr>
          <w:rFonts w:ascii="Constantia" w:cs="Constantia" w:eastAsia="Times New Roman" w:hAnsi="Constantia"/>
          <w:sz w:val="24"/>
          <w:szCs w:val="24"/>
        </w:rPr>
        <w:instrText> </w:instrText>
      </w:r>
      <w:r>
        <w:rPr>
          <w:rFonts w:ascii="Constantia" w:eastAsia="Times New Roman" w:hAnsi="Constantia"/>
          <w:sz w:val="24"/>
          <w:szCs w:val="24"/>
        </w:rPr>
        <w:instrText xml:space="preserve"> Abstrak. Penelitian ini berupaya mengkritisi perdebatan para ahli mengenai tempat pendharmaan Gayatri Rajapatni. Mayoritas ahli menyebut tempat tersebut sebagai Candi Boyolangu di Kabupaten Tulungagung, Jawa Timur. Penelitian ini menggunakan pendekatan deskriptif kualitatif, melalui proses pengumpulan, pengolahan, analisis, dan interpretasi data. Analisis perbandingan dilakukan terhadap arca Prajñāpāramitā di Candi Boyolangu dengan arca bercorak Siŋhasāri. Analisis kontekstual mempertimbangkan konteks kedudu…","author":[{"dropping-particle":"","family":"Yusuf","given":"Muhamad Satok","non-dropping-particle":"","parse-names":false,"suffix":""}],"container-title":"Amerta","id":"ITEM-1","issue":"1","issued":{"date-parts":[["2024"]]},"page":"1-18","title":"Meninjau Ulang Candi Boyolangu sebagai Pendharmaan Gayatri Rajapatni","type":"article-journal","volume":"42"},"uris":["http://www.mendeley.com/documents/?uuid=d737b12d-aa15-4d35-baed-f08cf0b32c75"]}],"mendeley":{"formattedCitation":"(Yusuf, 2024)","plainTextFormattedCitation":"(Yusuf, 2024)","previouslyFormattedCitation":"(Yusuf, 2024)"},"properties":{"noteIndex":0},"schema":"https://github.com/citation-style-language/schema/raw/master/csl-citation.json"}</w:instrText>
      </w:r>
      <w:r>
        <w:rPr>
          <w:rFonts w:ascii="Constantia" w:eastAsia="Times New Roman" w:hAnsi="Constantia"/>
          <w:sz w:val="24"/>
          <w:szCs w:val="24"/>
        </w:rPr>
        <w:fldChar w:fldCharType="separate"/>
      </w:r>
      <w:r>
        <w:rPr>
          <w:rFonts w:ascii="Constantia" w:eastAsia="Times New Roman" w:hAnsi="Constantia"/>
          <w:sz w:val="24"/>
          <w:szCs w:val="24"/>
        </w:rPr>
        <w:t>(Yusuf, 2024)</w:t>
      </w:r>
      <w:r>
        <w:rPr>
          <w:rFonts w:ascii="Constantia" w:eastAsia="Times New Roman" w:hAnsi="Constantia"/>
          <w:sz w:val="24"/>
          <w:szCs w:val="24"/>
        </w:rPr>
        <w:fldChar w:fldCharType="end"/>
      </w:r>
      <w:r>
        <w:rPr>
          <w:rFonts w:ascii="Constantia" w:eastAsia="Times New Roman" w:hAnsi="Constantia"/>
          <w:sz w:val="24"/>
          <w:szCs w:val="24"/>
        </w:rPr>
        <w:t>.</w:t>
      </w:r>
    </w:p>
    <w:p>
      <w:pPr>
        <w:pStyle w:val="style0"/>
        <w:spacing w:before="240" w:lineRule="auto" w:line="240"/>
        <w:rPr>
          <w:rFonts w:ascii="Constantia" w:hAnsi="Constantia"/>
          <w:sz w:val="24"/>
          <w:lang w:val="en-ID"/>
        </w:rPr>
      </w:pPr>
      <w:r>
        <w:rPr>
          <w:rFonts w:ascii="Constantia" w:hAnsi="Constantia"/>
          <w:b/>
          <w:sz w:val="24"/>
        </w:rPr>
        <w:t>SIMPULAN</w:t>
      </w:r>
    </w:p>
    <w:p>
      <w:pPr>
        <w:pStyle w:val="style4102"/>
        <w:spacing w:lineRule="auto" w:line="276"/>
        <w:ind w:firstLine="567"/>
        <w:rPr>
          <w:rFonts w:ascii="Constantia" w:hAnsi="Constantia"/>
          <w:sz w:val="24"/>
          <w:szCs w:val="24"/>
          <w:lang w:val="id-ID"/>
        </w:rPr>
      </w:pPr>
      <w:r>
        <w:rPr>
          <w:rFonts w:ascii="Constantia" w:hAnsi="Constantia"/>
          <w:sz w:val="24"/>
          <w:szCs w:val="24"/>
          <w:lang w:val="id-ID"/>
        </w:rPr>
        <w:t xml:space="preserve">Gayatri Rajapatni menjadi bukti bahwa perempuan mempunyai kedudukan yang sama dimata politik dan pemerintahan. Hal ini mematahkan stigma masyarakat tradisional yang menganggap bahwa perempuan hanya mempunyai kuasa dalam ranah domestik saja. Melalui strategi politik dan jiwa religius yang ada dalam diri Gayatri, visi imperium Majapahit untuk menyatukan nusantara yang merupakan cita-cita Kertanegara berhasil diwujudkan. Dengan dibantu patih Gajah Mada melalui pengucapan Sumpah Amukti Palapa, menandai bahwa Majapahit telah berhasil dalam menaklukkan wilayah kekuasaannya. Dalam melakukan visinya tersebut, Gayatri melihat dan mengembangkan potensi Majapahit yaitu sebagai kerajaan yang bersifat agraris dan maritim. Penaklukkan wilayah dilakukan tanpa melakukan kekerasan </w:t>
      </w:r>
      <w:r>
        <w:rPr>
          <w:rFonts w:ascii="Constantia" w:hAnsi="Constantia"/>
          <w:sz w:val="24"/>
          <w:szCs w:val="24"/>
          <w:lang w:val="id-ID"/>
        </w:rPr>
        <w:t xml:space="preserve">melainkan menjalin hubungan dagang dengan memberikan otonomi daerah pada wilayah yang berhasil di taklukkan. Peran Gayatri dalam mencapai kejayaan Majapahit sangat penting. Seperti halnya dalam menempatkan akuntan sebagai tokoh sentral dalam perputaran ekonomi kerajaan. Kepadaiannya dalam menyelaraskan ilmu pemerintahan dan jiwa religi menjadikan Majapahit dengan mudah menguasai wilayah yang menjadi kekuasaannya. Dari berbagai peran sentral Gayatri untuk Majapahit, masyarakat memberikan penghormatan pada upacara </w:t>
      </w:r>
      <w:r>
        <w:rPr>
          <w:rFonts w:ascii="Constantia" w:hAnsi="Constantia"/>
          <w:i/>
          <w:sz w:val="24"/>
          <w:szCs w:val="24"/>
          <w:lang w:val="id-ID"/>
        </w:rPr>
        <w:t>Saraddha</w:t>
      </w:r>
      <w:r>
        <w:rPr>
          <w:rFonts w:ascii="Constantia" w:hAnsi="Constantia"/>
          <w:sz w:val="24"/>
          <w:szCs w:val="24"/>
          <w:lang w:val="id-ID"/>
        </w:rPr>
        <w:t xml:space="preserve"> yang dilakukan untuk menghormati jasanya dalam mencapai kejayaan Majapahit. Dari penelitian yang sudah dilakukan, penulis berharap supaya seluruh elemen masyarakat dapat menjaga dan melindungi bukti sejarah mengenai Kerajaan Majapahit meskipun bentuk dan wujudnya sudah tidak sempurna lagi. Hal ini dikarenakan bukti sejarah tersebut merupakan salah satu wujud dari keagungan kerajaan Majapahit yang masih tersisa dan ceritanya dapat diturunkan kepada generasi penerus supaya mencintai sejarah kebudayaan bangsa.</w:t>
      </w:r>
    </w:p>
    <w:p>
      <w:pPr>
        <w:pStyle w:val="style4102"/>
        <w:spacing w:lineRule="auto" w:line="276"/>
        <w:ind w:firstLine="567"/>
        <w:rPr>
          <w:rFonts w:ascii="Constantia" w:hAnsi="Constantia"/>
          <w:sz w:val="24"/>
          <w:szCs w:val="24"/>
          <w:lang w:val="id-ID"/>
        </w:rPr>
      </w:pPr>
      <w:r>
        <w:rPr>
          <w:rFonts w:ascii="Constantia" w:hAnsi="Constantia"/>
          <w:sz w:val="24"/>
          <w:szCs w:val="24"/>
          <w:lang w:val="id-ID"/>
        </w:rPr>
        <w:t>Peneliti berharap dengan adanya kajian ini dapat menjadi pembelajaran bersama terutama bagi masyarakat yang mendalami bidang ilmu sejarah. Kajian ini ditulis berdasarkan literatur yang berkaitan dengan topik peneliti yang tentunya mempunyai keterbatasan dalam penulisannya. Untuk itu penulis, mengharapkan adanya dampak keberlanjutan dari penulisan ini supaya terdapat pembaharuan di kemudian hari mengenai kajian yang peneliti hasilkan dalam tulisan ini. Perlu diketahui bahwa kajian sejarah akan lebih menarik apabila topik pembahasannya ditelaah lebih dalam oleh setiap orang yang mendalaminya dan saling berkolaborasi dalam menciptakan argumen sehingga kajian tersebut dapat dikembangkan lebih dalam serta lebih luas lagi. Adanya pengembangan tersebut sangat penting dikarenakan bukti sejarah yang ada dapat bersifat subyektif, jadi besar kemungkinan bagi para penggiatnya untuk saling mendiskusikan bersadarkan fakta, data, dan sumber yang ada.</w:t>
      </w:r>
    </w:p>
    <w:p>
      <w:pPr>
        <w:pStyle w:val="style0"/>
        <w:spacing w:before="240" w:lineRule="auto" w:line="240"/>
        <w:rPr>
          <w:rFonts w:ascii="Constantia" w:hAnsi="Constantia"/>
          <w:b/>
          <w:sz w:val="24"/>
        </w:rPr>
      </w:pPr>
      <w:r>
        <w:rPr>
          <w:rFonts w:ascii="Constantia" w:hAnsi="Constantia"/>
          <w:b/>
          <w:sz w:val="24"/>
        </w:rPr>
        <w:t>REFERENSI</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hAnsi="Constantia"/>
          <w:b/>
          <w:sz w:val="24"/>
        </w:rPr>
        <w:fldChar w:fldCharType="begin"/>
      </w:r>
      <w:r>
        <w:rPr>
          <w:rFonts w:ascii="Constantia" w:hAnsi="Constantia"/>
          <w:b/>
          <w:sz w:val="24"/>
        </w:rPr>
        <w:instrText xml:space="preserve">ADDIN Mendeley Bibliography CSL_BIBLIOGRAPHY </w:instrText>
      </w:r>
      <w:r>
        <w:rPr>
          <w:rFonts w:ascii="Constantia" w:hAnsi="Constantia"/>
          <w:b/>
          <w:sz w:val="24"/>
        </w:rPr>
        <w:fldChar w:fldCharType="separate"/>
      </w:r>
      <w:r>
        <w:rPr>
          <w:rFonts w:ascii="Constantia" w:cs="Times New Roman" w:hAnsi="Constantia"/>
          <w:sz w:val="24"/>
          <w:szCs w:val="24"/>
        </w:rPr>
        <w:t xml:space="preserve">Achmad, S. . (2019). </w:t>
      </w:r>
      <w:r>
        <w:rPr>
          <w:rFonts w:ascii="Constantia" w:cs="Times New Roman" w:hAnsi="Constantia"/>
          <w:i/>
          <w:iCs/>
          <w:sz w:val="24"/>
          <w:szCs w:val="24"/>
        </w:rPr>
        <w:t>Sejarah Raja-Raja Majapahit</w:t>
      </w:r>
      <w:r>
        <w:rPr>
          <w:rFonts w:ascii="Constantia" w:cs="Times New Roman" w:hAnsi="Constantia"/>
          <w:sz w:val="24"/>
          <w:szCs w:val="24"/>
        </w:rPr>
        <w:t>.</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Agustina, R. D., &amp; Wany, E. (2024). </w:t>
      </w:r>
      <w:r>
        <w:rPr>
          <w:rFonts w:ascii="Constantia" w:cs="Times New Roman" w:hAnsi="Constantia"/>
          <w:i/>
          <w:iCs/>
          <w:sz w:val="24"/>
          <w:szCs w:val="24"/>
        </w:rPr>
        <w:t>PEMUNGUTAN PAJAK DI MASA KERAJAAN MAJAPAHIT ( Berdasarkan Metodologi Paradigma Nusantara ) ANALYSIS OF THE POWER OF GAYATRI ACCOUNTANTS IN THE SYSTEM OF TAX COLLECTION IN THE MAJAPAHIT KINGDOM ERA ( Based on the Nusantara Paradigm Methodology )</w:t>
      </w:r>
      <w:r>
        <w:rPr>
          <w:rFonts w:ascii="Constantia" w:cs="Times New Roman" w:hAnsi="Constantia"/>
          <w:sz w:val="24"/>
          <w:szCs w:val="24"/>
        </w:rPr>
        <w:t xml:space="preserve">. </w:t>
      </w:r>
      <w:r>
        <w:rPr>
          <w:rFonts w:ascii="Constantia" w:cs="Times New Roman" w:hAnsi="Constantia"/>
          <w:i/>
          <w:iCs/>
          <w:sz w:val="24"/>
          <w:szCs w:val="24"/>
        </w:rPr>
        <w:t>x</w:t>
      </w:r>
      <w:r>
        <w:rPr>
          <w:rFonts w:ascii="Constantia" w:cs="Times New Roman" w:hAnsi="Constantia"/>
          <w:sz w:val="24"/>
          <w:szCs w:val="24"/>
        </w:rPr>
        <w:t>(x).</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Alit, D. M., Pramartha, N. B., Sandri, G., Lewa, S., Darmada, I. M., Putu, I. A., Udiyani, S., &amp; Sejarah, P. P. (2022). Negarakertagama</w:t>
      </w:r>
      <w:r>
        <w:rPr>
          <w:rFonts w:ascii="Times New Roman" w:cs="Times New Roman" w:hAnsi="Times New Roman"/>
          <w:sz w:val="24"/>
          <w:szCs w:val="24"/>
        </w:rPr>
        <w:t> </w:t>
      </w:r>
      <w:r>
        <w:rPr>
          <w:rFonts w:ascii="Constantia" w:cs="Times New Roman" w:hAnsi="Constantia"/>
          <w:sz w:val="24"/>
          <w:szCs w:val="24"/>
        </w:rPr>
        <w:t xml:space="preserve">: Kisah Keagungan Kerajaan Majapahit. </w:t>
      </w:r>
      <w:r>
        <w:rPr>
          <w:rFonts w:ascii="Constantia" w:cs="Times New Roman" w:hAnsi="Constantia"/>
          <w:i/>
          <w:iCs/>
          <w:sz w:val="24"/>
          <w:szCs w:val="24"/>
        </w:rPr>
        <w:t>Jurnal Nirwasita</w:t>
      </w:r>
      <w:r>
        <w:rPr>
          <w:rFonts w:ascii="Constantia" w:cs="Times New Roman" w:hAnsi="Constantia"/>
          <w:sz w:val="24"/>
          <w:szCs w:val="24"/>
        </w:rPr>
        <w:t xml:space="preserve">, </w:t>
      </w:r>
      <w:r>
        <w:rPr>
          <w:rFonts w:ascii="Constantia" w:cs="Times New Roman" w:hAnsi="Constantia"/>
          <w:i/>
          <w:iCs/>
          <w:sz w:val="24"/>
          <w:szCs w:val="24"/>
        </w:rPr>
        <w:t>3</w:t>
      </w:r>
      <w:r>
        <w:rPr>
          <w:rFonts w:ascii="Constantia" w:cs="Times New Roman" w:hAnsi="Constantia"/>
          <w:sz w:val="24"/>
          <w:szCs w:val="24"/>
        </w:rPr>
        <w:t>(1), 31–42. http://eprints.undip.ac.id/75871/1/Jurnal_</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Alpiyah, N., &amp; Purnengsih, I. (2019). Karakter Gajah Mada: Simbol Kejayaan Majapahit. </w:t>
      </w:r>
      <w:r>
        <w:rPr>
          <w:rFonts w:ascii="Constantia" w:cs="Times New Roman" w:hAnsi="Constantia"/>
          <w:i/>
          <w:iCs/>
          <w:sz w:val="24"/>
          <w:szCs w:val="24"/>
        </w:rPr>
        <w:t>Visual Heritage: Jurnal Kreasi Seni Dan Budaya</w:t>
      </w:r>
      <w:r>
        <w:rPr>
          <w:rFonts w:ascii="Constantia" w:cs="Times New Roman" w:hAnsi="Constantia"/>
          <w:sz w:val="24"/>
          <w:szCs w:val="24"/>
        </w:rPr>
        <w:t xml:space="preserve">, </w:t>
      </w:r>
      <w:r>
        <w:rPr>
          <w:rFonts w:ascii="Constantia" w:cs="Times New Roman" w:hAnsi="Constantia"/>
          <w:i/>
          <w:iCs/>
          <w:sz w:val="24"/>
          <w:szCs w:val="24"/>
        </w:rPr>
        <w:t>1</w:t>
      </w:r>
      <w:r>
        <w:rPr>
          <w:rFonts w:ascii="Constantia" w:cs="Times New Roman" w:hAnsi="Constantia"/>
          <w:sz w:val="24"/>
          <w:szCs w:val="24"/>
        </w:rPr>
        <w:t>(02), 147–153. https://doi.org/10.30998/vh.v1i02.29</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Arpriansyah, A. I., &amp; Hakim, T. D. R. (2023). Cerita Rakyat Tokoh Gayatri Rajapatni sebagai Sarana Penguatan Profil Pelajar Pancasila Pada Siswa SMA. </w:t>
      </w:r>
      <w:r>
        <w:rPr>
          <w:rFonts w:ascii="Constantia" w:cs="Times New Roman" w:hAnsi="Constantia"/>
          <w:i/>
          <w:iCs/>
          <w:sz w:val="24"/>
          <w:szCs w:val="24"/>
        </w:rPr>
        <w:t>GHANCARAN: Jurnal Pendidikan Bahasa Dan Sastra Indonesia</w:t>
      </w:r>
      <w:r>
        <w:rPr>
          <w:rFonts w:ascii="Constantia" w:cs="Times New Roman" w:hAnsi="Constantia"/>
          <w:sz w:val="24"/>
          <w:szCs w:val="24"/>
        </w:rPr>
        <w:t xml:space="preserve">, 439–448. </w:t>
      </w:r>
      <w:r>
        <w:rPr>
          <w:rFonts w:ascii="Constantia" w:cs="Times New Roman" w:hAnsi="Constantia"/>
          <w:sz w:val="24"/>
          <w:szCs w:val="24"/>
        </w:rPr>
        <w:t>https://doi.org/10.19105/ghancaran.vi.8334</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Atmodjo, S. (2017). </w:t>
      </w:r>
      <w:r>
        <w:rPr>
          <w:rFonts w:ascii="Constantia" w:cs="Times New Roman" w:hAnsi="Constantia"/>
          <w:i/>
          <w:iCs/>
          <w:sz w:val="24"/>
          <w:szCs w:val="24"/>
        </w:rPr>
        <w:t>Laksamana Cheng Ho: Jejak Damai Penjelajah Dunia</w:t>
      </w:r>
      <w:r>
        <w:rPr>
          <w:rFonts w:ascii="Constantia" w:cs="Times New Roman" w:hAnsi="Constantia"/>
          <w:sz w:val="24"/>
          <w:szCs w:val="24"/>
        </w:rPr>
        <w:t>. Anak Hebat Indonesia.</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Birsyada, M. I. (2016). Legitimasi Kekuasaan Atas Sejarah Keruntuhan Kerajaan Majapahit Dalam Wacana Foucault. </w:t>
      </w:r>
      <w:r>
        <w:rPr>
          <w:rFonts w:ascii="Constantia" w:cs="Times New Roman" w:hAnsi="Constantia"/>
          <w:i/>
          <w:iCs/>
          <w:sz w:val="24"/>
          <w:szCs w:val="24"/>
        </w:rPr>
        <w:t>Walisongo: Jurnal Penelitian Sosial Keagamaan</w:t>
      </w:r>
      <w:r>
        <w:rPr>
          <w:rFonts w:ascii="Constantia" w:cs="Times New Roman" w:hAnsi="Constantia"/>
          <w:sz w:val="24"/>
          <w:szCs w:val="24"/>
        </w:rPr>
        <w:t xml:space="preserve">, </w:t>
      </w:r>
      <w:r>
        <w:rPr>
          <w:rFonts w:ascii="Constantia" w:cs="Times New Roman" w:hAnsi="Constantia"/>
          <w:i/>
          <w:iCs/>
          <w:sz w:val="24"/>
          <w:szCs w:val="24"/>
        </w:rPr>
        <w:t>24</w:t>
      </w:r>
      <w:r>
        <w:rPr>
          <w:rFonts w:ascii="Constantia" w:cs="Times New Roman" w:hAnsi="Constantia"/>
          <w:sz w:val="24"/>
          <w:szCs w:val="24"/>
        </w:rPr>
        <w:t>(2), 311. https://doi.org/10.21580/ws.24.2.974</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Bonga, J. (2021). </w:t>
      </w:r>
      <w:r>
        <w:rPr>
          <w:rFonts w:ascii="Constantia" w:cs="Times New Roman" w:hAnsi="Constantia"/>
          <w:i/>
          <w:iCs/>
          <w:sz w:val="24"/>
          <w:szCs w:val="24"/>
        </w:rPr>
        <w:t>The Philosophy of Longing: Memaknai Hakikat Rindu</w:t>
      </w:r>
      <w:r>
        <w:rPr>
          <w:rFonts w:ascii="Constantia" w:cs="Times New Roman" w:hAnsi="Constantia"/>
          <w:sz w:val="24"/>
          <w:szCs w:val="24"/>
        </w:rPr>
        <w:t xml:space="preserve"> (Cetakan 1). Sliletto Indie Book.</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Erlangga, G., &amp; Nelsusmena, N. (2022). Perempuan di Era Jawa Kuno: Tinjauan Historis Peran Perempuan pada Masa Kerajaan di Tanah Jawa. </w:t>
      </w:r>
      <w:r>
        <w:rPr>
          <w:rFonts w:ascii="Constantia" w:cs="Times New Roman" w:hAnsi="Constantia"/>
          <w:i/>
          <w:iCs/>
          <w:sz w:val="24"/>
          <w:szCs w:val="24"/>
        </w:rPr>
        <w:t>Chronologia</w:t>
      </w:r>
      <w:r>
        <w:rPr>
          <w:rFonts w:ascii="Constantia" w:cs="Times New Roman" w:hAnsi="Constantia"/>
          <w:sz w:val="24"/>
          <w:szCs w:val="24"/>
        </w:rPr>
        <w:t xml:space="preserve">, </w:t>
      </w:r>
      <w:r>
        <w:rPr>
          <w:rFonts w:ascii="Constantia" w:cs="Times New Roman" w:hAnsi="Constantia"/>
          <w:i/>
          <w:iCs/>
          <w:sz w:val="24"/>
          <w:szCs w:val="24"/>
        </w:rPr>
        <w:t>4</w:t>
      </w:r>
      <w:r>
        <w:rPr>
          <w:rFonts w:ascii="Constantia" w:cs="Times New Roman" w:hAnsi="Constantia"/>
          <w:sz w:val="24"/>
          <w:szCs w:val="24"/>
        </w:rPr>
        <w:t>(1), 25–33. https://doi.org/10.22236/jhe.v4i1.9236</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Fahmi, K. . (2023). </w:t>
      </w:r>
      <w:r>
        <w:rPr>
          <w:rFonts w:ascii="Constantia" w:cs="Times New Roman" w:hAnsi="Constantia"/>
          <w:i/>
          <w:iCs/>
          <w:sz w:val="24"/>
          <w:szCs w:val="24"/>
        </w:rPr>
        <w:t>Sejarah Ringkas Kerajaan Majapahit: Menelusuri Jejak-Jejak Peradaban Besar di Nusantara</w:t>
      </w:r>
      <w:r>
        <w:rPr>
          <w:rFonts w:ascii="Constantia" w:cs="Times New Roman" w:hAnsi="Constantia"/>
          <w:sz w:val="24"/>
          <w:szCs w:val="24"/>
        </w:rPr>
        <w:t>. Anak Hebat Indonesia.</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Fathoni, R. S. (2020). Domestifikasi Perempuan dalam Gerakan Islam Transnasional di Indonesia 1998 – 2016 M. </w:t>
      </w:r>
      <w:r>
        <w:rPr>
          <w:rFonts w:ascii="Constantia" w:cs="Times New Roman" w:hAnsi="Constantia"/>
          <w:i/>
          <w:iCs/>
          <w:sz w:val="24"/>
          <w:szCs w:val="24"/>
        </w:rPr>
        <w:t>Jurnal Wanita Dan Keluarga</w:t>
      </w:r>
      <w:r>
        <w:rPr>
          <w:rFonts w:ascii="Constantia" w:cs="Times New Roman" w:hAnsi="Constantia"/>
          <w:sz w:val="24"/>
          <w:szCs w:val="24"/>
        </w:rPr>
        <w:t xml:space="preserve">, </w:t>
      </w:r>
      <w:r>
        <w:rPr>
          <w:rFonts w:ascii="Constantia" w:cs="Times New Roman" w:hAnsi="Constantia"/>
          <w:i/>
          <w:iCs/>
          <w:sz w:val="24"/>
          <w:szCs w:val="24"/>
        </w:rPr>
        <w:t>1</w:t>
      </w:r>
      <w:r>
        <w:rPr>
          <w:rFonts w:ascii="Constantia" w:cs="Times New Roman" w:hAnsi="Constantia"/>
          <w:sz w:val="24"/>
          <w:szCs w:val="24"/>
        </w:rPr>
        <w:t>(1), 1–6. https://doi.org/10.22146/jwk.764</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Febianty, F. . (2024). </w:t>
      </w:r>
      <w:r>
        <w:rPr>
          <w:rFonts w:ascii="Constantia" w:cs="Times New Roman" w:hAnsi="Constantia"/>
          <w:i/>
          <w:iCs/>
          <w:sz w:val="24"/>
          <w:szCs w:val="24"/>
        </w:rPr>
        <w:t>IMPLEMENTASI KETOKOHAN GAYATRI RAJAPATNI TERHADAP TOKOH PUBLIK PEREMPUAN DI KABUPATEN TULUNGAGUNG AVATARA</w:t>
      </w:r>
      <w:r>
        <w:rPr>
          <w:rFonts w:ascii="Constantia" w:cs="Times New Roman" w:hAnsi="Constantia"/>
          <w:sz w:val="24"/>
          <w:szCs w:val="24"/>
        </w:rPr>
        <w:t xml:space="preserve">. </w:t>
      </w:r>
      <w:r>
        <w:rPr>
          <w:rFonts w:ascii="Constantia" w:cs="Times New Roman" w:hAnsi="Constantia"/>
          <w:i/>
          <w:iCs/>
          <w:sz w:val="24"/>
          <w:szCs w:val="24"/>
        </w:rPr>
        <w:t>15</w:t>
      </w:r>
      <w:r>
        <w:rPr>
          <w:rFonts w:ascii="Constantia" w:cs="Times New Roman" w:hAnsi="Constantia"/>
          <w:sz w:val="24"/>
          <w:szCs w:val="24"/>
        </w:rPr>
        <w:t>(1).</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Indradjaja, A. (2017). Penggambaran Ideal Perempuan Jawa pada Masa Hindu-Buddha: Refleksi pada Arca-Arca Perempuan. </w:t>
      </w:r>
      <w:r>
        <w:rPr>
          <w:rFonts w:ascii="Constantia" w:cs="Times New Roman" w:hAnsi="Constantia"/>
          <w:i/>
          <w:iCs/>
          <w:sz w:val="24"/>
          <w:szCs w:val="24"/>
        </w:rPr>
        <w:t>Purbawidya: Jurnal Penelitian Dan Pengembangan Arkeologi</w:t>
      </w:r>
      <w:r>
        <w:rPr>
          <w:rFonts w:ascii="Constantia" w:cs="Times New Roman" w:hAnsi="Constantia"/>
          <w:sz w:val="24"/>
          <w:szCs w:val="24"/>
        </w:rPr>
        <w:t xml:space="preserve">, </w:t>
      </w:r>
      <w:r>
        <w:rPr>
          <w:rFonts w:ascii="Constantia" w:cs="Times New Roman" w:hAnsi="Constantia"/>
          <w:i/>
          <w:iCs/>
          <w:sz w:val="24"/>
          <w:szCs w:val="24"/>
        </w:rPr>
        <w:t>6</w:t>
      </w:r>
      <w:r>
        <w:rPr>
          <w:rFonts w:ascii="Constantia" w:cs="Times New Roman" w:hAnsi="Constantia"/>
          <w:sz w:val="24"/>
          <w:szCs w:val="24"/>
        </w:rPr>
        <w:t>(7), 105–116.</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Irma, A., &amp; Hasanah, D. (2019). Menyoroti budaya patriarki di indonesia. </w:t>
      </w:r>
      <w:r>
        <w:rPr>
          <w:rFonts w:ascii="Constantia" w:cs="Times New Roman" w:hAnsi="Constantia"/>
          <w:i/>
          <w:iCs/>
          <w:sz w:val="24"/>
          <w:szCs w:val="24"/>
        </w:rPr>
        <w:t>Social Work Jurnal</w:t>
      </w:r>
      <w:r>
        <w:rPr>
          <w:rFonts w:ascii="Constantia" w:cs="Times New Roman" w:hAnsi="Constantia"/>
          <w:sz w:val="24"/>
          <w:szCs w:val="24"/>
        </w:rPr>
        <w:t xml:space="preserve">, </w:t>
      </w:r>
      <w:r>
        <w:rPr>
          <w:rFonts w:ascii="Constantia" w:cs="Times New Roman" w:hAnsi="Constantia"/>
          <w:i/>
          <w:iCs/>
          <w:sz w:val="24"/>
          <w:szCs w:val="24"/>
        </w:rPr>
        <w:t>7</w:t>
      </w:r>
      <w:r>
        <w:rPr>
          <w:rFonts w:ascii="Constantia" w:cs="Times New Roman" w:hAnsi="Constantia"/>
          <w:sz w:val="24"/>
          <w:szCs w:val="24"/>
        </w:rPr>
        <w:t>(1), 1–129.</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Jamil, R. N., Joebagio, H., &amp; Djono. (2018). Psychohistory Gayatri Rajapatni sebagai Roh Pancasilais. </w:t>
      </w:r>
      <w:r>
        <w:rPr>
          <w:rFonts w:ascii="Constantia" w:cs="Times New Roman" w:hAnsi="Constantia"/>
          <w:i/>
          <w:iCs/>
          <w:sz w:val="24"/>
          <w:szCs w:val="24"/>
        </w:rPr>
        <w:t>Jantra</w:t>
      </w:r>
      <w:r>
        <w:rPr>
          <w:rFonts w:ascii="Constantia" w:cs="Times New Roman" w:hAnsi="Constantia"/>
          <w:sz w:val="24"/>
          <w:szCs w:val="24"/>
        </w:rPr>
        <w:t xml:space="preserve">, </w:t>
      </w:r>
      <w:r>
        <w:rPr>
          <w:rFonts w:ascii="Constantia" w:cs="Times New Roman" w:hAnsi="Constantia"/>
          <w:i/>
          <w:iCs/>
          <w:sz w:val="24"/>
          <w:szCs w:val="24"/>
        </w:rPr>
        <w:t>13</w:t>
      </w:r>
      <w:r>
        <w:rPr>
          <w:rFonts w:ascii="Constantia" w:cs="Times New Roman" w:hAnsi="Constantia"/>
          <w:sz w:val="24"/>
          <w:szCs w:val="24"/>
        </w:rPr>
        <w:t>(2), 97–106.</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Jati, W. R. (2015). Wani Ing Tata: Konstruksi Wanita Jawa dalam Studi Poskolonialisme. </w:t>
      </w:r>
      <w:r>
        <w:rPr>
          <w:rFonts w:ascii="Constantia" w:cs="Times New Roman" w:hAnsi="Constantia"/>
          <w:i/>
          <w:iCs/>
          <w:sz w:val="24"/>
          <w:szCs w:val="24"/>
        </w:rPr>
        <w:t>Jurnal Perempuan</w:t>
      </w:r>
      <w:r>
        <w:rPr>
          <w:rFonts w:ascii="Constantia" w:cs="Times New Roman" w:hAnsi="Constantia"/>
          <w:sz w:val="24"/>
          <w:szCs w:val="24"/>
        </w:rPr>
        <w:t xml:space="preserve">, </w:t>
      </w:r>
      <w:r>
        <w:rPr>
          <w:rFonts w:ascii="Constantia" w:cs="Times New Roman" w:hAnsi="Constantia"/>
          <w:i/>
          <w:iCs/>
          <w:sz w:val="24"/>
          <w:szCs w:val="24"/>
        </w:rPr>
        <w:t>20</w:t>
      </w:r>
      <w:r>
        <w:rPr>
          <w:rFonts w:ascii="Constantia" w:cs="Times New Roman" w:hAnsi="Constantia"/>
          <w:sz w:val="24"/>
          <w:szCs w:val="24"/>
        </w:rPr>
        <w:t>(1), 82–91.</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Kamayanti, A., Sokaria, A., Lutfillah, N. ., Briando, B., Ekasari, K., Suhendri, H., &amp; Darmayasa, I. . (2022). </w:t>
      </w:r>
      <w:r>
        <w:rPr>
          <w:rFonts w:ascii="Constantia" w:cs="Times New Roman" w:hAnsi="Constantia"/>
          <w:i/>
          <w:iCs/>
          <w:sz w:val="24"/>
          <w:szCs w:val="24"/>
        </w:rPr>
        <w:t>Metodologi Paradigma Nusantara</w:t>
      </w:r>
      <w:r>
        <w:rPr>
          <w:rFonts w:ascii="Constantia" w:cs="Times New Roman" w:hAnsi="Constantia"/>
          <w:sz w:val="24"/>
          <w:szCs w:val="24"/>
        </w:rPr>
        <w:t xml:space="preserve"> (pp. 38–39).</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Ki Sigit Sapto Nugroho. (2021). </w:t>
      </w:r>
      <w:r>
        <w:rPr>
          <w:rFonts w:ascii="Constantia" w:cs="Times New Roman" w:hAnsi="Constantia"/>
          <w:i/>
          <w:iCs/>
          <w:sz w:val="24"/>
          <w:szCs w:val="24"/>
        </w:rPr>
        <w:t>Konco Wingking: Re-Eksistensi Citra, Peran dan Kehebatan Wanita</w:t>
      </w:r>
      <w:r>
        <w:rPr>
          <w:rFonts w:ascii="Constantia" w:cs="Times New Roman" w:hAnsi="Constantia"/>
          <w:sz w:val="24"/>
          <w:szCs w:val="24"/>
        </w:rPr>
        <w:t>.</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Kusumastuti, R. (2021). </w:t>
      </w:r>
      <w:r>
        <w:rPr>
          <w:rFonts w:ascii="Constantia" w:cs="Times New Roman" w:hAnsi="Constantia"/>
          <w:i/>
          <w:iCs/>
          <w:sz w:val="24"/>
          <w:szCs w:val="24"/>
        </w:rPr>
        <w:t>Teh Celup Curhat Inspiratif dari Seorang Perempuan yang Suaminya Harus dipenjara karena Kriminalisasi</w:t>
      </w:r>
      <w:r>
        <w:rPr>
          <w:rFonts w:ascii="Constantia" w:cs="Times New Roman" w:hAnsi="Constantia"/>
          <w:sz w:val="24"/>
          <w:szCs w:val="24"/>
        </w:rPr>
        <w:t xml:space="preserve"> (pp. 93–94).</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Larashati. (2022). Ketimpangan Dan Peningkatan Kesetaraan Gender Dalam Sdgs ( Sustainable Development Goals ). </w:t>
      </w:r>
      <w:r>
        <w:rPr>
          <w:rFonts w:ascii="Constantia" w:cs="Times New Roman" w:hAnsi="Constantia"/>
          <w:i/>
          <w:iCs/>
          <w:sz w:val="24"/>
          <w:szCs w:val="24"/>
        </w:rPr>
        <w:t>Jurnal Sains Edukatika Indonesia</w:t>
      </w:r>
      <w:r>
        <w:rPr>
          <w:rFonts w:ascii="Constantia" w:cs="Times New Roman" w:hAnsi="Constantia"/>
          <w:sz w:val="24"/>
          <w:szCs w:val="24"/>
        </w:rPr>
        <w:t xml:space="preserve">, </w:t>
      </w:r>
      <w:r>
        <w:rPr>
          <w:rFonts w:ascii="Constantia" w:cs="Times New Roman" w:hAnsi="Constantia"/>
          <w:i/>
          <w:iCs/>
          <w:sz w:val="24"/>
          <w:szCs w:val="24"/>
        </w:rPr>
        <w:t>4</w:t>
      </w:r>
      <w:r>
        <w:rPr>
          <w:rFonts w:ascii="Constantia" w:cs="Times New Roman" w:hAnsi="Constantia"/>
          <w:sz w:val="24"/>
          <w:szCs w:val="24"/>
        </w:rPr>
        <w:t>(2), 55–61.</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Lutfillah, N. . (2021). </w:t>
      </w:r>
      <w:r>
        <w:rPr>
          <w:rFonts w:ascii="Constantia" w:cs="Times New Roman" w:hAnsi="Constantia"/>
          <w:i/>
          <w:iCs/>
          <w:sz w:val="24"/>
          <w:szCs w:val="24"/>
        </w:rPr>
        <w:t>Gayatri Akuntan Majapahit</w:t>
      </w:r>
      <w:r>
        <w:rPr>
          <w:rFonts w:ascii="Constantia" w:cs="Times New Roman" w:hAnsi="Constantia"/>
          <w:sz w:val="24"/>
          <w:szCs w:val="24"/>
        </w:rPr>
        <w:t>.</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Maftukhin. (2017). </w:t>
      </w:r>
      <w:r>
        <w:rPr>
          <w:rFonts w:ascii="Constantia" w:cs="Times New Roman" w:hAnsi="Constantia"/>
          <w:i/>
          <w:iCs/>
          <w:sz w:val="24"/>
          <w:szCs w:val="24"/>
        </w:rPr>
        <w:t>Melacak Jejak Spiritualitas Bhinneka Tunggal Ika dan Visi Penyatuan Nusantara</w:t>
      </w:r>
      <w:r>
        <w:rPr>
          <w:rFonts w:ascii="Constantia" w:cs="Times New Roman" w:hAnsi="Constantia"/>
          <w:sz w:val="24"/>
          <w:szCs w:val="24"/>
        </w:rPr>
        <w:t>.</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Mahfudhoh, L. (2016). </w:t>
      </w:r>
      <w:r>
        <w:rPr>
          <w:rFonts w:ascii="Constantia" w:cs="Times New Roman" w:hAnsi="Constantia"/>
          <w:i/>
          <w:iCs/>
          <w:sz w:val="24"/>
          <w:szCs w:val="24"/>
        </w:rPr>
        <w:t>Antologi Sejarah Candi Boyolangu</w:t>
      </w:r>
      <w:r>
        <w:rPr>
          <w:rFonts w:ascii="Constantia" w:cs="Times New Roman" w:hAnsi="Constantia"/>
          <w:sz w:val="24"/>
          <w:szCs w:val="24"/>
        </w:rPr>
        <w:t xml:space="preserve"> (p. 85).</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Marwah, S. (2020). </w:t>
      </w:r>
      <w:r>
        <w:rPr>
          <w:rFonts w:ascii="Constantia" w:cs="Times New Roman" w:hAnsi="Constantia"/>
          <w:i/>
          <w:iCs/>
          <w:sz w:val="24"/>
          <w:szCs w:val="24"/>
        </w:rPr>
        <w:t>Kajian Gender dalam Ragam Disiplin Ilmu</w:t>
      </w:r>
      <w:r>
        <w:rPr>
          <w:rFonts w:ascii="Constantia" w:cs="Times New Roman" w:hAnsi="Constantia"/>
          <w:sz w:val="24"/>
          <w:szCs w:val="24"/>
        </w:rPr>
        <w:t>.</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Mu’aafi, G. H., Yuliati, Y., &amp; Khakim, M. N. L. (2022). Egaliter Masa Majapahit: Studi Kasus Penguasa Perempuan Majapahit Tribhuwanottu</w:t>
      </w:r>
      <w:r>
        <w:rPr>
          <w:rFonts w:ascii="Times New Roman" w:cs="Times New Roman" w:hAnsi="Times New Roman"/>
          <w:sz w:val="24"/>
          <w:szCs w:val="24"/>
        </w:rPr>
        <w:t>ṅ</w:t>
      </w:r>
      <w:r>
        <w:rPr>
          <w:rFonts w:ascii="Constantia" w:cs="Times New Roman" w:hAnsi="Constantia"/>
          <w:sz w:val="24"/>
          <w:szCs w:val="24"/>
        </w:rPr>
        <w:t>gadewī Jayawi</w:t>
      </w:r>
      <w:r>
        <w:rPr>
          <w:rFonts w:ascii="Times New Roman" w:cs="Times New Roman" w:hAnsi="Times New Roman"/>
          <w:sz w:val="24"/>
          <w:szCs w:val="24"/>
        </w:rPr>
        <w:t>ṣṇ</w:t>
      </w:r>
      <w:r>
        <w:rPr>
          <w:rFonts w:ascii="Constantia" w:cs="Times New Roman" w:hAnsi="Constantia"/>
          <w:sz w:val="24"/>
          <w:szCs w:val="24"/>
        </w:rPr>
        <w:t xml:space="preserve">uwarddhanī, 1329-1350. </w:t>
      </w:r>
      <w:r>
        <w:rPr>
          <w:rFonts w:ascii="Constantia" w:cs="Times New Roman" w:hAnsi="Constantia"/>
          <w:i/>
          <w:iCs/>
          <w:sz w:val="24"/>
          <w:szCs w:val="24"/>
        </w:rPr>
        <w:t>Fajar Historia: Jurnal Ilmu Sejarah Dan Pendidikan</w:t>
      </w:r>
      <w:r>
        <w:rPr>
          <w:rFonts w:ascii="Constantia" w:cs="Times New Roman" w:hAnsi="Constantia"/>
          <w:sz w:val="24"/>
          <w:szCs w:val="24"/>
        </w:rPr>
        <w:t xml:space="preserve">, </w:t>
      </w:r>
      <w:r>
        <w:rPr>
          <w:rFonts w:ascii="Constantia" w:cs="Times New Roman" w:hAnsi="Constantia"/>
          <w:i/>
          <w:iCs/>
          <w:sz w:val="24"/>
          <w:szCs w:val="24"/>
        </w:rPr>
        <w:t>6</w:t>
      </w:r>
      <w:r>
        <w:rPr>
          <w:rFonts w:ascii="Constantia" w:cs="Times New Roman" w:hAnsi="Constantia"/>
          <w:sz w:val="24"/>
          <w:szCs w:val="24"/>
        </w:rPr>
        <w:t>(2), 244–258. https://doi.org/10.29408/fhs.v6i2.6593</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Munandar, A. (2015). </w:t>
      </w:r>
      <w:r>
        <w:rPr>
          <w:rFonts w:ascii="Constantia" w:cs="Times New Roman" w:hAnsi="Constantia"/>
          <w:i/>
          <w:iCs/>
          <w:sz w:val="24"/>
          <w:szCs w:val="24"/>
        </w:rPr>
        <w:t>Kedudukan dan Peran Perempuan dalam Masa Jawa kuno</w:t>
      </w:r>
      <w:r>
        <w:rPr>
          <w:rFonts w:ascii="Times New Roman" w:cs="Times New Roman" w:hAnsi="Times New Roman"/>
          <w:i/>
          <w:iCs/>
          <w:sz w:val="24"/>
          <w:szCs w:val="24"/>
        </w:rPr>
        <w:t> </w:t>
      </w:r>
      <w:r>
        <w:rPr>
          <w:rFonts w:ascii="Constantia" w:cs="Times New Roman" w:hAnsi="Constantia"/>
          <w:i/>
          <w:iCs/>
          <w:sz w:val="24"/>
          <w:szCs w:val="24"/>
        </w:rPr>
        <w:t>: Era Majapahit</w:t>
      </w:r>
      <w:r>
        <w:rPr>
          <w:rFonts w:ascii="Constantia" w:cs="Times New Roman" w:hAnsi="Constantia"/>
          <w:sz w:val="24"/>
          <w:szCs w:val="24"/>
        </w:rPr>
        <w:t xml:space="preserve">. </w:t>
      </w:r>
      <w:r>
        <w:rPr>
          <w:rFonts w:ascii="Constantia" w:cs="Times New Roman" w:hAnsi="Constantia"/>
          <w:i/>
          <w:iCs/>
          <w:sz w:val="24"/>
          <w:szCs w:val="24"/>
        </w:rPr>
        <w:t>c</w:t>
      </w:r>
      <w:r>
        <w:rPr>
          <w:rFonts w:ascii="Constantia" w:cs="Times New Roman" w:hAnsi="Constantia"/>
          <w:sz w:val="24"/>
          <w:szCs w:val="24"/>
        </w:rPr>
        <w:t>, 1–18.</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Noorwatha, I. K. D. (2019). </w:t>
      </w:r>
      <w:r>
        <w:rPr>
          <w:rFonts w:ascii="Constantia" w:cs="Times New Roman" w:hAnsi="Constantia"/>
          <w:i/>
          <w:iCs/>
          <w:sz w:val="24"/>
          <w:szCs w:val="24"/>
        </w:rPr>
        <w:t>NARANATHA-KANYA:Jejak Sejarah Dewa Agung Istri Kanyadan Kebangkitan Seni Kerajaan Klungkung Abad ke-19</w:t>
      </w:r>
      <w:r>
        <w:rPr>
          <w:rFonts w:ascii="Constantia" w:cs="Times New Roman" w:hAnsi="Constantia"/>
          <w:sz w:val="24"/>
          <w:szCs w:val="24"/>
        </w:rPr>
        <w:t>.</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Nugroho, A., &amp; Novianto, V. (2022). Analisa Nilai-nilai Pendidikan Karakter Kerajaan Maritim pada Masa Hindu-Buddha di Indonesia. </w:t>
      </w:r>
      <w:r>
        <w:rPr>
          <w:rFonts w:ascii="Constantia" w:cs="Times New Roman" w:hAnsi="Constantia"/>
          <w:i/>
          <w:iCs/>
          <w:sz w:val="24"/>
          <w:szCs w:val="24"/>
        </w:rPr>
        <w:t>Proceedings Series on Social Sciences &amp; Humanities</w:t>
      </w:r>
      <w:r>
        <w:rPr>
          <w:rFonts w:ascii="Constantia" w:cs="Times New Roman" w:hAnsi="Constantia"/>
          <w:sz w:val="24"/>
          <w:szCs w:val="24"/>
        </w:rPr>
        <w:t xml:space="preserve">, </w:t>
      </w:r>
      <w:r>
        <w:rPr>
          <w:rFonts w:ascii="Constantia" w:cs="Times New Roman" w:hAnsi="Constantia"/>
          <w:i/>
          <w:iCs/>
          <w:sz w:val="24"/>
          <w:szCs w:val="24"/>
        </w:rPr>
        <w:t>3</w:t>
      </w:r>
      <w:r>
        <w:rPr>
          <w:rFonts w:ascii="Constantia" w:cs="Times New Roman" w:hAnsi="Constantia"/>
          <w:sz w:val="24"/>
          <w:szCs w:val="24"/>
        </w:rPr>
        <w:t>(2), 639–643. https://doi.org/10.30595/pssh.v3i.358</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Oktorino, N. (2020). </w:t>
      </w:r>
      <w:r>
        <w:rPr>
          <w:rFonts w:ascii="Constantia" w:cs="Times New Roman" w:hAnsi="Constantia"/>
          <w:i/>
          <w:iCs/>
          <w:sz w:val="24"/>
          <w:szCs w:val="24"/>
        </w:rPr>
        <w:t>Hikayat Majapahit: Kebangkitan dan Keruntuhan Kerajaan Terbesar di Nusantara</w:t>
      </w:r>
      <w:r>
        <w:rPr>
          <w:rFonts w:ascii="Constantia" w:cs="Times New Roman" w:hAnsi="Constantia"/>
          <w:sz w:val="24"/>
          <w:szCs w:val="24"/>
        </w:rPr>
        <w:t xml:space="preserve"> (Edisi Pert). PT Elex Media Komputindo.</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Pangestika, A. E., Susanto, H., &amp; Imanita, M. (2019). Penaklukan Bali Oleh Kerajaan Majapahit Tahun 1343 M. </w:t>
      </w:r>
      <w:r>
        <w:rPr>
          <w:rFonts w:ascii="Constantia" w:cs="Times New Roman" w:hAnsi="Constantia"/>
          <w:i/>
          <w:iCs/>
          <w:sz w:val="24"/>
          <w:szCs w:val="24"/>
        </w:rPr>
        <w:t>Download.Garuda.Kemdikbud.Go.Id</w:t>
      </w:r>
      <w:r>
        <w:rPr>
          <w:rFonts w:ascii="Constantia" w:cs="Times New Roman" w:hAnsi="Constantia"/>
          <w:sz w:val="24"/>
          <w:szCs w:val="24"/>
        </w:rPr>
        <w:t xml:space="preserve">, </w:t>
      </w:r>
      <w:r>
        <w:rPr>
          <w:rFonts w:ascii="Constantia" w:cs="Times New Roman" w:hAnsi="Constantia"/>
          <w:i/>
          <w:iCs/>
          <w:sz w:val="24"/>
          <w:szCs w:val="24"/>
        </w:rPr>
        <w:t>01</w:t>
      </w:r>
      <w:r>
        <w:rPr>
          <w:rFonts w:ascii="Constantia" w:cs="Times New Roman" w:hAnsi="Constantia"/>
          <w:sz w:val="24"/>
          <w:szCs w:val="24"/>
        </w:rPr>
        <w:t>. http://download.garuda.kemdikbud.go.id/article.php?article=2426789&amp;val=23207&amp;title=Penaklukan Bali oleh Kerajaan Majapahit Tahun 1343 M</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Poetri, M. S. (2024). Representasi Kasta Sudra Dalam Cerpen Kharma Phala Karya Ni Wayan Wijayanti. </w:t>
      </w:r>
      <w:r>
        <w:rPr>
          <w:rFonts w:ascii="Constantia" w:cs="Times New Roman" w:hAnsi="Constantia"/>
          <w:i/>
          <w:iCs/>
          <w:sz w:val="24"/>
          <w:szCs w:val="24"/>
        </w:rPr>
        <w:t>Jurnal Ilmiah Wahana Pendidikan</w:t>
      </w:r>
      <w:r>
        <w:rPr>
          <w:rFonts w:ascii="Constantia" w:cs="Times New Roman" w:hAnsi="Constantia"/>
          <w:sz w:val="24"/>
          <w:szCs w:val="24"/>
        </w:rPr>
        <w:t xml:space="preserve">, </w:t>
      </w:r>
      <w:r>
        <w:rPr>
          <w:rFonts w:ascii="Constantia" w:cs="Times New Roman" w:hAnsi="Constantia"/>
          <w:i/>
          <w:iCs/>
          <w:sz w:val="24"/>
          <w:szCs w:val="24"/>
        </w:rPr>
        <w:t>10</w:t>
      </w:r>
      <w:r>
        <w:rPr>
          <w:rFonts w:ascii="Constantia" w:cs="Times New Roman" w:hAnsi="Constantia"/>
          <w:sz w:val="24"/>
          <w:szCs w:val="24"/>
        </w:rPr>
        <w:t>(9), 952–958.</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Pranidhi, D., Santoso, W. M., &amp; Siscawati, M. (2022). Otoritas Perempuan dan Religiusitas Gayatri Rajapatni. </w:t>
      </w:r>
      <w:r>
        <w:rPr>
          <w:rFonts w:ascii="Constantia" w:cs="Times New Roman" w:hAnsi="Constantia"/>
          <w:i/>
          <w:iCs/>
          <w:sz w:val="24"/>
          <w:szCs w:val="24"/>
        </w:rPr>
        <w:t>Dharmasmrti: Jurnal Ilmu Agama Dan Kebudayaan</w:t>
      </w:r>
      <w:r>
        <w:rPr>
          <w:rFonts w:ascii="Constantia" w:cs="Times New Roman" w:hAnsi="Constantia"/>
          <w:sz w:val="24"/>
          <w:szCs w:val="24"/>
        </w:rPr>
        <w:t xml:space="preserve">, </w:t>
      </w:r>
      <w:r>
        <w:rPr>
          <w:rFonts w:ascii="Constantia" w:cs="Times New Roman" w:hAnsi="Constantia"/>
          <w:i/>
          <w:iCs/>
          <w:sz w:val="24"/>
          <w:szCs w:val="24"/>
        </w:rPr>
        <w:t>22</w:t>
      </w:r>
      <w:r>
        <w:rPr>
          <w:rFonts w:ascii="Constantia" w:cs="Times New Roman" w:hAnsi="Constantia"/>
          <w:sz w:val="24"/>
          <w:szCs w:val="24"/>
        </w:rPr>
        <w:t>(1), 1–8. https://ejournal.unchi.ac.id/index.php/dharmasmrti/issue/view/23</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Putri, A., &amp; Nurhajati, L. (2020). Representasi perempuan dalam kukungan tradisi Jawa pada film Kartini karya Hanung Bramantyo. </w:t>
      </w:r>
      <w:r>
        <w:rPr>
          <w:rFonts w:ascii="Constantia" w:cs="Times New Roman" w:hAnsi="Constantia"/>
          <w:i/>
          <w:iCs/>
          <w:sz w:val="24"/>
          <w:szCs w:val="24"/>
        </w:rPr>
        <w:t>ProTVF</w:t>
      </w:r>
      <w:r>
        <w:rPr>
          <w:rFonts w:ascii="Constantia" w:cs="Times New Roman" w:hAnsi="Constantia"/>
          <w:sz w:val="24"/>
          <w:szCs w:val="24"/>
        </w:rPr>
        <w:t xml:space="preserve">, </w:t>
      </w:r>
      <w:r>
        <w:rPr>
          <w:rFonts w:ascii="Constantia" w:cs="Times New Roman" w:hAnsi="Constantia"/>
          <w:i/>
          <w:iCs/>
          <w:sz w:val="24"/>
          <w:szCs w:val="24"/>
        </w:rPr>
        <w:t>4</w:t>
      </w:r>
      <w:r>
        <w:rPr>
          <w:rFonts w:ascii="Constantia" w:cs="Times New Roman" w:hAnsi="Constantia"/>
          <w:sz w:val="24"/>
          <w:szCs w:val="24"/>
        </w:rPr>
        <w:t>(1), 42. https://doi.org/10.24198/ptvf.v4i1.24008</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Rahmadania, W. ., Wibowo, H., Sarjono, E., Simamora, H. ., Amin, M., Maheswara, A., &amp; Vivaldy, J. (2022). </w:t>
      </w:r>
      <w:r>
        <w:rPr>
          <w:rFonts w:ascii="Constantia" w:cs="Times New Roman" w:hAnsi="Constantia"/>
          <w:i/>
          <w:iCs/>
          <w:sz w:val="24"/>
          <w:szCs w:val="24"/>
        </w:rPr>
        <w:t>Strategi Politik Perempuan dalam Sejarah</w:t>
      </w:r>
      <w:r>
        <w:rPr>
          <w:rFonts w:ascii="Constantia" w:cs="Times New Roman" w:hAnsi="Constantia"/>
          <w:sz w:val="24"/>
          <w:szCs w:val="24"/>
        </w:rPr>
        <w:t xml:space="preserve"> (p. 80).</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Ramadhan, P. (2020). </w:t>
      </w:r>
      <w:r>
        <w:rPr>
          <w:rFonts w:ascii="Constantia" w:cs="Times New Roman" w:hAnsi="Constantia"/>
          <w:i/>
          <w:iCs/>
          <w:sz w:val="24"/>
          <w:szCs w:val="24"/>
        </w:rPr>
        <w:t>Jejak-Jejak Peradaban Majapahit Imperium Raksasa Penguasa Nusantara</w:t>
      </w:r>
      <w:r>
        <w:rPr>
          <w:rFonts w:ascii="Constantia" w:cs="Times New Roman" w:hAnsi="Constantia"/>
          <w:sz w:val="24"/>
          <w:szCs w:val="24"/>
        </w:rPr>
        <w:t xml:space="preserve"> (p. 77).</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Rizqillah, Z. A. (2023). </w:t>
      </w:r>
      <w:r>
        <w:rPr>
          <w:rFonts w:ascii="Constantia" w:cs="Times New Roman" w:hAnsi="Constantia"/>
          <w:i/>
          <w:iCs/>
          <w:sz w:val="24"/>
          <w:szCs w:val="24"/>
        </w:rPr>
        <w:t>NUSANTARA ABAD XVI KIAI HAJI ACHMAD SIDDIQ JEMBER FAKULTAS USHULUDDIN , ADAB DAN HUMANIORA</w:t>
      </w:r>
      <w:r>
        <w:rPr>
          <w:rFonts w:ascii="Constantia" w:cs="Times New Roman" w:hAnsi="Constantia"/>
          <w:sz w:val="24"/>
          <w:szCs w:val="24"/>
        </w:rPr>
        <w:t>.</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Safitri, S. (2015). Telaah Geomorfologi Kerajaan Majapahit. </w:t>
      </w:r>
      <w:r>
        <w:rPr>
          <w:rFonts w:ascii="Constantia" w:cs="Times New Roman" w:hAnsi="Constantia"/>
          <w:i/>
          <w:iCs/>
          <w:sz w:val="24"/>
          <w:szCs w:val="24"/>
        </w:rPr>
        <w:t>Sejarah Dan Budaya</w:t>
      </w:r>
      <w:r>
        <w:rPr>
          <w:rFonts w:ascii="Constantia" w:cs="Times New Roman" w:hAnsi="Constantia"/>
          <w:sz w:val="24"/>
          <w:szCs w:val="24"/>
        </w:rPr>
        <w:t xml:space="preserve">, </w:t>
      </w:r>
      <w:r>
        <w:rPr>
          <w:rFonts w:ascii="Constantia" w:cs="Times New Roman" w:hAnsi="Constantia"/>
          <w:i/>
          <w:iCs/>
          <w:sz w:val="24"/>
          <w:szCs w:val="24"/>
        </w:rPr>
        <w:t>7</w:t>
      </w:r>
      <w:r>
        <w:rPr>
          <w:rFonts w:ascii="Constantia" w:cs="Times New Roman" w:hAnsi="Constantia"/>
          <w:sz w:val="24"/>
          <w:szCs w:val="24"/>
        </w:rPr>
        <w:t>(1), 88–95.</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Setiawan, Y. (2022). Pajak (Upeti) Majapahit (Wilwatikta) Dalam Meningkatkan Ekonomi Di Era Otonomi. </w:t>
      </w:r>
      <w:r>
        <w:rPr>
          <w:rFonts w:ascii="Constantia" w:cs="Times New Roman" w:hAnsi="Constantia"/>
          <w:i/>
          <w:iCs/>
          <w:sz w:val="24"/>
          <w:szCs w:val="24"/>
        </w:rPr>
        <w:t>Journal Kompilasi Hukum</w:t>
      </w:r>
      <w:r>
        <w:rPr>
          <w:rFonts w:ascii="Constantia" w:cs="Times New Roman" w:hAnsi="Constantia"/>
          <w:sz w:val="24"/>
          <w:szCs w:val="24"/>
        </w:rPr>
        <w:t xml:space="preserve">, </w:t>
      </w:r>
      <w:r>
        <w:rPr>
          <w:rFonts w:ascii="Constantia" w:cs="Times New Roman" w:hAnsi="Constantia"/>
          <w:i/>
          <w:iCs/>
          <w:sz w:val="24"/>
          <w:szCs w:val="24"/>
        </w:rPr>
        <w:t>7</w:t>
      </w:r>
      <w:r>
        <w:rPr>
          <w:rFonts w:ascii="Constantia" w:cs="Times New Roman" w:hAnsi="Constantia"/>
          <w:sz w:val="24"/>
          <w:szCs w:val="24"/>
        </w:rPr>
        <w:t>(2). https://doi.org/10.29303/jkh.v7i2.121</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Setiawan, Z. (2022). Sejarah Sosial Politik Kerajaan Majapahit. </w:t>
      </w:r>
      <w:r>
        <w:rPr>
          <w:rFonts w:ascii="Constantia" w:cs="Times New Roman" w:hAnsi="Constantia"/>
          <w:i/>
          <w:iCs/>
          <w:sz w:val="24"/>
          <w:szCs w:val="24"/>
        </w:rPr>
        <w:t>Jurnal Lanskap Politik</w:t>
      </w:r>
      <w:r>
        <w:rPr>
          <w:rFonts w:ascii="Constantia" w:cs="Times New Roman" w:hAnsi="Constantia"/>
          <w:sz w:val="24"/>
          <w:szCs w:val="24"/>
        </w:rPr>
        <w:t xml:space="preserve">, </w:t>
      </w:r>
      <w:r>
        <w:rPr>
          <w:rFonts w:ascii="Constantia" w:cs="Times New Roman" w:hAnsi="Constantia"/>
          <w:i/>
          <w:iCs/>
          <w:sz w:val="24"/>
          <w:szCs w:val="24"/>
        </w:rPr>
        <w:t>1</w:t>
      </w:r>
      <w:r>
        <w:rPr>
          <w:rFonts w:ascii="Constantia" w:cs="Times New Roman" w:hAnsi="Constantia"/>
          <w:sz w:val="24"/>
          <w:szCs w:val="24"/>
        </w:rPr>
        <w:t>(1), 110. https://doi.org/10.31942/jlp.2022.1.1.8124</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Suhra, S. (2018). </w:t>
      </w:r>
      <w:r>
        <w:rPr>
          <w:rFonts w:ascii="Constantia" w:cs="Times New Roman" w:hAnsi="Constantia"/>
          <w:i/>
          <w:iCs/>
          <w:sz w:val="24"/>
          <w:szCs w:val="24"/>
        </w:rPr>
        <w:t>Potret Perempuan dalam Ranah Politik di Indonesia</w:t>
      </w:r>
      <w:r>
        <w:rPr>
          <w:rFonts w:ascii="Constantia" w:cs="Times New Roman" w:hAnsi="Constantia"/>
          <w:sz w:val="24"/>
          <w:szCs w:val="24"/>
        </w:rPr>
        <w:t xml:space="preserve">. </w:t>
      </w:r>
      <w:r>
        <w:rPr>
          <w:rFonts w:ascii="Constantia" w:cs="Times New Roman" w:hAnsi="Constantia"/>
          <w:i/>
          <w:iCs/>
          <w:sz w:val="24"/>
          <w:szCs w:val="24"/>
        </w:rPr>
        <w:t>XI</w:t>
      </w:r>
      <w:r>
        <w:rPr>
          <w:rFonts w:ascii="Constantia" w:cs="Times New Roman" w:hAnsi="Constantia"/>
          <w:sz w:val="24"/>
          <w:szCs w:val="24"/>
        </w:rPr>
        <w:t>(September 2016), 335–344.</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Susilo, A., &amp; Sofiarini, A. (2018). Gajah Mada Sang Maha Patih Pemersatu Nusantara di Bawah Majapahit Tahun 1336 M - 1359 M. </w:t>
      </w:r>
      <w:r>
        <w:rPr>
          <w:rFonts w:ascii="Constantia" w:cs="Times New Roman" w:hAnsi="Constantia"/>
          <w:i/>
          <w:iCs/>
          <w:sz w:val="24"/>
          <w:szCs w:val="24"/>
        </w:rPr>
        <w:t>KAGANGA: Jurnal Pendidikan Sejarah Dan Riset Sosial-Humaniora</w:t>
      </w:r>
      <w:r>
        <w:rPr>
          <w:rFonts w:ascii="Constantia" w:cs="Times New Roman" w:hAnsi="Constantia"/>
          <w:sz w:val="24"/>
          <w:szCs w:val="24"/>
        </w:rPr>
        <w:t xml:space="preserve">, </w:t>
      </w:r>
      <w:r>
        <w:rPr>
          <w:rFonts w:ascii="Constantia" w:cs="Times New Roman" w:hAnsi="Constantia"/>
          <w:i/>
          <w:iCs/>
          <w:sz w:val="24"/>
          <w:szCs w:val="24"/>
        </w:rPr>
        <w:t>1</w:t>
      </w:r>
      <w:r>
        <w:rPr>
          <w:rFonts w:ascii="Constantia" w:cs="Times New Roman" w:hAnsi="Constantia"/>
          <w:sz w:val="24"/>
          <w:szCs w:val="24"/>
        </w:rPr>
        <w:t>(1), 62–71. https://doi.org/10.31539/kaganga.v1i1.233</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Utami, T. K., Putri, A. A., Fajriani, N. A., Eliska, V. H., &amp; Muldiyanti, S. (2024). </w:t>
      </w:r>
      <w:r>
        <w:rPr>
          <w:rFonts w:ascii="Constantia" w:cs="Times New Roman" w:hAnsi="Constantia"/>
          <w:i/>
          <w:iCs/>
          <w:sz w:val="24"/>
          <w:szCs w:val="24"/>
        </w:rPr>
        <w:t>Perkembangan Hukum Indonesia dengan Hukum di Majapahit</w:t>
      </w:r>
      <w:r>
        <w:rPr>
          <w:rFonts w:ascii="Constantia" w:cs="Times New Roman" w:hAnsi="Constantia"/>
          <w:sz w:val="24"/>
          <w:szCs w:val="24"/>
        </w:rPr>
        <w:t xml:space="preserve">. </w:t>
      </w:r>
      <w:r>
        <w:rPr>
          <w:rFonts w:ascii="Constantia" w:cs="Times New Roman" w:hAnsi="Constantia"/>
          <w:i/>
          <w:iCs/>
          <w:sz w:val="24"/>
          <w:szCs w:val="24"/>
        </w:rPr>
        <w:t>2</w:t>
      </w:r>
      <w:r>
        <w:rPr>
          <w:rFonts w:ascii="Constantia" w:cs="Times New Roman" w:hAnsi="Constantia"/>
          <w:sz w:val="24"/>
          <w:szCs w:val="24"/>
        </w:rPr>
        <w:t>, 1–17.</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Viranny &amp; Wardhono, 2024. (2024). Cendikia pendidikan. </w:t>
      </w:r>
      <w:r>
        <w:rPr>
          <w:rFonts w:ascii="Constantia" w:cs="Times New Roman" w:hAnsi="Constantia"/>
          <w:i/>
          <w:iCs/>
          <w:sz w:val="24"/>
          <w:szCs w:val="24"/>
        </w:rPr>
        <w:t>Cendekia Pendidikan</w:t>
      </w:r>
      <w:r>
        <w:rPr>
          <w:rFonts w:ascii="Constantia" w:cs="Times New Roman" w:hAnsi="Constantia"/>
          <w:sz w:val="24"/>
          <w:szCs w:val="24"/>
        </w:rPr>
        <w:t xml:space="preserve">, </w:t>
      </w:r>
      <w:r>
        <w:rPr>
          <w:rFonts w:ascii="Constantia" w:cs="Times New Roman" w:hAnsi="Constantia"/>
          <w:i/>
          <w:iCs/>
          <w:sz w:val="24"/>
          <w:szCs w:val="24"/>
        </w:rPr>
        <w:t>4</w:t>
      </w:r>
      <w:r>
        <w:rPr>
          <w:rFonts w:ascii="Constantia" w:cs="Times New Roman" w:hAnsi="Constantia"/>
          <w:sz w:val="24"/>
          <w:szCs w:val="24"/>
        </w:rPr>
        <w:t>(4), 50–54.</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Wahyuni, E. (2016). </w:t>
      </w:r>
      <w:r>
        <w:rPr>
          <w:rFonts w:ascii="Constantia" w:cs="Times New Roman" w:hAnsi="Constantia"/>
          <w:i/>
          <w:iCs/>
          <w:sz w:val="24"/>
          <w:szCs w:val="24"/>
        </w:rPr>
        <w:t>Pengembangan Cerita Sejarah “Gayatri Sri Rajapatni Perempuan Pembangun Imperium Majapahit” pada Mata Pelajaran Sejarah SMA Kelas X dengan Model Assure</w:t>
      </w:r>
      <w:r>
        <w:rPr>
          <w:rFonts w:ascii="Constantia" w:cs="Times New Roman" w:hAnsi="Constantia"/>
          <w:sz w:val="24"/>
          <w:szCs w:val="24"/>
        </w:rPr>
        <w:t>.</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Wijaya, D. . (2016). </w:t>
      </w:r>
      <w:r>
        <w:rPr>
          <w:rFonts w:ascii="Constantia" w:cs="Times New Roman" w:hAnsi="Constantia"/>
          <w:i/>
          <w:iCs/>
          <w:sz w:val="24"/>
          <w:szCs w:val="24"/>
        </w:rPr>
        <w:t>Sejarah Gagasan: Teori dan Praksis</w:t>
      </w:r>
      <w:r>
        <w:rPr>
          <w:rFonts w:ascii="Constantia" w:cs="Times New Roman" w:hAnsi="Constantia"/>
          <w:sz w:val="24"/>
          <w:szCs w:val="24"/>
        </w:rPr>
        <w:t xml:space="preserve"> (p. 86).</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Wijoyo, S. (2016). </w:t>
      </w:r>
      <w:r>
        <w:rPr>
          <w:rFonts w:ascii="Constantia" w:cs="Times New Roman" w:hAnsi="Constantia"/>
          <w:i/>
          <w:iCs/>
          <w:sz w:val="24"/>
          <w:szCs w:val="24"/>
        </w:rPr>
        <w:t>MEA Menggugah Membuat Kinerja Menyejarah</w:t>
      </w:r>
      <w:r>
        <w:rPr>
          <w:rFonts w:ascii="Constantia" w:cs="Times New Roman" w:hAnsi="Constantia"/>
          <w:sz w:val="24"/>
          <w:szCs w:val="24"/>
        </w:rPr>
        <w:t>.</w:t>
      </w:r>
    </w:p>
    <w:p>
      <w:pPr>
        <w:pStyle w:val="style0"/>
        <w:widowControl w:val="false"/>
        <w:autoSpaceDE w:val="false"/>
        <w:autoSpaceDN w:val="false"/>
        <w:adjustRightInd w:val="false"/>
        <w:spacing w:after="0" w:lineRule="auto" w:line="240"/>
        <w:ind w:left="480" w:hanging="480"/>
        <w:jc w:val="both"/>
        <w:rPr>
          <w:rFonts w:ascii="Constantia" w:cs="Times New Roman" w:hAnsi="Constantia"/>
          <w:sz w:val="24"/>
          <w:szCs w:val="24"/>
        </w:rPr>
      </w:pPr>
      <w:r>
        <w:rPr>
          <w:rFonts w:ascii="Constantia" w:cs="Times New Roman" w:hAnsi="Constantia"/>
          <w:sz w:val="24"/>
          <w:szCs w:val="24"/>
        </w:rPr>
        <w:t xml:space="preserve">Yeni, A. A. G. K., &amp; Septiana, H. (2022). Eksistensi Gayatri Rajapatni dalam Novel Putri </w:t>
      </w:r>
      <w:r>
        <w:rPr>
          <w:rFonts w:ascii="Constantia" w:cs="Times New Roman" w:hAnsi="Constantia"/>
          <w:sz w:val="24"/>
          <w:szCs w:val="24"/>
        </w:rPr>
        <w:t xml:space="preserve">Rajapatni Karya Putu Felisia (Kajian Feminisme Liberal). </w:t>
      </w:r>
      <w:r>
        <w:rPr>
          <w:rFonts w:ascii="Constantia" w:cs="Times New Roman" w:hAnsi="Constantia"/>
          <w:i/>
          <w:iCs/>
          <w:sz w:val="24"/>
          <w:szCs w:val="24"/>
        </w:rPr>
        <w:t>Bapala</w:t>
      </w:r>
      <w:r>
        <w:rPr>
          <w:rFonts w:ascii="Constantia" w:cs="Times New Roman" w:hAnsi="Constantia"/>
          <w:sz w:val="24"/>
          <w:szCs w:val="24"/>
        </w:rPr>
        <w:t xml:space="preserve">, </w:t>
      </w:r>
      <w:r>
        <w:rPr>
          <w:rFonts w:ascii="Constantia" w:cs="Times New Roman" w:hAnsi="Constantia"/>
          <w:i/>
          <w:iCs/>
          <w:sz w:val="24"/>
          <w:szCs w:val="24"/>
        </w:rPr>
        <w:t>9</w:t>
      </w:r>
      <w:r>
        <w:rPr>
          <w:rFonts w:ascii="Constantia" w:cs="Times New Roman" w:hAnsi="Constantia"/>
          <w:sz w:val="24"/>
          <w:szCs w:val="24"/>
        </w:rPr>
        <w:t>(5), 61–73.</w:t>
      </w:r>
    </w:p>
    <w:p>
      <w:pPr>
        <w:pStyle w:val="style0"/>
        <w:widowControl w:val="false"/>
        <w:autoSpaceDE w:val="false"/>
        <w:autoSpaceDN w:val="false"/>
        <w:adjustRightInd w:val="false"/>
        <w:spacing w:after="0" w:lineRule="auto" w:line="240"/>
        <w:ind w:left="480" w:hanging="480"/>
        <w:jc w:val="both"/>
        <w:rPr>
          <w:rFonts w:ascii="Constantia" w:hAnsi="Constantia"/>
          <w:sz w:val="24"/>
        </w:rPr>
      </w:pPr>
      <w:r>
        <w:rPr>
          <w:rFonts w:ascii="Constantia" w:cs="Times New Roman" w:hAnsi="Constantia"/>
          <w:sz w:val="24"/>
          <w:szCs w:val="24"/>
        </w:rPr>
        <w:t xml:space="preserve">Yusuf, M. S. (2024). Meninjau Ulang Candi Boyolangu sebagai Pendharmaan Gayatri Rajapatni. </w:t>
      </w:r>
      <w:r>
        <w:rPr>
          <w:rFonts w:ascii="Constantia" w:cs="Times New Roman" w:hAnsi="Constantia"/>
          <w:i/>
          <w:iCs/>
          <w:sz w:val="24"/>
          <w:szCs w:val="24"/>
        </w:rPr>
        <w:t>Amerta</w:t>
      </w:r>
      <w:r>
        <w:rPr>
          <w:rFonts w:ascii="Constantia" w:cs="Times New Roman" w:hAnsi="Constantia"/>
          <w:sz w:val="24"/>
          <w:szCs w:val="24"/>
        </w:rPr>
        <w:t xml:space="preserve">, </w:t>
      </w:r>
      <w:r>
        <w:rPr>
          <w:rFonts w:ascii="Constantia" w:cs="Times New Roman" w:hAnsi="Constantia"/>
          <w:i/>
          <w:iCs/>
          <w:sz w:val="24"/>
          <w:szCs w:val="24"/>
        </w:rPr>
        <w:t>42</w:t>
      </w:r>
      <w:r>
        <w:rPr>
          <w:rFonts w:ascii="Constantia" w:cs="Times New Roman" w:hAnsi="Constantia"/>
          <w:sz w:val="24"/>
          <w:szCs w:val="24"/>
        </w:rPr>
        <w:t>(1), 1–18. https://doi.org/10.55981/amt.2024.3076</w:t>
      </w:r>
    </w:p>
    <w:p>
      <w:pPr>
        <w:pStyle w:val="style0"/>
        <w:spacing w:after="0" w:lineRule="auto" w:line="240"/>
        <w:jc w:val="both"/>
        <w:rPr>
          <w:rFonts w:ascii="Constantia" w:hAnsi="Constantia"/>
          <w:b/>
          <w:sz w:val="24"/>
        </w:rPr>
      </w:pPr>
      <w:r>
        <w:rPr>
          <w:rFonts w:ascii="Constantia" w:hAnsi="Constantia"/>
          <w:b/>
          <w:sz w:val="24"/>
        </w:rPr>
        <w:fldChar w:fldCharType="end"/>
      </w:r>
    </w:p>
    <w:bookmarkStart w:id="0" w:name="_GoBack"/>
    <w:bookmarkEnd w:id="0"/>
    <w:p>
      <w:pPr>
        <w:pStyle w:val="style0"/>
        <w:rPr/>
      </w:pPr>
    </w:p>
    <w:sectPr>
      <w:footerReference w:type="first" r:id="rId2"/>
      <w:pgSz w:w="11906" w:h="16838" w:orient="portrait" w:code="9"/>
      <w:pgMar w:top="1440" w:right="1440" w:bottom="1440" w:left="1440" w:header="283" w:footer="567"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Arial">
    <w:altName w:val="Arial"/>
    <w:panose1 w:val="020b0604020002020204"/>
    <w:charset w:val="00"/>
    <w:family w:val="swiss"/>
    <w:pitch w:val="variable"/>
    <w:sig w:usb0="E0002EFF" w:usb1="C0007843" w:usb2="00000009" w:usb3="00000000" w:csb0="000001FF" w:csb1="00000000"/>
  </w:font>
  <w:font w:name="Palatino Linotype">
    <w:altName w:val="Palatino Linotype"/>
    <w:panose1 w:val="02040502050005030304"/>
    <w:charset w:val="00"/>
    <w:family w:val="roman"/>
    <w:pitch w:val="variable"/>
    <w:sig w:usb0="E0000287" w:usb1="40000013" w:usb2="00000000" w:usb3="00000000" w:csb0="0000019F" w:csb1="00000000"/>
  </w:font>
  <w:font w:name="Segoe UI">
    <w:altName w:val="Segoe UI"/>
    <w:panose1 w:val="020b0502040002020203"/>
    <w:charset w:val="00"/>
    <w:family w:val="swiss"/>
    <w:pitch w:val="variable"/>
    <w:sig w:usb0="E4002EFF" w:usb1="C000E47F" w:usb2="00000009" w:usb3="00000000" w:csb0="000001FF" w:csb1="00000000"/>
  </w:font>
  <w:font w:name="Segoe UI Light">
    <w:altName w:val="Segoe UI Light"/>
    <w:panose1 w:val="020b0502040002020203"/>
    <w:charset w:val="00"/>
    <w:family w:val="swiss"/>
    <w:pitch w:val="variable"/>
    <w:sig w:usb0="E4002EFF" w:usb1="C000E47F" w:usb2="00000009" w:usb3="00000000" w:csb0="000001FF" w:csb1="00000000"/>
  </w:font>
  <w:font w:name="Book Antiqua">
    <w:altName w:val="Book Antiqua"/>
    <w:panose1 w:val="02040602050003030304"/>
    <w:charset w:val="00"/>
    <w:family w:val="roman"/>
    <w:pitch w:val="variable"/>
    <w:sig w:usb0="00000287" w:usb1="00000000" w:usb2="00000000" w:usb3="00000000" w:csb0="0000009F" w:csb1="00000000"/>
  </w:font>
  <w:font w:name="Open Sans Condensed">
    <w:altName w:val="Open Sans Condensed"/>
    <w:panose1 w:val="00000000000000000000"/>
    <w:charset w:val="00"/>
    <w:family w:val="swiss"/>
    <w:pitch w:val="variable"/>
    <w:sig w:usb0="E00002EF" w:usb1="4000205B" w:usb2="00000028" w:usb3="00000000" w:csb0="0000019F" w:csb1="00000000"/>
  </w:font>
  <w:font w:name="Constantia">
    <w:altName w:val="Constantia"/>
    <w:panose1 w:val="02030602050003030303"/>
    <w:charset w:val="00"/>
    <w:family w:val="roman"/>
    <w:pitch w:val="variable"/>
    <w:sig w:usb0="A00002EF" w:usb1="4000204B" w:usb2="00000000" w:usb3="00000000" w:csb0="0000019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D24B638"/>
    <w:lvl w:ilvl="0" w:tplc="5C4C4176">
      <w:start w:val="1"/>
      <w:numFmt w:val="lowerLetter"/>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50"/>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200" w:lineRule="auto" w:line="276"/>
    </w:pPr>
    <w:rPr>
      <w:noProof/>
      <w:lang w:val="id-I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2">
    <w:name w:val="footer"/>
    <w:basedOn w:val="style0"/>
    <w:next w:val="style32"/>
    <w:link w:val="style4097"/>
    <w:uiPriority w:val="99"/>
    <w:pPr>
      <w:tabs>
        <w:tab w:val="center" w:leader="none" w:pos="4513"/>
        <w:tab w:val="right" w:leader="none" w:pos="9026"/>
      </w:tabs>
      <w:spacing w:after="0" w:lineRule="auto" w:line="240"/>
    </w:pPr>
    <w:rPr/>
  </w:style>
  <w:style w:type="character" w:customStyle="1" w:styleId="style4097">
    <w:name w:val="Footer Char_9dd9ee93-9357-4392-99db-837a64fa39cd"/>
    <w:basedOn w:val="style65"/>
    <w:next w:val="style4097"/>
    <w:link w:val="style32"/>
    <w:uiPriority w:val="99"/>
    <w:rPr>
      <w:noProof/>
      <w:lang w:val="id-ID"/>
    </w:rPr>
  </w:style>
  <w:style w:type="table" w:styleId="style154">
    <w:name w:val="Table Grid"/>
    <w:basedOn w:val="style105"/>
    <w:next w:val="style154"/>
    <w:uiPriority w:val="59"/>
    <w:pPr>
      <w:spacing w:after="0" w:lineRule="auto" w:line="240"/>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customStyle="1" w:styleId="style4098">
    <w:name w:val="fontstyle01"/>
    <w:basedOn w:val="style65"/>
    <w:next w:val="style4098"/>
    <w:rPr>
      <w:rFonts w:ascii="CalisMTBol" w:hAnsi="CalisMTBol" w:hint="default"/>
      <w:b/>
      <w:bCs/>
      <w:i w:val="false"/>
      <w:iCs w:val="false"/>
      <w:color w:val="242021"/>
      <w:sz w:val="22"/>
      <w:szCs w:val="22"/>
    </w:rPr>
  </w:style>
  <w:style w:type="character" w:styleId="style85">
    <w:name w:val="Hyperlink"/>
    <w:basedOn w:val="style65"/>
    <w:next w:val="style85"/>
    <w:uiPriority w:val="99"/>
    <w:rPr>
      <w:color w:val="0563c1"/>
      <w:u w:val="single"/>
    </w:rPr>
  </w:style>
  <w:style w:type="character" w:customStyle="1" w:styleId="style4099">
    <w:name w:val="translatable-message"/>
    <w:basedOn w:val="style65"/>
    <w:next w:val="style4099"/>
  </w:style>
  <w:style w:type="paragraph" w:customStyle="1" w:styleId="style4100">
    <w:name w:val="SUBHEAD A_2022"/>
    <w:basedOn w:val="style0"/>
    <w:next w:val="style4100"/>
    <w:qFormat/>
    <w:pPr>
      <w:spacing w:before="240" w:after="120" w:lineRule="auto" w:line="240"/>
    </w:pPr>
    <w:rPr>
      <w:rFonts w:ascii="Cambria" w:cs="Times New Roman" w:eastAsia="Times New Roman" w:hAnsi="Cambria"/>
      <w:b/>
      <w:noProof w:val="false"/>
      <w:sz w:val="24"/>
      <w:szCs w:val="24"/>
      <w:lang w:val="en-US"/>
    </w:rPr>
  </w:style>
  <w:style w:type="paragraph" w:customStyle="1" w:styleId="style4101">
    <w:name w:val="CONTENT ISI_2022"/>
    <w:basedOn w:val="style0"/>
    <w:next w:val="style4101"/>
    <w:qFormat/>
    <w:pPr>
      <w:spacing w:after="120" w:lineRule="exact" w:line="300"/>
      <w:ind w:firstLine="567"/>
      <w:jc w:val="both"/>
    </w:pPr>
    <w:rPr>
      <w:rFonts w:ascii="Cambria" w:cs="Times New Roman" w:eastAsia="Times New Roman" w:hAnsi="Cambria"/>
      <w:noProof w:val="false"/>
      <w:spacing w:val="-6"/>
      <w:lang w:val="en-US"/>
    </w:rPr>
  </w:style>
  <w:style w:type="paragraph" w:styleId="style179">
    <w:name w:val="List Paragraph"/>
    <w:basedOn w:val="style0"/>
    <w:next w:val="style179"/>
    <w:qFormat/>
    <w:uiPriority w:val="34"/>
    <w:pPr>
      <w:ind w:left="720"/>
      <w:contextualSpacing/>
    </w:pPr>
    <w:rPr>
      <w:rFonts w:ascii="Times New Roman" w:cs="Arial" w:eastAsia="Calibri" w:hAnsi="Times New Roman"/>
      <w:noProof w:val="false"/>
      <w:sz w:val="24"/>
    </w:rPr>
  </w:style>
  <w:style w:type="paragraph" w:customStyle="1" w:styleId="style4102">
    <w:name w:val="JW_3.1_text"/>
    <w:next w:val="style4102"/>
    <w:qFormat/>
    <w:pPr>
      <w:adjustRightInd w:val="false"/>
      <w:snapToGrid w:val="false"/>
      <w:spacing w:after="0" w:lineRule="atLeast" w:line="260"/>
      <w:ind w:firstLine="425"/>
      <w:jc w:val="both"/>
    </w:pPr>
    <w:rPr>
      <w:rFonts w:ascii="Palatino Linotype" w:cs="Times New Roman" w:eastAsia="Times New Roman" w:hAnsi="Palatino Linotype"/>
      <w:snapToGrid w:val="false"/>
      <w:color w:val="000000"/>
      <w:sz w:val="20"/>
      <w:lang w:bidi="en-US" w:eastAsia="de-D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0FF8C2C-ECCA-4338-ADBC-D7379FE55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6239</Words>
  <Pages>17</Pages>
  <Characters>42768</Characters>
  <Application>WPS Office</Application>
  <DocSecurity>0</DocSecurity>
  <Paragraphs>114</Paragraphs>
  <ScaleCrop>false</ScaleCrop>
  <LinksUpToDate>false</LinksUpToDate>
  <CharactersWithSpaces>48921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2025-06-25T08:08:00Z</dcterms:created>
  <dc:creator>HP10</dc:creator>
  <lastModifiedBy>23021RAA2Y</lastModifiedBy>
  <dcterms:modified xsi:type="dcterms:W3CDTF">2025-06-25T13:32:19Z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fd88de69-f042-378b-94bc-f39f79bb6355</vt:lpwstr>
  </property>
  <property fmtid="{D5CDD505-2E9C-101B-9397-08002B2CF9AE}" pid="4" name="Mendeley Citation Style_1">
    <vt:lpwstr>http://www.zotero.org/styles/apa</vt:lpwstr>
  </property>
  <property fmtid="{D5CDD505-2E9C-101B-9397-08002B2CF9AE}" pid="5" name="ICV">
    <vt:lpwstr>0c7527e10fd4424ab9a5b8423add7ec0</vt:lpwstr>
  </property>
</Properties>
</file>