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2C204" w14:textId="590A8F4B" w:rsidR="00564C34" w:rsidRPr="00332900" w:rsidRDefault="00314B93">
      <w:pPr>
        <w:spacing w:after="0" w:line="240" w:lineRule="auto"/>
        <w:jc w:val="center"/>
        <w:rPr>
          <w:rFonts w:ascii="Times New Roman" w:hAnsi="Times New Roman" w:cs="Times New Roman"/>
          <w:b/>
          <w:sz w:val="24"/>
          <w:szCs w:val="28"/>
        </w:rPr>
      </w:pPr>
      <w:r w:rsidRPr="00314B93">
        <w:rPr>
          <w:rFonts w:ascii="Times New Roman" w:hAnsi="Times New Roman" w:cs="Times New Roman"/>
          <w:b/>
          <w:bCs/>
          <w:sz w:val="24"/>
          <w:szCs w:val="24"/>
        </w:rPr>
        <w:t xml:space="preserve">Analisis Teori Hukum </w:t>
      </w:r>
      <w:r w:rsidRPr="00314B93">
        <w:rPr>
          <w:rFonts w:ascii="Times New Roman" w:hAnsi="Times New Roman" w:cs="Times New Roman"/>
          <w:b/>
          <w:bCs/>
          <w:i/>
          <w:iCs/>
          <w:sz w:val="24"/>
          <w:szCs w:val="24"/>
        </w:rPr>
        <w:t xml:space="preserve">Maslahah Al - Mursalah </w:t>
      </w:r>
      <w:r w:rsidRPr="00314B93">
        <w:rPr>
          <w:rFonts w:ascii="Times New Roman" w:hAnsi="Times New Roman" w:cs="Times New Roman"/>
          <w:b/>
          <w:bCs/>
          <w:sz w:val="24"/>
          <w:szCs w:val="24"/>
        </w:rPr>
        <w:t>Terhadap Urgensi Penyempurnaan Kategori Tindakan Kekerasan Perspektif Permendikbud  No</w:t>
      </w:r>
      <w:r w:rsidR="00C442E0">
        <w:rPr>
          <w:rFonts w:ascii="Times New Roman" w:hAnsi="Times New Roman" w:cs="Times New Roman"/>
          <w:b/>
          <w:bCs/>
          <w:sz w:val="24"/>
          <w:szCs w:val="24"/>
          <w:lang w:val="en-US"/>
        </w:rPr>
        <w:t xml:space="preserve">. </w:t>
      </w:r>
      <w:r w:rsidRPr="00314B93">
        <w:rPr>
          <w:rFonts w:ascii="Times New Roman" w:hAnsi="Times New Roman" w:cs="Times New Roman"/>
          <w:b/>
          <w:bCs/>
          <w:sz w:val="24"/>
          <w:szCs w:val="24"/>
        </w:rPr>
        <w:t>82/2015</w:t>
      </w:r>
    </w:p>
    <w:p w14:paraId="5A39E01A" w14:textId="77777777" w:rsidR="00564C34" w:rsidRDefault="00564C34">
      <w:pPr>
        <w:spacing w:after="0" w:line="240" w:lineRule="auto"/>
        <w:jc w:val="center"/>
        <w:rPr>
          <w:sz w:val="18"/>
          <w:szCs w:val="18"/>
        </w:rPr>
      </w:pPr>
    </w:p>
    <w:p w14:paraId="79573EAD" w14:textId="77777777" w:rsidR="00564C34" w:rsidRDefault="00564C34">
      <w:pPr>
        <w:spacing w:after="0" w:line="240" w:lineRule="auto"/>
        <w:jc w:val="center"/>
        <w:rPr>
          <w:sz w:val="18"/>
          <w:szCs w:val="18"/>
        </w:rPr>
      </w:pPr>
    </w:p>
    <w:p w14:paraId="18CD40C3" w14:textId="0259DB81" w:rsidR="0028500F" w:rsidRPr="0028500F" w:rsidRDefault="00BA7E68" w:rsidP="0028500F">
      <w:pPr>
        <w:spacing w:after="0" w:line="240" w:lineRule="auto"/>
        <w:jc w:val="center"/>
        <w:rPr>
          <w:rFonts w:ascii="Times New Roman" w:hAnsi="Times New Roman" w:cs="Times New Roman"/>
          <w:sz w:val="24"/>
          <w:szCs w:val="24"/>
          <w:lang w:val="en-US"/>
        </w:rPr>
      </w:pPr>
      <w:r w:rsidRPr="0028500F">
        <w:rPr>
          <w:rFonts w:ascii="Times New Roman" w:hAnsi="Times New Roman" w:cs="Times New Roman"/>
          <w:sz w:val="24"/>
          <w:szCs w:val="24"/>
          <w:vertAlign w:val="superscript"/>
        </w:rPr>
        <w:t>1</w:t>
      </w:r>
      <w:r w:rsidR="0028500F" w:rsidRPr="0028500F">
        <w:rPr>
          <w:rFonts w:ascii="Times New Roman" w:hAnsi="Times New Roman" w:cs="Times New Roman"/>
          <w:sz w:val="24"/>
          <w:szCs w:val="24"/>
          <w:lang w:val="en-US"/>
        </w:rPr>
        <w:t>Nispul Khoiri*</w:t>
      </w:r>
    </w:p>
    <w:p w14:paraId="5D1B6703" w14:textId="4C468701" w:rsidR="0028500F" w:rsidRPr="0028500F" w:rsidRDefault="0028500F" w:rsidP="0028500F">
      <w:pPr>
        <w:spacing w:after="0" w:line="240" w:lineRule="auto"/>
        <w:jc w:val="center"/>
        <w:rPr>
          <w:rFonts w:ascii="Times New Roman" w:hAnsi="Times New Roman" w:cs="Times New Roman"/>
          <w:bCs/>
          <w:sz w:val="24"/>
          <w:szCs w:val="24"/>
          <w:lang w:val="en-US"/>
        </w:rPr>
      </w:pPr>
      <w:r w:rsidRPr="0028500F">
        <w:rPr>
          <w:rFonts w:ascii="Times New Roman" w:hAnsi="Times New Roman" w:cs="Times New Roman"/>
          <w:bCs/>
          <w:sz w:val="24"/>
          <w:szCs w:val="24"/>
          <w:vertAlign w:val="superscript"/>
          <w:lang w:val="en-US"/>
        </w:rPr>
        <w:t>1</w:t>
      </w:r>
      <w:r w:rsidRPr="0028500F">
        <w:rPr>
          <w:rFonts w:ascii="Times New Roman" w:hAnsi="Times New Roman" w:cs="Times New Roman"/>
          <w:bCs/>
          <w:sz w:val="24"/>
          <w:szCs w:val="24"/>
          <w:lang w:val="en-US"/>
        </w:rPr>
        <w:t>Universitas Islam Negeri Sumatera Utara, Medan</w:t>
      </w:r>
    </w:p>
    <w:p w14:paraId="6B3221CB" w14:textId="7EF55464" w:rsidR="00564C34" w:rsidRPr="0028500F" w:rsidRDefault="0028500F">
      <w:pPr>
        <w:spacing w:after="0" w:line="240" w:lineRule="auto"/>
        <w:jc w:val="center"/>
        <w:rPr>
          <w:rFonts w:ascii="Times New Roman" w:hAnsi="Times New Roman" w:cs="Times New Roman"/>
          <w:sz w:val="24"/>
          <w:szCs w:val="24"/>
          <w:lang w:val="en-US"/>
        </w:rPr>
      </w:pPr>
      <w:r w:rsidRPr="0028500F">
        <w:rPr>
          <w:rFonts w:ascii="Times New Roman" w:hAnsi="Times New Roman" w:cs="Times New Roman"/>
          <w:sz w:val="24"/>
          <w:szCs w:val="24"/>
          <w:lang w:val="en-US"/>
        </w:rPr>
        <w:t>*</w:t>
      </w:r>
      <w:hyperlink r:id="rId8" w:history="1">
        <w:r w:rsidRPr="00932EA4">
          <w:rPr>
            <w:rStyle w:val="Hyperlink"/>
            <w:rFonts w:ascii="Times New Roman" w:hAnsi="Times New Roman" w:cs="Times New Roman"/>
          </w:rPr>
          <w:t>nisfulkhoiri@uinsu.ac.id</w:t>
        </w:r>
      </w:hyperlink>
    </w:p>
    <w:p w14:paraId="7D475996" w14:textId="77777777" w:rsidR="00564C34" w:rsidRDefault="00564C3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3544BE9D" w14:textId="77777777" w:rsidR="00A1174B" w:rsidRDefault="00A1174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sectPr w:rsidR="00A1174B" w:rsidSect="00E9068D">
          <w:headerReference w:type="default" r:id="rId9"/>
          <w:footerReference w:type="default" r:id="rId10"/>
          <w:pgSz w:w="11906" w:h="16838"/>
          <w:pgMar w:top="1440" w:right="1440" w:bottom="1440" w:left="1440" w:header="708" w:footer="708" w:gutter="0"/>
          <w:pgNumType w:start="145"/>
          <w:cols w:space="720"/>
        </w:sectPr>
      </w:pPr>
    </w:p>
    <w:p w14:paraId="29514EE6" w14:textId="245D6BCB" w:rsidR="00594AC5" w:rsidRDefault="00594AC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lang w:val="en-US"/>
        </w:rPr>
        <w:t>Abstrak</w:t>
      </w:r>
    </w:p>
    <w:p w14:paraId="39AB29E1" w14:textId="67D65A27" w:rsidR="00AB3B22" w:rsidRDefault="00AB3B22" w:rsidP="009A1D28">
      <w:pPr>
        <w:pBdr>
          <w:top w:val="nil"/>
          <w:left w:val="nil"/>
          <w:bottom w:val="nil"/>
          <w:right w:val="nil"/>
          <w:between w:val="nil"/>
        </w:pBdr>
        <w:spacing w:after="0" w:line="240" w:lineRule="auto"/>
        <w:jc w:val="both"/>
        <w:rPr>
          <w:rFonts w:ascii="Times New Roman" w:hAnsi="Times New Roman" w:cs="Times New Roman"/>
        </w:rPr>
      </w:pPr>
      <w:r>
        <w:rPr>
          <w:rFonts w:ascii="Times New Roman" w:hAnsi="Times New Roman" w:cs="Times New Roman"/>
        </w:rPr>
        <w:t xml:space="preserve">Penelitian ini adalah penelitian pustaka dalam pendekatan normatif (usul fikih) terfokus kepada teori hukum </w:t>
      </w:r>
      <w:r w:rsidRPr="00932EA4">
        <w:rPr>
          <w:rFonts w:ascii="Times New Roman" w:hAnsi="Times New Roman" w:cs="Times New Roman"/>
          <w:i/>
          <w:iCs/>
        </w:rPr>
        <w:t>Maslahah al – Mursalah</w:t>
      </w:r>
      <w:r>
        <w:rPr>
          <w:rFonts w:ascii="Times New Roman" w:hAnsi="Times New Roman" w:cs="Times New Roman"/>
          <w:i/>
          <w:iCs/>
        </w:rPr>
        <w:t xml:space="preserve">, </w:t>
      </w:r>
      <w:r w:rsidRPr="0025038E">
        <w:rPr>
          <w:rFonts w:ascii="Times New Roman" w:hAnsi="Times New Roman" w:cs="Times New Roman"/>
        </w:rPr>
        <w:t>guna men</w:t>
      </w:r>
      <w:r>
        <w:rPr>
          <w:rFonts w:ascii="Times New Roman" w:hAnsi="Times New Roman" w:cs="Times New Roman"/>
        </w:rPr>
        <w:t>gurai, menganalisi dan menggungkapkan nilai – nilai kemaslahatan terhadap p</w:t>
      </w:r>
      <w:r w:rsidRPr="00932EA4">
        <w:rPr>
          <w:rFonts w:ascii="Times New Roman" w:hAnsi="Times New Roman" w:cs="Times New Roman"/>
        </w:rPr>
        <w:t>enyempurnaan Permendikbud No 82 tahun 2015 tentang PPKSP terkait dengan kategori tindakan kekerasan</w:t>
      </w:r>
      <w:r>
        <w:rPr>
          <w:rFonts w:ascii="Times New Roman" w:hAnsi="Times New Roman" w:cs="Times New Roman"/>
        </w:rPr>
        <w:t xml:space="preserve"> di satuan pendidikan. Temuan penelitian menunjukkan penyempurnaan </w:t>
      </w:r>
      <w:r w:rsidRPr="00932EA4">
        <w:rPr>
          <w:rFonts w:ascii="Times New Roman" w:hAnsi="Times New Roman" w:cs="Times New Roman"/>
        </w:rPr>
        <w:t>Permendikbud No 82 tahun 2015 tentang PPKSP</w:t>
      </w:r>
      <w:r>
        <w:rPr>
          <w:rFonts w:ascii="Times New Roman" w:hAnsi="Times New Roman" w:cs="Times New Roman"/>
        </w:rPr>
        <w:t xml:space="preserve"> perspektif </w:t>
      </w:r>
      <w:r w:rsidRPr="00932EA4">
        <w:rPr>
          <w:rFonts w:ascii="Times New Roman" w:hAnsi="Times New Roman" w:cs="Times New Roman"/>
          <w:i/>
          <w:iCs/>
        </w:rPr>
        <w:t>Maslahah al – Mursalah</w:t>
      </w:r>
      <w:r>
        <w:rPr>
          <w:rFonts w:ascii="Times New Roman" w:hAnsi="Times New Roman" w:cs="Times New Roman"/>
          <w:i/>
          <w:iCs/>
        </w:rPr>
        <w:t>,</w:t>
      </w:r>
      <w:r w:rsidRPr="00932EA4">
        <w:rPr>
          <w:rFonts w:ascii="Times New Roman" w:hAnsi="Times New Roman" w:cs="Times New Roman"/>
        </w:rPr>
        <w:t xml:space="preserve"> dipandang menjadi kebutuhan dan tuntutan bagi dunia pendidikan di Indonesia. Penyempurnaan kategori tindakan kekerasan </w:t>
      </w:r>
      <w:r>
        <w:rPr>
          <w:rFonts w:ascii="Times New Roman" w:hAnsi="Times New Roman" w:cs="Times New Roman"/>
        </w:rPr>
        <w:t xml:space="preserve">dengan mengakomodir faktor </w:t>
      </w:r>
      <w:r w:rsidRPr="00932EA4">
        <w:rPr>
          <w:rFonts w:ascii="Times New Roman" w:hAnsi="Times New Roman" w:cs="Times New Roman"/>
        </w:rPr>
        <w:t>diskriminasi</w:t>
      </w:r>
      <w:r>
        <w:rPr>
          <w:rFonts w:ascii="Times New Roman" w:hAnsi="Times New Roman" w:cs="Times New Roman"/>
        </w:rPr>
        <w:t xml:space="preserve"> -</w:t>
      </w:r>
      <w:r w:rsidRPr="00932EA4">
        <w:rPr>
          <w:rFonts w:ascii="Times New Roman" w:hAnsi="Times New Roman" w:cs="Times New Roman"/>
        </w:rPr>
        <w:t xml:space="preserve"> intoleransi, </w:t>
      </w:r>
      <w:r>
        <w:rPr>
          <w:rFonts w:ascii="Times New Roman" w:hAnsi="Times New Roman" w:cs="Times New Roman"/>
        </w:rPr>
        <w:t xml:space="preserve">faktor salah </w:t>
      </w:r>
      <w:r w:rsidRPr="00932EA4">
        <w:rPr>
          <w:rFonts w:ascii="Times New Roman" w:hAnsi="Times New Roman" w:cs="Times New Roman"/>
        </w:rPr>
        <w:t>kebijakan</w:t>
      </w:r>
      <w:r>
        <w:rPr>
          <w:rFonts w:ascii="Times New Roman" w:hAnsi="Times New Roman" w:cs="Times New Roman"/>
        </w:rPr>
        <w:t xml:space="preserve">, </w:t>
      </w:r>
      <w:r w:rsidRPr="00932EA4">
        <w:rPr>
          <w:rFonts w:ascii="Times New Roman" w:hAnsi="Times New Roman" w:cs="Times New Roman"/>
        </w:rPr>
        <w:t xml:space="preserve">dan </w:t>
      </w:r>
      <w:r>
        <w:rPr>
          <w:rFonts w:ascii="Times New Roman" w:hAnsi="Times New Roman" w:cs="Times New Roman"/>
        </w:rPr>
        <w:t xml:space="preserve">faktor </w:t>
      </w:r>
      <w:r w:rsidRPr="00932EA4">
        <w:rPr>
          <w:rFonts w:ascii="Times New Roman" w:hAnsi="Times New Roman" w:cs="Times New Roman"/>
        </w:rPr>
        <w:t>kekerasan Informasi, teknologi dan komunikasi</w:t>
      </w:r>
      <w:r>
        <w:rPr>
          <w:rFonts w:ascii="Times New Roman" w:hAnsi="Times New Roman" w:cs="Times New Roman"/>
        </w:rPr>
        <w:t xml:space="preserve">. Faktor – faktor ini juga dipandang pemicu tingginya kekerasan di sekolah. Dalam analisis </w:t>
      </w:r>
      <w:r w:rsidRPr="00932EA4">
        <w:rPr>
          <w:rFonts w:ascii="Times New Roman" w:hAnsi="Times New Roman" w:cs="Times New Roman"/>
          <w:i/>
          <w:iCs/>
        </w:rPr>
        <w:t>Maslahah al – Mursalah</w:t>
      </w:r>
      <w:r>
        <w:rPr>
          <w:rFonts w:ascii="Times New Roman" w:hAnsi="Times New Roman" w:cs="Times New Roman"/>
        </w:rPr>
        <w:t xml:space="preserve">, penyempurnaan Permendikbud </w:t>
      </w:r>
      <w:r w:rsidRPr="00932EA4">
        <w:rPr>
          <w:rFonts w:ascii="Times New Roman" w:hAnsi="Times New Roman" w:cs="Times New Roman"/>
        </w:rPr>
        <w:t xml:space="preserve">masuk dalam kategori peringkat </w:t>
      </w:r>
      <w:r w:rsidRPr="001C6C71">
        <w:rPr>
          <w:rFonts w:ascii="Times New Roman" w:hAnsi="Times New Roman" w:cs="Times New Roman"/>
          <w:i/>
          <w:iCs/>
        </w:rPr>
        <w:t>dharuriyah</w:t>
      </w:r>
      <w:r>
        <w:rPr>
          <w:rFonts w:ascii="Times New Roman" w:hAnsi="Times New Roman" w:cs="Times New Roman"/>
        </w:rPr>
        <w:t xml:space="preserve">, jika tidak ada penyempurnaan </w:t>
      </w:r>
      <w:r w:rsidRPr="00932EA4">
        <w:rPr>
          <w:rFonts w:ascii="Times New Roman" w:hAnsi="Times New Roman" w:cs="Times New Roman"/>
        </w:rPr>
        <w:t xml:space="preserve">Permendikbud </w:t>
      </w:r>
      <w:r>
        <w:rPr>
          <w:rFonts w:ascii="Times New Roman" w:hAnsi="Times New Roman" w:cs="Times New Roman"/>
        </w:rPr>
        <w:t xml:space="preserve">akan </w:t>
      </w:r>
      <w:r w:rsidRPr="00932EA4">
        <w:rPr>
          <w:rFonts w:ascii="Times New Roman" w:hAnsi="Times New Roman" w:cs="Times New Roman"/>
        </w:rPr>
        <w:t>dapat mengancam lima unsur pokok (agama, jiwa, akal, keturunan dan harta). Kemudian kemaslahatan ini adalah kemaslahatan benar – benar diyakini sebagai maslahat</w:t>
      </w:r>
      <w:r>
        <w:rPr>
          <w:rFonts w:ascii="Times New Roman" w:hAnsi="Times New Roman" w:cs="Times New Roman"/>
        </w:rPr>
        <w:t xml:space="preserve">, </w:t>
      </w:r>
      <w:r w:rsidRPr="00932EA4">
        <w:rPr>
          <w:rFonts w:ascii="Times New Roman" w:hAnsi="Times New Roman" w:cs="Times New Roman"/>
        </w:rPr>
        <w:t xml:space="preserve">tidak didasarkan kepada dugaan semata. </w:t>
      </w:r>
      <w:r>
        <w:rPr>
          <w:rFonts w:ascii="Times New Roman" w:hAnsi="Times New Roman" w:cs="Times New Roman"/>
        </w:rPr>
        <w:t>K</w:t>
      </w:r>
      <w:r w:rsidRPr="00932EA4">
        <w:rPr>
          <w:rFonts w:ascii="Times New Roman" w:hAnsi="Times New Roman" w:cs="Times New Roman"/>
        </w:rPr>
        <w:t>emaslahatan penyempurnaan Permendikbud berlaku secara umum dan kolektif guna mencegah dan menanggulangi kekerasan pada satuan pendidikan di Indonesia.</w:t>
      </w:r>
    </w:p>
    <w:p w14:paraId="31B11052" w14:textId="4A20EBD3" w:rsidR="009A1D28" w:rsidRPr="000A5E66" w:rsidRDefault="00332900" w:rsidP="000A5E66">
      <w:pPr>
        <w:rPr>
          <w:rFonts w:ascii="Times New Roman" w:eastAsia="Times New Roman" w:hAnsi="Times New Roman" w:cs="Times New Roman"/>
          <w:b/>
          <w:bCs/>
          <w:color w:val="000000"/>
          <w:szCs w:val="24"/>
          <w:lang w:val="en-US"/>
        </w:rPr>
      </w:pPr>
      <w:r w:rsidRPr="00332900">
        <w:rPr>
          <w:rFonts w:ascii="Times New Roman" w:eastAsia="Times New Roman" w:hAnsi="Times New Roman" w:cs="Times New Roman"/>
          <w:b/>
          <w:i/>
          <w:color w:val="000000"/>
          <w:szCs w:val="24"/>
        </w:rPr>
        <w:t>Kata</w:t>
      </w:r>
      <w:r w:rsidRPr="00332900">
        <w:rPr>
          <w:rFonts w:ascii="Times New Roman" w:eastAsia="Times New Roman" w:hAnsi="Times New Roman" w:cs="Times New Roman"/>
          <w:b/>
          <w:i/>
          <w:color w:val="000000"/>
          <w:szCs w:val="24"/>
          <w:lang w:val="en-US"/>
        </w:rPr>
        <w:t xml:space="preserve"> </w:t>
      </w:r>
      <w:r w:rsidRPr="00332900">
        <w:rPr>
          <w:rFonts w:ascii="Times New Roman" w:eastAsia="Times New Roman" w:hAnsi="Times New Roman" w:cs="Times New Roman"/>
          <w:b/>
          <w:i/>
          <w:color w:val="000000"/>
          <w:szCs w:val="24"/>
        </w:rPr>
        <w:t>k</w:t>
      </w:r>
      <w:r w:rsidR="00F760DD" w:rsidRPr="00332900">
        <w:rPr>
          <w:rFonts w:ascii="Times New Roman" w:eastAsia="Times New Roman" w:hAnsi="Times New Roman" w:cs="Times New Roman"/>
          <w:b/>
          <w:i/>
          <w:color w:val="000000"/>
          <w:szCs w:val="24"/>
        </w:rPr>
        <w:t>unci</w:t>
      </w:r>
      <w:r w:rsidRPr="00332900">
        <w:rPr>
          <w:rFonts w:ascii="Times New Roman" w:eastAsia="Times New Roman" w:hAnsi="Times New Roman" w:cs="Times New Roman"/>
          <w:b/>
          <w:i/>
          <w:color w:val="000000"/>
          <w:szCs w:val="24"/>
          <w:lang w:val="en-US"/>
        </w:rPr>
        <w:t xml:space="preserve"> :</w:t>
      </w:r>
      <w:r>
        <w:rPr>
          <w:rFonts w:ascii="Times New Roman" w:eastAsia="Times New Roman" w:hAnsi="Times New Roman" w:cs="Times New Roman"/>
          <w:color w:val="000000"/>
          <w:szCs w:val="24"/>
          <w:lang w:val="en-US"/>
        </w:rPr>
        <w:t xml:space="preserve"> </w:t>
      </w:r>
      <w:r w:rsidR="000A5E66" w:rsidRPr="000A5E66">
        <w:rPr>
          <w:rFonts w:ascii="Times New Roman" w:hAnsi="Times New Roman" w:cs="Times New Roman"/>
          <w:b/>
          <w:bCs/>
        </w:rPr>
        <w:t>Usul Fikih</w:t>
      </w:r>
      <w:r w:rsidR="000A5E66" w:rsidRPr="000A5E66">
        <w:rPr>
          <w:rFonts w:ascii="Times New Roman" w:hAnsi="Times New Roman" w:cs="Times New Roman"/>
          <w:b/>
          <w:bCs/>
          <w:lang w:val="en-US"/>
        </w:rPr>
        <w:t xml:space="preserve">, </w:t>
      </w:r>
      <w:r w:rsidR="000A5E66" w:rsidRPr="000A5E66">
        <w:rPr>
          <w:rFonts w:ascii="Times New Roman" w:hAnsi="Times New Roman" w:cs="Times New Roman"/>
          <w:b/>
          <w:bCs/>
        </w:rPr>
        <w:t>Penyempurnaan</w:t>
      </w:r>
      <w:r w:rsidR="000A5E66" w:rsidRPr="000A5E66">
        <w:rPr>
          <w:rFonts w:ascii="Times New Roman" w:hAnsi="Times New Roman" w:cs="Times New Roman"/>
          <w:b/>
          <w:bCs/>
          <w:lang w:val="en-US"/>
        </w:rPr>
        <w:t xml:space="preserve">, </w:t>
      </w:r>
      <w:r w:rsidR="000A5E66" w:rsidRPr="000A5E66">
        <w:rPr>
          <w:rFonts w:ascii="Times New Roman" w:hAnsi="Times New Roman" w:cs="Times New Roman"/>
          <w:b/>
          <w:bCs/>
        </w:rPr>
        <w:t>Pencegahan, Penenanggulangan</w:t>
      </w:r>
      <w:r w:rsidR="000A5E66" w:rsidRPr="000A5E66">
        <w:rPr>
          <w:rFonts w:ascii="Times New Roman" w:hAnsi="Times New Roman" w:cs="Times New Roman"/>
          <w:b/>
          <w:bCs/>
          <w:lang w:val="en-US"/>
        </w:rPr>
        <w:t xml:space="preserve">, </w:t>
      </w:r>
      <w:r w:rsidR="000A5E66" w:rsidRPr="000A5E66">
        <w:rPr>
          <w:rFonts w:ascii="Times New Roman" w:hAnsi="Times New Roman" w:cs="Times New Roman"/>
          <w:b/>
          <w:bCs/>
        </w:rPr>
        <w:t>Satuan Pendidikan</w:t>
      </w:r>
    </w:p>
    <w:p w14:paraId="362A51C3" w14:textId="77777777" w:rsidR="000A5E66" w:rsidRDefault="000A5E66">
      <w:pPr>
        <w:pBdr>
          <w:top w:val="nil"/>
          <w:left w:val="nil"/>
          <w:bottom w:val="nil"/>
          <w:right w:val="nil"/>
          <w:between w:val="nil"/>
        </w:pBdr>
        <w:spacing w:after="0" w:line="360" w:lineRule="auto"/>
        <w:jc w:val="center"/>
        <w:rPr>
          <w:rFonts w:ascii="Times New Roman" w:eastAsia="Times New Roman" w:hAnsi="Times New Roman" w:cs="Times New Roman"/>
          <w:b/>
          <w:i/>
          <w:iCs/>
          <w:color w:val="000000"/>
          <w:sz w:val="24"/>
          <w:szCs w:val="24"/>
        </w:rPr>
      </w:pPr>
    </w:p>
    <w:p w14:paraId="70CBE2B1" w14:textId="11C46383" w:rsidR="00564C34" w:rsidRPr="000A5E66" w:rsidRDefault="00BA7E68">
      <w:pPr>
        <w:pBdr>
          <w:top w:val="nil"/>
          <w:left w:val="nil"/>
          <w:bottom w:val="nil"/>
          <w:right w:val="nil"/>
          <w:between w:val="nil"/>
        </w:pBdr>
        <w:spacing w:after="0" w:line="360" w:lineRule="auto"/>
        <w:jc w:val="center"/>
        <w:rPr>
          <w:rFonts w:ascii="Times New Roman" w:eastAsia="Times New Roman" w:hAnsi="Times New Roman" w:cs="Times New Roman"/>
          <w:i/>
          <w:iCs/>
          <w:color w:val="000000"/>
          <w:sz w:val="24"/>
          <w:szCs w:val="24"/>
          <w:lang w:val="en-US"/>
        </w:rPr>
      </w:pPr>
      <w:r w:rsidRPr="000A5E66">
        <w:rPr>
          <w:rFonts w:ascii="Times New Roman" w:eastAsia="Times New Roman" w:hAnsi="Times New Roman" w:cs="Times New Roman"/>
          <w:b/>
          <w:i/>
          <w:iCs/>
          <w:color w:val="000000"/>
          <w:sz w:val="24"/>
          <w:szCs w:val="24"/>
        </w:rPr>
        <w:t>Abstract</w:t>
      </w:r>
    </w:p>
    <w:p w14:paraId="08CA37FF" w14:textId="6C03D996" w:rsidR="00564C34" w:rsidRPr="000A5E66" w:rsidRDefault="00AB3B22" w:rsidP="00F760DD">
      <w:pPr>
        <w:pBdr>
          <w:top w:val="nil"/>
          <w:left w:val="nil"/>
          <w:bottom w:val="nil"/>
          <w:right w:val="nil"/>
          <w:between w:val="nil"/>
        </w:pBdr>
        <w:spacing w:after="0" w:line="240" w:lineRule="auto"/>
        <w:jc w:val="both"/>
        <w:rPr>
          <w:rFonts w:ascii="Times New Roman" w:eastAsia="Times New Roman" w:hAnsi="Times New Roman" w:cs="Times New Roman"/>
          <w:i/>
          <w:iCs/>
          <w:color w:val="000000"/>
          <w:szCs w:val="24"/>
        </w:rPr>
      </w:pPr>
      <w:bookmarkStart w:id="0" w:name="_heading=h.gjdgxs" w:colFirst="0" w:colLast="0"/>
      <w:bookmarkEnd w:id="0"/>
      <w:r w:rsidRPr="00AB3B22">
        <w:rPr>
          <w:rFonts w:ascii="Times New Roman" w:eastAsia="Times New Roman" w:hAnsi="Times New Roman" w:cs="Times New Roman"/>
          <w:i/>
          <w:iCs/>
          <w:color w:val="000000"/>
          <w:szCs w:val="24"/>
        </w:rPr>
        <w:t xml:space="preserve">This research is library research in a normative approach (usul fiqh) focused on the legal theory of Maslahah al-Mursalah in order to parse, analyze and reveal the values of benefit towards the improvement of Permendikbud No. 82 of 2015 concerning PPKSP-related to the category of acts of violence in educational units. The research findings show that the improvement of Permendikbud No. 82 of 2015 concerning PPKSP, from the perspective of Maslahah al-Mursalah, is seen as a necessity and demand for the world of education in Indonesia. Refinement of the violence category by accommodating discrimination - intolerance factors, wrong policy factors, and violence factors Information, technology and communication. These factors are also seen as triggers for high violence in schools. In the analysis of Maslahah al-Mursalah, the improvement of Permendikbud is included in the category of dharuriyah rank; if there is no improvement of Permendikbud, it will be able to threaten the five basic elements (religion, soul, mind, offspring and property). Then, this benefit is truly believed to be maslahat, not based on mere conjecture. The benefit of improving Permendikbud applies generally and collectively to prevent and overcome violence in education units in Indonesia. </w:t>
      </w:r>
      <w:r w:rsidR="00BA7E68" w:rsidRPr="00332900">
        <w:rPr>
          <w:rFonts w:ascii="Times New Roman" w:eastAsia="Times New Roman" w:hAnsi="Times New Roman" w:cs="Times New Roman"/>
          <w:color w:val="000000"/>
          <w:szCs w:val="24"/>
        </w:rPr>
        <w:t xml:space="preserve"> </w:t>
      </w:r>
    </w:p>
    <w:p w14:paraId="52127E41" w14:textId="77777777" w:rsidR="00332900" w:rsidRDefault="00BA7E68">
      <w:pPr>
        <w:spacing w:after="0" w:line="360" w:lineRule="auto"/>
        <w:jc w:val="both"/>
        <w:rPr>
          <w:rFonts w:ascii="Times New Roman" w:hAnsi="Times New Roman" w:cs="Times New Roman"/>
          <w:b/>
          <w:i/>
          <w:sz w:val="24"/>
          <w:szCs w:val="24"/>
        </w:rPr>
      </w:pPr>
      <w:r w:rsidRPr="00332900">
        <w:rPr>
          <w:rFonts w:ascii="Times New Roman" w:hAnsi="Times New Roman" w:cs="Times New Roman"/>
          <w:b/>
          <w:i/>
          <w:sz w:val="24"/>
          <w:szCs w:val="24"/>
        </w:rPr>
        <w:t>Keywords</w:t>
      </w:r>
      <w:r w:rsidR="00332900">
        <w:rPr>
          <w:rFonts w:ascii="Times New Roman" w:hAnsi="Times New Roman" w:cs="Times New Roman"/>
          <w:b/>
          <w:i/>
          <w:sz w:val="24"/>
          <w:szCs w:val="24"/>
          <w:lang w:val="en-US"/>
        </w:rPr>
        <w:t xml:space="preserve"> : </w:t>
      </w:r>
      <w:r w:rsidR="000A5E66" w:rsidRPr="000A5E66">
        <w:rPr>
          <w:rFonts w:ascii="Times New Roman" w:hAnsi="Times New Roman" w:cs="Times New Roman"/>
          <w:b/>
          <w:i/>
          <w:sz w:val="24"/>
          <w:szCs w:val="24"/>
        </w:rPr>
        <w:t>Usul Fikih, Refinement, Prevention, Countermeasures, Education Unit</w:t>
      </w:r>
    </w:p>
    <w:p w14:paraId="69197C59" w14:textId="77777777" w:rsidR="000A5E66" w:rsidRDefault="000A5E66">
      <w:pPr>
        <w:spacing w:after="0" w:line="360" w:lineRule="auto"/>
        <w:jc w:val="both"/>
        <w:rPr>
          <w:rFonts w:ascii="Times New Roman" w:hAnsi="Times New Roman" w:cs="Times New Roman"/>
          <w:b/>
          <w:i/>
          <w:sz w:val="24"/>
          <w:szCs w:val="24"/>
        </w:rPr>
      </w:pPr>
    </w:p>
    <w:p w14:paraId="69C942E9" w14:textId="77777777" w:rsidR="000A5E66" w:rsidRDefault="000A5E66">
      <w:pPr>
        <w:spacing w:after="0" w:line="360" w:lineRule="auto"/>
        <w:jc w:val="both"/>
        <w:rPr>
          <w:rFonts w:ascii="Times New Roman" w:hAnsi="Times New Roman" w:cs="Times New Roman"/>
          <w:b/>
          <w:i/>
          <w:sz w:val="24"/>
          <w:szCs w:val="24"/>
        </w:rPr>
      </w:pPr>
    </w:p>
    <w:p w14:paraId="77D72F9E" w14:textId="77777777" w:rsidR="000A5E66" w:rsidRDefault="000A5E66">
      <w:pPr>
        <w:spacing w:after="0" w:line="360" w:lineRule="auto"/>
        <w:jc w:val="both"/>
        <w:rPr>
          <w:rFonts w:ascii="Times New Roman" w:hAnsi="Times New Roman" w:cs="Times New Roman"/>
          <w:b/>
          <w:i/>
          <w:sz w:val="24"/>
          <w:szCs w:val="24"/>
        </w:rPr>
      </w:pPr>
    </w:p>
    <w:p w14:paraId="6EC051CB" w14:textId="77777777" w:rsidR="000A5E66" w:rsidRDefault="000A5E66">
      <w:pPr>
        <w:spacing w:after="0" w:line="360" w:lineRule="auto"/>
        <w:jc w:val="both"/>
        <w:rPr>
          <w:rFonts w:ascii="Times New Roman" w:hAnsi="Times New Roman" w:cs="Times New Roman"/>
          <w:b/>
          <w:i/>
          <w:sz w:val="24"/>
          <w:szCs w:val="24"/>
        </w:rPr>
      </w:pPr>
    </w:p>
    <w:p w14:paraId="47DCFFAF" w14:textId="77777777" w:rsidR="000A5E66" w:rsidRDefault="000A5E66">
      <w:pPr>
        <w:spacing w:after="0" w:line="360" w:lineRule="auto"/>
        <w:jc w:val="both"/>
        <w:rPr>
          <w:rFonts w:ascii="Times New Roman" w:hAnsi="Times New Roman" w:cs="Times New Roman"/>
          <w:b/>
          <w:i/>
          <w:sz w:val="24"/>
          <w:szCs w:val="24"/>
        </w:rPr>
      </w:pPr>
    </w:p>
    <w:p w14:paraId="18558FCC" w14:textId="77777777" w:rsidR="000A5E66" w:rsidRDefault="000A5E66">
      <w:pPr>
        <w:spacing w:after="0" w:line="360" w:lineRule="auto"/>
        <w:jc w:val="both"/>
        <w:rPr>
          <w:rFonts w:ascii="Times New Roman" w:hAnsi="Times New Roman" w:cs="Times New Roman"/>
          <w:b/>
          <w:i/>
          <w:sz w:val="24"/>
          <w:szCs w:val="24"/>
        </w:rPr>
      </w:pPr>
    </w:p>
    <w:p w14:paraId="5C26B2D3" w14:textId="77777777" w:rsidR="000A5E66" w:rsidRDefault="000A5E66">
      <w:pPr>
        <w:spacing w:after="0" w:line="360" w:lineRule="auto"/>
        <w:jc w:val="both"/>
        <w:rPr>
          <w:rFonts w:ascii="Times New Roman" w:hAnsi="Times New Roman" w:cs="Times New Roman"/>
          <w:b/>
          <w:i/>
          <w:sz w:val="24"/>
          <w:szCs w:val="24"/>
        </w:rPr>
      </w:pPr>
    </w:p>
    <w:p w14:paraId="3BFC5ED9" w14:textId="2D3B6F39" w:rsidR="009C4316" w:rsidRPr="000A5E66" w:rsidRDefault="009C4316">
      <w:pPr>
        <w:spacing w:after="0" w:line="360" w:lineRule="auto"/>
        <w:jc w:val="both"/>
        <w:rPr>
          <w:rFonts w:ascii="Times New Roman" w:hAnsi="Times New Roman" w:cs="Times New Roman"/>
          <w:b/>
          <w:i/>
          <w:sz w:val="24"/>
          <w:szCs w:val="24"/>
        </w:rPr>
        <w:sectPr w:rsidR="009C4316" w:rsidRPr="000A5E66">
          <w:type w:val="continuous"/>
          <w:pgSz w:w="11906" w:h="16838"/>
          <w:pgMar w:top="1440" w:right="1440" w:bottom="1440" w:left="1440" w:header="708" w:footer="708" w:gutter="0"/>
          <w:cols w:space="720"/>
        </w:sectPr>
      </w:pPr>
    </w:p>
    <w:p w14:paraId="211EF066" w14:textId="13E90CA8" w:rsidR="000A5E66" w:rsidRPr="006F1428" w:rsidRDefault="006F1428">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lastRenderedPageBreak/>
        <w:t>Pendahuluan</w:t>
      </w:r>
    </w:p>
    <w:p w14:paraId="3AFCB6BB" w14:textId="37C69C84" w:rsidR="006F1428" w:rsidRPr="006F1428" w:rsidRDefault="006F1428" w:rsidP="006F1428">
      <w:pPr>
        <w:pBdr>
          <w:top w:val="nil"/>
          <w:left w:val="nil"/>
          <w:bottom w:val="nil"/>
          <w:right w:val="nil"/>
          <w:between w:val="nil"/>
        </w:pBdr>
        <w:spacing w:after="0" w:line="360" w:lineRule="auto"/>
        <w:ind w:firstLine="720"/>
        <w:jc w:val="both"/>
        <w:rPr>
          <w:rFonts w:ascii="Times New Roman" w:hAnsi="Times New Roman" w:cs="Times New Roman"/>
          <w:sz w:val="24"/>
          <w:szCs w:val="24"/>
        </w:rPr>
      </w:pPr>
      <w:r w:rsidRPr="006F1428">
        <w:rPr>
          <w:rFonts w:ascii="Times New Roman" w:hAnsi="Times New Roman" w:cs="Times New Roman"/>
          <w:sz w:val="24"/>
          <w:szCs w:val="24"/>
        </w:rPr>
        <w:t>Dunia pendidikan di Indonesia semakin hari semakin menjadi pemberitaan terkait  tingginya kasus kekerasan di lingkungan pelajar, mulai dari kekerasan fisik, psikis, seksual, perundungan dan lainnya yang mengakibatkan ketakutan, trauma, kerusakan barang, luka cedera, cacat hingga pada kematian.  Ragam kasus kekerasan itu melibatkan guru saat memberikan hukum kepada muridnya, atau siswa senior yang mendisiplin juniornya, atau angtar sekolah melakukan tawuran, terkadang terjadi pula pelecehan murid dengan murid dan lainnya. Berbagai kejadian tersebut seharusnya tidak terjadi, seharusnya pula pendidikan sekolah  pada setiap satuan pendidikan berfungsi sebagai media dalam melakukan pengembangan potensi dan mencerdaskan manusia agar siap menghadapi kehidupan di masa yang akan datang, justru menjadi tempat suburnya berbagai kasus tindakan kekerasam yang seharusnya tidak pernah terjadi. Bahkan setiap kasus yang terjadi dalam setiap satuan pendidikan berbeda</w:t>
      </w:r>
      <w:r w:rsidRPr="006F1428">
        <w:rPr>
          <w:rFonts w:ascii="Times New Roman" w:hAnsi="Times New Roman" w:cs="Times New Roman"/>
          <w:sz w:val="24"/>
          <w:szCs w:val="24"/>
          <w:lang w:val="en-US"/>
        </w:rPr>
        <w:t>-</w:t>
      </w:r>
      <w:r w:rsidRPr="006F1428">
        <w:rPr>
          <w:rFonts w:ascii="Times New Roman" w:hAnsi="Times New Roman" w:cs="Times New Roman"/>
          <w:sz w:val="24"/>
          <w:szCs w:val="24"/>
        </w:rPr>
        <w:t>beda dengan kategorinya masing</w:t>
      </w:r>
      <w:r w:rsidRPr="006F1428">
        <w:rPr>
          <w:rFonts w:ascii="Times New Roman" w:hAnsi="Times New Roman" w:cs="Times New Roman"/>
          <w:sz w:val="24"/>
          <w:szCs w:val="24"/>
          <w:lang w:val="en-US"/>
        </w:rPr>
        <w:t>-</w:t>
      </w:r>
      <w:r w:rsidRPr="006F1428">
        <w:rPr>
          <w:rFonts w:ascii="Times New Roman" w:hAnsi="Times New Roman" w:cs="Times New Roman"/>
          <w:sz w:val="24"/>
          <w:szCs w:val="24"/>
        </w:rPr>
        <w:t>masing.</w:t>
      </w:r>
    </w:p>
    <w:p w14:paraId="3EB39548" w14:textId="67E1E5F7" w:rsidR="006F1428" w:rsidRPr="006F1428" w:rsidRDefault="006F1428" w:rsidP="00C442E0">
      <w:pPr>
        <w:spacing w:after="0" w:line="360" w:lineRule="auto"/>
        <w:ind w:firstLine="720"/>
        <w:jc w:val="both"/>
        <w:rPr>
          <w:rFonts w:ascii="Times New Roman" w:hAnsi="Times New Roman" w:cs="Times New Roman"/>
          <w:sz w:val="24"/>
          <w:szCs w:val="24"/>
        </w:rPr>
      </w:pPr>
      <w:r w:rsidRPr="006F1428">
        <w:rPr>
          <w:rFonts w:ascii="Times New Roman" w:hAnsi="Times New Roman" w:cs="Times New Roman"/>
          <w:sz w:val="24"/>
          <w:szCs w:val="24"/>
        </w:rPr>
        <w:t xml:space="preserve">Diterbitkannya Peraturan Menteri Pendidikan dan Kebudayaan (Permendikbud)  No 82 tahun 2015 tentang Pencegahan dan Penanggulangan </w:t>
      </w:r>
      <w:r w:rsidRPr="006F1428">
        <w:rPr>
          <w:rFonts w:ascii="Times New Roman" w:hAnsi="Times New Roman" w:cs="Times New Roman"/>
          <w:sz w:val="24"/>
          <w:szCs w:val="24"/>
        </w:rPr>
        <w:t>Kekerasan di Satuan Pendidikan (PPKSP),</w:t>
      </w:r>
      <w:r w:rsidRPr="006F1428">
        <w:rPr>
          <w:rStyle w:val="FootnoteReference"/>
          <w:rFonts w:ascii="Times New Roman" w:hAnsi="Times New Roman" w:cs="Times New Roman"/>
          <w:sz w:val="24"/>
          <w:szCs w:val="24"/>
        </w:rPr>
        <w:footnoteReference w:id="1"/>
      </w:r>
      <w:r w:rsidRPr="006F1428">
        <w:rPr>
          <w:rFonts w:ascii="Times New Roman" w:hAnsi="Times New Roman" w:cs="Times New Roman"/>
          <w:sz w:val="24"/>
          <w:szCs w:val="24"/>
        </w:rPr>
        <w:t xml:space="preserve"> memberikan napas baru dalam penanggulangan kekerasan di</w:t>
      </w:r>
      <w:r w:rsidRPr="006F1428">
        <w:rPr>
          <w:rFonts w:ascii="Times New Roman" w:hAnsi="Times New Roman" w:cs="Times New Roman"/>
          <w:sz w:val="24"/>
          <w:szCs w:val="24"/>
          <w:lang w:val="en-US"/>
        </w:rPr>
        <w:t xml:space="preserve"> </w:t>
      </w:r>
      <w:r w:rsidRPr="006F1428">
        <w:rPr>
          <w:rFonts w:ascii="Times New Roman" w:hAnsi="Times New Roman" w:cs="Times New Roman"/>
          <w:sz w:val="24"/>
          <w:szCs w:val="24"/>
        </w:rPr>
        <w:t>sekolah yang semakin meningkat. Tujuan Permendikbud ini hadir  untuk menciptakan kondisi proses pembelajaran yang aman, nyaman dan menyenangkan. Permendikbud hadir menghindarkan semua warga sekolah dari unsur–unsur atau tindak kekerasan. Permendikbud hadir guna menumbuhkan pergaulan yang harmonis dan kebersamaan antar pendidik atau antara peserta didik dengan pendidik, tenaga kependidikan dan orang tua serta masyarakat baik dalam satuan pendidikan maupun antar satuan pendidikan. Artinya melalui Permendikbud wujud dari kehadiran negara untuk melindungi anak dari kekerasan yang terjadi, mencegah anak melakukan tindakan kekerasan dan mengatur mekanisme pencegahan dan penanggulangan serta sanksi terhadap tindakan kekerasan di lingkungan satuan pendidikan yang melibatkan anak baik sebagai korban maupun pelaku.</w:t>
      </w:r>
    </w:p>
    <w:p w14:paraId="0A72CFCA" w14:textId="77777777" w:rsidR="006F1428" w:rsidRPr="006F1428" w:rsidRDefault="006F1428" w:rsidP="006F1428">
      <w:pPr>
        <w:spacing w:after="0" w:line="360" w:lineRule="auto"/>
        <w:jc w:val="both"/>
        <w:rPr>
          <w:rFonts w:ascii="Times New Roman" w:hAnsi="Times New Roman" w:cs="Times New Roman"/>
          <w:sz w:val="24"/>
          <w:szCs w:val="24"/>
        </w:rPr>
      </w:pPr>
      <w:r w:rsidRPr="006F1428">
        <w:rPr>
          <w:rFonts w:ascii="Times New Roman" w:hAnsi="Times New Roman" w:cs="Times New Roman"/>
          <w:sz w:val="24"/>
          <w:szCs w:val="24"/>
        </w:rPr>
        <w:tab/>
        <w:t xml:space="preserve">Permendikbud No 82 tahun 2015 tentang PPKSP telah menguraikan secara jelas definisi tindak kekerasan dan bentuk – bentuk tindak kekerasan. Dimaksud dengan tindak kekerasan adalah : Prilaku yang dilakukan secara fisik, psikis, seksual </w:t>
      </w:r>
      <w:r w:rsidRPr="006F1428">
        <w:rPr>
          <w:rFonts w:ascii="Times New Roman" w:hAnsi="Times New Roman" w:cs="Times New Roman"/>
          <w:sz w:val="24"/>
          <w:szCs w:val="24"/>
        </w:rPr>
        <w:lastRenderedPageBreak/>
        <w:t>dalam jaringan (daring) atau melalui buku ajar  yang mencerminkan tindakan agresif dan penyerangan yang terjadi di lingkungan satuan pendidikan dan mengakibatkan ketakutan, trauma, kerusakan barang, luka cedera/cacat dan atau kematian. Begitupula bentuk – bentuk kekerasan terhadap anak juga dirumuskan secara jelas yakni  berupa : Kekerasan fisik,  kekerasan fsikis, kekerasan ekonomi (ditelantarkan, tidak diberi nafkah, diperkerjaan tempat berbahaya), kekerasan seksual dan  kekerasan bullying (perundungan). Dengan kata lain Permendikbud telah merancang definisi yang sempurna begitupula kategori tindak kekerasan yang dipandang sudah mengakomodir berbagai tindakan kekerasan yang terjadi dalam satuan pendidikan.</w:t>
      </w:r>
    </w:p>
    <w:p w14:paraId="719A29AF" w14:textId="77777777" w:rsidR="006F1428" w:rsidRPr="006F1428" w:rsidRDefault="006F1428" w:rsidP="006F1428">
      <w:pPr>
        <w:spacing w:after="0" w:line="360" w:lineRule="auto"/>
        <w:ind w:firstLine="720"/>
        <w:jc w:val="both"/>
        <w:rPr>
          <w:rFonts w:ascii="Times New Roman" w:hAnsi="Times New Roman" w:cs="Times New Roman"/>
          <w:sz w:val="24"/>
          <w:szCs w:val="24"/>
        </w:rPr>
      </w:pPr>
      <w:r w:rsidRPr="006F1428">
        <w:rPr>
          <w:rFonts w:ascii="Times New Roman" w:hAnsi="Times New Roman" w:cs="Times New Roman"/>
          <w:sz w:val="24"/>
          <w:szCs w:val="24"/>
        </w:rPr>
        <w:t xml:space="preserve">Perkembangan waktu ke waktu dan semakin tingginya tingkat kekerasan di sekolah, diiringi pula dengan semakin kompleks pula kategori tindakan kekerasan yang muncul. Kalau Permendikbud No 82 tahun 2015 tentang PPKSP telah merumuskan kategori tindakan kekerasan berupa : Kekerasan fisik,  kekerasan psikis, kekerasan ekonomi, kekerasan seksual dan  kekerasan perundungan, tetapi melalui kasus – kasus yang muncul  menunjukkan semakin meluas dengan pola – pola kasus yang berbeda – beda. Satu sisi kasus – kasus tindakan kekerasan dianggap sudah terjawab melalui kehadiran Permendikbud </w:t>
      </w:r>
      <w:r w:rsidRPr="006F1428">
        <w:rPr>
          <w:rFonts w:ascii="Times New Roman" w:hAnsi="Times New Roman" w:cs="Times New Roman"/>
          <w:sz w:val="24"/>
          <w:szCs w:val="24"/>
        </w:rPr>
        <w:t>No 82 tahun 2015 tentang PPKSP. Namun Tidak terbayang justru hari beragam muncul bentuk lain kekerasan kemudian fenomenal,  tidak hanya sebatas kekerasan fisik, psikis, perundungan dan kekerasan seksual, tetapi bentuk – bentuk lain yang sebelumnya tidak disebutkan oleh Permendikbud justru muncul dan tren mewarnai kategori mendorong munculnya kekerasan di sekolah. Bentuk baru tindakan kekerasan tersebut seperti : Diskriminasi intoleransi, kebijakan yang mengandung kekerasan bahkan media teknologi informasi komunikasi  dan lainnya. Kondisi ini menuntut mengharuskan Permendikbud ini untuk disempurnakan guna menjawab kebutuhan hukum pendidikan dari kategori kasus – kasus yang semakin meningkat tersebut.</w:t>
      </w:r>
    </w:p>
    <w:p w14:paraId="423E0C58" w14:textId="77777777" w:rsidR="006F1428" w:rsidRPr="006F1428" w:rsidRDefault="006F1428" w:rsidP="006F1428">
      <w:pPr>
        <w:spacing w:after="0" w:line="360" w:lineRule="auto"/>
        <w:ind w:firstLine="720"/>
        <w:jc w:val="both"/>
        <w:rPr>
          <w:rFonts w:ascii="Times New Roman" w:hAnsi="Times New Roman" w:cs="Times New Roman"/>
          <w:sz w:val="24"/>
          <w:szCs w:val="24"/>
        </w:rPr>
      </w:pPr>
      <w:r w:rsidRPr="006F1428">
        <w:rPr>
          <w:rFonts w:ascii="Times New Roman" w:hAnsi="Times New Roman" w:cs="Times New Roman"/>
          <w:sz w:val="24"/>
          <w:szCs w:val="24"/>
        </w:rPr>
        <w:t xml:space="preserve">Tindakan kekerasan dalam bentuk intoleransi di sekolah misalnya,  seperti larangan mengikuti mata pelajaran agama/kepercayaan yang diajar oleh pendidik sesuai dengan agama/kepercayaannya peserta didik yang diakui oleh pemetrintah. Atau pemaksaan untuk mengikuti mata pelajaran agama/kepercayaan yang diajar oleh pendidik tidak sesuai dengan agama/kepercayaannya peserta didik yang diakui pemerintah. Atau perbuatan mengurangi menghalangi atau tidak memberikan hak kebutuhan peserta didik mengikuti proses penerimaan peserta didik </w:t>
      </w:r>
      <w:r w:rsidRPr="006F1428">
        <w:rPr>
          <w:rFonts w:ascii="Times New Roman" w:hAnsi="Times New Roman" w:cs="Times New Roman"/>
          <w:sz w:val="24"/>
          <w:szCs w:val="24"/>
        </w:rPr>
        <w:lastRenderedPageBreak/>
        <w:t xml:space="preserve">untuk menggunakan sarana dan prasarana belajar yang layak. Begitu pula kebijakan – kebijakan yang mengandung potensi kekerasan di sekolah seperti  surat keputusan, edaran, pedoman dan lainnya. Semua ini merupakan sisi – sisi  yang harus diperhatikan diakomodir  guna melakukan pencegahan dan penanggulangan kekerasan di satuan pendidikan. </w:t>
      </w:r>
    </w:p>
    <w:p w14:paraId="596F3ECE" w14:textId="616C69DA" w:rsidR="006F1428" w:rsidRPr="006F1428" w:rsidRDefault="006F1428" w:rsidP="006F1428">
      <w:pPr>
        <w:pBdr>
          <w:top w:val="nil"/>
          <w:left w:val="nil"/>
          <w:bottom w:val="nil"/>
          <w:right w:val="nil"/>
          <w:between w:val="nil"/>
        </w:pBdr>
        <w:spacing w:after="0" w:line="360" w:lineRule="auto"/>
        <w:ind w:firstLine="720"/>
        <w:jc w:val="both"/>
        <w:rPr>
          <w:rFonts w:ascii="Times New Roman" w:hAnsi="Times New Roman" w:cs="Times New Roman"/>
          <w:sz w:val="24"/>
          <w:szCs w:val="24"/>
          <w:lang w:val="en-US"/>
        </w:rPr>
      </w:pPr>
      <w:r w:rsidRPr="006F1428">
        <w:rPr>
          <w:rFonts w:ascii="Times New Roman" w:hAnsi="Times New Roman" w:cs="Times New Roman"/>
          <w:sz w:val="24"/>
          <w:szCs w:val="24"/>
        </w:rPr>
        <w:t>Proses mengukur penyempurnaan Permendikbud No 82 tahun 2015 tentang PPKSP dibawa ke dalam pendekatan hukum Islam (usul fikih), melalui indikator nilai – nilai kemaslahatan. Sejauhmana proses penyempurnaan Permendikbud memberikan nilai – nilai kemaslahatan kepada semua pihak (Pemerintah – masyarakat – satuan pendidikan) karena ini menyangkut kebijakan pendidikan nasional. Bicara kemaslahatan membicarakan kemanfaatan secara menyeluruh menasional sifatnya. Maka ketika nilai – nilai kemaslahatan ditemukan atas proses revisi Permendikbud, maka itu suatu kemestian untuk diterapkan dalam dunia pendidikan di Indonesia. Dalam perspektif hukum Islam (usul fikih) bicara kemaslahatan dikenal dengan teori hukum “</w:t>
      </w:r>
      <w:r w:rsidRPr="006F1428">
        <w:rPr>
          <w:rFonts w:ascii="Times New Roman" w:hAnsi="Times New Roman" w:cs="Times New Roman"/>
          <w:i/>
          <w:iCs/>
          <w:sz w:val="24"/>
          <w:szCs w:val="24"/>
        </w:rPr>
        <w:t>Maslahah al – Mursalah</w:t>
      </w:r>
      <w:r w:rsidRPr="006F1428">
        <w:rPr>
          <w:rFonts w:ascii="Times New Roman" w:hAnsi="Times New Roman" w:cs="Times New Roman"/>
          <w:sz w:val="24"/>
          <w:szCs w:val="24"/>
        </w:rPr>
        <w:t xml:space="preserve">” suatu metodologi yang menganalisis, mengurai dan mengungkapan nilai – nilai kemaslahatan melalui dalil – dalil terinci. Dalam Permendikbud No 82 tahun 2015 tentang PPKSP,  </w:t>
      </w:r>
      <w:r w:rsidRPr="006F1428">
        <w:rPr>
          <w:rFonts w:ascii="Times New Roman" w:hAnsi="Times New Roman" w:cs="Times New Roman"/>
          <w:i/>
          <w:iCs/>
          <w:sz w:val="24"/>
          <w:szCs w:val="24"/>
        </w:rPr>
        <w:t>Maslahah al – Mursalah</w:t>
      </w:r>
      <w:r w:rsidRPr="006F1428">
        <w:rPr>
          <w:rFonts w:ascii="Times New Roman" w:hAnsi="Times New Roman" w:cs="Times New Roman"/>
          <w:sz w:val="24"/>
          <w:szCs w:val="24"/>
        </w:rPr>
        <w:t xml:space="preserve">  </w:t>
      </w:r>
      <w:r w:rsidRPr="006F1428">
        <w:rPr>
          <w:rFonts w:ascii="Times New Roman" w:hAnsi="Times New Roman" w:cs="Times New Roman"/>
          <w:sz w:val="24"/>
          <w:szCs w:val="24"/>
        </w:rPr>
        <w:t>akan menurai, menganalisis dan menungkapkan nilai – nilai kemaslahatan jika Permendikbud No 82 tahun 2015 disempurnakan atau direvisi.</w:t>
      </w:r>
    </w:p>
    <w:p w14:paraId="28A1E72A" w14:textId="4D6D08C1" w:rsidR="00564C34" w:rsidRPr="00F11239"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Me</w:t>
      </w:r>
      <w:r w:rsidR="00F11239">
        <w:rPr>
          <w:rFonts w:ascii="Times New Roman" w:eastAsia="Times New Roman" w:hAnsi="Times New Roman" w:cs="Times New Roman"/>
          <w:b/>
          <w:color w:val="000000"/>
          <w:sz w:val="24"/>
          <w:szCs w:val="24"/>
          <w:lang w:val="en-US"/>
        </w:rPr>
        <w:t>tode</w:t>
      </w:r>
    </w:p>
    <w:p w14:paraId="7B39A7DD" w14:textId="77777777" w:rsidR="00F11239" w:rsidRPr="00F11239" w:rsidRDefault="00F11239" w:rsidP="00C442E0">
      <w:pPr>
        <w:spacing w:after="0"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Penelitian digunakan adalah jenis penelitian pustaka (</w:t>
      </w:r>
      <w:r w:rsidRPr="00F11239">
        <w:rPr>
          <w:rFonts w:ascii="Times New Roman" w:hAnsi="Times New Roman" w:cs="Times New Roman"/>
          <w:i/>
          <w:iCs/>
          <w:sz w:val="24"/>
          <w:szCs w:val="24"/>
        </w:rPr>
        <w:t>Library risearch</w:t>
      </w:r>
      <w:r w:rsidRPr="00F11239">
        <w:rPr>
          <w:rFonts w:ascii="Times New Roman" w:hAnsi="Times New Roman" w:cs="Times New Roman"/>
          <w:sz w:val="24"/>
          <w:szCs w:val="24"/>
        </w:rPr>
        <w:t xml:space="preserve">) bersifat normatif berupa pengkajian tentang teori hukum (usul fikih), produk hukum sebagai norma, doktrin hukum menghimpun data  dari berbagai bahan pustaka, buku, jurnal dan lainnya untuk menjawab permasalahan hukum yang diteliti. Fokus penelitian ini analisis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sebagai teori hukum yang mengungkapkan nilai – nilai kemaslahatan dalam proses penyempurnaan Permendikbud No 82 tahun 2025 tentang pencegahan dan penaggulangan kekerasan di satuan pendidikan difokuskan kepada kategori tindakan kekerasan di satuan pendidikan.</w:t>
      </w:r>
    </w:p>
    <w:p w14:paraId="636D82A4" w14:textId="2D5E75F0" w:rsidR="00F11239" w:rsidRPr="00F11239" w:rsidRDefault="00F11239" w:rsidP="00F11239">
      <w:pPr>
        <w:pBdr>
          <w:top w:val="nil"/>
          <w:left w:val="nil"/>
          <w:bottom w:val="nil"/>
          <w:right w:val="nil"/>
          <w:between w:val="nil"/>
        </w:pBdr>
        <w:spacing w:after="0" w:line="360" w:lineRule="auto"/>
        <w:jc w:val="both"/>
        <w:rPr>
          <w:rFonts w:ascii="Times New Roman" w:hAnsi="Times New Roman" w:cs="Times New Roman"/>
          <w:sz w:val="24"/>
          <w:szCs w:val="24"/>
          <w:lang w:val="en-US"/>
        </w:rPr>
      </w:pPr>
      <w:r w:rsidRPr="00F11239">
        <w:rPr>
          <w:rFonts w:ascii="Times New Roman" w:hAnsi="Times New Roman" w:cs="Times New Roman"/>
          <w:sz w:val="24"/>
          <w:szCs w:val="24"/>
        </w:rPr>
        <w:tab/>
        <w:t>Penelitian ini dilakukan menggunakan pendekatan ilmu usul fikih, suatu ilmu tentang sumber dan dasar metodologi dalam jurisprudensi Islam atau suatu ilmu berisi kumpulan metode – metode pemahaman mengenai sumber dan dalil hukum Islam, jika</w:t>
      </w:r>
      <w:r w:rsidRPr="00F11239">
        <w:rPr>
          <w:rFonts w:ascii="Times New Roman" w:hAnsi="Times New Roman" w:cs="Times New Roman"/>
          <w:sz w:val="24"/>
          <w:szCs w:val="24"/>
          <w:lang w:val="en-US"/>
        </w:rPr>
        <w:t xml:space="preserve"> </w:t>
      </w:r>
      <w:r w:rsidRPr="00F11239">
        <w:rPr>
          <w:rFonts w:ascii="Times New Roman" w:hAnsi="Times New Roman" w:cs="Times New Roman"/>
          <w:sz w:val="24"/>
          <w:szCs w:val="24"/>
        </w:rPr>
        <w:t xml:space="preserve">dipelajari secara seksama akan menyampaikan kepada pemahaman baik maksud peraturan syariah maupun sekurangnya asumsi yang dapat diterima pikiran berkaitan dengan sumber dan dalil – dalil tersebut. Dalam ilmu ini </w:t>
      </w:r>
      <w:r w:rsidRPr="00F11239">
        <w:rPr>
          <w:rFonts w:ascii="Times New Roman" w:hAnsi="Times New Roman" w:cs="Times New Roman"/>
          <w:sz w:val="24"/>
          <w:szCs w:val="24"/>
        </w:rPr>
        <w:lastRenderedPageBreak/>
        <w:t>dibahas tentang cara memahami sumber – sumber dalil  dalam mengemukakan kandungan hukum dan kedudukan dalil – dalil tersebut.</w:t>
      </w:r>
      <w:r w:rsidRPr="00F11239">
        <w:rPr>
          <w:rStyle w:val="FootnoteReference"/>
          <w:rFonts w:ascii="Times New Roman" w:hAnsi="Times New Roman" w:cs="Times New Roman"/>
          <w:sz w:val="24"/>
          <w:szCs w:val="24"/>
        </w:rPr>
        <w:footnoteReference w:id="2"/>
      </w:r>
      <w:r w:rsidRPr="00F11239">
        <w:rPr>
          <w:rFonts w:ascii="Times New Roman" w:hAnsi="Times New Roman" w:cs="Times New Roman"/>
          <w:sz w:val="24"/>
          <w:szCs w:val="24"/>
        </w:rPr>
        <w:t xml:space="preserve"> Artinya ilmu usul fikih menjadi metodologi dalam mengurai, menganalisis dan mengungkapkan sisi kemaslahatan atas penyempurnaan Permendikbud No 82 tahun 2025 tentang pencegahan dan penaggulangan kekerasan di satuan pendidikan.</w:t>
      </w:r>
    </w:p>
    <w:p w14:paraId="1BDF51BB" w14:textId="614F28BB" w:rsidR="00F11239" w:rsidRPr="00F11239" w:rsidRDefault="00F11239" w:rsidP="00F11239">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lang w:val="en-US"/>
        </w:rPr>
      </w:pPr>
      <w:r w:rsidRPr="00F11239">
        <w:rPr>
          <w:rFonts w:ascii="Times New Roman" w:hAnsi="Times New Roman" w:cs="Times New Roman"/>
          <w:sz w:val="24"/>
          <w:szCs w:val="24"/>
        </w:rPr>
        <w:t xml:space="preserve">Metode analisis data menggunakan metode analisisi hukum normatif diantaranya: mengidentifikasi pendapat ulama usul fikih, para juris dan lainnya tentang  teori hukum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korelasinya terhadap penyempurnaan Permendikbud No 82 tahun 2025 tentang pencegahan dan penaggulangan kekerasan di satuan pendidikan.</w:t>
      </w:r>
    </w:p>
    <w:p w14:paraId="07954193" w14:textId="01BDBA47" w:rsidR="00F11239" w:rsidRDefault="00F1123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Hasil dan Pembahasan</w:t>
      </w:r>
    </w:p>
    <w:p w14:paraId="57E7358B" w14:textId="71F6A7A6" w:rsidR="00F11239" w:rsidRPr="00F11239" w:rsidRDefault="00F11239" w:rsidP="00F11239">
      <w:pPr>
        <w:pStyle w:val="ListParagraph"/>
        <w:numPr>
          <w:ilvl w:val="0"/>
          <w:numId w:val="4"/>
        </w:numPr>
        <w:spacing w:after="0" w:line="360" w:lineRule="auto"/>
        <w:ind w:left="0" w:firstLine="0"/>
        <w:jc w:val="both"/>
        <w:rPr>
          <w:rFonts w:ascii="Times New Roman" w:hAnsi="Times New Roman" w:cs="Times New Roman"/>
          <w:b/>
          <w:bCs/>
          <w:sz w:val="24"/>
          <w:szCs w:val="24"/>
        </w:rPr>
      </w:pPr>
      <w:r w:rsidRPr="00F11239">
        <w:rPr>
          <w:rFonts w:ascii="Times New Roman" w:hAnsi="Times New Roman" w:cs="Times New Roman"/>
          <w:b/>
          <w:bCs/>
          <w:sz w:val="24"/>
          <w:szCs w:val="24"/>
        </w:rPr>
        <w:t xml:space="preserve">Kedukan Teori Hukum </w:t>
      </w:r>
      <w:r w:rsidRPr="00F11239">
        <w:rPr>
          <w:rFonts w:ascii="Times New Roman" w:hAnsi="Times New Roman" w:cs="Times New Roman"/>
          <w:b/>
          <w:bCs/>
          <w:i/>
          <w:iCs/>
          <w:sz w:val="24"/>
          <w:szCs w:val="24"/>
        </w:rPr>
        <w:t>Maslahah al - Mursalah</w:t>
      </w:r>
      <w:r w:rsidRPr="00F11239">
        <w:rPr>
          <w:rFonts w:ascii="Times New Roman" w:hAnsi="Times New Roman" w:cs="Times New Roman"/>
          <w:b/>
          <w:bCs/>
          <w:sz w:val="24"/>
          <w:szCs w:val="24"/>
        </w:rPr>
        <w:t xml:space="preserve"> Sebagai Dalil Hukum Islam</w:t>
      </w:r>
    </w:p>
    <w:p w14:paraId="5BFE0404" w14:textId="77777777" w:rsidR="00F11239" w:rsidRPr="00F11239" w:rsidRDefault="00F11239" w:rsidP="00F11239">
      <w:p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ab/>
        <w:t xml:space="preserve">Secara terminologi para ulama usul fikih seperti Imam al – Ghazali mendefinisikan </w:t>
      </w:r>
      <w:r w:rsidRPr="00F11239">
        <w:rPr>
          <w:rFonts w:ascii="Times New Roman" w:hAnsi="Times New Roman" w:cs="Times New Roman"/>
          <w:i/>
          <w:iCs/>
          <w:sz w:val="24"/>
          <w:szCs w:val="24"/>
        </w:rPr>
        <w:t xml:space="preserve">maslahah </w:t>
      </w:r>
      <w:r w:rsidRPr="00F11239">
        <w:rPr>
          <w:rFonts w:ascii="Times New Roman" w:hAnsi="Times New Roman" w:cs="Times New Roman"/>
          <w:sz w:val="24"/>
          <w:szCs w:val="24"/>
        </w:rPr>
        <w:t>(Kemaslahatan)</w:t>
      </w:r>
      <w:r w:rsidRPr="00F11239">
        <w:rPr>
          <w:rFonts w:ascii="Times New Roman" w:hAnsi="Times New Roman" w:cs="Times New Roman"/>
          <w:i/>
          <w:iCs/>
          <w:sz w:val="24"/>
          <w:szCs w:val="24"/>
        </w:rPr>
        <w:t xml:space="preserve"> </w:t>
      </w:r>
      <w:r w:rsidRPr="00F11239">
        <w:rPr>
          <w:rFonts w:ascii="Times New Roman" w:hAnsi="Times New Roman" w:cs="Times New Roman"/>
          <w:sz w:val="24"/>
          <w:szCs w:val="24"/>
        </w:rPr>
        <w:t>sebagai upaya meraih dan mewujudkan manfaat atau menolak kemudratan.</w:t>
      </w:r>
      <w:r w:rsidRPr="00F11239">
        <w:rPr>
          <w:rStyle w:val="FootnoteReference"/>
          <w:rFonts w:ascii="Times New Roman" w:hAnsi="Times New Roman" w:cs="Times New Roman"/>
          <w:sz w:val="24"/>
          <w:szCs w:val="24"/>
        </w:rPr>
        <w:footnoteReference w:id="3"/>
      </w:r>
      <w:r w:rsidRPr="00F11239">
        <w:rPr>
          <w:rFonts w:ascii="Times New Roman" w:hAnsi="Times New Roman" w:cs="Times New Roman"/>
          <w:sz w:val="24"/>
          <w:szCs w:val="24"/>
        </w:rPr>
        <w:t xml:space="preserve"> </w:t>
      </w:r>
      <w:r w:rsidRPr="00F11239">
        <w:rPr>
          <w:rFonts w:ascii="Times New Roman" w:hAnsi="Times New Roman" w:cs="Times New Roman"/>
          <w:sz w:val="24"/>
          <w:szCs w:val="24"/>
        </w:rPr>
        <w:t xml:space="preserve">Kemudian Jalaluddin Abdurrahman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diartikan semua yang dapat memberikan manfaat bagi manusia baik kemanfaatannya untuk meraih kebaikan dan kesenangan maupun kemanfaatan untuk menghilangkan kesulitan dan kesusahan.</w:t>
      </w:r>
      <w:r w:rsidRPr="00F11239">
        <w:rPr>
          <w:rStyle w:val="FootnoteReference"/>
          <w:rFonts w:ascii="Times New Roman" w:hAnsi="Times New Roman" w:cs="Times New Roman"/>
          <w:sz w:val="24"/>
          <w:szCs w:val="24"/>
        </w:rPr>
        <w:footnoteReference w:id="4"/>
      </w:r>
      <w:r w:rsidRPr="00F11239">
        <w:rPr>
          <w:rFonts w:ascii="Times New Roman" w:hAnsi="Times New Roman" w:cs="Times New Roman"/>
          <w:sz w:val="24"/>
          <w:szCs w:val="24"/>
        </w:rPr>
        <w:t xml:space="preserve"> Kemudian Abdul Karim Zaidan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didefiniskan : Sesuatu tidak disebutkan oleh nash baik penolakannya maupun pengakuannya.</w:t>
      </w:r>
      <w:r w:rsidRPr="00F11239">
        <w:rPr>
          <w:rStyle w:val="FootnoteReference"/>
          <w:rFonts w:ascii="Times New Roman" w:hAnsi="Times New Roman" w:cs="Times New Roman"/>
          <w:sz w:val="24"/>
          <w:szCs w:val="24"/>
        </w:rPr>
        <w:footnoteReference w:id="5"/>
      </w:r>
      <w:r w:rsidRPr="00F11239">
        <w:rPr>
          <w:rFonts w:ascii="Times New Roman" w:hAnsi="Times New Roman" w:cs="Times New Roman"/>
          <w:sz w:val="24"/>
          <w:szCs w:val="24"/>
        </w:rPr>
        <w:t xml:space="preserve"> Muhammad Abu Zahrah,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adalah pandangan mujtahid tentang perbuatan yang mengandung kebaikan yang jelas dan bukan perbuatan yang berlawanan dengan hukum syara’.</w:t>
      </w:r>
      <w:r w:rsidRPr="00F11239">
        <w:rPr>
          <w:rStyle w:val="FootnoteReference"/>
          <w:rFonts w:ascii="Times New Roman" w:hAnsi="Times New Roman" w:cs="Times New Roman"/>
          <w:sz w:val="24"/>
          <w:szCs w:val="24"/>
        </w:rPr>
        <w:footnoteReference w:id="6"/>
      </w:r>
      <w:r w:rsidRPr="00F11239">
        <w:rPr>
          <w:rFonts w:ascii="Times New Roman" w:hAnsi="Times New Roman" w:cs="Times New Roman"/>
          <w:sz w:val="24"/>
          <w:szCs w:val="24"/>
        </w:rPr>
        <w:t xml:space="preserve"> </w:t>
      </w:r>
    </w:p>
    <w:p w14:paraId="3AECE439" w14:textId="77777777" w:rsidR="00F11239" w:rsidRPr="00F11239" w:rsidRDefault="00F11239" w:rsidP="00F11239">
      <w:pPr>
        <w:spacing w:after="0"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Amir Syarifuddin, menguraikan  hakikat dari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yaitu : (1). Sesuatu yang baik menurut akal dengan pertimbangan dapat mewujudkan keahlian atau menghindarkan keburukan bagi manusia. (2). Sesuatu yang baik menurut akal itu juga selaras dan sejalan dengan tujuan syara’ dalam menetapkan hukum. (3). Sesuatu yang baik menurut akal dan selaras pula dengan tujuan syara’ tersebut tidak ada petunjuk syara’ secara khusus yang menolaknya, juga tidak ada petunjuk syara’ yang mengakuinya.</w:t>
      </w:r>
      <w:r w:rsidRPr="00F11239">
        <w:rPr>
          <w:rStyle w:val="FootnoteReference"/>
          <w:rFonts w:ascii="Times New Roman" w:hAnsi="Times New Roman" w:cs="Times New Roman"/>
          <w:sz w:val="24"/>
          <w:szCs w:val="24"/>
        </w:rPr>
        <w:footnoteReference w:id="7"/>
      </w:r>
      <w:r w:rsidRPr="00F11239">
        <w:rPr>
          <w:rFonts w:ascii="Times New Roman" w:hAnsi="Times New Roman" w:cs="Times New Roman"/>
          <w:sz w:val="24"/>
          <w:szCs w:val="24"/>
        </w:rPr>
        <w:t xml:space="preserve"> Dalam perkembangannya </w:t>
      </w:r>
      <w:r w:rsidRPr="00F11239">
        <w:rPr>
          <w:rFonts w:ascii="Times New Roman" w:hAnsi="Times New Roman" w:cs="Times New Roman"/>
          <w:i/>
          <w:iCs/>
          <w:sz w:val="24"/>
          <w:szCs w:val="24"/>
        </w:rPr>
        <w:t xml:space="preserve">al – Maslahah Mursalah </w:t>
      </w:r>
      <w:r w:rsidRPr="00F11239">
        <w:rPr>
          <w:rFonts w:ascii="Times New Roman" w:hAnsi="Times New Roman" w:cs="Times New Roman"/>
          <w:sz w:val="24"/>
          <w:szCs w:val="24"/>
        </w:rPr>
        <w:lastRenderedPageBreak/>
        <w:t>juga disebut ulama usul fikih dengan “</w:t>
      </w:r>
      <w:r w:rsidRPr="00F11239">
        <w:rPr>
          <w:rFonts w:ascii="Times New Roman" w:hAnsi="Times New Roman" w:cs="Times New Roman"/>
          <w:i/>
          <w:iCs/>
          <w:sz w:val="24"/>
          <w:szCs w:val="24"/>
        </w:rPr>
        <w:t>Maslahah Mutlaqah, Munasib Mursal</w:t>
      </w:r>
      <w:r w:rsidRPr="00F11239">
        <w:rPr>
          <w:rFonts w:ascii="Times New Roman" w:hAnsi="Times New Roman" w:cs="Times New Roman"/>
          <w:sz w:val="24"/>
          <w:szCs w:val="24"/>
        </w:rPr>
        <w:t xml:space="preserve"> dan </w:t>
      </w:r>
      <w:r w:rsidRPr="00F11239">
        <w:rPr>
          <w:rFonts w:ascii="Times New Roman" w:hAnsi="Times New Roman" w:cs="Times New Roman"/>
          <w:i/>
          <w:iCs/>
          <w:sz w:val="24"/>
          <w:szCs w:val="24"/>
        </w:rPr>
        <w:t>Istislah</w:t>
      </w:r>
      <w:r w:rsidRPr="00F11239">
        <w:rPr>
          <w:rFonts w:ascii="Times New Roman" w:hAnsi="Times New Roman" w:cs="Times New Roman"/>
          <w:sz w:val="24"/>
          <w:szCs w:val="24"/>
        </w:rPr>
        <w:t>.”</w:t>
      </w:r>
      <w:r w:rsidRPr="00F11239">
        <w:rPr>
          <w:rStyle w:val="FootnoteReference"/>
          <w:rFonts w:ascii="Times New Roman" w:hAnsi="Times New Roman" w:cs="Times New Roman"/>
          <w:sz w:val="24"/>
          <w:szCs w:val="24"/>
        </w:rPr>
        <w:footnoteReference w:id="8"/>
      </w:r>
    </w:p>
    <w:p w14:paraId="2CFC1F39" w14:textId="77777777" w:rsidR="00F11239" w:rsidRPr="00F11239" w:rsidRDefault="00F11239" w:rsidP="00F11239">
      <w:p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ab/>
        <w:t xml:space="preserve">Terjadi perbedaan pendapat ulama usul fikih tentang kedudukan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apakah dapat dijadikan  sebagai dalil hukum Islam atau tidak sama sekali. Menurut Amir Syarifuddin,</w:t>
      </w:r>
      <w:r w:rsidRPr="00F11239">
        <w:rPr>
          <w:rStyle w:val="FootnoteReference"/>
          <w:rFonts w:ascii="Times New Roman" w:hAnsi="Times New Roman" w:cs="Times New Roman"/>
          <w:sz w:val="24"/>
          <w:szCs w:val="24"/>
        </w:rPr>
        <w:footnoteReference w:id="9"/>
      </w:r>
      <w:r w:rsidRPr="00F11239">
        <w:rPr>
          <w:rFonts w:ascii="Times New Roman" w:hAnsi="Times New Roman" w:cs="Times New Roman"/>
          <w:sz w:val="24"/>
          <w:szCs w:val="24"/>
        </w:rPr>
        <w:t xml:space="preserve"> perbedaan pendapat itu disebabkan tidak adanya dalil khusus menyatakan diterimanya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oleh syari’ baik secara langsung maupun tidak langsung. Kalaupun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diamalkannya oleh jumhur ulama karena adanya dukungan syar’i meski tidak langsung. Digunakannya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itu bukan karena semata ia adalah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tetapi karena adanya dalil syara’ yang mendukungnya.</w:t>
      </w:r>
    </w:p>
    <w:p w14:paraId="5F46903E" w14:textId="77777777" w:rsidR="00F11239" w:rsidRPr="00F11239" w:rsidRDefault="00F11239" w:rsidP="00F11239">
      <w:pPr>
        <w:pStyle w:val="ListParagraph"/>
        <w:numPr>
          <w:ilvl w:val="0"/>
          <w:numId w:val="1"/>
        </w:numPr>
        <w:spacing w:after="0" w:line="360" w:lineRule="auto"/>
        <w:jc w:val="both"/>
        <w:rPr>
          <w:rFonts w:ascii="Times New Roman" w:hAnsi="Times New Roman" w:cs="Times New Roman"/>
          <w:sz w:val="24"/>
          <w:szCs w:val="24"/>
        </w:rPr>
      </w:pP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sebagai dalil hukum. Pendapat ini dikemukakan sebagian jumhur ulama diantaranya Imam Ahmad Ibn Hambal dan pengikutnya, mazhab Maliki,  al – Ghazali pengikut Imam Syafii, Imam al – Thufi dan lainya.</w:t>
      </w:r>
      <w:r w:rsidRPr="00F11239">
        <w:rPr>
          <w:rStyle w:val="FootnoteReference"/>
          <w:rFonts w:ascii="Times New Roman" w:hAnsi="Times New Roman" w:cs="Times New Roman"/>
          <w:sz w:val="24"/>
          <w:szCs w:val="24"/>
        </w:rPr>
        <w:footnoteReference w:id="10"/>
      </w:r>
      <w:r w:rsidRPr="00F11239">
        <w:rPr>
          <w:rFonts w:ascii="Times New Roman" w:hAnsi="Times New Roman" w:cs="Times New Roman"/>
          <w:sz w:val="24"/>
          <w:szCs w:val="24"/>
        </w:rPr>
        <w:t xml:space="preserve"> Alasan kelompok ini berdasarkan : </w:t>
      </w:r>
    </w:p>
    <w:p w14:paraId="31187FC1" w14:textId="77777777" w:rsidR="00F11239" w:rsidRPr="00F11239" w:rsidRDefault="00F11239" w:rsidP="00F11239">
      <w:pPr>
        <w:pStyle w:val="ListParagraph"/>
        <w:numPr>
          <w:ilvl w:val="0"/>
          <w:numId w:val="2"/>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Pengakuan Nabi (</w:t>
      </w:r>
      <w:r w:rsidRPr="00F11239">
        <w:rPr>
          <w:rFonts w:ascii="Times New Roman" w:hAnsi="Times New Roman" w:cs="Times New Roman"/>
          <w:i/>
          <w:iCs/>
          <w:sz w:val="24"/>
          <w:szCs w:val="24"/>
        </w:rPr>
        <w:t>taqrir</w:t>
      </w:r>
      <w:r w:rsidRPr="00F11239">
        <w:rPr>
          <w:rFonts w:ascii="Times New Roman" w:hAnsi="Times New Roman" w:cs="Times New Roman"/>
          <w:sz w:val="24"/>
          <w:szCs w:val="24"/>
        </w:rPr>
        <w:t xml:space="preserve">) atas penjelasan Mu’adz ibn Jabal yang akan menggunakan ijtihad </w:t>
      </w:r>
      <w:r w:rsidRPr="00F11239">
        <w:rPr>
          <w:rFonts w:ascii="Times New Roman" w:hAnsi="Times New Roman" w:cs="Times New Roman"/>
          <w:i/>
          <w:iCs/>
          <w:sz w:val="24"/>
          <w:szCs w:val="24"/>
        </w:rPr>
        <w:t>bil ra’yi</w:t>
      </w:r>
      <w:r w:rsidRPr="00F11239">
        <w:rPr>
          <w:rFonts w:ascii="Times New Roman" w:hAnsi="Times New Roman" w:cs="Times New Roman"/>
          <w:sz w:val="24"/>
          <w:szCs w:val="24"/>
        </w:rPr>
        <w:t xml:space="preserve"> bila tidak menemukan ayat Alquran – sunnah Nabi untuk menyelesaikan sebuah kasus hukum. Penggunaan ijtihad ini mengacu kepada penggunaan daya nalar atau sesuatu yang dianggap maslahah. Nabi sendiri waktu itu tidak membebaninya untuk mencari dukungan nash.</w:t>
      </w:r>
      <w:r w:rsidRPr="00F11239">
        <w:rPr>
          <w:rStyle w:val="FootnoteReference"/>
          <w:rFonts w:ascii="Times New Roman" w:hAnsi="Times New Roman" w:cs="Times New Roman"/>
          <w:sz w:val="24"/>
          <w:szCs w:val="24"/>
        </w:rPr>
        <w:footnoteReference w:id="11"/>
      </w:r>
      <w:r w:rsidRPr="00F11239">
        <w:rPr>
          <w:rFonts w:ascii="Times New Roman" w:hAnsi="Times New Roman" w:cs="Times New Roman"/>
          <w:sz w:val="24"/>
          <w:szCs w:val="24"/>
        </w:rPr>
        <w:t xml:space="preserve"> </w:t>
      </w:r>
    </w:p>
    <w:p w14:paraId="13E9D1CD" w14:textId="77777777" w:rsidR="00F11239" w:rsidRPr="00F11239" w:rsidRDefault="00F11239" w:rsidP="00F11239">
      <w:pPr>
        <w:pStyle w:val="ListParagraph"/>
        <w:numPr>
          <w:ilvl w:val="0"/>
          <w:numId w:val="2"/>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Praktek sahabat telah menghimpun Alquran dalam satu mushaf dan ini dilakukan karena khawatir Alquran bisa hilang. Padahal sebelumnya tidak pernah dilakukan masa Nabi dan tidak ada pula larangannya. Hal ini dilakukan untuk kepentingan kemaslahatan. Dalam prakteknya para sahabat  menggunakan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yang sama sekali tidak ditemukan satu dalilpun yang melarang atau menyuruhnya.</w:t>
      </w:r>
      <w:r w:rsidRPr="00F11239">
        <w:rPr>
          <w:rStyle w:val="FootnoteReference"/>
          <w:rFonts w:ascii="Times New Roman" w:hAnsi="Times New Roman" w:cs="Times New Roman"/>
          <w:sz w:val="24"/>
          <w:szCs w:val="24"/>
        </w:rPr>
        <w:footnoteReference w:id="12"/>
      </w:r>
      <w:r w:rsidRPr="00F11239">
        <w:rPr>
          <w:rFonts w:ascii="Times New Roman" w:hAnsi="Times New Roman" w:cs="Times New Roman"/>
          <w:sz w:val="24"/>
          <w:szCs w:val="24"/>
        </w:rPr>
        <w:t xml:space="preserve"> </w:t>
      </w:r>
    </w:p>
    <w:p w14:paraId="0C227247" w14:textId="77777777" w:rsidR="00F11239" w:rsidRPr="00F11239" w:rsidRDefault="00F11239" w:rsidP="00F11239">
      <w:pPr>
        <w:pStyle w:val="ListParagraph"/>
        <w:numPr>
          <w:ilvl w:val="0"/>
          <w:numId w:val="2"/>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Dilakukan oleh sahabat sesuai dengan tujuan syara’, maka harus dipraktekkan sesuai dengan tujuan itu. Jika itu </w:t>
      </w:r>
      <w:r w:rsidRPr="00F11239">
        <w:rPr>
          <w:rFonts w:ascii="Times New Roman" w:hAnsi="Times New Roman" w:cs="Times New Roman"/>
          <w:sz w:val="24"/>
          <w:szCs w:val="24"/>
        </w:rPr>
        <w:lastRenderedPageBreak/>
        <w:t xml:space="preserve">dikesampingkan berarti tidak mengindahkan tujuan syariat maka menjadi batal dan tidak dapat diterima. Dengan berpegang  kepada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merupakan kewajiban sebab ia merupakan salah satu pegangan pokok yang berdiri sendiri, tidak keluar dari pokok, pokok pegangan yang lainnya, malah ada titik temunya.</w:t>
      </w:r>
      <w:r w:rsidRPr="00F11239">
        <w:rPr>
          <w:rStyle w:val="FootnoteReference"/>
          <w:rFonts w:ascii="Times New Roman" w:hAnsi="Times New Roman" w:cs="Times New Roman"/>
          <w:sz w:val="24"/>
          <w:szCs w:val="24"/>
        </w:rPr>
        <w:t xml:space="preserve"> </w:t>
      </w:r>
      <w:r w:rsidRPr="00F11239">
        <w:rPr>
          <w:rStyle w:val="FootnoteReference"/>
          <w:rFonts w:ascii="Times New Roman" w:hAnsi="Times New Roman" w:cs="Times New Roman"/>
          <w:sz w:val="24"/>
          <w:szCs w:val="24"/>
        </w:rPr>
        <w:footnoteReference w:id="13"/>
      </w:r>
      <w:r w:rsidRPr="00F11239">
        <w:rPr>
          <w:rFonts w:ascii="Times New Roman" w:hAnsi="Times New Roman" w:cs="Times New Roman"/>
          <w:sz w:val="24"/>
          <w:szCs w:val="24"/>
        </w:rPr>
        <w:t xml:space="preserve"> </w:t>
      </w:r>
    </w:p>
    <w:p w14:paraId="2086C83D" w14:textId="77777777" w:rsidR="00F11239" w:rsidRPr="00F11239" w:rsidRDefault="00F11239" w:rsidP="00F11239">
      <w:pPr>
        <w:pStyle w:val="ListParagraph"/>
        <w:numPr>
          <w:ilvl w:val="0"/>
          <w:numId w:val="2"/>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Pendapat Zaky al – Din Sya’ban, menjelaskan  tujuan persyariatan hukum adalah untuk mengimplementasikan kemaslahatan dan menolak timbulnya kerusakan dalam kehidupan manusia. Dan tidak dapat diragukan  bahwa kemaslahatan itu terus berkembang dengan perkembangan zaman dan begitu pula kemaslahatan itu dinamis situasi dan lingkungan. Jika kemaslahatan tidak dicermati secara seksama dan tidak diresponi dengan ketetapan maka yang sesuai kecuali hanya terpaku kepada adanya dalil yang mengakuinya, niscaya kemaslahatan itu akan hilang dari dari kehidupan </w:t>
      </w:r>
      <w:r w:rsidRPr="00F11239">
        <w:rPr>
          <w:rFonts w:ascii="Times New Roman" w:hAnsi="Times New Roman" w:cs="Times New Roman"/>
          <w:sz w:val="24"/>
          <w:szCs w:val="24"/>
        </w:rPr>
        <w:t>manusia serta berhentilah pertumbuhan hukum. Padahal sikap yang tidak memperhatikan perkembangan maslahat adalah tidak sejalan dengan apa yang menjadi tujuan syariat yaitu merealisir kemaslahatan dan menolak kerusakan dalam kehidupan manusia.</w:t>
      </w:r>
      <w:r w:rsidRPr="00F11239">
        <w:rPr>
          <w:rStyle w:val="FootnoteReference"/>
          <w:rFonts w:ascii="Times New Roman" w:hAnsi="Times New Roman" w:cs="Times New Roman"/>
          <w:sz w:val="24"/>
          <w:szCs w:val="24"/>
        </w:rPr>
        <w:footnoteReference w:id="14"/>
      </w:r>
    </w:p>
    <w:p w14:paraId="7761B4E1" w14:textId="6E5D49E7" w:rsidR="00F11239" w:rsidRPr="00C442E0" w:rsidRDefault="00F11239" w:rsidP="00C442E0">
      <w:pPr>
        <w:pStyle w:val="ListParagraph"/>
        <w:numPr>
          <w:ilvl w:val="0"/>
          <w:numId w:val="2"/>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Penggunaan </w:t>
      </w:r>
      <w:r w:rsidRPr="00F11239">
        <w:rPr>
          <w:rFonts w:ascii="Times New Roman" w:hAnsi="Times New Roman" w:cs="Times New Roman"/>
          <w:i/>
          <w:iCs/>
          <w:sz w:val="24"/>
          <w:szCs w:val="24"/>
        </w:rPr>
        <w:t xml:space="preserve">Maslahah al - Mursalah </w:t>
      </w:r>
      <w:r w:rsidRPr="00F11239">
        <w:rPr>
          <w:rFonts w:ascii="Times New Roman" w:hAnsi="Times New Roman" w:cs="Times New Roman"/>
          <w:sz w:val="24"/>
          <w:szCs w:val="24"/>
        </w:rPr>
        <w:t xml:space="preserve"> sebagai dalil hukum harus memenuhii persyaratan yaitu : (a). </w:t>
      </w:r>
      <w:r w:rsidRPr="00F11239">
        <w:rPr>
          <w:rFonts w:ascii="Times New Roman" w:hAnsi="Times New Roman" w:cs="Times New Roman"/>
          <w:i/>
          <w:iCs/>
          <w:sz w:val="24"/>
          <w:szCs w:val="24"/>
        </w:rPr>
        <w:t>Al – Maslahah Mursalah</w:t>
      </w:r>
      <w:r w:rsidRPr="00F11239">
        <w:rPr>
          <w:rFonts w:ascii="Times New Roman" w:hAnsi="Times New Roman" w:cs="Times New Roman"/>
          <w:sz w:val="24"/>
          <w:szCs w:val="24"/>
        </w:rPr>
        <w:t xml:space="preserve">  itu adalah maslahah yang hakiki dan bersifat umum, artinya dapat diterima oleh akal sehat bahwa ia benar – benar mendatangkan manfaat bagi manusia dan menghindarkan mudarat dari manusia secara utuh. (b). Dinilai akal sehat sebagai maslahah yang hakiki  benar – benar sejalan dengan maksud tujuan syara’ dalam menetapkan  setiap hukum yakni mewujudkan kemaslahatan bagi umat manusia (c). Dinilai akal sehat sebagai sesuatu maslahah yang hakiki dan telah sejalan dengan tujuan syara’ dalam menetapkan </w:t>
      </w:r>
      <w:r w:rsidRPr="00F11239">
        <w:rPr>
          <w:rFonts w:ascii="Times New Roman" w:hAnsi="Times New Roman" w:cs="Times New Roman"/>
          <w:sz w:val="24"/>
          <w:szCs w:val="24"/>
        </w:rPr>
        <w:lastRenderedPageBreak/>
        <w:t xml:space="preserve">hukum itu tidak berbenturan dengan dalil syara’ yang telah ada baik dalam Alquran – sunnah - ijma’ ulama (c). </w:t>
      </w:r>
      <w:r w:rsidRPr="00F11239">
        <w:rPr>
          <w:rFonts w:ascii="Times New Roman" w:hAnsi="Times New Roman" w:cs="Times New Roman"/>
          <w:i/>
          <w:iCs/>
          <w:sz w:val="24"/>
          <w:szCs w:val="24"/>
        </w:rPr>
        <w:t>Al – Maslahah Mursalah</w:t>
      </w:r>
      <w:r w:rsidRPr="00F11239">
        <w:rPr>
          <w:rFonts w:ascii="Times New Roman" w:hAnsi="Times New Roman" w:cs="Times New Roman"/>
          <w:sz w:val="24"/>
          <w:szCs w:val="24"/>
        </w:rPr>
        <w:t xml:space="preserve"> itu  diamalkan dengan kondisi yang memerlukan yang seandainya masalah tidak diselesaikan dengan cara ini maka umat akan berada dalam kesempitan hidup maka harus ditempuh untuk menghindarkan umat dari kesulitan.</w:t>
      </w:r>
      <w:r w:rsidRPr="00F11239">
        <w:rPr>
          <w:rStyle w:val="FootnoteReference"/>
          <w:rFonts w:ascii="Times New Roman" w:hAnsi="Times New Roman" w:cs="Times New Roman"/>
          <w:sz w:val="24"/>
          <w:szCs w:val="24"/>
        </w:rPr>
        <w:footnoteReference w:id="15"/>
      </w:r>
      <w:r w:rsidRPr="00F11239">
        <w:rPr>
          <w:rFonts w:ascii="Times New Roman" w:hAnsi="Times New Roman" w:cs="Times New Roman"/>
          <w:sz w:val="24"/>
          <w:szCs w:val="24"/>
        </w:rPr>
        <w:t xml:space="preserve"> </w:t>
      </w:r>
    </w:p>
    <w:p w14:paraId="7A650CF4" w14:textId="77777777" w:rsidR="00F11239" w:rsidRPr="00F11239" w:rsidRDefault="00F11239" w:rsidP="00F11239">
      <w:pPr>
        <w:pStyle w:val="ListParagraph"/>
        <w:numPr>
          <w:ilvl w:val="0"/>
          <w:numId w:val="1"/>
        </w:numPr>
        <w:spacing w:after="0" w:line="360" w:lineRule="auto"/>
        <w:jc w:val="both"/>
        <w:rPr>
          <w:rFonts w:ascii="Times New Roman" w:hAnsi="Times New Roman" w:cs="Times New Roman"/>
          <w:sz w:val="24"/>
          <w:szCs w:val="24"/>
        </w:rPr>
      </w:pP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tidak dapat dijadikan sebagai dalil hukum. Pendapat ini dikemukakan oleh mazhab Hanafi, mazhab Syafii, dan mazhab Zahiriyah,</w:t>
      </w:r>
      <w:r w:rsidRPr="00F11239">
        <w:rPr>
          <w:rStyle w:val="FootnoteReference"/>
          <w:rFonts w:ascii="Times New Roman" w:hAnsi="Times New Roman" w:cs="Times New Roman"/>
          <w:sz w:val="24"/>
          <w:szCs w:val="24"/>
        </w:rPr>
        <w:footnoteReference w:id="16"/>
      </w:r>
      <w:r w:rsidRPr="00F11239">
        <w:rPr>
          <w:rFonts w:ascii="Times New Roman" w:hAnsi="Times New Roman" w:cs="Times New Roman"/>
          <w:sz w:val="24"/>
          <w:szCs w:val="24"/>
        </w:rPr>
        <w:t xml:space="preserve"> dengan alasan:</w:t>
      </w:r>
    </w:p>
    <w:p w14:paraId="11AED82A" w14:textId="77777777" w:rsidR="00F11239" w:rsidRPr="00F11239" w:rsidRDefault="00F11239" w:rsidP="00F11239">
      <w:pPr>
        <w:pStyle w:val="ListParagraph"/>
        <w:numPr>
          <w:ilvl w:val="0"/>
          <w:numId w:val="3"/>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Suatu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ada petunjuk syari’ yang membenarkannya atau disebut </w:t>
      </w:r>
      <w:r w:rsidRPr="00F11239">
        <w:rPr>
          <w:rFonts w:ascii="Times New Roman" w:hAnsi="Times New Roman" w:cs="Times New Roman"/>
          <w:i/>
          <w:iCs/>
          <w:sz w:val="24"/>
          <w:szCs w:val="24"/>
        </w:rPr>
        <w:t>mu’tabarah</w:t>
      </w:r>
      <w:r w:rsidRPr="00F11239">
        <w:rPr>
          <w:rFonts w:ascii="Times New Roman" w:hAnsi="Times New Roman" w:cs="Times New Roman"/>
          <w:sz w:val="24"/>
          <w:szCs w:val="24"/>
        </w:rPr>
        <w:t xml:space="preserve">, maka ia telah termasuk umumnya qiyas. Seandainya tidak ada petunjuk syara’ yang membenarkannya, maka ia tidak mungkin disebut sebagai suatu masalahah. Mengamalkan sesuatu yang di luar petunjuk syara’ berarti mengakui akan kurangnya lengkapnya nash (Alquran – hadis). Padahal </w:t>
      </w:r>
      <w:r w:rsidRPr="00F11239">
        <w:rPr>
          <w:rFonts w:ascii="Times New Roman" w:hAnsi="Times New Roman" w:cs="Times New Roman"/>
          <w:sz w:val="24"/>
          <w:szCs w:val="24"/>
        </w:rPr>
        <w:t>Alquran dan sunnah Nabi telah sempurna dan meliputi semua hal.</w:t>
      </w:r>
    </w:p>
    <w:p w14:paraId="7BA78FE8" w14:textId="77777777" w:rsidR="00F11239" w:rsidRPr="00F11239" w:rsidRDefault="00F11239" w:rsidP="00F11239">
      <w:pPr>
        <w:pStyle w:val="ListParagraph"/>
        <w:numPr>
          <w:ilvl w:val="0"/>
          <w:numId w:val="3"/>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Beramal dengan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yang tidak mendapat pengakuan tersendiri  dari nash akan membawa kepada pengamalan hukum yang berlandaskan pada sekehendak hati  dan menurut hawa nafsu. Cara seperti ini tidak lazim dalam prinsip – prinsip Islam. Keberatan al – Ghazali untuk menggunakan </w:t>
      </w:r>
      <w:r w:rsidRPr="00F11239">
        <w:rPr>
          <w:rFonts w:ascii="Times New Roman" w:hAnsi="Times New Roman" w:cs="Times New Roman"/>
          <w:i/>
          <w:iCs/>
          <w:sz w:val="24"/>
          <w:szCs w:val="24"/>
        </w:rPr>
        <w:t>Istihsan</w:t>
      </w:r>
      <w:r w:rsidRPr="00F11239">
        <w:rPr>
          <w:rFonts w:ascii="Times New Roman" w:hAnsi="Times New Roman" w:cs="Times New Roman"/>
          <w:sz w:val="24"/>
          <w:szCs w:val="24"/>
        </w:rPr>
        <w:t xml:space="preserve"> dan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sebenarnya karena tidak ingin melaksanakan hukum seenaknya (</w:t>
      </w:r>
      <w:r w:rsidRPr="00F11239">
        <w:rPr>
          <w:rFonts w:ascii="Times New Roman" w:hAnsi="Times New Roman" w:cs="Times New Roman"/>
          <w:i/>
          <w:iCs/>
          <w:sz w:val="24"/>
          <w:szCs w:val="24"/>
        </w:rPr>
        <w:t>talazzus</w:t>
      </w:r>
      <w:r w:rsidRPr="00F11239">
        <w:rPr>
          <w:rFonts w:ascii="Times New Roman" w:hAnsi="Times New Roman" w:cs="Times New Roman"/>
          <w:sz w:val="24"/>
          <w:szCs w:val="24"/>
        </w:rPr>
        <w:t>) dan beliau menetapkan syarat yang berat untuk ketetapan hukum</w:t>
      </w:r>
    </w:p>
    <w:p w14:paraId="6648B083" w14:textId="77777777" w:rsidR="00F11239" w:rsidRPr="00F11239" w:rsidRDefault="00F11239" w:rsidP="00F11239">
      <w:pPr>
        <w:pStyle w:val="ListParagraph"/>
        <w:numPr>
          <w:ilvl w:val="0"/>
          <w:numId w:val="3"/>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t xml:space="preserve">Menggunakan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dalam ijtihad tanpa berpegang pada nash akan mengakibatkan munculmnya sikap bebas dalam menetapkan hukum yang dapat mengakibatkan seorang teraniaya atas nama hukum. Hal ini akan menyalahi prinsip – prinsip penetapan hukum dalam Islam yakni tidak boleh merusak dan juga tidak ada yang dirusak</w:t>
      </w:r>
    </w:p>
    <w:p w14:paraId="16587125" w14:textId="1058C2EE" w:rsidR="00F11239" w:rsidRPr="00C442E0" w:rsidRDefault="00F11239" w:rsidP="00F11239">
      <w:pPr>
        <w:pStyle w:val="ListParagraph"/>
        <w:numPr>
          <w:ilvl w:val="0"/>
          <w:numId w:val="3"/>
        </w:numPr>
        <w:spacing w:after="0" w:line="360" w:lineRule="auto"/>
        <w:jc w:val="both"/>
        <w:rPr>
          <w:rFonts w:ascii="Times New Roman" w:hAnsi="Times New Roman" w:cs="Times New Roman"/>
          <w:sz w:val="24"/>
          <w:szCs w:val="24"/>
        </w:rPr>
      </w:pPr>
      <w:r w:rsidRPr="00F11239">
        <w:rPr>
          <w:rFonts w:ascii="Times New Roman" w:hAnsi="Times New Roman" w:cs="Times New Roman"/>
          <w:sz w:val="24"/>
          <w:szCs w:val="24"/>
        </w:rPr>
        <w:lastRenderedPageBreak/>
        <w:t xml:space="preserve">Seandainya dibolehkan berijtihad dengan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yang tidak mendapat dukungan dari nash, maka akan memberi kemungkinan untuk berubahnya hukum syara’ karena alasan berubahnya waktu dan berlainan tempat berlakunya hukum syara’. Dalam kondisi demikian tidak akan ada kepastian hukum. Hal ini tidak sejalan dengan prinsip – prinsip hukum syara’ yang universal dan lestari serta meliputi semua umat Islam.</w:t>
      </w:r>
      <w:r w:rsidRPr="00F11239">
        <w:rPr>
          <w:rStyle w:val="FootnoteReference"/>
          <w:rFonts w:ascii="Times New Roman" w:hAnsi="Times New Roman" w:cs="Times New Roman"/>
          <w:sz w:val="24"/>
          <w:szCs w:val="24"/>
        </w:rPr>
        <w:footnoteReference w:id="17"/>
      </w:r>
    </w:p>
    <w:p w14:paraId="59F961F2" w14:textId="71A7E92B" w:rsidR="00F11239" w:rsidRPr="00F11239" w:rsidRDefault="00F11239" w:rsidP="00F11239">
      <w:pPr>
        <w:pStyle w:val="ListParagraph"/>
        <w:numPr>
          <w:ilvl w:val="0"/>
          <w:numId w:val="5"/>
        </w:numPr>
        <w:spacing w:after="120" w:line="360" w:lineRule="auto"/>
        <w:ind w:left="0" w:firstLine="0"/>
        <w:jc w:val="both"/>
        <w:rPr>
          <w:rFonts w:ascii="Times New Roman" w:hAnsi="Times New Roman" w:cs="Times New Roman"/>
          <w:b/>
          <w:bCs/>
          <w:sz w:val="24"/>
          <w:szCs w:val="24"/>
        </w:rPr>
      </w:pPr>
      <w:r w:rsidRPr="00F11239">
        <w:rPr>
          <w:rFonts w:ascii="Times New Roman" w:hAnsi="Times New Roman" w:cs="Times New Roman"/>
          <w:b/>
          <w:bCs/>
          <w:sz w:val="24"/>
          <w:szCs w:val="24"/>
        </w:rPr>
        <w:t xml:space="preserve">Analisis </w:t>
      </w:r>
      <w:r w:rsidRPr="00F11239">
        <w:rPr>
          <w:rFonts w:ascii="Times New Roman" w:hAnsi="Times New Roman" w:cs="Times New Roman"/>
          <w:b/>
          <w:bCs/>
          <w:i/>
          <w:iCs/>
          <w:sz w:val="24"/>
          <w:szCs w:val="24"/>
        </w:rPr>
        <w:t>Maslahah al – Mursalah</w:t>
      </w:r>
      <w:r w:rsidRPr="00F11239">
        <w:rPr>
          <w:rFonts w:ascii="Times New Roman" w:hAnsi="Times New Roman" w:cs="Times New Roman"/>
          <w:b/>
          <w:bCs/>
          <w:sz w:val="24"/>
          <w:szCs w:val="24"/>
        </w:rPr>
        <w:t xml:space="preserve"> Terhadap Urgensi Penyempurnaan Kategori Tindakan Kekerasan Perspektif Permendikbud No 82 tahun 2015 tentang PPKSP</w:t>
      </w:r>
    </w:p>
    <w:p w14:paraId="4F2F6205" w14:textId="77777777" w:rsidR="00F11239" w:rsidRPr="00F11239" w:rsidRDefault="00F11239" w:rsidP="00F11239">
      <w:pPr>
        <w:spacing w:after="0"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Diterbitkannya Permendikbud No 82 tahun 2015 tentang PPKSP memberikan arah baru dalam pencegahan dan penanganan kekerasan pada satuan pendidikan. Kehadiran Permendikbud dipandang tepat di tengah tingginya angka kekerasan dalam dunia pendidikan Indonesia yang dapat mengganggu kondisi proses pembelajaran yang aman, nyaman dan menyenangkan. Melalui Permendikbud menjadi instrumen hukum pendidikan </w:t>
      </w:r>
      <w:r w:rsidRPr="00F11239">
        <w:rPr>
          <w:rFonts w:ascii="Times New Roman" w:hAnsi="Times New Roman" w:cs="Times New Roman"/>
          <w:sz w:val="24"/>
          <w:szCs w:val="24"/>
        </w:rPr>
        <w:t>menghindarkan semua warga sekolah dari unsur – unsur atau tindak kekerasan. Menumbuhkan pergaulan yang harmonis dan kebersamaan antar pendidik atau antara peserta didik dengan pendidik, tenaga kependidikan dan orang tua serta masyarakat baik dalam satuan pendidikan maupun antar satuan pendidikan. Sekaligus pula  kehadiran Permendikbud guna melindungi anak dari kekerasan yang terjadi, mencegah anak melakukan tindakan kekerasan dan mengatur mekanisme pencegahan dan penanggulangan serta sanksi terhadap tindakan kekerasan di lingkungan satuan pendidikan yang melibatkan anak baik sebagai korban maupun pelaku.</w:t>
      </w:r>
    </w:p>
    <w:p w14:paraId="67D0433D" w14:textId="77777777" w:rsidR="00F11239" w:rsidRPr="00F11239" w:rsidRDefault="00F11239" w:rsidP="00F11239">
      <w:pPr>
        <w:spacing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Namun sejak tahun 2015 setelah diterbitkannnya Permendikbud ini, pada perjalanannya dipandang tidak relevan lagi sebagai payung hukum PPKSP,  dibutuhkankan prores penyempurnaan terutama terkait penentukan kategori tindakan kekerasan yang menurut Permendikbud ini diatur:  Kekerasan fisik,  kekerasan psikis, kekerasan ekonomi, kekerasan seksual dan  kekerasan perundungan. Perkembangan hari ini menunjukkan munculnya kategori tindakan kekerasan baru berkembang dengan pola – pola baru pula seperti : </w:t>
      </w:r>
      <w:r w:rsidRPr="00F11239">
        <w:rPr>
          <w:rFonts w:ascii="Times New Roman" w:hAnsi="Times New Roman" w:cs="Times New Roman"/>
          <w:sz w:val="24"/>
          <w:szCs w:val="24"/>
          <w:lang w:val="en-US"/>
        </w:rPr>
        <w:t xml:space="preserve">Diskriminasi dan </w:t>
      </w:r>
      <w:r w:rsidRPr="00F11239">
        <w:rPr>
          <w:rFonts w:ascii="Times New Roman" w:hAnsi="Times New Roman" w:cs="Times New Roman"/>
          <w:sz w:val="24"/>
          <w:szCs w:val="24"/>
          <w:lang w:val="en-US"/>
        </w:rPr>
        <w:lastRenderedPageBreak/>
        <w:t xml:space="preserve">intoleransi, kebijakan yang mengandung kekerasan dan bentuk kekrasan lainnya (fisik, verbal, non verbal dan melalui media teknologi informasi komunikasi). </w:t>
      </w:r>
      <w:r w:rsidRPr="00F11239">
        <w:rPr>
          <w:rFonts w:ascii="Times New Roman" w:hAnsi="Times New Roman" w:cs="Times New Roman"/>
          <w:sz w:val="24"/>
          <w:szCs w:val="24"/>
        </w:rPr>
        <w:t>Penyempurnaan Permendikbud No 82 tahun 2015 tentang PPKSP dipandang sebagai kebutuhan dan tuntutan. Paling tidak pasal terkait dengan kategori tindakan kekerasan lazimnya di revisi atau disempurnakan dengan mengadopsi kategori tindakan kekerasan baru yang justru semakin meningkat.</w:t>
      </w:r>
    </w:p>
    <w:p w14:paraId="0162B7CB" w14:textId="77777777" w:rsidR="009C4316" w:rsidRDefault="00F11239" w:rsidP="009C4316">
      <w:pPr>
        <w:spacing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Dalam perspektif hukum Islam, proses pembentukan dan pembangunan hukum tidak terlepas kembali memperhatikan prinsip – prinsip hukum Islam itu sendiri, salah satu prinsip dimaksud adalah setipa pembentukan hukum harus memperhatikan kemaslahatan manusia. Fathurrahman Djamil menegaskan bahwa hukum Islam sangat memperhatikan kemanusiaan. Hal ini terbukti ayat – ayat hukum dalam Alquran tidak pernah meninggalkan masyarakat sebagai pertimbangan hukum. Proses penetapan hukum senantiasa mempertimbangkan tiga hal pokok yaitu : (1). Hukum – hukum ditetapkan sesudah masyarakat membutuhkan hukum itu (2). </w:t>
      </w:r>
      <w:r w:rsidRPr="00F11239">
        <w:rPr>
          <w:rFonts w:ascii="Times New Roman" w:hAnsi="Times New Roman" w:cs="Times New Roman"/>
          <w:sz w:val="24"/>
          <w:szCs w:val="24"/>
        </w:rPr>
        <w:t>Hukum – hukum ditetapkan oleh kekuasaan yang berhak menetapkan hukum dan menundukkan masyarakat ke bawah ketetapannya (3). Hukum – hukum ditetapkan menurut kadar kebutuhan  masyarakat.</w:t>
      </w:r>
      <w:r w:rsidRPr="00F11239">
        <w:rPr>
          <w:rStyle w:val="FootnoteReference"/>
          <w:rFonts w:ascii="Times New Roman" w:hAnsi="Times New Roman" w:cs="Times New Roman"/>
          <w:sz w:val="24"/>
          <w:szCs w:val="24"/>
        </w:rPr>
        <w:footnoteReference w:id="18"/>
      </w:r>
      <w:r w:rsidRPr="00F11239">
        <w:rPr>
          <w:rFonts w:ascii="Times New Roman" w:hAnsi="Times New Roman" w:cs="Times New Roman"/>
          <w:sz w:val="24"/>
          <w:szCs w:val="24"/>
        </w:rPr>
        <w:t xml:space="preserve"> Dengan kata lain setiap pembentukan dan penetapan hukum harus mempertimbangkan kemaslahatan manusia.</w:t>
      </w:r>
    </w:p>
    <w:p w14:paraId="79FE2D09" w14:textId="53BF40FD" w:rsidR="00F11239" w:rsidRPr="00F11239" w:rsidRDefault="00F11239" w:rsidP="009C4316">
      <w:pPr>
        <w:spacing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Kemaslahatan</w:t>
      </w:r>
      <w:r w:rsidR="009C4316">
        <w:rPr>
          <w:rFonts w:ascii="Times New Roman" w:hAnsi="Times New Roman" w:cs="Times New Roman"/>
          <w:sz w:val="24"/>
          <w:szCs w:val="24"/>
          <w:lang w:val="en-US"/>
        </w:rPr>
        <w:t xml:space="preserve"> </w:t>
      </w:r>
      <w:r w:rsidRPr="00F11239">
        <w:rPr>
          <w:rFonts w:ascii="Times New Roman" w:hAnsi="Times New Roman" w:cs="Times New Roman"/>
          <w:i/>
          <w:iCs/>
          <w:sz w:val="24"/>
          <w:szCs w:val="24"/>
        </w:rPr>
        <w:t>maslahah</w:t>
      </w:r>
      <w:r w:rsidR="009C4316">
        <w:rPr>
          <w:rFonts w:ascii="Times New Roman" w:hAnsi="Times New Roman" w:cs="Times New Roman"/>
          <w:sz w:val="24"/>
          <w:szCs w:val="24"/>
          <w:lang w:val="en-US"/>
        </w:rPr>
        <w:t xml:space="preserve"> </w:t>
      </w:r>
      <w:r w:rsidRPr="00F11239">
        <w:rPr>
          <w:rFonts w:ascii="Times New Roman" w:hAnsi="Times New Roman" w:cs="Times New Roman"/>
          <w:sz w:val="24"/>
          <w:szCs w:val="24"/>
        </w:rPr>
        <w:t>sebagaimana telah didefiniskan para ulama ushul fikih sebelumnya adalah semua yang dapat memberikan manfaat bagi manusia baik kemanfaatannya untuk meraih kebaikan dan kesenangan maupun kemanfaatan untuk menghilangkan kesulitan dan kesusahan.</w:t>
      </w:r>
      <w:r w:rsidRPr="00F11239">
        <w:rPr>
          <w:rStyle w:val="FootnoteReference"/>
          <w:rFonts w:ascii="Times New Roman" w:hAnsi="Times New Roman" w:cs="Times New Roman"/>
          <w:sz w:val="24"/>
          <w:szCs w:val="24"/>
        </w:rPr>
        <w:footnoteReference w:id="19"/>
      </w:r>
      <w:r w:rsidRPr="00F11239">
        <w:rPr>
          <w:rFonts w:ascii="Times New Roman" w:hAnsi="Times New Roman" w:cs="Times New Roman"/>
          <w:sz w:val="24"/>
          <w:szCs w:val="24"/>
        </w:rPr>
        <w:t xml:space="preserve"> Atau pandangan mujtahid tentang perbuatan yang mengandung kebaikan yang jelas dan bukan perbuatan yang berlawanan dengan hukum syara’.</w:t>
      </w:r>
      <w:r w:rsidRPr="00F11239">
        <w:rPr>
          <w:rStyle w:val="FootnoteReference"/>
          <w:rFonts w:ascii="Times New Roman" w:hAnsi="Times New Roman" w:cs="Times New Roman"/>
          <w:sz w:val="24"/>
          <w:szCs w:val="24"/>
        </w:rPr>
        <w:footnoteReference w:id="20"/>
      </w:r>
      <w:r w:rsidRPr="00F11239">
        <w:rPr>
          <w:rFonts w:ascii="Times New Roman" w:hAnsi="Times New Roman" w:cs="Times New Roman"/>
          <w:sz w:val="24"/>
          <w:szCs w:val="24"/>
        </w:rPr>
        <w:t xml:space="preserve"> Kemaslahatan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dapat dijadikan dalil hukum dengan memperhatikan syarat – syarat yaitu : (1).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itu adalah maslahah yang hakiki dan bersifat umum, artinya dapat diterima oleh akal sehat bahwa ia benar – benar mendatangkan manfaat bagi manusia dan menghindarkan mudarat dari manusia secara utuh. (2). </w:t>
      </w:r>
      <w:r w:rsidRPr="00F11239">
        <w:rPr>
          <w:rFonts w:ascii="Times New Roman" w:hAnsi="Times New Roman" w:cs="Times New Roman"/>
          <w:sz w:val="24"/>
          <w:szCs w:val="24"/>
        </w:rPr>
        <w:lastRenderedPageBreak/>
        <w:t xml:space="preserve">Dinilai akal sehat sebagai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hakiki  benar – benar sejalan dengan maksud tujuan syara’ dalam menetapkan  setiap hukum yakni mewujudkan kemaslahatan bagi umat manusia (3). Dinilai akal sehat sebagai sesuatu </w:t>
      </w:r>
      <w:r w:rsidRPr="00F11239">
        <w:rPr>
          <w:rFonts w:ascii="Times New Roman" w:hAnsi="Times New Roman" w:cs="Times New Roman"/>
          <w:i/>
          <w:iCs/>
          <w:sz w:val="24"/>
          <w:szCs w:val="24"/>
        </w:rPr>
        <w:t>maslahah</w:t>
      </w:r>
      <w:r w:rsidRPr="00F11239">
        <w:rPr>
          <w:rFonts w:ascii="Times New Roman" w:hAnsi="Times New Roman" w:cs="Times New Roman"/>
          <w:sz w:val="24"/>
          <w:szCs w:val="24"/>
        </w:rPr>
        <w:t xml:space="preserve"> yang hakiki dan telah sejalan dengan tujuan syara’ dalam menetapkan hukum itu tidak berbenturan dengan dalil syara’ yang telah ada baik dalam Alquran – sunnah - ijma’ ulama (4). </w:t>
      </w:r>
      <w:r w:rsidRPr="00F11239">
        <w:rPr>
          <w:rFonts w:ascii="Times New Roman" w:hAnsi="Times New Roman" w:cs="Times New Roman"/>
          <w:i/>
          <w:iCs/>
          <w:sz w:val="24"/>
          <w:szCs w:val="24"/>
        </w:rPr>
        <w:t>Maslahah al - Mursalah</w:t>
      </w:r>
      <w:r w:rsidRPr="00F11239">
        <w:rPr>
          <w:rFonts w:ascii="Times New Roman" w:hAnsi="Times New Roman" w:cs="Times New Roman"/>
          <w:sz w:val="24"/>
          <w:szCs w:val="24"/>
        </w:rPr>
        <w:t xml:space="preserve"> itu  diamalkan dengan kondisi yang memerlukan yang seandainya masalah tidak diselesaikan dengan cara ini maka umat akan berada dalam kesempitan hidup maka harus ditempuh untuk menghindarkan umat dari kesulitan.</w:t>
      </w:r>
      <w:r w:rsidRPr="00F11239">
        <w:rPr>
          <w:rStyle w:val="FootnoteReference"/>
          <w:rFonts w:ascii="Times New Roman" w:hAnsi="Times New Roman" w:cs="Times New Roman"/>
          <w:sz w:val="24"/>
          <w:szCs w:val="24"/>
        </w:rPr>
        <w:footnoteReference w:id="21"/>
      </w:r>
      <w:r w:rsidRPr="00F11239">
        <w:rPr>
          <w:rFonts w:ascii="Times New Roman" w:hAnsi="Times New Roman" w:cs="Times New Roman"/>
          <w:sz w:val="24"/>
          <w:szCs w:val="24"/>
        </w:rPr>
        <w:t xml:space="preserve"> </w:t>
      </w:r>
    </w:p>
    <w:p w14:paraId="055E224B" w14:textId="77777777" w:rsidR="009C4316" w:rsidRDefault="00F11239" w:rsidP="009C4316">
      <w:pPr>
        <w:spacing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Dalam konteks penyempurnaan Permendikbud No 82 tahun 2015 tentang PPKSP terutama terkait dengan pangaturan perluasan kategori tindakan kekerasan dipandang memberikan kemaslahatan tinggi dalam dunia pendidikan di Indonesia. Semakin tingginya angka kekerasan diriringi pula pola – pola baru sehingga menciptakan potensi kekerasan pada satuan pendidikan sudah seharusnya Permendikbud ini direvisi. Kekerasan di satuan pendidikan harus dicegah dan alternatif pencegahan dan penanggulangannya melalui payung hukum </w:t>
      </w:r>
      <w:r w:rsidRPr="00F11239">
        <w:rPr>
          <w:rFonts w:ascii="Times New Roman" w:hAnsi="Times New Roman" w:cs="Times New Roman"/>
          <w:sz w:val="24"/>
          <w:szCs w:val="24"/>
        </w:rPr>
        <w:t>pendidikan yang dapat mengakomodir berbagai bentuk kekerasan tersebut. Semakin tinggi dan meluasnya kasus kekerasan di sekolah menjadi persoalan darurat di Indonesia. Indonesia darurat kekerasan di satuan pendidikan. Atas dasar itu kondisi ini masuk dalam kategori kemaslahatan yang mengharuskan secepatnya penyempurnaan Permendikbud No 82 tahun 2015 tentang PPKSP terutama terkait dengan pangaturan perluasan kategori tindakan kekerasan</w:t>
      </w:r>
    </w:p>
    <w:p w14:paraId="70292084" w14:textId="300D32AF" w:rsidR="00564C34" w:rsidRPr="009C4316" w:rsidRDefault="00F11239" w:rsidP="009C4316">
      <w:pPr>
        <w:spacing w:line="360" w:lineRule="auto"/>
        <w:ind w:firstLine="720"/>
        <w:jc w:val="both"/>
        <w:rPr>
          <w:rFonts w:ascii="Times New Roman" w:hAnsi="Times New Roman" w:cs="Times New Roman"/>
          <w:sz w:val="24"/>
          <w:szCs w:val="24"/>
        </w:rPr>
      </w:pPr>
      <w:r w:rsidRPr="00F11239">
        <w:rPr>
          <w:rFonts w:ascii="Times New Roman" w:hAnsi="Times New Roman" w:cs="Times New Roman"/>
          <w:sz w:val="24"/>
          <w:szCs w:val="24"/>
        </w:rPr>
        <w:t xml:space="preserve">Penyempurnaan Permendikbud No 82 tahun 2015 tentang PPKSP terutama terkait dengan pangaturan perluasan kategori tindakan kekerasan diyakini akan memberikan  kemaslahatan lebih luas lagi. Jika tidak dilakukan Penyempurnaan Permendikbud  akan masuk dalam kategori peringkat daruriyah yang dapat mengancam eksistensi lima unsur pokok maslahat yakni pemeliharaan agama, jiwa, akal, keturunan dan harta. Artinya penyempurnaan Permendikbud No 82 tahun 2015 tentang PPKSP dipandang sebagai dharuriyah. Penyempurnaan Permendikbud menjadi bagian dari pemeliharaan agama. Misalnya tingginya angka kekerasan karena faktor diskriminasi dan intoleransi dapat mengganggu pemeliharaan agama, akidah pendidik akan lemah karena tidak diberikan </w:t>
      </w:r>
      <w:r w:rsidRPr="00F11239">
        <w:rPr>
          <w:rFonts w:ascii="Times New Roman" w:hAnsi="Times New Roman" w:cs="Times New Roman"/>
          <w:sz w:val="24"/>
          <w:szCs w:val="24"/>
        </w:rPr>
        <w:lastRenderedPageBreak/>
        <w:t>kesempatan sama untuk belajar menurut agamanya dan kepercayaanya. Tingginya angka kekerasan disebabkan oleh cyber (IT) dapat menimbulkan kejahatan seksual dan ini dapat mempengaruhi pemeliharaan agama, jiwa, akal, keturunan dan harta. Begitu kekerasan disebabkan salah kebijakan dapat mempengaruhi pemeliharaan jiwa, akal, keturunan dan harta. Selanjutnya  proses menuju penyempurnaan Permendikbud merupakan kemaslahatan benar – benar diyakini sebagai maslahat tidak didasarkan kepada dugaan semata. Begitupula kemaslahatan penyempurnaan Permendikbud berlaku secara umum dan kolektif guna mencegah dan menanggulangi kekerasan pada satuan pendidikan di Indonesia.</w:t>
      </w:r>
    </w:p>
    <w:p w14:paraId="504DE49E" w14:textId="37F612DA" w:rsidR="009C4316" w:rsidRPr="009C4316" w:rsidRDefault="009C431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Kesimpulan</w:t>
      </w:r>
    </w:p>
    <w:p w14:paraId="74D16382" w14:textId="0D3D2C35" w:rsidR="00564C34" w:rsidRPr="009C4316" w:rsidRDefault="009C4316" w:rsidP="009C431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9C4316">
        <w:rPr>
          <w:rFonts w:ascii="Times New Roman" w:hAnsi="Times New Roman" w:cs="Times New Roman"/>
          <w:sz w:val="24"/>
          <w:szCs w:val="24"/>
        </w:rPr>
        <w:t xml:space="preserve">Penyempurnaan Permendikbud No 82 tahun 2015 tentang PPKSP terutama terkait dengan pangaturan perluasan kategori tindakan kekerasan dalam analisis </w:t>
      </w:r>
      <w:r w:rsidRPr="009C4316">
        <w:rPr>
          <w:rFonts w:ascii="Times New Roman" w:hAnsi="Times New Roman" w:cs="Times New Roman"/>
          <w:i/>
          <w:iCs/>
          <w:sz w:val="24"/>
          <w:szCs w:val="24"/>
        </w:rPr>
        <w:t xml:space="preserve">Maslahah al – Mursalah </w:t>
      </w:r>
      <w:r w:rsidRPr="009C4316">
        <w:rPr>
          <w:rFonts w:ascii="Times New Roman" w:hAnsi="Times New Roman" w:cs="Times New Roman"/>
          <w:sz w:val="24"/>
          <w:szCs w:val="24"/>
        </w:rPr>
        <w:t xml:space="preserve">menjadi kebutuhan dan tuntutan bagi dunia pendidikan di Indonesia. Penyempurnaan kategori tindakan kekerasan dengan mengakomodir faktor diskriminasi dan intoleransi, salah kebijakan, dan kekerasan Informasi, teknologi dan komunikasi dipandang memberikan kemaslahatan. Kemaslahatan dimaksud masuk dalam kategori peringkat </w:t>
      </w:r>
      <w:r w:rsidRPr="009C4316">
        <w:rPr>
          <w:rFonts w:ascii="Times New Roman" w:hAnsi="Times New Roman" w:cs="Times New Roman"/>
          <w:i/>
          <w:iCs/>
          <w:sz w:val="24"/>
          <w:szCs w:val="24"/>
        </w:rPr>
        <w:t>dharuriyah</w:t>
      </w:r>
      <w:r w:rsidRPr="009C4316">
        <w:rPr>
          <w:rFonts w:ascii="Times New Roman" w:hAnsi="Times New Roman" w:cs="Times New Roman"/>
          <w:sz w:val="24"/>
          <w:szCs w:val="24"/>
        </w:rPr>
        <w:t xml:space="preserve">, jika tidak </w:t>
      </w:r>
      <w:r w:rsidRPr="009C4316">
        <w:rPr>
          <w:rFonts w:ascii="Times New Roman" w:hAnsi="Times New Roman" w:cs="Times New Roman"/>
          <w:sz w:val="24"/>
          <w:szCs w:val="24"/>
        </w:rPr>
        <w:t>ada penyempurnaan Permendikbud akan dapat mengancam lima unsur pokok (agama, jiwa, akal, keturunan dan harta). Kemudian kemaslahatan ini adalah kemaslahatan benar – benar diyakini sebagai maslahat tidak didasarkan kepada dugaan semata. Kemaslahatan penyempurnaan Permendikbud berlaku secara umum dan kolektif guna mencegah dan menanggulangi kekerasan pada satuan pendidikan di Indonesia.</w:t>
      </w:r>
    </w:p>
    <w:p w14:paraId="416DE33D" w14:textId="77777777" w:rsidR="009C4316" w:rsidRDefault="00BA7E68">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Refer</w:t>
      </w:r>
      <w:r w:rsidR="009C4316">
        <w:rPr>
          <w:rFonts w:ascii="Times New Roman" w:eastAsia="Times New Roman" w:hAnsi="Times New Roman" w:cs="Times New Roman"/>
          <w:b/>
          <w:color w:val="000000"/>
          <w:sz w:val="24"/>
          <w:szCs w:val="24"/>
          <w:lang w:val="en-US"/>
        </w:rPr>
        <w:t>ensi</w:t>
      </w:r>
    </w:p>
    <w:p w14:paraId="77FF0FEA" w14:textId="67A008F6" w:rsidR="009C4316" w:rsidRPr="009C4316" w:rsidRDefault="009C4316" w:rsidP="009C4316">
      <w:pPr>
        <w:pStyle w:val="FootnoteText"/>
        <w:ind w:left="709" w:hanging="709"/>
        <w:jc w:val="both"/>
        <w:rPr>
          <w:rFonts w:ascii="Times New Roman" w:hAnsi="Times New Roman" w:cs="Times New Roman"/>
          <w:sz w:val="24"/>
          <w:szCs w:val="24"/>
          <w:lang w:val="en-US"/>
        </w:rPr>
      </w:pPr>
      <w:r w:rsidRPr="009C4316">
        <w:rPr>
          <w:rFonts w:ascii="Times New Roman" w:hAnsi="Times New Roman" w:cs="Times New Roman"/>
          <w:sz w:val="24"/>
          <w:szCs w:val="24"/>
        </w:rPr>
        <w:t xml:space="preserve">Abdul Karim Zaidan, </w:t>
      </w:r>
      <w:r w:rsidRPr="009C4316">
        <w:rPr>
          <w:rFonts w:ascii="Times New Roman" w:hAnsi="Times New Roman" w:cs="Times New Roman"/>
          <w:i/>
          <w:iCs/>
          <w:sz w:val="24"/>
          <w:szCs w:val="24"/>
        </w:rPr>
        <w:t>al – Wajiz Fi Ushul al – Fiqh</w:t>
      </w:r>
      <w:r w:rsidRPr="009C4316">
        <w:rPr>
          <w:rFonts w:ascii="Times New Roman" w:hAnsi="Times New Roman" w:cs="Times New Roman"/>
          <w:sz w:val="24"/>
          <w:szCs w:val="24"/>
        </w:rPr>
        <w:t xml:space="preserve"> (Baghdad: al – Dar al – Arabiyah Littiba’ah, 1977) Cet. VI. </w:t>
      </w:r>
    </w:p>
    <w:p w14:paraId="0F1272AE" w14:textId="0184C247" w:rsidR="009C4316" w:rsidRPr="009C4316" w:rsidRDefault="009C4316" w:rsidP="009C4316">
      <w:pPr>
        <w:pStyle w:val="FootnoteText"/>
        <w:ind w:left="709" w:hanging="709"/>
        <w:jc w:val="both"/>
        <w:rPr>
          <w:rFonts w:ascii="Times New Roman" w:hAnsi="Times New Roman" w:cs="Times New Roman"/>
          <w:sz w:val="24"/>
          <w:szCs w:val="24"/>
          <w:lang w:val="en-US"/>
        </w:rPr>
      </w:pPr>
      <w:r w:rsidRPr="009C4316">
        <w:rPr>
          <w:rFonts w:ascii="Times New Roman" w:hAnsi="Times New Roman" w:cs="Times New Roman"/>
          <w:sz w:val="24"/>
          <w:szCs w:val="24"/>
        </w:rPr>
        <w:t xml:space="preserve">Abdul Wahab Khallaf, </w:t>
      </w:r>
      <w:r w:rsidRPr="009C4316">
        <w:rPr>
          <w:rFonts w:ascii="Times New Roman" w:hAnsi="Times New Roman" w:cs="Times New Roman"/>
          <w:i/>
          <w:iCs/>
          <w:sz w:val="24"/>
          <w:szCs w:val="24"/>
        </w:rPr>
        <w:t>Ilmu Ushul Fikih</w:t>
      </w:r>
      <w:r w:rsidRPr="009C4316">
        <w:rPr>
          <w:rFonts w:ascii="Times New Roman" w:hAnsi="Times New Roman" w:cs="Times New Roman"/>
          <w:sz w:val="24"/>
          <w:szCs w:val="24"/>
        </w:rPr>
        <w:t xml:space="preserve"> (Jakarta: al-Majlis al-A’la al-Indonesia li al-Da’wat al-Islamiyah, 1972)</w:t>
      </w:r>
      <w:r w:rsidRPr="009C4316">
        <w:rPr>
          <w:rFonts w:ascii="Times New Roman" w:hAnsi="Times New Roman" w:cs="Times New Roman"/>
          <w:i/>
          <w:iCs/>
          <w:sz w:val="24"/>
          <w:szCs w:val="24"/>
        </w:rPr>
        <w:t xml:space="preserve">  </w:t>
      </w:r>
    </w:p>
    <w:p w14:paraId="51C63BA0" w14:textId="75AFA3AC" w:rsidR="009C4316" w:rsidRPr="009C4316" w:rsidRDefault="009C4316" w:rsidP="009C4316">
      <w:pPr>
        <w:pStyle w:val="FootnoteText"/>
        <w:jc w:val="both"/>
        <w:rPr>
          <w:rFonts w:ascii="Times New Roman" w:hAnsi="Times New Roman" w:cs="Times New Roman"/>
          <w:sz w:val="24"/>
          <w:szCs w:val="24"/>
          <w:lang w:val="en-US"/>
        </w:rPr>
      </w:pPr>
      <w:r w:rsidRPr="009C4316">
        <w:rPr>
          <w:rFonts w:ascii="Times New Roman" w:hAnsi="Times New Roman" w:cs="Times New Roman"/>
          <w:sz w:val="24"/>
          <w:szCs w:val="24"/>
        </w:rPr>
        <w:t xml:space="preserve">Al – Ghazali, </w:t>
      </w:r>
      <w:r w:rsidRPr="009C4316">
        <w:rPr>
          <w:rFonts w:ascii="Times New Roman" w:hAnsi="Times New Roman" w:cs="Times New Roman"/>
          <w:i/>
          <w:iCs/>
          <w:sz w:val="24"/>
          <w:szCs w:val="24"/>
        </w:rPr>
        <w:t>al – Mustasfa</w:t>
      </w:r>
      <w:r w:rsidRPr="009C4316">
        <w:rPr>
          <w:rFonts w:ascii="Times New Roman" w:hAnsi="Times New Roman" w:cs="Times New Roman"/>
          <w:sz w:val="24"/>
          <w:szCs w:val="24"/>
        </w:rPr>
        <w:t xml:space="preserve"> (Mesir: Maktabah al – Jumdiyah, 1971)  </w:t>
      </w:r>
    </w:p>
    <w:p w14:paraId="3CEA4EBA" w14:textId="6E26F55E" w:rsidR="009C4316" w:rsidRPr="009C4316" w:rsidRDefault="009C4316" w:rsidP="009C4316">
      <w:pPr>
        <w:pStyle w:val="FootnoteText"/>
        <w:rPr>
          <w:rFonts w:ascii="Times New Roman" w:hAnsi="Times New Roman" w:cs="Times New Roman"/>
          <w:sz w:val="24"/>
          <w:szCs w:val="24"/>
        </w:rPr>
      </w:pPr>
      <w:r w:rsidRPr="009C4316">
        <w:rPr>
          <w:rFonts w:ascii="Times New Roman" w:hAnsi="Times New Roman" w:cs="Times New Roman"/>
          <w:sz w:val="24"/>
          <w:szCs w:val="24"/>
        </w:rPr>
        <w:t xml:space="preserve">Amir Syarifuddin, </w:t>
      </w:r>
      <w:r w:rsidRPr="009C4316">
        <w:rPr>
          <w:rFonts w:ascii="Times New Roman" w:hAnsi="Times New Roman" w:cs="Times New Roman"/>
          <w:i/>
          <w:iCs/>
          <w:sz w:val="24"/>
          <w:szCs w:val="24"/>
        </w:rPr>
        <w:t>Usul Fikih</w:t>
      </w:r>
      <w:r w:rsidRPr="009C4316">
        <w:rPr>
          <w:rFonts w:ascii="Times New Roman" w:hAnsi="Times New Roman" w:cs="Times New Roman"/>
          <w:sz w:val="24"/>
          <w:szCs w:val="24"/>
        </w:rPr>
        <w:t>, Jilid 2 (Jakarta: Kencana, 2008)</w:t>
      </w:r>
    </w:p>
    <w:p w14:paraId="03DB1B1A" w14:textId="77777777" w:rsidR="009C4316" w:rsidRPr="009C4316" w:rsidRDefault="009C4316" w:rsidP="009C4316">
      <w:pPr>
        <w:pStyle w:val="FootnoteText"/>
        <w:rPr>
          <w:rFonts w:ascii="Times New Roman" w:hAnsi="Times New Roman" w:cs="Times New Roman"/>
          <w:sz w:val="24"/>
          <w:szCs w:val="24"/>
          <w:lang w:val="en-US"/>
        </w:rPr>
      </w:pPr>
      <w:r w:rsidRPr="009C4316">
        <w:rPr>
          <w:rFonts w:ascii="Times New Roman" w:hAnsi="Times New Roman" w:cs="Times New Roman"/>
          <w:sz w:val="24"/>
          <w:szCs w:val="24"/>
        </w:rPr>
        <w:t xml:space="preserve">Fathurrahman Djamil, </w:t>
      </w:r>
      <w:r w:rsidRPr="009C4316">
        <w:rPr>
          <w:rFonts w:ascii="Times New Roman" w:hAnsi="Times New Roman" w:cs="Times New Roman"/>
          <w:i/>
          <w:iCs/>
          <w:sz w:val="24"/>
          <w:szCs w:val="24"/>
        </w:rPr>
        <w:t>Filsafat Hukum Islam</w:t>
      </w:r>
      <w:r w:rsidRPr="009C4316">
        <w:rPr>
          <w:rFonts w:ascii="Times New Roman" w:hAnsi="Times New Roman" w:cs="Times New Roman"/>
          <w:sz w:val="24"/>
          <w:szCs w:val="24"/>
        </w:rPr>
        <w:t xml:space="preserve">  (Jakarta : Logos Wacana Ilmu, 1997) </w:t>
      </w:r>
    </w:p>
    <w:p w14:paraId="07AB6CA5" w14:textId="77777777" w:rsidR="009C4316" w:rsidRPr="009C4316" w:rsidRDefault="009C4316" w:rsidP="009C4316">
      <w:pPr>
        <w:pStyle w:val="FootnoteText"/>
        <w:ind w:left="709" w:hanging="709"/>
        <w:jc w:val="both"/>
        <w:rPr>
          <w:rFonts w:ascii="Times New Roman" w:hAnsi="Times New Roman" w:cs="Times New Roman"/>
          <w:sz w:val="24"/>
          <w:szCs w:val="24"/>
        </w:rPr>
      </w:pPr>
      <w:r w:rsidRPr="009C4316">
        <w:rPr>
          <w:rFonts w:ascii="Times New Roman" w:hAnsi="Times New Roman" w:cs="Times New Roman"/>
          <w:sz w:val="24"/>
          <w:szCs w:val="24"/>
        </w:rPr>
        <w:t xml:space="preserve">Jalaluddin Abdurrahman, </w:t>
      </w:r>
      <w:r w:rsidRPr="009C4316">
        <w:rPr>
          <w:rFonts w:ascii="Times New Roman" w:hAnsi="Times New Roman" w:cs="Times New Roman"/>
          <w:i/>
          <w:iCs/>
          <w:sz w:val="24"/>
          <w:szCs w:val="24"/>
        </w:rPr>
        <w:t>al – Masalih al – Mursalah wa Makanatuha Fi al – Tasyri,</w:t>
      </w:r>
      <w:r w:rsidRPr="009C4316">
        <w:rPr>
          <w:rFonts w:ascii="Times New Roman" w:hAnsi="Times New Roman" w:cs="Times New Roman"/>
          <w:sz w:val="24"/>
          <w:szCs w:val="24"/>
        </w:rPr>
        <w:t xml:space="preserve"> (Mesir : Matbaah al – Saadah, 1983). </w:t>
      </w:r>
    </w:p>
    <w:p w14:paraId="5673B242" w14:textId="77777777" w:rsidR="009C4316" w:rsidRPr="009C4316" w:rsidRDefault="009C4316" w:rsidP="009C4316">
      <w:pPr>
        <w:pStyle w:val="FootnoteText"/>
        <w:rPr>
          <w:rFonts w:ascii="Times New Roman" w:hAnsi="Times New Roman" w:cs="Times New Roman"/>
          <w:sz w:val="24"/>
          <w:szCs w:val="24"/>
        </w:rPr>
      </w:pPr>
      <w:r w:rsidRPr="009C4316">
        <w:rPr>
          <w:rFonts w:ascii="Times New Roman" w:hAnsi="Times New Roman" w:cs="Times New Roman"/>
          <w:sz w:val="24"/>
          <w:szCs w:val="24"/>
        </w:rPr>
        <w:t xml:space="preserve">Muhammad Abu Zaharah, </w:t>
      </w:r>
      <w:r w:rsidRPr="009C4316">
        <w:rPr>
          <w:rFonts w:ascii="Times New Roman" w:hAnsi="Times New Roman" w:cs="Times New Roman"/>
          <w:i/>
          <w:iCs/>
          <w:sz w:val="24"/>
          <w:szCs w:val="24"/>
        </w:rPr>
        <w:t>Ushul al-Fikih</w:t>
      </w:r>
      <w:r w:rsidRPr="009C4316">
        <w:rPr>
          <w:rFonts w:ascii="Times New Roman" w:hAnsi="Times New Roman" w:cs="Times New Roman"/>
          <w:sz w:val="24"/>
          <w:szCs w:val="24"/>
        </w:rPr>
        <w:t xml:space="preserve"> (Beirut : Dar al-Fikr, 1958) Cet. 1</w:t>
      </w:r>
    </w:p>
    <w:p w14:paraId="2F8A7049" w14:textId="365769FF" w:rsidR="009C4316" w:rsidRPr="009C4316" w:rsidRDefault="009C4316" w:rsidP="009C4316">
      <w:pPr>
        <w:pStyle w:val="FootnoteText"/>
        <w:ind w:left="709" w:hanging="709"/>
        <w:jc w:val="both"/>
        <w:rPr>
          <w:rFonts w:ascii="Times New Roman" w:hAnsi="Times New Roman" w:cs="Times New Roman"/>
          <w:sz w:val="24"/>
          <w:szCs w:val="24"/>
        </w:rPr>
      </w:pPr>
      <w:r w:rsidRPr="009C4316">
        <w:rPr>
          <w:rFonts w:ascii="Times New Roman" w:hAnsi="Times New Roman" w:cs="Times New Roman"/>
          <w:sz w:val="24"/>
          <w:szCs w:val="24"/>
        </w:rPr>
        <w:t>Muhammad Abu Zahrah,</w:t>
      </w:r>
      <w:r>
        <w:rPr>
          <w:rFonts w:ascii="Times New Roman" w:hAnsi="Times New Roman" w:cs="Times New Roman"/>
          <w:i/>
          <w:iCs/>
          <w:sz w:val="24"/>
          <w:szCs w:val="24"/>
        </w:rPr>
        <w:t xml:space="preserve"> </w:t>
      </w:r>
      <w:r w:rsidRPr="009C4316">
        <w:rPr>
          <w:rFonts w:ascii="Times New Roman" w:hAnsi="Times New Roman" w:cs="Times New Roman"/>
          <w:i/>
          <w:iCs/>
          <w:sz w:val="24"/>
          <w:szCs w:val="24"/>
        </w:rPr>
        <w:t>Ibn Taimiyah Hayatuh wa Asruh, wa Arauh wa Fiqhuh</w:t>
      </w:r>
      <w:r w:rsidRPr="009C4316">
        <w:rPr>
          <w:rFonts w:ascii="Times New Roman" w:hAnsi="Times New Roman" w:cs="Times New Roman"/>
          <w:sz w:val="24"/>
          <w:szCs w:val="24"/>
        </w:rPr>
        <w:t xml:space="preserve"> (Mesir : Dar al – Fikr al – Arabii, t.t) </w:t>
      </w:r>
    </w:p>
    <w:p w14:paraId="6D025FFB" w14:textId="77777777" w:rsidR="009C4316" w:rsidRPr="009C4316" w:rsidRDefault="009C4316" w:rsidP="009C4316">
      <w:pPr>
        <w:pStyle w:val="FootnoteText"/>
        <w:ind w:left="709" w:hanging="709"/>
        <w:jc w:val="both"/>
        <w:rPr>
          <w:rFonts w:ascii="Times New Roman" w:hAnsi="Times New Roman" w:cs="Times New Roman"/>
          <w:sz w:val="24"/>
          <w:szCs w:val="24"/>
        </w:rPr>
      </w:pPr>
      <w:r w:rsidRPr="009C4316">
        <w:rPr>
          <w:rFonts w:ascii="Times New Roman" w:hAnsi="Times New Roman" w:cs="Times New Roman"/>
          <w:sz w:val="24"/>
          <w:szCs w:val="24"/>
        </w:rPr>
        <w:t>Peraturan Menteri Pendidikan dan Kebudayaan   No 82 tahun 2015 tentang Pencegahan dan Penanggulangan Kekerasan di Satuan Pendidikan</w:t>
      </w:r>
    </w:p>
    <w:p w14:paraId="0F291A9F" w14:textId="77777777" w:rsidR="009C4316" w:rsidRPr="009C4316" w:rsidRDefault="009C4316" w:rsidP="009C4316">
      <w:pPr>
        <w:pStyle w:val="FootnoteText"/>
        <w:rPr>
          <w:rFonts w:ascii="Times New Roman" w:hAnsi="Times New Roman" w:cs="Times New Roman"/>
          <w:sz w:val="24"/>
          <w:szCs w:val="24"/>
          <w:lang w:val="en-US"/>
        </w:rPr>
      </w:pPr>
      <w:r w:rsidRPr="009C4316">
        <w:rPr>
          <w:rFonts w:ascii="Times New Roman" w:hAnsi="Times New Roman" w:cs="Times New Roman"/>
          <w:sz w:val="24"/>
          <w:szCs w:val="24"/>
        </w:rPr>
        <w:t xml:space="preserve">Romli, </w:t>
      </w:r>
      <w:r w:rsidRPr="009C4316">
        <w:rPr>
          <w:rFonts w:ascii="Times New Roman" w:hAnsi="Times New Roman" w:cs="Times New Roman"/>
          <w:i/>
          <w:iCs/>
          <w:sz w:val="24"/>
          <w:szCs w:val="24"/>
        </w:rPr>
        <w:t>Muqaranah Mazahib Fil Ushul</w:t>
      </w:r>
      <w:r w:rsidRPr="009C4316">
        <w:rPr>
          <w:rFonts w:ascii="Times New Roman" w:hAnsi="Times New Roman" w:cs="Times New Roman"/>
          <w:sz w:val="24"/>
          <w:szCs w:val="24"/>
        </w:rPr>
        <w:t xml:space="preserve"> (Jakarta : Gaya  Media Pratama, 1999) </w:t>
      </w:r>
    </w:p>
    <w:p w14:paraId="36EEF1BF" w14:textId="77777777" w:rsidR="009C4316" w:rsidRPr="009C4316" w:rsidRDefault="009C4316" w:rsidP="009C4316">
      <w:pPr>
        <w:pStyle w:val="FootnoteText"/>
        <w:ind w:left="567" w:hanging="567"/>
        <w:jc w:val="both"/>
        <w:rPr>
          <w:rFonts w:ascii="Times New Roman" w:hAnsi="Times New Roman" w:cs="Times New Roman"/>
          <w:sz w:val="24"/>
          <w:szCs w:val="24"/>
          <w:lang w:val="en-US"/>
        </w:rPr>
      </w:pPr>
      <w:r w:rsidRPr="009C4316">
        <w:rPr>
          <w:rFonts w:ascii="Times New Roman" w:hAnsi="Times New Roman" w:cs="Times New Roman"/>
          <w:sz w:val="24"/>
          <w:szCs w:val="24"/>
        </w:rPr>
        <w:lastRenderedPageBreak/>
        <w:t xml:space="preserve">Taha Jabir al – Alwani, </w:t>
      </w:r>
      <w:r w:rsidRPr="009C4316">
        <w:rPr>
          <w:rFonts w:ascii="Times New Roman" w:hAnsi="Times New Roman" w:cs="Times New Roman"/>
          <w:i/>
          <w:iCs/>
          <w:sz w:val="24"/>
          <w:szCs w:val="24"/>
        </w:rPr>
        <w:t>Metodologi Hukum Islam Kontemporer</w:t>
      </w:r>
      <w:r w:rsidRPr="009C4316">
        <w:rPr>
          <w:rFonts w:ascii="Times New Roman" w:hAnsi="Times New Roman" w:cs="Times New Roman"/>
          <w:sz w:val="24"/>
          <w:szCs w:val="24"/>
        </w:rPr>
        <w:t xml:space="preserve"> (Terj. Yusdani) (Yogyakarta : UII Press, 1994)</w:t>
      </w:r>
    </w:p>
    <w:p w14:paraId="6FD10091" w14:textId="181BDE8F" w:rsidR="007B3211" w:rsidRPr="009C4316" w:rsidRDefault="009C4316" w:rsidP="009C4316">
      <w:pPr>
        <w:pStyle w:val="NoSpacing"/>
        <w:spacing w:line="360" w:lineRule="auto"/>
        <w:ind w:left="567" w:hanging="567"/>
        <w:jc w:val="both"/>
        <w:rPr>
          <w:rFonts w:asciiTheme="majorBidi" w:hAnsiTheme="majorBidi" w:cstheme="majorBidi"/>
          <w:sz w:val="24"/>
          <w:szCs w:val="24"/>
          <w:lang w:val="id-ID"/>
        </w:rPr>
      </w:pPr>
      <w:r w:rsidRPr="009C4316">
        <w:rPr>
          <w:rFonts w:ascii="Times New Roman" w:hAnsi="Times New Roman" w:cs="Times New Roman"/>
          <w:sz w:val="24"/>
          <w:szCs w:val="24"/>
        </w:rPr>
        <w:t xml:space="preserve">Zaki al – Din Sya’ban, </w:t>
      </w:r>
      <w:r w:rsidRPr="009C4316">
        <w:rPr>
          <w:rFonts w:ascii="Times New Roman" w:hAnsi="Times New Roman" w:cs="Times New Roman"/>
          <w:i/>
          <w:iCs/>
          <w:sz w:val="24"/>
          <w:szCs w:val="24"/>
        </w:rPr>
        <w:t>Usul al – Fiqh al – Islami</w:t>
      </w:r>
      <w:r w:rsidRPr="009C4316">
        <w:rPr>
          <w:rFonts w:ascii="Times New Roman" w:hAnsi="Times New Roman" w:cs="Times New Roman"/>
          <w:sz w:val="24"/>
          <w:szCs w:val="24"/>
        </w:rPr>
        <w:t xml:space="preserve"> (Mesir: Matbaah Dar al – Ta’lif, 1965)</w:t>
      </w:r>
    </w:p>
    <w:p w14:paraId="400FB569" w14:textId="77777777" w:rsidR="00564C34" w:rsidRPr="009C4316" w:rsidRDefault="00564C34">
      <w:pPr>
        <w:spacing w:after="0" w:line="360" w:lineRule="auto"/>
        <w:rPr>
          <w:sz w:val="24"/>
          <w:szCs w:val="24"/>
        </w:rPr>
        <w:sectPr w:rsidR="00564C34" w:rsidRPr="009C4316">
          <w:type w:val="continuous"/>
          <w:pgSz w:w="11906" w:h="16838"/>
          <w:pgMar w:top="1440" w:right="1440" w:bottom="1440" w:left="1440" w:header="708" w:footer="708" w:gutter="0"/>
          <w:cols w:num="2" w:space="720" w:equalWidth="0">
            <w:col w:w="4159" w:space="708"/>
            <w:col w:w="4159" w:space="0"/>
          </w:cols>
        </w:sectPr>
      </w:pPr>
    </w:p>
    <w:p w14:paraId="35AF4500" w14:textId="77777777" w:rsidR="00564C34" w:rsidRPr="009C4316" w:rsidRDefault="00564C34">
      <w:pPr>
        <w:tabs>
          <w:tab w:val="left" w:pos="5302"/>
        </w:tabs>
        <w:spacing w:after="0" w:line="360" w:lineRule="auto"/>
        <w:rPr>
          <w:sz w:val="24"/>
          <w:szCs w:val="24"/>
        </w:rPr>
      </w:pPr>
    </w:p>
    <w:sectPr w:rsidR="00564C34" w:rsidRPr="009C4316">
      <w:type w:val="continuous"/>
      <w:pgSz w:w="11906" w:h="16838"/>
      <w:pgMar w:top="1440" w:right="1440" w:bottom="1440" w:left="1440" w:header="708" w:footer="708" w:gutter="0"/>
      <w:cols w:num="2" w:space="720" w:equalWidth="0">
        <w:col w:w="4159" w:space="708"/>
        <w:col w:w="415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F8CC" w14:textId="77777777" w:rsidR="008F20AF" w:rsidRDefault="008F20AF">
      <w:pPr>
        <w:spacing w:after="0" w:line="240" w:lineRule="auto"/>
      </w:pPr>
      <w:r>
        <w:separator/>
      </w:r>
    </w:p>
  </w:endnote>
  <w:endnote w:type="continuationSeparator" w:id="0">
    <w:p w14:paraId="017C123C" w14:textId="77777777" w:rsidR="008F20AF" w:rsidRDefault="008F2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103818"/>
      <w:docPartObj>
        <w:docPartGallery w:val="Page Numbers (Bottom of Page)"/>
        <w:docPartUnique/>
      </w:docPartObj>
    </w:sdtPr>
    <w:sdtEndPr>
      <w:rPr>
        <w:noProof/>
      </w:rPr>
    </w:sdtEndPr>
    <w:sdtContent>
      <w:p w14:paraId="2B6B56B8" w14:textId="78FBE93C" w:rsidR="00E9068D" w:rsidRDefault="00E90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99F604" w14:textId="77777777" w:rsidR="00564C34" w:rsidRDefault="00564C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DA974" w14:textId="77777777" w:rsidR="008F20AF" w:rsidRDefault="008F20AF">
      <w:pPr>
        <w:spacing w:after="0" w:line="240" w:lineRule="auto"/>
      </w:pPr>
      <w:r>
        <w:separator/>
      </w:r>
    </w:p>
  </w:footnote>
  <w:footnote w:type="continuationSeparator" w:id="0">
    <w:p w14:paraId="4C3F06FC" w14:textId="77777777" w:rsidR="008F20AF" w:rsidRDefault="008F20AF">
      <w:pPr>
        <w:spacing w:after="0" w:line="240" w:lineRule="auto"/>
      </w:pPr>
      <w:r>
        <w:continuationSeparator/>
      </w:r>
    </w:p>
  </w:footnote>
  <w:footnote w:id="1">
    <w:p w14:paraId="299C086D" w14:textId="77777777" w:rsidR="006F1428" w:rsidRPr="00E60B30" w:rsidRDefault="006F1428" w:rsidP="006F1428">
      <w:pPr>
        <w:pStyle w:val="FootnoteText"/>
        <w:ind w:firstLine="720"/>
        <w:jc w:val="both"/>
        <w:rPr>
          <w:rFonts w:ascii="Times New Roman" w:hAnsi="Times New Roman" w:cs="Times New Roman"/>
          <w:lang w:val="en-US"/>
        </w:rPr>
      </w:pPr>
      <w:r w:rsidRPr="00E60B30">
        <w:rPr>
          <w:rStyle w:val="FootnoteReference"/>
          <w:rFonts w:ascii="Times New Roman" w:hAnsi="Times New Roman" w:cs="Times New Roman"/>
        </w:rPr>
        <w:footnoteRef/>
      </w:r>
      <w:r w:rsidRPr="00E60B30">
        <w:rPr>
          <w:rFonts w:ascii="Times New Roman" w:hAnsi="Times New Roman" w:cs="Times New Roman"/>
        </w:rPr>
        <w:t xml:space="preserve"> Peraturan Menteri Pendidikan dan Kebudayaan   No 82 tahun 2015 tentang Pencegahan dan Penanggulangan Kekerasan di Satuan Pendidikan</w:t>
      </w:r>
    </w:p>
  </w:footnote>
  <w:footnote w:id="2">
    <w:p w14:paraId="14804CCB"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Taha Jabir al – Alwani, </w:t>
      </w:r>
      <w:r w:rsidRPr="00FE7797">
        <w:rPr>
          <w:rFonts w:ascii="Times New Roman" w:hAnsi="Times New Roman" w:cs="Times New Roman"/>
          <w:i/>
          <w:iCs/>
        </w:rPr>
        <w:t>Metodologi Hukum Islam Kontemporer</w:t>
      </w:r>
      <w:r w:rsidRPr="00FE7797">
        <w:rPr>
          <w:rFonts w:ascii="Times New Roman" w:hAnsi="Times New Roman" w:cs="Times New Roman"/>
        </w:rPr>
        <w:t xml:space="preserve"> (Terj. Yusdani) (Yogyakarta : UII Press, 1994) h, 1 </w:t>
      </w:r>
    </w:p>
  </w:footnote>
  <w:footnote w:id="3">
    <w:p w14:paraId="76518413"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Al – Ghazali, </w:t>
      </w:r>
      <w:r w:rsidRPr="00FE7797">
        <w:rPr>
          <w:rFonts w:ascii="Times New Roman" w:hAnsi="Times New Roman" w:cs="Times New Roman"/>
          <w:i/>
          <w:iCs/>
        </w:rPr>
        <w:t>al – Mustas</w:t>
      </w:r>
      <w:r>
        <w:rPr>
          <w:rFonts w:ascii="Times New Roman" w:hAnsi="Times New Roman" w:cs="Times New Roman"/>
          <w:i/>
          <w:iCs/>
        </w:rPr>
        <w:t>y</w:t>
      </w:r>
      <w:r w:rsidRPr="00FE7797">
        <w:rPr>
          <w:rFonts w:ascii="Times New Roman" w:hAnsi="Times New Roman" w:cs="Times New Roman"/>
          <w:i/>
          <w:iCs/>
        </w:rPr>
        <w:t>fa,</w:t>
      </w:r>
      <w:r w:rsidRPr="00FE7797">
        <w:rPr>
          <w:rFonts w:ascii="Times New Roman" w:hAnsi="Times New Roman" w:cs="Times New Roman"/>
        </w:rPr>
        <w:t xml:space="preserve">  h. 251. </w:t>
      </w:r>
    </w:p>
  </w:footnote>
  <w:footnote w:id="4">
    <w:p w14:paraId="3044B3C8"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Jalaluddin Abdurrahman, </w:t>
      </w:r>
      <w:r w:rsidRPr="00FE7797">
        <w:rPr>
          <w:rFonts w:ascii="Times New Roman" w:hAnsi="Times New Roman" w:cs="Times New Roman"/>
          <w:i/>
          <w:iCs/>
        </w:rPr>
        <w:t>al – Masalih al – Mursalah wa Makanatuha Fi al – Tasyri,</w:t>
      </w:r>
      <w:r w:rsidRPr="00FE7797">
        <w:rPr>
          <w:rFonts w:ascii="Times New Roman" w:hAnsi="Times New Roman" w:cs="Times New Roman"/>
        </w:rPr>
        <w:t xml:space="preserve"> h. 12 - 13</w:t>
      </w:r>
    </w:p>
  </w:footnote>
  <w:footnote w:id="5">
    <w:p w14:paraId="56B1C244"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Abdul Karim Zaidan, </w:t>
      </w:r>
      <w:r w:rsidRPr="00FE7797">
        <w:rPr>
          <w:rFonts w:ascii="Times New Roman" w:hAnsi="Times New Roman" w:cs="Times New Roman"/>
          <w:i/>
          <w:iCs/>
        </w:rPr>
        <w:t>al – Wajiz Fi Ushul al – Fiqh</w:t>
      </w:r>
      <w:r w:rsidRPr="00FE7797">
        <w:rPr>
          <w:rFonts w:ascii="Times New Roman" w:hAnsi="Times New Roman" w:cs="Times New Roman"/>
        </w:rPr>
        <w:t xml:space="preserve"> (Baghdad : al – Dar al – Arabiyah Littiba’ah, 1977) Cet. VI, h. 237 </w:t>
      </w:r>
    </w:p>
  </w:footnote>
  <w:footnote w:id="6">
    <w:p w14:paraId="7C7696E5"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Muhammad Abu Zahrah, </w:t>
      </w:r>
      <w:r w:rsidRPr="00FE7797">
        <w:rPr>
          <w:rFonts w:ascii="Times New Roman" w:hAnsi="Times New Roman" w:cs="Times New Roman"/>
          <w:i/>
          <w:iCs/>
        </w:rPr>
        <w:t xml:space="preserve"> Ibn Taimiyah Hayatuh wa Asruh, wa Arauh wa Fiqhuh, </w:t>
      </w:r>
      <w:r w:rsidRPr="00FE7797">
        <w:rPr>
          <w:rFonts w:ascii="Times New Roman" w:hAnsi="Times New Roman" w:cs="Times New Roman"/>
        </w:rPr>
        <w:t xml:space="preserve">h. 495 </w:t>
      </w:r>
    </w:p>
  </w:footnote>
  <w:footnote w:id="7">
    <w:p w14:paraId="6C87DA7B" w14:textId="77777777" w:rsidR="00F11239" w:rsidRPr="00FE7797" w:rsidRDefault="00F11239" w:rsidP="00F11239">
      <w:pPr>
        <w:pStyle w:val="FootnoteText"/>
        <w:ind w:firstLine="720"/>
        <w:rPr>
          <w:rFonts w:ascii="Times New Roman" w:hAnsi="Times New Roman" w:cs="Times New Roman"/>
          <w:lang w:val="en-US"/>
        </w:rPr>
      </w:pPr>
      <w:r w:rsidRPr="009E3DC5">
        <w:rPr>
          <w:rStyle w:val="FootnoteReference"/>
          <w:rFonts w:ascii="Times New Roman" w:hAnsi="Times New Roman" w:cs="Times New Roman"/>
        </w:rPr>
        <w:footnoteRef/>
      </w:r>
      <w:r w:rsidRPr="009E3DC5">
        <w:rPr>
          <w:rFonts w:ascii="Times New Roman" w:hAnsi="Times New Roman" w:cs="Times New Roman"/>
        </w:rPr>
        <w:t xml:space="preserve"> Amir Syarifuddin, </w:t>
      </w:r>
      <w:r w:rsidRPr="009E3DC5">
        <w:rPr>
          <w:rFonts w:ascii="Times New Roman" w:hAnsi="Times New Roman" w:cs="Times New Roman"/>
          <w:i/>
          <w:iCs/>
        </w:rPr>
        <w:t>Usul Fikih</w:t>
      </w:r>
      <w:r w:rsidRPr="009E3DC5">
        <w:rPr>
          <w:rFonts w:ascii="Times New Roman" w:hAnsi="Times New Roman" w:cs="Times New Roman"/>
        </w:rPr>
        <w:t>, Jilid 2  (Jakarta : Kencana, 2008)</w:t>
      </w:r>
      <w:r>
        <w:rPr>
          <w:rFonts w:ascii="Times New Roman" w:hAnsi="Times New Roman" w:cs="Times New Roman"/>
        </w:rPr>
        <w:t xml:space="preserve"> </w:t>
      </w:r>
      <w:r w:rsidRPr="00FE7797">
        <w:rPr>
          <w:rFonts w:ascii="Times New Roman" w:hAnsi="Times New Roman" w:cs="Times New Roman"/>
        </w:rPr>
        <w:t>h. 356</w:t>
      </w:r>
    </w:p>
  </w:footnote>
  <w:footnote w:id="8">
    <w:p w14:paraId="32D5944D"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w:t>
      </w:r>
      <w:r w:rsidRPr="00FE7797">
        <w:rPr>
          <w:rFonts w:ascii="Times New Roman" w:hAnsi="Times New Roman" w:cs="Times New Roman"/>
          <w:i/>
          <w:iCs/>
        </w:rPr>
        <w:t>Ibid.</w:t>
      </w:r>
      <w:r w:rsidRPr="00FE7797">
        <w:rPr>
          <w:rFonts w:ascii="Times New Roman" w:hAnsi="Times New Roman" w:cs="Times New Roman"/>
        </w:rPr>
        <w:t xml:space="preserve"> </w:t>
      </w:r>
    </w:p>
  </w:footnote>
  <w:footnote w:id="9">
    <w:p w14:paraId="46A70BF0"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w:t>
      </w:r>
      <w:r w:rsidRPr="00FE7797">
        <w:rPr>
          <w:rFonts w:ascii="Times New Roman" w:hAnsi="Times New Roman" w:cs="Times New Roman"/>
          <w:i/>
          <w:iCs/>
        </w:rPr>
        <w:t xml:space="preserve">Ibid., </w:t>
      </w:r>
      <w:r w:rsidRPr="00FE7797">
        <w:rPr>
          <w:rFonts w:ascii="Times New Roman" w:hAnsi="Times New Roman" w:cs="Times New Roman"/>
        </w:rPr>
        <w:t>h. 357</w:t>
      </w:r>
    </w:p>
  </w:footnote>
  <w:footnote w:id="10">
    <w:p w14:paraId="1181D859"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Abdul Karim Zaidan, </w:t>
      </w:r>
      <w:r w:rsidRPr="00FE7797">
        <w:rPr>
          <w:rFonts w:ascii="Times New Roman" w:hAnsi="Times New Roman" w:cs="Times New Roman"/>
          <w:i/>
          <w:iCs/>
        </w:rPr>
        <w:t xml:space="preserve">al – Wajiz Fi Ushul al – Fiqh </w:t>
      </w:r>
      <w:r w:rsidRPr="00FE7797">
        <w:rPr>
          <w:rFonts w:ascii="Times New Roman" w:hAnsi="Times New Roman" w:cs="Times New Roman"/>
        </w:rPr>
        <w:t xml:space="preserve">(Baghdad : al – Dar Arabiyah Kittibaah) Cet. VI, h. 238 </w:t>
      </w:r>
    </w:p>
  </w:footnote>
  <w:footnote w:id="11">
    <w:p w14:paraId="3D557FDC"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w:t>
      </w:r>
      <w:r w:rsidRPr="00FE7797">
        <w:rPr>
          <w:rFonts w:ascii="Times New Roman" w:hAnsi="Times New Roman" w:cs="Times New Roman"/>
          <w:i/>
          <w:iCs/>
        </w:rPr>
        <w:t xml:space="preserve">Ibid., </w:t>
      </w:r>
      <w:r w:rsidRPr="00FE7797">
        <w:rPr>
          <w:rFonts w:ascii="Times New Roman" w:hAnsi="Times New Roman" w:cs="Times New Roman"/>
        </w:rPr>
        <w:t>h. 360</w:t>
      </w:r>
    </w:p>
  </w:footnote>
  <w:footnote w:id="12">
    <w:p w14:paraId="1416F73D"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Romli, </w:t>
      </w:r>
      <w:r w:rsidRPr="00FE7797">
        <w:rPr>
          <w:rFonts w:ascii="Times New Roman" w:hAnsi="Times New Roman" w:cs="Times New Roman"/>
          <w:i/>
          <w:iCs/>
        </w:rPr>
        <w:t xml:space="preserve">Muqaranah Mazahib Fil Ushul, </w:t>
      </w:r>
      <w:r w:rsidRPr="00FE7797">
        <w:rPr>
          <w:rFonts w:ascii="Times New Roman" w:hAnsi="Times New Roman" w:cs="Times New Roman"/>
        </w:rPr>
        <w:t xml:space="preserve">h. 168 </w:t>
      </w:r>
    </w:p>
  </w:footnote>
  <w:footnote w:id="13">
    <w:p w14:paraId="50178A3E"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w:t>
      </w:r>
      <w:r w:rsidRPr="00FE7797">
        <w:rPr>
          <w:rFonts w:ascii="Times New Roman" w:hAnsi="Times New Roman" w:cs="Times New Roman"/>
          <w:i/>
          <w:iCs/>
        </w:rPr>
        <w:t>Ibid.</w:t>
      </w:r>
    </w:p>
  </w:footnote>
  <w:footnote w:id="14">
    <w:p w14:paraId="321F575F"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w:t>
      </w:r>
      <w:r w:rsidRPr="00FE7797">
        <w:rPr>
          <w:rFonts w:ascii="Times New Roman" w:hAnsi="Times New Roman" w:cs="Times New Roman"/>
          <w:i/>
          <w:iCs/>
        </w:rPr>
        <w:t xml:space="preserve">Ibid. </w:t>
      </w:r>
      <w:r w:rsidRPr="00FE7797">
        <w:rPr>
          <w:rFonts w:ascii="Times New Roman" w:hAnsi="Times New Roman" w:cs="Times New Roman"/>
        </w:rPr>
        <w:t>h. 169</w:t>
      </w:r>
    </w:p>
  </w:footnote>
  <w:footnote w:id="15">
    <w:p w14:paraId="7767B219"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Amir Syarifuddin, </w:t>
      </w:r>
      <w:r w:rsidRPr="00FE7797">
        <w:rPr>
          <w:rFonts w:ascii="Times New Roman" w:hAnsi="Times New Roman" w:cs="Times New Roman"/>
          <w:i/>
          <w:iCs/>
        </w:rPr>
        <w:t>Usul Fikih</w:t>
      </w:r>
      <w:r w:rsidRPr="00FE7797">
        <w:rPr>
          <w:rFonts w:ascii="Times New Roman" w:hAnsi="Times New Roman" w:cs="Times New Roman"/>
        </w:rPr>
        <w:t>, Jilid 2, h. 359 - 360</w:t>
      </w:r>
    </w:p>
  </w:footnote>
  <w:footnote w:id="16">
    <w:p w14:paraId="60285A12"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Zaki al – Din Sya’ban, </w:t>
      </w:r>
      <w:r w:rsidRPr="00FE7797">
        <w:rPr>
          <w:rFonts w:ascii="Times New Roman" w:hAnsi="Times New Roman" w:cs="Times New Roman"/>
          <w:i/>
          <w:iCs/>
        </w:rPr>
        <w:t xml:space="preserve"> Usul al – Fiqh al – Islami</w:t>
      </w:r>
      <w:r w:rsidRPr="00FE7797">
        <w:rPr>
          <w:rFonts w:ascii="Times New Roman" w:hAnsi="Times New Roman" w:cs="Times New Roman"/>
        </w:rPr>
        <w:t xml:space="preserve"> (Mesir : Matbaah Dar al – Ta’lif, 1965) h. 176 – 178. </w:t>
      </w:r>
    </w:p>
  </w:footnote>
  <w:footnote w:id="17">
    <w:p w14:paraId="07146173"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Amir Syarifuddin, </w:t>
      </w:r>
      <w:r w:rsidRPr="00FE7797">
        <w:rPr>
          <w:rFonts w:ascii="Times New Roman" w:hAnsi="Times New Roman" w:cs="Times New Roman"/>
          <w:i/>
          <w:iCs/>
        </w:rPr>
        <w:t>Usul Fikih</w:t>
      </w:r>
      <w:r w:rsidRPr="00FE7797">
        <w:rPr>
          <w:rFonts w:ascii="Times New Roman" w:hAnsi="Times New Roman" w:cs="Times New Roman"/>
        </w:rPr>
        <w:t>, Jilid 2, h. 359 – 361 - 362</w:t>
      </w:r>
    </w:p>
  </w:footnote>
  <w:footnote w:id="18">
    <w:p w14:paraId="33EB2463"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Fathurrahman Djamil, </w:t>
      </w:r>
      <w:r w:rsidRPr="00FE7797">
        <w:rPr>
          <w:rFonts w:ascii="Times New Roman" w:hAnsi="Times New Roman" w:cs="Times New Roman"/>
          <w:i/>
          <w:iCs/>
        </w:rPr>
        <w:t>Filsafat Hukum Islam</w:t>
      </w:r>
      <w:r w:rsidRPr="00FE7797">
        <w:rPr>
          <w:rFonts w:ascii="Times New Roman" w:hAnsi="Times New Roman" w:cs="Times New Roman"/>
        </w:rPr>
        <w:t>, h. 71 - 72</w:t>
      </w:r>
    </w:p>
  </w:footnote>
  <w:footnote w:id="19">
    <w:p w14:paraId="5EDFB8DD"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Jalaluddin Abdurrahman, </w:t>
      </w:r>
      <w:r w:rsidRPr="00FE7797">
        <w:rPr>
          <w:rFonts w:ascii="Times New Roman" w:hAnsi="Times New Roman" w:cs="Times New Roman"/>
          <w:i/>
          <w:iCs/>
        </w:rPr>
        <w:t>al – Masalih al – Mursalah wa Makanatuha Fi al – Tasyri,</w:t>
      </w:r>
      <w:r w:rsidRPr="00FE7797">
        <w:rPr>
          <w:rFonts w:ascii="Times New Roman" w:hAnsi="Times New Roman" w:cs="Times New Roman"/>
        </w:rPr>
        <w:t xml:space="preserve"> (Mesir : Matbaah al – Saadah, 1983). Cet, h. 12 - 13</w:t>
      </w:r>
    </w:p>
  </w:footnote>
  <w:footnote w:id="20">
    <w:p w14:paraId="47C3DA64" w14:textId="77777777" w:rsidR="00F11239" w:rsidRPr="00FE7797" w:rsidRDefault="00F11239" w:rsidP="00F11239">
      <w:pPr>
        <w:pStyle w:val="FootnoteText"/>
        <w:ind w:firstLine="720"/>
        <w:jc w:val="both"/>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Muhammad Abu Zahrah, </w:t>
      </w:r>
      <w:r w:rsidRPr="00FE7797">
        <w:rPr>
          <w:rFonts w:ascii="Times New Roman" w:hAnsi="Times New Roman" w:cs="Times New Roman"/>
          <w:i/>
          <w:iCs/>
        </w:rPr>
        <w:t xml:space="preserve"> Ibn Taimiyah Hayatuh wa Asruh, wa Arauh wa Fiqhuh</w:t>
      </w:r>
      <w:r w:rsidRPr="00FE7797">
        <w:rPr>
          <w:rFonts w:ascii="Times New Roman" w:hAnsi="Times New Roman" w:cs="Times New Roman"/>
        </w:rPr>
        <w:t xml:space="preserve"> (Mesir : Dar al – Fikr al – Arabii, t.t) h. 495 </w:t>
      </w:r>
    </w:p>
  </w:footnote>
  <w:footnote w:id="21">
    <w:p w14:paraId="3F9DFB94" w14:textId="77777777" w:rsidR="00F11239" w:rsidRPr="00FE7797" w:rsidRDefault="00F11239" w:rsidP="00F11239">
      <w:pPr>
        <w:pStyle w:val="FootnoteText"/>
        <w:ind w:firstLine="720"/>
        <w:rPr>
          <w:rFonts w:ascii="Times New Roman" w:hAnsi="Times New Roman" w:cs="Times New Roman"/>
          <w:lang w:val="en-US"/>
        </w:rPr>
      </w:pPr>
      <w:r w:rsidRPr="00FE7797">
        <w:rPr>
          <w:rStyle w:val="FootnoteReference"/>
          <w:rFonts w:ascii="Times New Roman" w:hAnsi="Times New Roman" w:cs="Times New Roman"/>
        </w:rPr>
        <w:footnoteRef/>
      </w:r>
      <w:r w:rsidRPr="00FE7797">
        <w:rPr>
          <w:rFonts w:ascii="Times New Roman" w:hAnsi="Times New Roman" w:cs="Times New Roman"/>
        </w:rPr>
        <w:t xml:space="preserve"> Amir Syarifuddin, </w:t>
      </w:r>
      <w:r w:rsidRPr="00FE7797">
        <w:rPr>
          <w:rFonts w:ascii="Times New Roman" w:hAnsi="Times New Roman" w:cs="Times New Roman"/>
          <w:i/>
          <w:iCs/>
        </w:rPr>
        <w:t>Usul Fikih</w:t>
      </w:r>
      <w:r w:rsidRPr="00FE7797">
        <w:rPr>
          <w:rFonts w:ascii="Times New Roman" w:hAnsi="Times New Roman" w:cs="Times New Roman"/>
        </w:rPr>
        <w:t>, Jilid 2, h. 359 - 360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BB9F" w14:textId="77777777" w:rsid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 xml:space="preserve">Journal of Gender And Social Inclusion In Muslim Societes </w:t>
    </w:r>
  </w:p>
  <w:p w14:paraId="5A9BBAB8" w14:textId="77777777" w:rsidR="00564C34" w:rsidRP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Vol. 2, No.2, Tahun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06DB9"/>
    <w:multiLevelType w:val="hybridMultilevel"/>
    <w:tmpl w:val="B156B9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70B2475"/>
    <w:multiLevelType w:val="hybridMultilevel"/>
    <w:tmpl w:val="0840B9B0"/>
    <w:lvl w:ilvl="0" w:tplc="56546AF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D9E6732"/>
    <w:multiLevelType w:val="hybridMultilevel"/>
    <w:tmpl w:val="E80473E2"/>
    <w:lvl w:ilvl="0" w:tplc="A29A9D0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1E8A4105"/>
    <w:multiLevelType w:val="hybridMultilevel"/>
    <w:tmpl w:val="47C8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7053B"/>
    <w:multiLevelType w:val="hybridMultilevel"/>
    <w:tmpl w:val="9F308C5E"/>
    <w:lvl w:ilvl="0" w:tplc="A3CC6BF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34"/>
    <w:rsid w:val="000A5E66"/>
    <w:rsid w:val="0022743B"/>
    <w:rsid w:val="0028500F"/>
    <w:rsid w:val="00314B93"/>
    <w:rsid w:val="00332900"/>
    <w:rsid w:val="00564C34"/>
    <w:rsid w:val="00594AC5"/>
    <w:rsid w:val="006C6356"/>
    <w:rsid w:val="006F1428"/>
    <w:rsid w:val="007B3211"/>
    <w:rsid w:val="008F20AF"/>
    <w:rsid w:val="00984E82"/>
    <w:rsid w:val="009A1D28"/>
    <w:rsid w:val="009B650B"/>
    <w:rsid w:val="009C4316"/>
    <w:rsid w:val="00A1174B"/>
    <w:rsid w:val="00AB3B22"/>
    <w:rsid w:val="00BA7E68"/>
    <w:rsid w:val="00C442E0"/>
    <w:rsid w:val="00D87A07"/>
    <w:rsid w:val="00E9068D"/>
    <w:rsid w:val="00F11239"/>
    <w:rsid w:val="00F50B6E"/>
    <w:rsid w:val="00F7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B727"/>
  <w15:docId w15:val="{781B3EDA-2CF9-4CE5-AC24-2DA9F3F7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2F304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042"/>
  </w:style>
  <w:style w:type="paragraph" w:styleId="Footer">
    <w:name w:val="footer"/>
    <w:basedOn w:val="Normal"/>
    <w:link w:val="FooterChar"/>
    <w:uiPriority w:val="99"/>
    <w:unhideWhenUsed/>
    <w:rsid w:val="002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042"/>
  </w:style>
  <w:style w:type="paragraph" w:styleId="ListParagraph">
    <w:name w:val="List Paragraph"/>
    <w:basedOn w:val="Normal"/>
    <w:uiPriority w:val="34"/>
    <w:qFormat/>
    <w:rsid w:val="00721C2E"/>
    <w:pPr>
      <w:ind w:left="720"/>
      <w:contextualSpacing/>
    </w:pPr>
  </w:style>
  <w:style w:type="paragraph" w:styleId="NormalWeb">
    <w:name w:val="Normal (Web)"/>
    <w:basedOn w:val="Normal"/>
    <w:uiPriority w:val="99"/>
    <w:unhideWhenUsed/>
    <w:rsid w:val="007029C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7029C4"/>
    <w:rPr>
      <w:b/>
      <w:bCs/>
    </w:rPr>
  </w:style>
  <w:style w:type="table" w:styleId="TableGrid">
    <w:name w:val="Table Grid"/>
    <w:basedOn w:val="TableNormal"/>
    <w:uiPriority w:val="39"/>
    <w:rsid w:val="00001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F65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F65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F1286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C6356"/>
    <w:pPr>
      <w:spacing w:after="0" w:line="240" w:lineRule="auto"/>
    </w:pPr>
    <w:rPr>
      <w:rFonts w:asciiTheme="minorHAnsi" w:eastAsiaTheme="minorHAnsi" w:hAnsiTheme="minorHAnsi" w:cstheme="minorBidi"/>
      <w:lang w:val="en-US"/>
    </w:rPr>
  </w:style>
  <w:style w:type="character" w:styleId="Hyperlink">
    <w:name w:val="Hyperlink"/>
    <w:basedOn w:val="DefaultParagraphFont"/>
    <w:uiPriority w:val="99"/>
    <w:unhideWhenUsed/>
    <w:rsid w:val="0028500F"/>
    <w:rPr>
      <w:color w:val="0563C1" w:themeColor="hyperlink"/>
      <w:u w:val="single"/>
    </w:rPr>
  </w:style>
  <w:style w:type="paragraph" w:styleId="FootnoteText">
    <w:name w:val="footnote text"/>
    <w:basedOn w:val="Normal"/>
    <w:link w:val="FootnoteTextChar"/>
    <w:unhideWhenUsed/>
    <w:rsid w:val="006F1428"/>
    <w:pPr>
      <w:spacing w:after="0" w:line="240" w:lineRule="auto"/>
    </w:pPr>
    <w:rPr>
      <w:rFonts w:asciiTheme="minorHAnsi" w:eastAsiaTheme="minorHAnsi" w:hAnsiTheme="minorHAnsi" w:cstheme="minorBidi"/>
      <w:kern w:val="2"/>
      <w:sz w:val="20"/>
      <w:szCs w:val="20"/>
      <w:lang w:val="en-ID"/>
      <w14:ligatures w14:val="standardContextual"/>
    </w:rPr>
  </w:style>
  <w:style w:type="character" w:customStyle="1" w:styleId="FootnoteTextChar">
    <w:name w:val="Footnote Text Char"/>
    <w:basedOn w:val="DefaultParagraphFont"/>
    <w:link w:val="FootnoteText"/>
    <w:rsid w:val="006F1428"/>
    <w:rPr>
      <w:rFonts w:asciiTheme="minorHAnsi" w:eastAsiaTheme="minorHAnsi" w:hAnsiTheme="minorHAnsi" w:cstheme="minorBidi"/>
      <w:kern w:val="2"/>
      <w:sz w:val="20"/>
      <w:szCs w:val="20"/>
      <w:lang w:val="en-ID"/>
      <w14:ligatures w14:val="standardContextual"/>
    </w:rPr>
  </w:style>
  <w:style w:type="character" w:styleId="FootnoteReference">
    <w:name w:val="footnote reference"/>
    <w:basedOn w:val="DefaultParagraphFont"/>
    <w:semiHidden/>
    <w:unhideWhenUsed/>
    <w:rsid w:val="006F14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63798">
      <w:bodyDiv w:val="1"/>
      <w:marLeft w:val="0"/>
      <w:marRight w:val="0"/>
      <w:marTop w:val="0"/>
      <w:marBottom w:val="0"/>
      <w:divBdr>
        <w:top w:val="none" w:sz="0" w:space="0" w:color="auto"/>
        <w:left w:val="none" w:sz="0" w:space="0" w:color="auto"/>
        <w:bottom w:val="none" w:sz="0" w:space="0" w:color="auto"/>
        <w:right w:val="none" w:sz="0" w:space="0" w:color="auto"/>
      </w:divBdr>
      <w:divsChild>
        <w:div w:id="432630912">
          <w:marLeft w:val="0"/>
          <w:marRight w:val="0"/>
          <w:marTop w:val="0"/>
          <w:marBottom w:val="0"/>
          <w:divBdr>
            <w:top w:val="none" w:sz="0" w:space="0" w:color="auto"/>
            <w:left w:val="none" w:sz="0" w:space="0" w:color="auto"/>
            <w:bottom w:val="none" w:sz="0" w:space="0" w:color="auto"/>
            <w:right w:val="none" w:sz="0" w:space="0" w:color="auto"/>
          </w:divBdr>
          <w:divsChild>
            <w:div w:id="253242979">
              <w:marLeft w:val="0"/>
              <w:marRight w:val="0"/>
              <w:marTop w:val="0"/>
              <w:marBottom w:val="0"/>
              <w:divBdr>
                <w:top w:val="none" w:sz="0" w:space="0" w:color="auto"/>
                <w:left w:val="none" w:sz="0" w:space="0" w:color="auto"/>
                <w:bottom w:val="none" w:sz="0" w:space="0" w:color="auto"/>
                <w:right w:val="none" w:sz="0" w:space="0" w:color="auto"/>
              </w:divBdr>
              <w:divsChild>
                <w:div w:id="488790653">
                  <w:marLeft w:val="0"/>
                  <w:marRight w:val="0"/>
                  <w:marTop w:val="0"/>
                  <w:marBottom w:val="0"/>
                  <w:divBdr>
                    <w:top w:val="none" w:sz="0" w:space="0" w:color="auto"/>
                    <w:left w:val="none" w:sz="0" w:space="0" w:color="auto"/>
                    <w:bottom w:val="none" w:sz="0" w:space="0" w:color="auto"/>
                    <w:right w:val="none" w:sz="0" w:space="0" w:color="auto"/>
                  </w:divBdr>
                  <w:divsChild>
                    <w:div w:id="2525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382943">
      <w:bodyDiv w:val="1"/>
      <w:marLeft w:val="0"/>
      <w:marRight w:val="0"/>
      <w:marTop w:val="0"/>
      <w:marBottom w:val="0"/>
      <w:divBdr>
        <w:top w:val="none" w:sz="0" w:space="0" w:color="auto"/>
        <w:left w:val="none" w:sz="0" w:space="0" w:color="auto"/>
        <w:bottom w:val="none" w:sz="0" w:space="0" w:color="auto"/>
        <w:right w:val="none" w:sz="0" w:space="0" w:color="auto"/>
      </w:divBdr>
    </w:div>
    <w:div w:id="2079984438">
      <w:bodyDiv w:val="1"/>
      <w:marLeft w:val="0"/>
      <w:marRight w:val="0"/>
      <w:marTop w:val="0"/>
      <w:marBottom w:val="0"/>
      <w:divBdr>
        <w:top w:val="none" w:sz="0" w:space="0" w:color="auto"/>
        <w:left w:val="none" w:sz="0" w:space="0" w:color="auto"/>
        <w:bottom w:val="none" w:sz="0" w:space="0" w:color="auto"/>
        <w:right w:val="none" w:sz="0" w:space="0" w:color="auto"/>
      </w:divBdr>
      <w:divsChild>
        <w:div w:id="18265548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isfulkhoiri@uinsu.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KdU4XfdFxVVAaGQC8fP4ggpleQ==">AMUW2mXN9Dg7bP3akHFmUlYtJ5e76x2bKPVpVuUnWBynQWQlqedAU9gNWOu0gllB66U5grf9lUuGROSODr3jAn5SUwPrzrPCryFAPCOan7hOxUaKYYF1epYfhe02LUUWKVrnrsGVqTrE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13</Pages>
  <Words>3990</Words>
  <Characters>22747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Suci</cp:lastModifiedBy>
  <cp:revision>5</cp:revision>
  <dcterms:created xsi:type="dcterms:W3CDTF">2023-12-23T09:42:00Z</dcterms:created>
  <dcterms:modified xsi:type="dcterms:W3CDTF">2023-12-23T11:44:00Z</dcterms:modified>
</cp:coreProperties>
</file>