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2D21" w:rsidRDefault="003B6B1D" w:rsidP="005F5E23">
      <w:pPr>
        <w:spacing w:after="100" w:afterAutospacing="1"/>
        <w:jc w:val="center"/>
        <w:rPr>
          <w:rFonts w:asciiTheme="majorBidi" w:hAnsiTheme="majorBidi" w:cstheme="majorBidi"/>
          <w:b/>
          <w:bCs/>
          <w:sz w:val="24"/>
          <w:szCs w:val="24"/>
        </w:rPr>
      </w:pPr>
      <w:r w:rsidRPr="003B6B1D">
        <w:rPr>
          <w:rFonts w:asciiTheme="majorBidi" w:hAnsiTheme="majorBidi" w:cstheme="majorBidi"/>
          <w:b/>
          <w:bCs/>
          <w:sz w:val="24"/>
          <w:szCs w:val="24"/>
        </w:rPr>
        <w:t xml:space="preserve">BENCANA SEBAGAI </w:t>
      </w:r>
      <w:r w:rsidRPr="005F5E23">
        <w:rPr>
          <w:rFonts w:asciiTheme="majorBidi" w:hAnsiTheme="majorBidi" w:cstheme="majorBidi"/>
          <w:b/>
          <w:bCs/>
          <w:i/>
          <w:iCs/>
          <w:sz w:val="24"/>
          <w:szCs w:val="24"/>
        </w:rPr>
        <w:t>SUNNATULLAH</w:t>
      </w:r>
      <w:r w:rsidRPr="003B6B1D">
        <w:rPr>
          <w:rFonts w:asciiTheme="majorBidi" w:hAnsiTheme="majorBidi" w:cstheme="majorBidi"/>
          <w:b/>
          <w:bCs/>
          <w:sz w:val="24"/>
          <w:szCs w:val="24"/>
        </w:rPr>
        <w:t xml:space="preserve">: KAJIAN HADIS TENTANG KETETAPAN </w:t>
      </w:r>
      <w:r w:rsidRPr="001A0653">
        <w:rPr>
          <w:rFonts w:asciiTheme="majorBidi" w:hAnsiTheme="majorBidi" w:cstheme="majorBidi"/>
          <w:b/>
          <w:bCs/>
          <w:i/>
          <w:iCs/>
          <w:sz w:val="24"/>
          <w:szCs w:val="24"/>
        </w:rPr>
        <w:t>ILAHI</w:t>
      </w:r>
    </w:p>
    <w:p w:rsidR="003B6B1D" w:rsidRDefault="002A3E7A" w:rsidP="003B6B1D">
      <w:pPr>
        <w:spacing w:after="0"/>
        <w:jc w:val="center"/>
        <w:rPr>
          <w:rFonts w:asciiTheme="majorBidi" w:hAnsiTheme="majorBidi" w:cstheme="majorBidi"/>
          <w:sz w:val="24"/>
          <w:szCs w:val="24"/>
        </w:rPr>
      </w:pPr>
      <w:r>
        <w:rPr>
          <w:rFonts w:asciiTheme="majorBidi" w:hAnsiTheme="majorBidi" w:cstheme="majorBidi"/>
          <w:sz w:val="24"/>
          <w:szCs w:val="24"/>
          <w:vertAlign w:val="superscript"/>
        </w:rPr>
        <w:t>1</w:t>
      </w:r>
      <w:r w:rsidR="003B6B1D">
        <w:rPr>
          <w:rFonts w:asciiTheme="majorBidi" w:hAnsiTheme="majorBidi" w:cstheme="majorBidi"/>
          <w:sz w:val="24"/>
          <w:szCs w:val="24"/>
        </w:rPr>
        <w:t>Paisal Siregar</w:t>
      </w:r>
      <w:r>
        <w:rPr>
          <w:rFonts w:asciiTheme="majorBidi" w:hAnsiTheme="majorBidi" w:cstheme="majorBidi"/>
          <w:sz w:val="24"/>
          <w:szCs w:val="24"/>
        </w:rPr>
        <w:t xml:space="preserve">, </w:t>
      </w:r>
      <w:r>
        <w:rPr>
          <w:rFonts w:asciiTheme="majorBidi" w:hAnsiTheme="majorBidi" w:cstheme="majorBidi"/>
          <w:sz w:val="24"/>
          <w:szCs w:val="24"/>
          <w:vertAlign w:val="superscript"/>
        </w:rPr>
        <w:t>2</w:t>
      </w:r>
      <w:r>
        <w:rPr>
          <w:rFonts w:asciiTheme="majorBidi" w:hAnsiTheme="majorBidi" w:cstheme="majorBidi"/>
          <w:sz w:val="24"/>
          <w:szCs w:val="24"/>
        </w:rPr>
        <w:t>Ernawati Beru Ginting</w:t>
      </w:r>
    </w:p>
    <w:p w:rsidR="002A3E7A" w:rsidRDefault="009D52E9" w:rsidP="003B6B1D">
      <w:pPr>
        <w:spacing w:after="0"/>
        <w:jc w:val="center"/>
        <w:rPr>
          <w:rStyle w:val="Hyperlink"/>
          <w:rFonts w:asciiTheme="majorBidi" w:hAnsiTheme="majorBidi" w:cstheme="majorBidi"/>
          <w:sz w:val="24"/>
          <w:szCs w:val="24"/>
        </w:rPr>
      </w:pPr>
      <w:hyperlink r:id="rId9" w:history="1">
        <w:r w:rsidR="003B6B1D" w:rsidRPr="0005764E">
          <w:rPr>
            <w:rStyle w:val="Hyperlink"/>
            <w:rFonts w:asciiTheme="majorBidi" w:hAnsiTheme="majorBidi" w:cstheme="majorBidi"/>
            <w:sz w:val="24"/>
            <w:szCs w:val="24"/>
          </w:rPr>
          <w:t>paisalsiregar@uinsu.ac.id</w:t>
        </w:r>
      </w:hyperlink>
      <w:r w:rsidR="002A3E7A">
        <w:rPr>
          <w:rStyle w:val="Hyperlink"/>
          <w:rFonts w:asciiTheme="majorBidi" w:hAnsiTheme="majorBidi" w:cstheme="majorBidi"/>
          <w:sz w:val="24"/>
          <w:szCs w:val="24"/>
        </w:rPr>
        <w:t xml:space="preserve">, </w:t>
      </w:r>
    </w:p>
    <w:p w:rsidR="003B6B1D" w:rsidRDefault="002A3E7A" w:rsidP="003B6B1D">
      <w:pPr>
        <w:spacing w:after="0"/>
        <w:jc w:val="center"/>
        <w:rPr>
          <w:rStyle w:val="Hyperlink"/>
          <w:rFonts w:asciiTheme="majorBidi" w:hAnsiTheme="majorBidi" w:cstheme="majorBidi"/>
          <w:sz w:val="24"/>
          <w:szCs w:val="24"/>
        </w:rPr>
      </w:pPr>
      <w:hyperlink r:id="rId10" w:history="1">
        <w:r w:rsidRPr="00BD53E5">
          <w:rPr>
            <w:rStyle w:val="Hyperlink"/>
            <w:rFonts w:asciiTheme="majorBidi" w:hAnsiTheme="majorBidi" w:cstheme="majorBidi"/>
            <w:sz w:val="24"/>
            <w:szCs w:val="24"/>
          </w:rPr>
          <w:t>ernawatiginting@uinsu.ac.id</w:t>
        </w:r>
      </w:hyperlink>
    </w:p>
    <w:p w:rsidR="002A3E7A" w:rsidRDefault="002A3E7A" w:rsidP="002A3E7A">
      <w:pPr>
        <w:spacing w:after="0"/>
        <w:jc w:val="center"/>
        <w:rPr>
          <w:rFonts w:asciiTheme="majorBidi" w:hAnsiTheme="majorBidi" w:cstheme="majorBidi"/>
          <w:sz w:val="24"/>
          <w:szCs w:val="24"/>
        </w:rPr>
      </w:pPr>
      <w:r>
        <w:rPr>
          <w:rFonts w:asciiTheme="majorBidi" w:hAnsiTheme="majorBidi" w:cstheme="majorBidi"/>
          <w:sz w:val="24"/>
          <w:szCs w:val="24"/>
        </w:rPr>
        <w:t>Universitas Islam Negeri Sumatera Utara</w:t>
      </w:r>
    </w:p>
    <w:p w:rsidR="003B6B1D" w:rsidRDefault="003B6B1D" w:rsidP="003B6B1D">
      <w:pPr>
        <w:spacing w:after="0"/>
        <w:jc w:val="center"/>
        <w:rPr>
          <w:rFonts w:asciiTheme="majorBidi" w:hAnsiTheme="majorBidi" w:cstheme="majorBidi"/>
          <w:sz w:val="24"/>
          <w:szCs w:val="24"/>
        </w:rPr>
      </w:pPr>
    </w:p>
    <w:p w:rsidR="007E62F8" w:rsidRPr="007E62F8" w:rsidRDefault="007E62F8" w:rsidP="007E62F8">
      <w:pPr>
        <w:spacing w:after="0"/>
        <w:jc w:val="center"/>
        <w:rPr>
          <w:rFonts w:asciiTheme="majorBidi" w:hAnsiTheme="majorBidi" w:cstheme="majorBidi"/>
          <w:b/>
          <w:bCs/>
          <w:i/>
          <w:iCs/>
          <w:sz w:val="24"/>
          <w:szCs w:val="24"/>
        </w:rPr>
      </w:pPr>
      <w:r w:rsidRPr="007E62F8">
        <w:rPr>
          <w:rFonts w:asciiTheme="majorBidi" w:hAnsiTheme="majorBidi" w:cstheme="majorBidi"/>
          <w:b/>
          <w:bCs/>
          <w:i/>
          <w:iCs/>
          <w:sz w:val="24"/>
          <w:szCs w:val="24"/>
        </w:rPr>
        <w:t>Abstract</w:t>
      </w:r>
    </w:p>
    <w:p w:rsidR="007E62F8" w:rsidRPr="007E62F8" w:rsidRDefault="007E62F8" w:rsidP="007E62F8">
      <w:pPr>
        <w:spacing w:after="0" w:line="240" w:lineRule="auto"/>
        <w:jc w:val="both"/>
        <w:rPr>
          <w:rFonts w:asciiTheme="majorBidi" w:hAnsiTheme="majorBidi" w:cstheme="majorBidi"/>
          <w:i/>
          <w:iCs/>
          <w:sz w:val="24"/>
          <w:szCs w:val="24"/>
        </w:rPr>
      </w:pPr>
      <w:r w:rsidRPr="007E62F8">
        <w:rPr>
          <w:rFonts w:asciiTheme="majorBidi" w:hAnsiTheme="majorBidi" w:cstheme="majorBidi"/>
          <w:i/>
          <w:iCs/>
          <w:sz w:val="24"/>
          <w:szCs w:val="24"/>
        </w:rPr>
        <w:t>Natural disasters are phenomena that have consistently appeared throughout human history and have often generated diverse theological interpretations within society. Disasters are frequently understood in a fatalistic manner or solely associated with divine wrath, thereby neglecting the dimensions of wisdom and human responsibility. This article aims to examine the concept of disaster as sunnatullah (divine law) from the perspective of the Prophet’s hadiths, particularly within th</w:t>
      </w:r>
      <w:bookmarkStart w:id="0" w:name="_GoBack"/>
      <w:bookmarkEnd w:id="0"/>
      <w:r w:rsidRPr="007E62F8">
        <w:rPr>
          <w:rFonts w:asciiTheme="majorBidi" w:hAnsiTheme="majorBidi" w:cstheme="majorBidi"/>
          <w:i/>
          <w:iCs/>
          <w:sz w:val="24"/>
          <w:szCs w:val="24"/>
        </w:rPr>
        <w:t>e framework of divine decree (qaḍā’ and qadar). This study employs a qualitative library-based method using a thematic (maudhu‘i) hadith approach, involving the identification, classification, and analysis of hadiths related to calamities, trials, and God’s decree. The findings indicate that the Prophet’s hadiths position disasters as part of sunnatullah, rich in meaning as tests of faith, means of expiating sins, and instruments of spiritual education for humanity. These hadiths also emphasize a balance between divine decree and human effort (ikhtiar), thereby rejecting passive fatalistic understandings. Understanding disasters as sunnatullah in the hadith literature has implications for strengthening patience, promoting active trust in God (tawakkul), and fostering social responsibility in responding to disasters. Accordingly, this study is expected to contribute both theologically and practically to the development of a more contextual, humanistic, and relevant understanding of hadith in relation to contemporary disaster realities.</w:t>
      </w:r>
    </w:p>
    <w:p w:rsidR="007E62F8" w:rsidRPr="007E62F8" w:rsidRDefault="007E62F8" w:rsidP="007E62F8">
      <w:pPr>
        <w:spacing w:after="0"/>
        <w:rPr>
          <w:rFonts w:asciiTheme="majorBidi" w:hAnsiTheme="majorBidi" w:cstheme="majorBidi"/>
          <w:b/>
          <w:bCs/>
          <w:sz w:val="24"/>
          <w:szCs w:val="24"/>
        </w:rPr>
      </w:pPr>
    </w:p>
    <w:p w:rsidR="007E62F8" w:rsidRDefault="007E62F8" w:rsidP="007E62F8">
      <w:pPr>
        <w:spacing w:after="100" w:afterAutospacing="1"/>
        <w:rPr>
          <w:rFonts w:asciiTheme="majorBidi" w:hAnsiTheme="majorBidi" w:cstheme="majorBidi"/>
          <w:b/>
          <w:bCs/>
          <w:sz w:val="24"/>
          <w:szCs w:val="24"/>
        </w:rPr>
      </w:pPr>
      <w:r w:rsidRPr="007E62F8">
        <w:rPr>
          <w:rFonts w:asciiTheme="majorBidi" w:hAnsiTheme="majorBidi" w:cstheme="majorBidi"/>
          <w:b/>
          <w:bCs/>
          <w:sz w:val="24"/>
          <w:szCs w:val="24"/>
        </w:rPr>
        <w:t xml:space="preserve">Keywords: </w:t>
      </w:r>
      <w:r w:rsidRPr="007E62F8">
        <w:rPr>
          <w:rFonts w:asciiTheme="majorBidi" w:hAnsiTheme="majorBidi" w:cstheme="majorBidi"/>
          <w:i/>
          <w:iCs/>
          <w:sz w:val="24"/>
          <w:szCs w:val="24"/>
        </w:rPr>
        <w:t>Natural Disasters, Sunnatullah, Prophetic Hadith, Divine Decree</w:t>
      </w:r>
      <w:r w:rsidRPr="007E62F8">
        <w:rPr>
          <w:rFonts w:asciiTheme="majorBidi" w:hAnsiTheme="majorBidi" w:cstheme="majorBidi"/>
          <w:b/>
          <w:bCs/>
          <w:sz w:val="24"/>
          <w:szCs w:val="24"/>
        </w:rPr>
        <w:t>.</w:t>
      </w:r>
    </w:p>
    <w:p w:rsidR="003B6B1D" w:rsidRPr="003B6B1D" w:rsidRDefault="003B6B1D" w:rsidP="003B6B1D">
      <w:pPr>
        <w:spacing w:after="0"/>
        <w:jc w:val="center"/>
        <w:rPr>
          <w:rFonts w:asciiTheme="majorBidi" w:hAnsiTheme="majorBidi" w:cstheme="majorBidi"/>
          <w:b/>
          <w:bCs/>
          <w:sz w:val="24"/>
          <w:szCs w:val="24"/>
        </w:rPr>
      </w:pPr>
      <w:r w:rsidRPr="003B6B1D">
        <w:rPr>
          <w:rFonts w:asciiTheme="majorBidi" w:hAnsiTheme="majorBidi" w:cstheme="majorBidi"/>
          <w:b/>
          <w:bCs/>
          <w:sz w:val="24"/>
          <w:szCs w:val="24"/>
        </w:rPr>
        <w:t>Abstrak</w:t>
      </w:r>
    </w:p>
    <w:p w:rsidR="003B6B1D" w:rsidRPr="003B6B1D" w:rsidRDefault="003B6B1D" w:rsidP="003B6B1D">
      <w:pPr>
        <w:spacing w:after="0" w:line="240" w:lineRule="auto"/>
        <w:jc w:val="both"/>
        <w:rPr>
          <w:rFonts w:asciiTheme="majorBidi" w:hAnsiTheme="majorBidi" w:cstheme="majorBidi"/>
          <w:sz w:val="24"/>
          <w:szCs w:val="24"/>
        </w:rPr>
      </w:pPr>
      <w:proofErr w:type="gramStart"/>
      <w:r w:rsidRPr="003B6B1D">
        <w:rPr>
          <w:rFonts w:asciiTheme="majorBidi" w:hAnsiTheme="majorBidi" w:cstheme="majorBidi"/>
          <w:sz w:val="24"/>
          <w:szCs w:val="24"/>
        </w:rPr>
        <w:t>Bencana alam merupakan fenomena yang senantiasa hadir dalam sejarah kehidupan manusia dan sering menimbulkan beragam penafsiran teologis di tengah masyarakat.</w:t>
      </w:r>
      <w:proofErr w:type="gramEnd"/>
      <w:r w:rsidRPr="003B6B1D">
        <w:rPr>
          <w:rFonts w:asciiTheme="majorBidi" w:hAnsiTheme="majorBidi" w:cstheme="majorBidi"/>
          <w:sz w:val="24"/>
          <w:szCs w:val="24"/>
        </w:rPr>
        <w:t xml:space="preserve"> </w:t>
      </w:r>
      <w:proofErr w:type="gramStart"/>
      <w:r w:rsidRPr="003B6B1D">
        <w:rPr>
          <w:rFonts w:asciiTheme="majorBidi" w:hAnsiTheme="majorBidi" w:cstheme="majorBidi"/>
          <w:sz w:val="24"/>
          <w:szCs w:val="24"/>
        </w:rPr>
        <w:t>Tidak jarang bencana dipahami secara fatalistik atau semata-mata dikaitkan dengan murka Tuhan, sehingga mengabaikan dimensi hikmah dan tanggung jawab kemanusiaan.</w:t>
      </w:r>
      <w:proofErr w:type="gramEnd"/>
      <w:r w:rsidRPr="003B6B1D">
        <w:rPr>
          <w:rFonts w:asciiTheme="majorBidi" w:hAnsiTheme="majorBidi" w:cstheme="majorBidi"/>
          <w:sz w:val="24"/>
          <w:szCs w:val="24"/>
        </w:rPr>
        <w:t xml:space="preserve"> </w:t>
      </w:r>
      <w:proofErr w:type="gramStart"/>
      <w:r w:rsidRPr="003B6B1D">
        <w:rPr>
          <w:rFonts w:asciiTheme="majorBidi" w:hAnsiTheme="majorBidi" w:cstheme="majorBidi"/>
          <w:sz w:val="24"/>
          <w:szCs w:val="24"/>
        </w:rPr>
        <w:t xml:space="preserve">Artikel ini bertujuan untuk mengkaji konsep bencana sebagai </w:t>
      </w:r>
      <w:r w:rsidRPr="003B6B1D">
        <w:rPr>
          <w:rFonts w:asciiTheme="majorBidi" w:hAnsiTheme="majorBidi" w:cstheme="majorBidi"/>
          <w:i/>
          <w:iCs/>
          <w:sz w:val="24"/>
          <w:szCs w:val="24"/>
        </w:rPr>
        <w:t>sunnatullah</w:t>
      </w:r>
      <w:r w:rsidRPr="003B6B1D">
        <w:rPr>
          <w:rFonts w:asciiTheme="majorBidi" w:hAnsiTheme="majorBidi" w:cstheme="majorBidi"/>
          <w:sz w:val="24"/>
          <w:szCs w:val="24"/>
        </w:rPr>
        <w:t xml:space="preserve"> dalam perspektif hadis Nabi </w:t>
      </w:r>
      <w:r w:rsidRPr="003B6B1D">
        <w:rPr>
          <w:rFonts w:asciiTheme="majorBidi" w:hAnsiTheme="majorBidi" w:cs="Times New Roman" w:hint="cs"/>
          <w:sz w:val="24"/>
          <w:szCs w:val="24"/>
          <w:rtl/>
        </w:rPr>
        <w:t>ﷺ</w:t>
      </w:r>
      <w:r w:rsidRPr="003B6B1D">
        <w:rPr>
          <w:rFonts w:asciiTheme="majorBidi" w:hAnsiTheme="majorBidi" w:cstheme="majorBidi"/>
          <w:sz w:val="24"/>
          <w:szCs w:val="24"/>
        </w:rPr>
        <w:t>, khususnya dalam kerangka ketetapan Ilahi (</w:t>
      </w:r>
      <w:r w:rsidRPr="003B6B1D">
        <w:rPr>
          <w:rFonts w:asciiTheme="majorBidi" w:hAnsiTheme="majorBidi" w:cstheme="majorBidi"/>
          <w:i/>
          <w:iCs/>
          <w:sz w:val="24"/>
          <w:szCs w:val="24"/>
        </w:rPr>
        <w:t>qaḍā’</w:t>
      </w:r>
      <w:r w:rsidRPr="003B6B1D">
        <w:rPr>
          <w:rFonts w:asciiTheme="majorBidi" w:hAnsiTheme="majorBidi" w:cstheme="majorBidi"/>
          <w:sz w:val="24"/>
          <w:szCs w:val="24"/>
        </w:rPr>
        <w:t xml:space="preserve"> dan </w:t>
      </w:r>
      <w:r w:rsidRPr="003B6B1D">
        <w:rPr>
          <w:rFonts w:asciiTheme="majorBidi" w:hAnsiTheme="majorBidi" w:cstheme="majorBidi"/>
          <w:i/>
          <w:iCs/>
          <w:sz w:val="24"/>
          <w:szCs w:val="24"/>
        </w:rPr>
        <w:t>qadar</w:t>
      </w:r>
      <w:r w:rsidRPr="003B6B1D">
        <w:rPr>
          <w:rFonts w:asciiTheme="majorBidi" w:hAnsiTheme="majorBidi" w:cstheme="majorBidi"/>
          <w:sz w:val="24"/>
          <w:szCs w:val="24"/>
        </w:rPr>
        <w:t>).</w:t>
      </w:r>
      <w:proofErr w:type="gramEnd"/>
      <w:r w:rsidRPr="003B6B1D">
        <w:rPr>
          <w:rFonts w:asciiTheme="majorBidi" w:hAnsiTheme="majorBidi" w:cstheme="majorBidi"/>
          <w:sz w:val="24"/>
          <w:szCs w:val="24"/>
        </w:rPr>
        <w:t xml:space="preserve"> </w:t>
      </w:r>
      <w:proofErr w:type="gramStart"/>
      <w:r w:rsidRPr="003B6B1D">
        <w:rPr>
          <w:rFonts w:asciiTheme="majorBidi" w:hAnsiTheme="majorBidi" w:cstheme="majorBidi"/>
          <w:sz w:val="24"/>
          <w:szCs w:val="24"/>
        </w:rPr>
        <w:t>Penelitian ini menggunakan metode kualitatif kepustakaan dengan pendekatan hadis tematik (</w:t>
      </w:r>
      <w:r w:rsidRPr="003B6B1D">
        <w:rPr>
          <w:rFonts w:asciiTheme="majorBidi" w:hAnsiTheme="majorBidi" w:cstheme="majorBidi"/>
          <w:i/>
          <w:iCs/>
          <w:sz w:val="24"/>
          <w:szCs w:val="24"/>
        </w:rPr>
        <w:t>maudhu‘i</w:t>
      </w:r>
      <w:r w:rsidRPr="003B6B1D">
        <w:rPr>
          <w:rFonts w:asciiTheme="majorBidi" w:hAnsiTheme="majorBidi" w:cstheme="majorBidi"/>
          <w:sz w:val="24"/>
          <w:szCs w:val="24"/>
        </w:rPr>
        <w:t>), melalui penelusuran, klasifikasi, serta analisis hadis-hadis yang berkaitan dengan musibah, ujian, dan ketentuan Allah.</w:t>
      </w:r>
      <w:proofErr w:type="gramEnd"/>
      <w:r w:rsidRPr="003B6B1D">
        <w:rPr>
          <w:rFonts w:asciiTheme="majorBidi" w:hAnsiTheme="majorBidi" w:cstheme="majorBidi"/>
          <w:sz w:val="24"/>
          <w:szCs w:val="24"/>
        </w:rPr>
        <w:t xml:space="preserve"> </w:t>
      </w:r>
      <w:proofErr w:type="gramStart"/>
      <w:r w:rsidRPr="003B6B1D">
        <w:rPr>
          <w:rFonts w:asciiTheme="majorBidi" w:hAnsiTheme="majorBidi" w:cstheme="majorBidi"/>
          <w:sz w:val="24"/>
          <w:szCs w:val="24"/>
        </w:rPr>
        <w:t xml:space="preserve">Hasil kajian menunjukkan bahwa hadis Nabi memosisikan bencana sebagai bagian dari </w:t>
      </w:r>
      <w:r w:rsidRPr="003B6B1D">
        <w:rPr>
          <w:rFonts w:asciiTheme="majorBidi" w:hAnsiTheme="majorBidi" w:cstheme="majorBidi"/>
          <w:i/>
          <w:iCs/>
          <w:sz w:val="24"/>
          <w:szCs w:val="24"/>
        </w:rPr>
        <w:t>sunnatullah</w:t>
      </w:r>
      <w:r w:rsidRPr="003B6B1D">
        <w:rPr>
          <w:rFonts w:asciiTheme="majorBidi" w:hAnsiTheme="majorBidi" w:cstheme="majorBidi"/>
          <w:sz w:val="24"/>
          <w:szCs w:val="24"/>
        </w:rPr>
        <w:t xml:space="preserve"> yang sarat dengan makna ujian keimanan, penghapus dosa, dan sarana pendidikan spiritual bagi manusia.</w:t>
      </w:r>
      <w:proofErr w:type="gramEnd"/>
      <w:r w:rsidRPr="003B6B1D">
        <w:rPr>
          <w:rFonts w:asciiTheme="majorBidi" w:hAnsiTheme="majorBidi" w:cstheme="majorBidi"/>
          <w:sz w:val="24"/>
          <w:szCs w:val="24"/>
        </w:rPr>
        <w:t xml:space="preserve"> </w:t>
      </w:r>
      <w:proofErr w:type="gramStart"/>
      <w:r w:rsidRPr="003B6B1D">
        <w:rPr>
          <w:rFonts w:asciiTheme="majorBidi" w:hAnsiTheme="majorBidi" w:cstheme="majorBidi"/>
          <w:sz w:val="24"/>
          <w:szCs w:val="24"/>
        </w:rPr>
        <w:t>Hadis-hadis tersebut juga menegaskan keseimbangan antara ketetapan Ilahi dan ikhtiar manusia, sehingga menolak pemahaman fatalistik yang pasif.</w:t>
      </w:r>
      <w:proofErr w:type="gramEnd"/>
      <w:r w:rsidRPr="003B6B1D">
        <w:rPr>
          <w:rFonts w:asciiTheme="majorBidi" w:hAnsiTheme="majorBidi" w:cstheme="majorBidi"/>
          <w:sz w:val="24"/>
          <w:szCs w:val="24"/>
        </w:rPr>
        <w:t xml:space="preserve"> </w:t>
      </w:r>
      <w:proofErr w:type="gramStart"/>
      <w:r w:rsidRPr="003B6B1D">
        <w:rPr>
          <w:rFonts w:asciiTheme="majorBidi" w:hAnsiTheme="majorBidi" w:cstheme="majorBidi"/>
          <w:sz w:val="24"/>
          <w:szCs w:val="24"/>
        </w:rPr>
        <w:t xml:space="preserve">Pemahaman bencana sebagai </w:t>
      </w:r>
      <w:r w:rsidRPr="003B6B1D">
        <w:rPr>
          <w:rFonts w:asciiTheme="majorBidi" w:hAnsiTheme="majorBidi" w:cstheme="majorBidi"/>
          <w:i/>
          <w:iCs/>
          <w:sz w:val="24"/>
          <w:szCs w:val="24"/>
        </w:rPr>
        <w:t>sunnatullah</w:t>
      </w:r>
      <w:r w:rsidRPr="003B6B1D">
        <w:rPr>
          <w:rFonts w:asciiTheme="majorBidi" w:hAnsiTheme="majorBidi" w:cstheme="majorBidi"/>
          <w:sz w:val="24"/>
          <w:szCs w:val="24"/>
        </w:rPr>
        <w:t xml:space="preserve"> dalam hadis berimplikasi pada penguatan sikap sabar, tawakal yang aktif, serta tanggung jawab sosial dalam merespons bencana.</w:t>
      </w:r>
      <w:proofErr w:type="gramEnd"/>
      <w:r w:rsidRPr="003B6B1D">
        <w:rPr>
          <w:rFonts w:asciiTheme="majorBidi" w:hAnsiTheme="majorBidi" w:cstheme="majorBidi"/>
          <w:sz w:val="24"/>
          <w:szCs w:val="24"/>
        </w:rPr>
        <w:t xml:space="preserve"> </w:t>
      </w:r>
      <w:proofErr w:type="gramStart"/>
      <w:r w:rsidRPr="003B6B1D">
        <w:rPr>
          <w:rFonts w:asciiTheme="majorBidi" w:hAnsiTheme="majorBidi" w:cstheme="majorBidi"/>
          <w:sz w:val="24"/>
          <w:szCs w:val="24"/>
        </w:rPr>
        <w:t>Dengan demikian, kajian ini diharapkan dapat memberikan kontribusi teologis dan praktis dalam membangun pemahaman hadis yang lebih kontekstual, humanis, dan relevan dengan realitas kebencanaan kontemporer.</w:t>
      </w:r>
      <w:proofErr w:type="gramEnd"/>
    </w:p>
    <w:p w:rsidR="003B6B1D" w:rsidRPr="003B6B1D" w:rsidRDefault="003B6B1D" w:rsidP="003B6B1D">
      <w:pPr>
        <w:spacing w:after="0"/>
        <w:rPr>
          <w:rFonts w:asciiTheme="majorBidi" w:hAnsiTheme="majorBidi" w:cstheme="majorBidi"/>
          <w:sz w:val="24"/>
          <w:szCs w:val="24"/>
        </w:rPr>
      </w:pPr>
    </w:p>
    <w:p w:rsidR="007E62F8" w:rsidRPr="007E62F8" w:rsidRDefault="003B6B1D" w:rsidP="007E62F8">
      <w:pPr>
        <w:spacing w:after="0"/>
        <w:rPr>
          <w:rFonts w:asciiTheme="majorBidi" w:hAnsiTheme="majorBidi" w:cstheme="majorBidi"/>
          <w:i/>
          <w:iCs/>
          <w:sz w:val="24"/>
          <w:szCs w:val="24"/>
        </w:rPr>
      </w:pPr>
      <w:r>
        <w:rPr>
          <w:rFonts w:asciiTheme="majorBidi" w:hAnsiTheme="majorBidi" w:cstheme="majorBidi"/>
          <w:b/>
          <w:bCs/>
          <w:sz w:val="24"/>
          <w:szCs w:val="24"/>
        </w:rPr>
        <w:t>Kata K</w:t>
      </w:r>
      <w:r w:rsidRPr="003B6B1D">
        <w:rPr>
          <w:rFonts w:asciiTheme="majorBidi" w:hAnsiTheme="majorBidi" w:cstheme="majorBidi"/>
          <w:b/>
          <w:bCs/>
          <w:sz w:val="24"/>
          <w:szCs w:val="24"/>
        </w:rPr>
        <w:t>unci:</w:t>
      </w:r>
      <w:r w:rsidRPr="003B6B1D">
        <w:rPr>
          <w:rFonts w:asciiTheme="majorBidi" w:hAnsiTheme="majorBidi" w:cstheme="majorBidi"/>
          <w:sz w:val="24"/>
          <w:szCs w:val="24"/>
        </w:rPr>
        <w:t xml:space="preserve"> </w:t>
      </w:r>
      <w:r w:rsidRPr="00D923D6">
        <w:rPr>
          <w:rFonts w:asciiTheme="majorBidi" w:hAnsiTheme="majorBidi" w:cstheme="majorBidi"/>
          <w:i/>
          <w:iCs/>
          <w:sz w:val="24"/>
          <w:szCs w:val="24"/>
        </w:rPr>
        <w:t>Bencana Alam, Sunnatullah, Hadis Nabi, Ketetapan Ilahi</w:t>
      </w:r>
      <w:r w:rsidR="00D923D6" w:rsidRPr="00D923D6">
        <w:rPr>
          <w:rFonts w:asciiTheme="majorBidi" w:hAnsiTheme="majorBidi" w:cstheme="majorBidi"/>
          <w:i/>
          <w:iCs/>
          <w:sz w:val="24"/>
          <w:szCs w:val="24"/>
        </w:rPr>
        <w:t>.</w:t>
      </w:r>
    </w:p>
    <w:p w:rsidR="005F5E23" w:rsidRDefault="005F5E23" w:rsidP="003B6B1D">
      <w:pPr>
        <w:spacing w:after="0"/>
        <w:rPr>
          <w:rFonts w:asciiTheme="majorBidi" w:hAnsiTheme="majorBidi" w:cstheme="majorBidi"/>
          <w:sz w:val="24"/>
          <w:szCs w:val="24"/>
        </w:rPr>
      </w:pPr>
    </w:p>
    <w:p w:rsidR="005F5E23" w:rsidRDefault="005F5E23" w:rsidP="005F5E23">
      <w:pPr>
        <w:spacing w:after="0" w:line="360" w:lineRule="auto"/>
        <w:jc w:val="both"/>
        <w:rPr>
          <w:rFonts w:asciiTheme="majorBidi" w:hAnsiTheme="majorBidi" w:cstheme="majorBidi"/>
          <w:b/>
          <w:bCs/>
          <w:sz w:val="24"/>
          <w:szCs w:val="24"/>
        </w:rPr>
      </w:pPr>
      <w:r w:rsidRPr="005F5E23">
        <w:rPr>
          <w:rFonts w:asciiTheme="majorBidi" w:hAnsiTheme="majorBidi" w:cstheme="majorBidi"/>
          <w:b/>
          <w:bCs/>
          <w:sz w:val="24"/>
          <w:szCs w:val="24"/>
        </w:rPr>
        <w:t>Pendahuluan</w:t>
      </w:r>
    </w:p>
    <w:p w:rsidR="005F5E23" w:rsidRDefault="005F5E23" w:rsidP="005F5E23">
      <w:pPr>
        <w:spacing w:after="0" w:line="360" w:lineRule="auto"/>
        <w:ind w:firstLine="720"/>
        <w:jc w:val="both"/>
        <w:rPr>
          <w:rFonts w:asciiTheme="majorBidi" w:hAnsiTheme="majorBidi" w:cstheme="majorBidi"/>
          <w:b/>
          <w:bCs/>
          <w:sz w:val="24"/>
          <w:szCs w:val="24"/>
        </w:rPr>
      </w:pPr>
      <w:proofErr w:type="gramStart"/>
      <w:r w:rsidRPr="005F5E23">
        <w:rPr>
          <w:rFonts w:asciiTheme="majorBidi" w:hAnsiTheme="majorBidi" w:cstheme="majorBidi"/>
          <w:sz w:val="24"/>
          <w:szCs w:val="24"/>
        </w:rPr>
        <w:t>Bencana alam merupakan fenomena universal yang terus berulang dalam sejarah kehidupan manusia dan selalu menghadirkan dampak multidimensional, baik fisik, psikologis, sosial, maupun teologis.</w:t>
      </w:r>
      <w:proofErr w:type="gramEnd"/>
      <w:r w:rsidRPr="005F5E23">
        <w:rPr>
          <w:rFonts w:asciiTheme="majorBidi" w:hAnsiTheme="majorBidi" w:cstheme="majorBidi"/>
          <w:sz w:val="24"/>
          <w:szCs w:val="24"/>
        </w:rPr>
        <w:t xml:space="preserve"> </w:t>
      </w:r>
      <w:proofErr w:type="gramStart"/>
      <w:r w:rsidRPr="005F5E23">
        <w:rPr>
          <w:rFonts w:asciiTheme="majorBidi" w:hAnsiTheme="majorBidi" w:cstheme="majorBidi"/>
          <w:sz w:val="24"/>
          <w:szCs w:val="24"/>
        </w:rPr>
        <w:t>Dalam tradisi keagamaan Islam, bencana tidak hanya dipahami sebagai peristiwa alamiah, tetapi juga sebagai bagian dari relasi manusia dengan Tuhan.</w:t>
      </w:r>
      <w:proofErr w:type="gramEnd"/>
      <w:r w:rsidRPr="005F5E23">
        <w:rPr>
          <w:rFonts w:asciiTheme="majorBidi" w:hAnsiTheme="majorBidi" w:cstheme="majorBidi"/>
          <w:sz w:val="24"/>
          <w:szCs w:val="24"/>
        </w:rPr>
        <w:t xml:space="preserve"> </w:t>
      </w:r>
      <w:proofErr w:type="gramStart"/>
      <w:r w:rsidRPr="005F5E23">
        <w:rPr>
          <w:rFonts w:asciiTheme="majorBidi" w:hAnsiTheme="majorBidi" w:cstheme="majorBidi"/>
          <w:sz w:val="24"/>
          <w:szCs w:val="24"/>
        </w:rPr>
        <w:t xml:space="preserve">Al-Qur’an dan hadis Nabi Muhammad </w:t>
      </w:r>
      <w:r w:rsidRPr="005F5E23">
        <w:rPr>
          <w:rFonts w:asciiTheme="majorBidi" w:hAnsiTheme="majorBidi" w:cs="Times New Roman" w:hint="cs"/>
          <w:sz w:val="24"/>
          <w:szCs w:val="24"/>
          <w:rtl/>
        </w:rPr>
        <w:t>ﷺ</w:t>
      </w:r>
      <w:r w:rsidRPr="005F5E23">
        <w:rPr>
          <w:rFonts w:asciiTheme="majorBidi" w:hAnsiTheme="majorBidi" w:cstheme="majorBidi"/>
          <w:sz w:val="24"/>
          <w:szCs w:val="24"/>
        </w:rPr>
        <w:t xml:space="preserve"> secara eksplisit menyebutkan adanya musibah (</w:t>
      </w:r>
      <w:r w:rsidRPr="005F5E23">
        <w:rPr>
          <w:rFonts w:asciiTheme="majorBidi" w:hAnsiTheme="majorBidi" w:cstheme="majorBidi"/>
          <w:i/>
          <w:iCs/>
          <w:sz w:val="24"/>
          <w:szCs w:val="24"/>
        </w:rPr>
        <w:t>muṣībah</w:t>
      </w:r>
      <w:r w:rsidRPr="005F5E23">
        <w:rPr>
          <w:rFonts w:asciiTheme="majorBidi" w:hAnsiTheme="majorBidi" w:cstheme="majorBidi"/>
          <w:sz w:val="24"/>
          <w:szCs w:val="24"/>
        </w:rPr>
        <w:t>), ujian (</w:t>
      </w:r>
      <w:r w:rsidRPr="005F5E23">
        <w:rPr>
          <w:rFonts w:asciiTheme="majorBidi" w:hAnsiTheme="majorBidi" w:cstheme="majorBidi"/>
          <w:i/>
          <w:iCs/>
          <w:sz w:val="24"/>
          <w:szCs w:val="24"/>
        </w:rPr>
        <w:t>balā’</w:t>
      </w:r>
      <w:r w:rsidRPr="005F5E23">
        <w:rPr>
          <w:rFonts w:asciiTheme="majorBidi" w:hAnsiTheme="majorBidi" w:cstheme="majorBidi"/>
          <w:sz w:val="24"/>
          <w:szCs w:val="24"/>
        </w:rPr>
        <w:t xml:space="preserve">), dan ketentuan </w:t>
      </w:r>
      <w:r w:rsidRPr="005F5E23">
        <w:rPr>
          <w:rFonts w:asciiTheme="majorBidi" w:hAnsiTheme="majorBidi" w:cstheme="majorBidi"/>
          <w:i/>
          <w:iCs/>
          <w:sz w:val="24"/>
          <w:szCs w:val="24"/>
        </w:rPr>
        <w:t>Ilahi</w:t>
      </w:r>
      <w:r w:rsidRPr="005F5E23">
        <w:rPr>
          <w:rFonts w:asciiTheme="majorBidi" w:hAnsiTheme="majorBidi" w:cstheme="majorBidi"/>
          <w:sz w:val="24"/>
          <w:szCs w:val="24"/>
        </w:rPr>
        <w:t xml:space="preserve"> yang mengiringi perjalanan hidup manusia.</w:t>
      </w:r>
      <w:proofErr w:type="gramEnd"/>
      <w:r w:rsidRPr="005F5E23">
        <w:rPr>
          <w:rFonts w:asciiTheme="majorBidi" w:hAnsiTheme="majorBidi" w:cstheme="majorBidi"/>
          <w:sz w:val="24"/>
          <w:szCs w:val="24"/>
        </w:rPr>
        <w:t xml:space="preserve"> Namun demikian, realitas sosial menunjukkan bahwa pemaknaan bencana di tengah masyarakat Muslim sering kali bersifat simplifikatif, dengan kecenderungan mengaitkan bencana secara langsung sebagai azab atau murka Allah, tanpa mempertimbangkan kerangka </w:t>
      </w:r>
      <w:r w:rsidRPr="005F5E23">
        <w:rPr>
          <w:rFonts w:asciiTheme="majorBidi" w:hAnsiTheme="majorBidi" w:cstheme="majorBidi"/>
          <w:i/>
          <w:iCs/>
          <w:sz w:val="24"/>
          <w:szCs w:val="24"/>
        </w:rPr>
        <w:t>sunnatullah</w:t>
      </w:r>
      <w:r w:rsidRPr="005F5E23">
        <w:rPr>
          <w:rFonts w:asciiTheme="majorBidi" w:hAnsiTheme="majorBidi" w:cstheme="majorBidi"/>
          <w:sz w:val="24"/>
          <w:szCs w:val="24"/>
        </w:rPr>
        <w:t xml:space="preserve"> dan hukum sebab-akiba</w:t>
      </w:r>
      <w:r>
        <w:rPr>
          <w:rFonts w:asciiTheme="majorBidi" w:hAnsiTheme="majorBidi" w:cstheme="majorBidi"/>
          <w:sz w:val="24"/>
          <w:szCs w:val="24"/>
        </w:rPr>
        <w:t>t yang berlaku dalam kehidupan.</w:t>
      </w:r>
      <w:r>
        <w:rPr>
          <w:rStyle w:val="FootnoteReference"/>
          <w:rFonts w:asciiTheme="majorBidi" w:hAnsiTheme="majorBidi" w:cstheme="majorBidi"/>
          <w:sz w:val="24"/>
          <w:szCs w:val="24"/>
        </w:rPr>
        <w:footnoteReference w:id="1"/>
      </w:r>
    </w:p>
    <w:p w:rsidR="005F5E23" w:rsidRDefault="005F5E23" w:rsidP="005B7189">
      <w:pPr>
        <w:spacing w:after="0" w:line="360" w:lineRule="auto"/>
        <w:ind w:firstLine="720"/>
        <w:jc w:val="both"/>
        <w:rPr>
          <w:rFonts w:asciiTheme="majorBidi" w:hAnsiTheme="majorBidi" w:cstheme="majorBidi"/>
          <w:sz w:val="24"/>
          <w:szCs w:val="24"/>
        </w:rPr>
      </w:pPr>
      <w:proofErr w:type="gramStart"/>
      <w:r w:rsidRPr="005F5E23">
        <w:rPr>
          <w:rFonts w:asciiTheme="majorBidi" w:hAnsiTheme="majorBidi" w:cstheme="majorBidi"/>
          <w:sz w:val="24"/>
          <w:szCs w:val="24"/>
        </w:rPr>
        <w:t xml:space="preserve">Hadis Nabi </w:t>
      </w:r>
      <w:r w:rsidRPr="005F5E23">
        <w:rPr>
          <w:rFonts w:asciiTheme="majorBidi" w:hAnsiTheme="majorBidi" w:cs="Times New Roman" w:hint="cs"/>
          <w:sz w:val="24"/>
          <w:szCs w:val="24"/>
          <w:rtl/>
        </w:rPr>
        <w:t>ﷺ</w:t>
      </w:r>
      <w:r w:rsidRPr="005F5E23">
        <w:rPr>
          <w:rFonts w:asciiTheme="majorBidi" w:hAnsiTheme="majorBidi" w:cstheme="majorBidi"/>
          <w:sz w:val="24"/>
          <w:szCs w:val="24"/>
        </w:rPr>
        <w:t xml:space="preserve"> sebagai sumber ajaran Islam kedua memiliki posisi strategis dalam membentuk paradigma keagamaan umat terkait bencana dan ketetapan </w:t>
      </w:r>
      <w:r w:rsidRPr="005F5E23">
        <w:rPr>
          <w:rFonts w:asciiTheme="majorBidi" w:hAnsiTheme="majorBidi" w:cstheme="majorBidi"/>
          <w:i/>
          <w:iCs/>
          <w:sz w:val="24"/>
          <w:szCs w:val="24"/>
        </w:rPr>
        <w:t>Ilahi</w:t>
      </w:r>
      <w:r w:rsidRPr="005F5E23">
        <w:rPr>
          <w:rFonts w:asciiTheme="majorBidi" w:hAnsiTheme="majorBidi" w:cstheme="majorBidi"/>
          <w:sz w:val="24"/>
          <w:szCs w:val="24"/>
        </w:rPr>
        <w:t>.</w:t>
      </w:r>
      <w:proofErr w:type="gramEnd"/>
      <w:r w:rsidRPr="005F5E23">
        <w:rPr>
          <w:rFonts w:asciiTheme="majorBidi" w:hAnsiTheme="majorBidi" w:cstheme="majorBidi"/>
          <w:sz w:val="24"/>
          <w:szCs w:val="24"/>
        </w:rPr>
        <w:t xml:space="preserve"> Dalam sebuah hadis </w:t>
      </w:r>
      <w:r>
        <w:rPr>
          <w:rFonts w:asciiTheme="majorBidi" w:hAnsiTheme="majorBidi" w:cstheme="majorBidi"/>
          <w:sz w:val="24"/>
          <w:szCs w:val="24"/>
        </w:rPr>
        <w:t>ditegaskan bahwa:</w:t>
      </w:r>
    </w:p>
    <w:p w:rsidR="00390BE1" w:rsidRPr="00FC6E78" w:rsidRDefault="00390BE1" w:rsidP="00390BE1">
      <w:pPr>
        <w:bidi/>
        <w:spacing w:after="0" w:line="360" w:lineRule="auto"/>
        <w:jc w:val="both"/>
        <w:rPr>
          <w:rFonts w:asciiTheme="majorBidi" w:hAnsiTheme="majorBidi" w:cs="Times New Roman"/>
          <w:b/>
          <w:bCs/>
          <w:sz w:val="24"/>
          <w:szCs w:val="24"/>
        </w:rPr>
      </w:pPr>
      <w:r w:rsidRPr="00FC6E78">
        <w:rPr>
          <w:rFonts w:asciiTheme="majorBidi" w:hAnsiTheme="majorBidi" w:cs="Times New Roman"/>
          <w:b/>
          <w:bCs/>
          <w:sz w:val="24"/>
          <w:szCs w:val="24"/>
          <w:rtl/>
        </w:rPr>
        <w:t>عن أنس</w:t>
      </w:r>
      <w:r w:rsidR="008F37CF">
        <w:rPr>
          <w:rFonts w:asciiTheme="majorBidi" w:hAnsiTheme="majorBidi" w:cs="Times New Roman"/>
          <w:b/>
          <w:bCs/>
          <w:sz w:val="24"/>
          <w:szCs w:val="24"/>
          <w:rtl/>
        </w:rPr>
        <w:t xml:space="preserve"> رضي الله عنه, عَنِ النَّبِىِّ</w:t>
      </w:r>
      <w:r w:rsidRPr="00FC6E78">
        <w:rPr>
          <w:rFonts w:asciiTheme="majorBidi" w:hAnsiTheme="majorBidi" w:cs="Times New Roman"/>
          <w:b/>
          <w:bCs/>
          <w:sz w:val="24"/>
          <w:szCs w:val="24"/>
          <w:rtl/>
        </w:rPr>
        <w:t>–صلى الله عليه وسلم– قَالَ :إِنَّ عِظَمَ الْجَزَاءِ مَعَ عِظَمِ الْبَلاَءِ وَإِنَّ اللَّهَ إِذَا أَحَبَّ قَوْمًا ابْتَلاَهُمْ فَمَنْ رَضِىَ فَلَهُ الرِّضَا وَمَنْ سَخِطَ فَلَهُ السَّخَطُ</w:t>
      </w:r>
    </w:p>
    <w:p w:rsidR="00390BE1" w:rsidRDefault="00390BE1" w:rsidP="00FC6E78">
      <w:pPr>
        <w:spacing w:after="100" w:afterAutospacing="1" w:line="240" w:lineRule="auto"/>
        <w:ind w:left="900" w:hanging="900"/>
        <w:jc w:val="both"/>
        <w:rPr>
          <w:rFonts w:asciiTheme="majorBidi" w:hAnsiTheme="majorBidi" w:cs="Times New Roman"/>
          <w:sz w:val="24"/>
          <w:szCs w:val="24"/>
        </w:rPr>
      </w:pPr>
      <w:r>
        <w:rPr>
          <w:rFonts w:asciiTheme="majorBidi" w:hAnsiTheme="majorBidi" w:cs="Times New Roman"/>
          <w:sz w:val="24"/>
          <w:szCs w:val="24"/>
        </w:rPr>
        <w:t xml:space="preserve">Artinya: </w:t>
      </w:r>
      <w:r w:rsidRPr="00390BE1">
        <w:rPr>
          <w:rFonts w:asciiTheme="majorBidi" w:hAnsiTheme="majorBidi" w:cs="Times New Roman"/>
          <w:i/>
          <w:iCs/>
          <w:sz w:val="24"/>
          <w:szCs w:val="24"/>
        </w:rPr>
        <w:t>Dari Anas radhiyallahu ‘anhu meriwayatkan bahwa Rasulullah shallallahu ‘alaihi wasallam bersabda: “Sesungguhnya besarnya pahala sesuai dengan besarnya ujian dan jika Allah mencintai suatu kaum Dia akan menguji mereka, siapa yang ridha maka baginya keridhaan (Allah) dan siapa yang murka</w:t>
      </w:r>
      <w:r w:rsidR="00A37411">
        <w:rPr>
          <w:rFonts w:asciiTheme="majorBidi" w:hAnsiTheme="majorBidi" w:cs="Times New Roman"/>
          <w:i/>
          <w:iCs/>
          <w:sz w:val="24"/>
          <w:szCs w:val="24"/>
        </w:rPr>
        <w:t xml:space="preserve"> maka baginya kemurkaan (Allah)</w:t>
      </w:r>
      <w:r w:rsidRPr="00390BE1">
        <w:rPr>
          <w:rFonts w:asciiTheme="majorBidi" w:hAnsiTheme="majorBidi" w:cs="Times New Roman"/>
          <w:i/>
          <w:iCs/>
          <w:sz w:val="24"/>
          <w:szCs w:val="24"/>
        </w:rPr>
        <w:t>”</w:t>
      </w:r>
      <w:r w:rsidR="00A37411">
        <w:rPr>
          <w:rFonts w:asciiTheme="majorBidi" w:hAnsiTheme="majorBidi" w:cs="Times New Roman"/>
          <w:i/>
          <w:iCs/>
          <w:sz w:val="24"/>
          <w:szCs w:val="24"/>
        </w:rPr>
        <w:t>.</w:t>
      </w:r>
      <w:r w:rsidRPr="00390BE1">
        <w:rPr>
          <w:rFonts w:asciiTheme="majorBidi" w:hAnsiTheme="majorBidi" w:cs="Times New Roman"/>
          <w:sz w:val="24"/>
          <w:szCs w:val="24"/>
        </w:rPr>
        <w:t xml:space="preserve"> (Hadits riwayat Tirmidzi (no. 2576) dan dishahihkan oleh Al Albani)</w:t>
      </w:r>
    </w:p>
    <w:p w:rsidR="00390BE1" w:rsidRDefault="00390BE1" w:rsidP="00FC6E78">
      <w:pPr>
        <w:spacing w:after="0" w:line="360" w:lineRule="auto"/>
        <w:ind w:left="900" w:hanging="900"/>
        <w:jc w:val="both"/>
        <w:rPr>
          <w:rFonts w:asciiTheme="majorBidi" w:hAnsiTheme="majorBidi" w:cstheme="majorBidi"/>
          <w:sz w:val="24"/>
          <w:szCs w:val="24"/>
        </w:rPr>
      </w:pPr>
      <w:r w:rsidRPr="00390BE1">
        <w:rPr>
          <w:rFonts w:asciiTheme="majorBidi" w:hAnsiTheme="majorBidi" w:cstheme="majorBidi"/>
          <w:sz w:val="24"/>
          <w:szCs w:val="24"/>
        </w:rPr>
        <w:t>Dalam hadist lainnya:</w:t>
      </w:r>
    </w:p>
    <w:p w:rsidR="00390BE1" w:rsidRPr="00FC6E78" w:rsidRDefault="00390BE1" w:rsidP="00FC6E78">
      <w:pPr>
        <w:bidi/>
        <w:spacing w:after="0" w:line="360" w:lineRule="auto"/>
        <w:ind w:left="27" w:hanging="27"/>
        <w:jc w:val="both"/>
        <w:rPr>
          <w:rFonts w:asciiTheme="majorBidi" w:hAnsiTheme="majorBidi" w:cs="Times New Roman"/>
          <w:b/>
          <w:bCs/>
          <w:sz w:val="24"/>
          <w:szCs w:val="24"/>
        </w:rPr>
      </w:pPr>
      <w:r w:rsidRPr="00FC6E78">
        <w:rPr>
          <w:rFonts w:asciiTheme="majorBidi" w:hAnsiTheme="majorBidi" w:cs="Times New Roman"/>
          <w:b/>
          <w:bCs/>
          <w:sz w:val="24"/>
          <w:szCs w:val="24"/>
          <w:rtl/>
        </w:rPr>
        <w:t>عَنْ أَنَسٍ رَضِيَ اللَّهُ عَنْهُ قَالَ: قَالَ رَسُولُ اللَّهِ صَلَّى اللَّهُ عَلَيْهِ وَسَلَّمَ</w:t>
      </w:r>
      <w:r w:rsidRPr="00FC6E78">
        <w:rPr>
          <w:rFonts w:asciiTheme="majorBidi" w:hAnsiTheme="majorBidi" w:cs="Times New Roman"/>
          <w:b/>
          <w:bCs/>
          <w:sz w:val="24"/>
          <w:szCs w:val="24"/>
        </w:rPr>
        <w:t xml:space="preserve">  </w:t>
      </w:r>
      <w:r w:rsidRPr="00FC6E78">
        <w:rPr>
          <w:rFonts w:asciiTheme="majorBidi" w:hAnsiTheme="majorBidi" w:cs="Times New Roman"/>
          <w:b/>
          <w:bCs/>
          <w:sz w:val="24"/>
          <w:szCs w:val="24"/>
          <w:rtl/>
        </w:rPr>
        <w:t>إِذَا أَرَادَ اللَّهُ بِعَبْدِهِ الْخَيْرَ عَجَّلَ لَهُ الْعُقُوبَةَ فِي الدُّنْيَا وَإِذَا أَرَادَ اللَّهُ بِعَبْدِهِ الشَّرَّ أَمْسَكَ عَنْهُ بِذَنْبِهِ حَتَّى يُوَافِيَ بِهِ يَوْمَ الْقِيَامَة</w:t>
      </w:r>
    </w:p>
    <w:p w:rsidR="00390BE1" w:rsidRPr="00390BE1" w:rsidRDefault="00390BE1" w:rsidP="004801B9">
      <w:pPr>
        <w:spacing w:after="100" w:afterAutospacing="1" w:line="240" w:lineRule="auto"/>
        <w:ind w:left="990" w:hanging="990"/>
        <w:jc w:val="both"/>
        <w:rPr>
          <w:rFonts w:asciiTheme="majorBidi" w:hAnsiTheme="majorBidi" w:cs="Times New Roman"/>
          <w:sz w:val="24"/>
          <w:szCs w:val="24"/>
        </w:rPr>
      </w:pPr>
      <w:r>
        <w:rPr>
          <w:rFonts w:asciiTheme="majorBidi" w:hAnsiTheme="majorBidi" w:cs="Times New Roman"/>
          <w:sz w:val="24"/>
          <w:szCs w:val="24"/>
        </w:rPr>
        <w:t xml:space="preserve">Artinya: </w:t>
      </w:r>
      <w:r w:rsidRPr="00390BE1">
        <w:rPr>
          <w:rFonts w:asciiTheme="majorBidi" w:hAnsiTheme="majorBidi" w:cs="Times New Roman"/>
          <w:i/>
          <w:iCs/>
          <w:sz w:val="24"/>
          <w:szCs w:val="24"/>
        </w:rPr>
        <w:t xml:space="preserve">Diriwayatkan dari Anas ibn Malik radhiyallahu ’anhu berkata: Rasulullah shallallahu’alaihi wasallam bersabda: “Apabila Allah menghendaki kebaikan untuk hamba-Nya maka Dia akan menyegerakan untuknya hukuman di dunia. </w:t>
      </w:r>
      <w:proofErr w:type="gramStart"/>
      <w:r w:rsidRPr="00390BE1">
        <w:rPr>
          <w:rFonts w:asciiTheme="majorBidi" w:hAnsiTheme="majorBidi" w:cs="Times New Roman"/>
          <w:i/>
          <w:iCs/>
          <w:sz w:val="24"/>
          <w:szCs w:val="24"/>
        </w:rPr>
        <w:t>Dan apabila Allah menghendaki kejelekan untuk hamba-Nya maka Dia akan menahan darinya hukuman karena dosanya sehingga kelak di akhirat Dia akan menyempurnakan hukuman untuknya”</w:t>
      </w:r>
      <w:r w:rsidR="00A37411">
        <w:rPr>
          <w:rFonts w:asciiTheme="majorBidi" w:hAnsiTheme="majorBidi" w:cs="Times New Roman"/>
          <w:i/>
          <w:iCs/>
          <w:sz w:val="24"/>
          <w:szCs w:val="24"/>
        </w:rPr>
        <w:t>.</w:t>
      </w:r>
      <w:proofErr w:type="gramEnd"/>
      <w:r w:rsidRPr="00390BE1">
        <w:rPr>
          <w:rFonts w:asciiTheme="majorBidi" w:hAnsiTheme="majorBidi" w:cs="Times New Roman"/>
          <w:i/>
          <w:iCs/>
          <w:sz w:val="24"/>
          <w:szCs w:val="24"/>
        </w:rPr>
        <w:t xml:space="preserve"> </w:t>
      </w:r>
      <w:r w:rsidRPr="00390BE1">
        <w:rPr>
          <w:rFonts w:asciiTheme="majorBidi" w:hAnsiTheme="majorBidi" w:cs="Times New Roman"/>
          <w:sz w:val="24"/>
          <w:szCs w:val="24"/>
        </w:rPr>
        <w:t>(HR. At-Tirmidzi, no. 2319 dengan sanad yang hasan)</w:t>
      </w:r>
    </w:p>
    <w:p w:rsidR="00974080" w:rsidRDefault="005F5E23" w:rsidP="00974080">
      <w:pPr>
        <w:spacing w:after="0" w:line="360" w:lineRule="auto"/>
        <w:ind w:firstLine="720"/>
        <w:jc w:val="both"/>
        <w:rPr>
          <w:rFonts w:asciiTheme="majorBidi" w:hAnsiTheme="majorBidi" w:cstheme="majorBidi"/>
          <w:b/>
          <w:bCs/>
          <w:sz w:val="24"/>
          <w:szCs w:val="24"/>
        </w:rPr>
      </w:pPr>
      <w:proofErr w:type="gramStart"/>
      <w:r w:rsidRPr="005F5E23">
        <w:rPr>
          <w:rFonts w:asciiTheme="majorBidi" w:hAnsiTheme="majorBidi" w:cstheme="majorBidi"/>
          <w:sz w:val="24"/>
          <w:szCs w:val="24"/>
        </w:rPr>
        <w:lastRenderedPageBreak/>
        <w:t>Hadis ini memberikan landasan teologis bahwa musibah tidak semata-mata bermakna hukuman, melainkan dapat menjadi sarana rahmat dan pendidikan spiritual.</w:t>
      </w:r>
      <w:proofErr w:type="gramEnd"/>
      <w:r w:rsidRPr="005F5E23">
        <w:rPr>
          <w:rFonts w:asciiTheme="majorBidi" w:hAnsiTheme="majorBidi" w:cstheme="majorBidi"/>
          <w:sz w:val="24"/>
          <w:szCs w:val="24"/>
        </w:rPr>
        <w:t xml:space="preserve"> Selain itu, hadis-hadis tentang wabah, sakit, dan ujian juga menunjukkan adanya keseimbangan antara ketetapan Allah dan tuntutan ikhtiar manusia, sebagaimana perintah Nabi </w:t>
      </w:r>
      <w:r w:rsidRPr="005F5E23">
        <w:rPr>
          <w:rFonts w:asciiTheme="majorBidi" w:hAnsiTheme="majorBidi" w:cs="Times New Roman" w:hint="cs"/>
          <w:sz w:val="24"/>
          <w:szCs w:val="24"/>
          <w:rtl/>
        </w:rPr>
        <w:t>ﷺ</w:t>
      </w:r>
      <w:r w:rsidR="009068AF">
        <w:rPr>
          <w:rStyle w:val="FootnoteReference"/>
          <w:rFonts w:asciiTheme="majorBidi" w:hAnsiTheme="majorBidi" w:cs="Times New Roman"/>
          <w:sz w:val="24"/>
          <w:szCs w:val="24"/>
          <w:rtl/>
        </w:rPr>
        <w:footnoteReference w:id="2"/>
      </w:r>
      <w:r w:rsidRPr="005F5E23">
        <w:rPr>
          <w:rFonts w:asciiTheme="majorBidi" w:hAnsiTheme="majorBidi" w:cstheme="majorBidi"/>
          <w:sz w:val="24"/>
          <w:szCs w:val="24"/>
        </w:rPr>
        <w:t xml:space="preserve"> untuk tidak memasuki wilayah yang terkena wabah dan tidak pula </w:t>
      </w:r>
      <w:r w:rsidR="004801B9">
        <w:rPr>
          <w:rFonts w:asciiTheme="majorBidi" w:hAnsiTheme="majorBidi" w:cstheme="majorBidi"/>
          <w:sz w:val="24"/>
          <w:szCs w:val="24"/>
        </w:rPr>
        <w:t>keluar darinya.</w:t>
      </w:r>
      <w:r w:rsidR="004801B9">
        <w:rPr>
          <w:rStyle w:val="FootnoteReference"/>
          <w:rFonts w:asciiTheme="majorBidi" w:hAnsiTheme="majorBidi" w:cstheme="majorBidi"/>
          <w:sz w:val="24"/>
          <w:szCs w:val="24"/>
        </w:rPr>
        <w:footnoteReference w:id="3"/>
      </w:r>
    </w:p>
    <w:p w:rsidR="0060772A" w:rsidRDefault="005F5E23" w:rsidP="0060772A">
      <w:pPr>
        <w:spacing w:after="0" w:line="360" w:lineRule="auto"/>
        <w:ind w:firstLine="720"/>
        <w:jc w:val="both"/>
        <w:rPr>
          <w:rFonts w:asciiTheme="majorBidi" w:hAnsiTheme="majorBidi" w:cstheme="majorBidi"/>
          <w:b/>
          <w:bCs/>
          <w:sz w:val="24"/>
          <w:szCs w:val="24"/>
        </w:rPr>
      </w:pPr>
      <w:proofErr w:type="gramStart"/>
      <w:r w:rsidRPr="005F5E23">
        <w:rPr>
          <w:rFonts w:asciiTheme="majorBidi" w:hAnsiTheme="majorBidi" w:cstheme="majorBidi"/>
          <w:sz w:val="24"/>
          <w:szCs w:val="24"/>
        </w:rPr>
        <w:t>Akan tetapi, pemahaman hadis tentang bencana kerap dipersempit melalui pembacaan tekstual yang ahistoris dan lepas dari konteks sosial.</w:t>
      </w:r>
      <w:proofErr w:type="gramEnd"/>
      <w:r w:rsidRPr="005F5E23">
        <w:rPr>
          <w:rFonts w:asciiTheme="majorBidi" w:hAnsiTheme="majorBidi" w:cstheme="majorBidi"/>
          <w:sz w:val="24"/>
          <w:szCs w:val="24"/>
        </w:rPr>
        <w:t xml:space="preserve"> </w:t>
      </w:r>
      <w:proofErr w:type="gramStart"/>
      <w:r w:rsidRPr="005F5E23">
        <w:rPr>
          <w:rFonts w:asciiTheme="majorBidi" w:hAnsiTheme="majorBidi" w:cstheme="majorBidi"/>
          <w:sz w:val="24"/>
          <w:szCs w:val="24"/>
        </w:rPr>
        <w:t>Generalisasi dosa kolektif sebagai penyebab utama bencana berpotensi melahirkan sikap fatalistik, menyalahkan korban, serta melemahkan etos kema</w:t>
      </w:r>
      <w:r w:rsidR="00974080">
        <w:rPr>
          <w:rFonts w:asciiTheme="majorBidi" w:hAnsiTheme="majorBidi" w:cstheme="majorBidi"/>
          <w:sz w:val="24"/>
          <w:szCs w:val="24"/>
        </w:rPr>
        <w:t>nusiaan dan solidaritas sosial.</w:t>
      </w:r>
      <w:proofErr w:type="gramEnd"/>
      <w:r w:rsidR="00974080">
        <w:rPr>
          <w:rStyle w:val="FootnoteReference"/>
          <w:rFonts w:asciiTheme="majorBidi" w:hAnsiTheme="majorBidi" w:cstheme="majorBidi"/>
          <w:sz w:val="24"/>
          <w:szCs w:val="24"/>
        </w:rPr>
        <w:footnoteReference w:id="4"/>
      </w:r>
      <w:r w:rsidRPr="005F5E23">
        <w:rPr>
          <w:rFonts w:asciiTheme="majorBidi" w:hAnsiTheme="majorBidi" w:cstheme="majorBidi"/>
          <w:sz w:val="24"/>
          <w:szCs w:val="24"/>
        </w:rPr>
        <w:t xml:space="preserve"> </w:t>
      </w:r>
      <w:proofErr w:type="gramStart"/>
      <w:r w:rsidRPr="005F5E23">
        <w:rPr>
          <w:rFonts w:asciiTheme="majorBidi" w:hAnsiTheme="majorBidi" w:cstheme="majorBidi"/>
          <w:sz w:val="24"/>
          <w:szCs w:val="24"/>
        </w:rPr>
        <w:t xml:space="preserve">Padahal, konsep </w:t>
      </w:r>
      <w:r w:rsidRPr="00974080">
        <w:rPr>
          <w:rFonts w:asciiTheme="majorBidi" w:hAnsiTheme="majorBidi" w:cstheme="majorBidi"/>
          <w:i/>
          <w:iCs/>
          <w:sz w:val="24"/>
          <w:szCs w:val="24"/>
        </w:rPr>
        <w:t>sunnatullah</w:t>
      </w:r>
      <w:r w:rsidRPr="005F5E23">
        <w:rPr>
          <w:rFonts w:asciiTheme="majorBidi" w:hAnsiTheme="majorBidi" w:cstheme="majorBidi"/>
          <w:sz w:val="24"/>
          <w:szCs w:val="24"/>
        </w:rPr>
        <w:t xml:space="preserve"> dalam Islam menegaskan bahwa Allah menetapkan hukum-hukum yang tetap dan konsisten dalam kehidupan alam dan manusia.</w:t>
      </w:r>
      <w:proofErr w:type="gramEnd"/>
      <w:r w:rsidRPr="005F5E23">
        <w:rPr>
          <w:rFonts w:asciiTheme="majorBidi" w:hAnsiTheme="majorBidi" w:cstheme="majorBidi"/>
          <w:sz w:val="24"/>
          <w:szCs w:val="24"/>
        </w:rPr>
        <w:t xml:space="preserve"> </w:t>
      </w:r>
      <w:proofErr w:type="gramStart"/>
      <w:r w:rsidRPr="0060772A">
        <w:rPr>
          <w:rFonts w:asciiTheme="majorBidi" w:hAnsiTheme="majorBidi" w:cstheme="majorBidi"/>
          <w:i/>
          <w:iCs/>
          <w:sz w:val="24"/>
          <w:szCs w:val="24"/>
        </w:rPr>
        <w:t>Sunnatullah</w:t>
      </w:r>
      <w:r w:rsidRPr="005F5E23">
        <w:rPr>
          <w:rFonts w:asciiTheme="majorBidi" w:hAnsiTheme="majorBidi" w:cstheme="majorBidi"/>
          <w:sz w:val="24"/>
          <w:szCs w:val="24"/>
        </w:rPr>
        <w:t xml:space="preserve"> tidak menafikan kekuasaan Allah, tetapi justru menegaskan kebijaksanaan-Nya dalam mengatur alam semesta melalui hukum sebab-akibat.</w:t>
      </w:r>
      <w:proofErr w:type="gramEnd"/>
      <w:r w:rsidRPr="005F5E23">
        <w:rPr>
          <w:rFonts w:asciiTheme="majorBidi" w:hAnsiTheme="majorBidi" w:cstheme="majorBidi"/>
          <w:sz w:val="24"/>
          <w:szCs w:val="24"/>
        </w:rPr>
        <w:t xml:space="preserve"> </w:t>
      </w:r>
      <w:proofErr w:type="gramStart"/>
      <w:r w:rsidRPr="005F5E23">
        <w:rPr>
          <w:rFonts w:asciiTheme="majorBidi" w:hAnsiTheme="majorBidi" w:cstheme="majorBidi"/>
          <w:sz w:val="24"/>
          <w:szCs w:val="24"/>
        </w:rPr>
        <w:t xml:space="preserve">Dalam kerangka ini, bencana harus dipahami sebagai bagian dari ketetapan </w:t>
      </w:r>
      <w:r w:rsidRPr="0060772A">
        <w:rPr>
          <w:rFonts w:asciiTheme="majorBidi" w:hAnsiTheme="majorBidi" w:cstheme="majorBidi"/>
          <w:i/>
          <w:iCs/>
          <w:sz w:val="24"/>
          <w:szCs w:val="24"/>
        </w:rPr>
        <w:t>Ilahi</w:t>
      </w:r>
      <w:r w:rsidRPr="005F5E23">
        <w:rPr>
          <w:rFonts w:asciiTheme="majorBidi" w:hAnsiTheme="majorBidi" w:cstheme="majorBidi"/>
          <w:sz w:val="24"/>
          <w:szCs w:val="24"/>
        </w:rPr>
        <w:t xml:space="preserve"> (</w:t>
      </w:r>
      <w:r w:rsidRPr="0060772A">
        <w:rPr>
          <w:rFonts w:asciiTheme="majorBidi" w:hAnsiTheme="majorBidi" w:cstheme="majorBidi"/>
          <w:i/>
          <w:iCs/>
          <w:sz w:val="24"/>
          <w:szCs w:val="24"/>
        </w:rPr>
        <w:t>qaḍā’</w:t>
      </w:r>
      <w:r w:rsidRPr="005F5E23">
        <w:rPr>
          <w:rFonts w:asciiTheme="majorBidi" w:hAnsiTheme="majorBidi" w:cstheme="majorBidi"/>
          <w:sz w:val="24"/>
          <w:szCs w:val="24"/>
        </w:rPr>
        <w:t xml:space="preserve"> dan </w:t>
      </w:r>
      <w:r w:rsidRPr="0060772A">
        <w:rPr>
          <w:rFonts w:asciiTheme="majorBidi" w:hAnsiTheme="majorBidi" w:cstheme="majorBidi"/>
          <w:i/>
          <w:iCs/>
          <w:sz w:val="24"/>
          <w:szCs w:val="24"/>
        </w:rPr>
        <w:t>qadar</w:t>
      </w:r>
      <w:r w:rsidRPr="005F5E23">
        <w:rPr>
          <w:rFonts w:asciiTheme="majorBidi" w:hAnsiTheme="majorBidi" w:cstheme="majorBidi"/>
          <w:sz w:val="24"/>
          <w:szCs w:val="24"/>
        </w:rPr>
        <w:t>) yang berjalan seiring dengan tanggung jawab dan ikhtiar manusia.</w:t>
      </w:r>
      <w:proofErr w:type="gramEnd"/>
    </w:p>
    <w:p w:rsidR="00F05971" w:rsidRDefault="005F5E23" w:rsidP="00F05971">
      <w:pPr>
        <w:spacing w:after="0" w:line="360" w:lineRule="auto"/>
        <w:ind w:firstLine="720"/>
        <w:jc w:val="both"/>
        <w:rPr>
          <w:rFonts w:asciiTheme="majorBidi" w:hAnsiTheme="majorBidi" w:cstheme="majorBidi"/>
          <w:b/>
          <w:bCs/>
          <w:sz w:val="24"/>
          <w:szCs w:val="24"/>
        </w:rPr>
      </w:pPr>
      <w:r w:rsidRPr="005F5E23">
        <w:rPr>
          <w:rFonts w:asciiTheme="majorBidi" w:hAnsiTheme="majorBidi" w:cstheme="majorBidi"/>
          <w:sz w:val="24"/>
          <w:szCs w:val="24"/>
        </w:rPr>
        <w:t xml:space="preserve">Berangkat dari problematika tersebut, penelitian ini diarahkan untuk menjawab pertanyaan mendasar mengenai bagaimana konsep bencana dalam hadis-hadis Nabi Muhammad </w:t>
      </w:r>
      <w:r w:rsidRPr="005F5E23">
        <w:rPr>
          <w:rFonts w:asciiTheme="majorBidi" w:hAnsiTheme="majorBidi" w:cs="Times New Roman" w:hint="cs"/>
          <w:sz w:val="24"/>
          <w:szCs w:val="24"/>
          <w:rtl/>
        </w:rPr>
        <w:t>ﷺ</w:t>
      </w:r>
      <w:r w:rsidRPr="005F5E23">
        <w:rPr>
          <w:rFonts w:asciiTheme="majorBidi" w:hAnsiTheme="majorBidi" w:cstheme="majorBidi"/>
          <w:sz w:val="24"/>
          <w:szCs w:val="24"/>
        </w:rPr>
        <w:t xml:space="preserve">, bagaimana hadis memosisikan bencana sebagai bagian dari </w:t>
      </w:r>
      <w:r w:rsidRPr="00F05971">
        <w:rPr>
          <w:rFonts w:asciiTheme="majorBidi" w:hAnsiTheme="majorBidi" w:cstheme="majorBidi"/>
          <w:i/>
          <w:iCs/>
          <w:sz w:val="24"/>
          <w:szCs w:val="24"/>
        </w:rPr>
        <w:t>sunnatullah</w:t>
      </w:r>
      <w:r w:rsidRPr="005F5E23">
        <w:rPr>
          <w:rFonts w:asciiTheme="majorBidi" w:hAnsiTheme="majorBidi" w:cstheme="majorBidi"/>
          <w:sz w:val="24"/>
          <w:szCs w:val="24"/>
        </w:rPr>
        <w:t xml:space="preserve"> dan ketetapan </w:t>
      </w:r>
      <w:r w:rsidRPr="00F05971">
        <w:rPr>
          <w:rFonts w:asciiTheme="majorBidi" w:hAnsiTheme="majorBidi" w:cstheme="majorBidi"/>
          <w:i/>
          <w:iCs/>
          <w:sz w:val="24"/>
          <w:szCs w:val="24"/>
        </w:rPr>
        <w:t>Ilahi</w:t>
      </w:r>
      <w:r w:rsidRPr="005F5E23">
        <w:rPr>
          <w:rFonts w:asciiTheme="majorBidi" w:hAnsiTheme="majorBidi" w:cstheme="majorBidi"/>
          <w:sz w:val="24"/>
          <w:szCs w:val="24"/>
        </w:rPr>
        <w:t xml:space="preserve">, serta </w:t>
      </w:r>
      <w:proofErr w:type="gramStart"/>
      <w:r w:rsidRPr="005F5E23">
        <w:rPr>
          <w:rFonts w:asciiTheme="majorBidi" w:hAnsiTheme="majorBidi" w:cstheme="majorBidi"/>
          <w:sz w:val="24"/>
          <w:szCs w:val="24"/>
        </w:rPr>
        <w:t>apa</w:t>
      </w:r>
      <w:proofErr w:type="gramEnd"/>
      <w:r w:rsidRPr="005F5E23">
        <w:rPr>
          <w:rFonts w:asciiTheme="majorBidi" w:hAnsiTheme="majorBidi" w:cstheme="majorBidi"/>
          <w:sz w:val="24"/>
          <w:szCs w:val="24"/>
        </w:rPr>
        <w:t xml:space="preserve"> implikasi teologis dan sosial dari pemahaman tersebut bagi kehidupan umat Islam. </w:t>
      </w:r>
      <w:proofErr w:type="gramStart"/>
      <w:r w:rsidRPr="005F5E23">
        <w:rPr>
          <w:rFonts w:asciiTheme="majorBidi" w:hAnsiTheme="majorBidi" w:cstheme="majorBidi"/>
          <w:sz w:val="24"/>
          <w:szCs w:val="24"/>
        </w:rPr>
        <w:t>Tujuan utama penelitian ini adalah mengkaji hadis-hadis tentang bencana secara tematik guna menemukan kerangka teologis yang utuh dan proporsional, sekaligus menegaskan keseimbangan antara iman kepada takdir dan kewajiban ikhtiar.</w:t>
      </w:r>
      <w:proofErr w:type="gramEnd"/>
      <w:r w:rsidRPr="005F5E23">
        <w:rPr>
          <w:rFonts w:asciiTheme="majorBidi" w:hAnsiTheme="majorBidi" w:cstheme="majorBidi"/>
          <w:sz w:val="24"/>
          <w:szCs w:val="24"/>
        </w:rPr>
        <w:t xml:space="preserve"> </w:t>
      </w:r>
      <w:proofErr w:type="gramStart"/>
      <w:r w:rsidRPr="005F5E23">
        <w:rPr>
          <w:rFonts w:asciiTheme="majorBidi" w:hAnsiTheme="majorBidi" w:cstheme="majorBidi"/>
          <w:sz w:val="24"/>
          <w:szCs w:val="24"/>
        </w:rPr>
        <w:t>Secara akademik, penelitian ini diharapkan dapat memperkaya kajian hadis tematik dan teologi Islam, khususnya dalam diskursus kebencanaan.</w:t>
      </w:r>
      <w:proofErr w:type="gramEnd"/>
      <w:r w:rsidRPr="005F5E23">
        <w:rPr>
          <w:rFonts w:asciiTheme="majorBidi" w:hAnsiTheme="majorBidi" w:cstheme="majorBidi"/>
          <w:sz w:val="24"/>
          <w:szCs w:val="24"/>
        </w:rPr>
        <w:t xml:space="preserve"> </w:t>
      </w:r>
      <w:proofErr w:type="gramStart"/>
      <w:r w:rsidRPr="005F5E23">
        <w:rPr>
          <w:rFonts w:asciiTheme="majorBidi" w:hAnsiTheme="majorBidi" w:cstheme="majorBidi"/>
          <w:sz w:val="24"/>
          <w:szCs w:val="24"/>
        </w:rPr>
        <w:t>Secara praktis, penelitian ini diharapkan mampu memberikan kontribusi dalam membangun narasi keagamaan yang empatik, humanis, dan konstruktif da</w:t>
      </w:r>
      <w:r w:rsidR="00F05971">
        <w:rPr>
          <w:rFonts w:asciiTheme="majorBidi" w:hAnsiTheme="majorBidi" w:cstheme="majorBidi"/>
          <w:sz w:val="24"/>
          <w:szCs w:val="24"/>
        </w:rPr>
        <w:t>lam merespons realitas bencana.</w:t>
      </w:r>
      <w:proofErr w:type="gramEnd"/>
      <w:r w:rsidR="00F05971">
        <w:rPr>
          <w:rStyle w:val="FootnoteReference"/>
          <w:rFonts w:asciiTheme="majorBidi" w:hAnsiTheme="majorBidi" w:cstheme="majorBidi"/>
          <w:sz w:val="24"/>
          <w:szCs w:val="24"/>
        </w:rPr>
        <w:footnoteReference w:id="5"/>
      </w:r>
    </w:p>
    <w:p w:rsidR="001A0636" w:rsidRDefault="005F5E23" w:rsidP="001A0636">
      <w:pPr>
        <w:spacing w:after="0" w:line="360" w:lineRule="auto"/>
        <w:ind w:firstLine="720"/>
        <w:jc w:val="both"/>
        <w:rPr>
          <w:rFonts w:asciiTheme="majorBidi" w:hAnsiTheme="majorBidi" w:cstheme="majorBidi"/>
          <w:b/>
          <w:bCs/>
          <w:sz w:val="24"/>
          <w:szCs w:val="24"/>
        </w:rPr>
      </w:pPr>
      <w:proofErr w:type="gramStart"/>
      <w:r w:rsidRPr="005F5E23">
        <w:rPr>
          <w:rFonts w:asciiTheme="majorBidi" w:hAnsiTheme="majorBidi" w:cstheme="majorBidi"/>
          <w:sz w:val="24"/>
          <w:szCs w:val="24"/>
        </w:rPr>
        <w:t>Kajian tentang bencana dalam perspektif Islam sejatinya telah banyak dilakukan, meskipun dengan fokus dan pendekatan yang beragam.</w:t>
      </w:r>
      <w:proofErr w:type="gramEnd"/>
      <w:r w:rsidRPr="005F5E23">
        <w:rPr>
          <w:rFonts w:asciiTheme="majorBidi" w:hAnsiTheme="majorBidi" w:cstheme="majorBidi"/>
          <w:sz w:val="24"/>
          <w:szCs w:val="24"/>
        </w:rPr>
        <w:t xml:space="preserve"> </w:t>
      </w:r>
      <w:proofErr w:type="gramStart"/>
      <w:r w:rsidRPr="005F5E23">
        <w:rPr>
          <w:rFonts w:asciiTheme="majorBidi" w:hAnsiTheme="majorBidi" w:cstheme="majorBidi"/>
          <w:sz w:val="24"/>
          <w:szCs w:val="24"/>
        </w:rPr>
        <w:t xml:space="preserve">Dalam kajian tafsir, M. Quraish Shihab menegaskan bahwa musibah dalam Al-Qur’an tidak selalu identik dengan hukuman, </w:t>
      </w:r>
      <w:r w:rsidRPr="005F5E23">
        <w:rPr>
          <w:rFonts w:asciiTheme="majorBidi" w:hAnsiTheme="majorBidi" w:cstheme="majorBidi"/>
          <w:sz w:val="24"/>
          <w:szCs w:val="24"/>
        </w:rPr>
        <w:lastRenderedPageBreak/>
        <w:t>tetapi sering kali merupakan ujian yang bertujuan membe</w:t>
      </w:r>
      <w:r w:rsidR="00F05971">
        <w:rPr>
          <w:rFonts w:asciiTheme="majorBidi" w:hAnsiTheme="majorBidi" w:cstheme="majorBidi"/>
          <w:sz w:val="24"/>
          <w:szCs w:val="24"/>
        </w:rPr>
        <w:t>ntuk kualitas keimanan manusia.</w:t>
      </w:r>
      <w:proofErr w:type="gramEnd"/>
      <w:r w:rsidR="00F05971">
        <w:rPr>
          <w:rStyle w:val="FootnoteReference"/>
          <w:rFonts w:asciiTheme="majorBidi" w:hAnsiTheme="majorBidi" w:cstheme="majorBidi"/>
          <w:sz w:val="24"/>
          <w:szCs w:val="24"/>
        </w:rPr>
        <w:footnoteReference w:id="6"/>
      </w:r>
      <w:r w:rsidRPr="005F5E23">
        <w:rPr>
          <w:rFonts w:asciiTheme="majorBidi" w:hAnsiTheme="majorBidi" w:cstheme="majorBidi"/>
          <w:sz w:val="24"/>
          <w:szCs w:val="24"/>
        </w:rPr>
        <w:t xml:space="preserve"> </w:t>
      </w:r>
      <w:proofErr w:type="gramStart"/>
      <w:r w:rsidRPr="005F5E23">
        <w:rPr>
          <w:rFonts w:asciiTheme="majorBidi" w:hAnsiTheme="majorBidi" w:cstheme="majorBidi"/>
          <w:sz w:val="24"/>
          <w:szCs w:val="24"/>
        </w:rPr>
        <w:t xml:space="preserve">Sementara itu, ulama hadis klasik seperti Ibn Ḥajar al-‘Asqalānī dalam Fatḥ al-Bārī menekankan bahwa hadis-hadis tentang wabah dan musibah harus dipahami dalam kerangka hikmah </w:t>
      </w:r>
      <w:r w:rsidRPr="00F05971">
        <w:rPr>
          <w:rFonts w:asciiTheme="majorBidi" w:hAnsiTheme="majorBidi" w:cstheme="majorBidi"/>
          <w:i/>
          <w:iCs/>
          <w:sz w:val="24"/>
          <w:szCs w:val="24"/>
        </w:rPr>
        <w:t>Ilahi</w:t>
      </w:r>
      <w:r w:rsidRPr="005F5E23">
        <w:rPr>
          <w:rFonts w:asciiTheme="majorBidi" w:hAnsiTheme="majorBidi" w:cstheme="majorBidi"/>
          <w:sz w:val="24"/>
          <w:szCs w:val="24"/>
        </w:rPr>
        <w:t xml:space="preserve"> dan tanggung jawab manusia, bukan sebagai legi</w:t>
      </w:r>
      <w:r w:rsidR="001A0636">
        <w:rPr>
          <w:rFonts w:asciiTheme="majorBidi" w:hAnsiTheme="majorBidi" w:cstheme="majorBidi"/>
          <w:sz w:val="24"/>
          <w:szCs w:val="24"/>
        </w:rPr>
        <w:t>timasi sikap pasrah yang pasif.</w:t>
      </w:r>
      <w:proofErr w:type="gramEnd"/>
      <w:r w:rsidR="001A0636">
        <w:rPr>
          <w:rStyle w:val="FootnoteReference"/>
          <w:rFonts w:asciiTheme="majorBidi" w:hAnsiTheme="majorBidi" w:cstheme="majorBidi"/>
          <w:sz w:val="24"/>
          <w:szCs w:val="24"/>
        </w:rPr>
        <w:footnoteReference w:id="7"/>
      </w:r>
      <w:r w:rsidRPr="005F5E23">
        <w:rPr>
          <w:rFonts w:asciiTheme="majorBidi" w:hAnsiTheme="majorBidi" w:cstheme="majorBidi"/>
          <w:sz w:val="24"/>
          <w:szCs w:val="24"/>
        </w:rPr>
        <w:t xml:space="preserve"> </w:t>
      </w:r>
      <w:proofErr w:type="gramStart"/>
      <w:r w:rsidRPr="005F5E23">
        <w:rPr>
          <w:rFonts w:asciiTheme="majorBidi" w:hAnsiTheme="majorBidi" w:cstheme="majorBidi"/>
          <w:sz w:val="24"/>
          <w:szCs w:val="24"/>
        </w:rPr>
        <w:t>Pandangan serupa juga ditegaskan oleh al-Nawawī dalam Syarḥ Ṣaḥīḥ Muslim, yang menafsirkan hadis-hadis wabah sebagai bukti pengakuan Islam terhadap hukum sebab-akiba</w:t>
      </w:r>
      <w:r w:rsidR="001A0636">
        <w:rPr>
          <w:rFonts w:asciiTheme="majorBidi" w:hAnsiTheme="majorBidi" w:cstheme="majorBidi"/>
          <w:sz w:val="24"/>
          <w:szCs w:val="24"/>
        </w:rPr>
        <w:t>t dan pentingnya usaha manusia.</w:t>
      </w:r>
      <w:proofErr w:type="gramEnd"/>
      <w:r w:rsidR="001A0636">
        <w:rPr>
          <w:rStyle w:val="FootnoteReference"/>
          <w:rFonts w:asciiTheme="majorBidi" w:hAnsiTheme="majorBidi" w:cstheme="majorBidi"/>
          <w:sz w:val="24"/>
          <w:szCs w:val="24"/>
        </w:rPr>
        <w:footnoteReference w:id="8"/>
      </w:r>
    </w:p>
    <w:p w:rsidR="00BE4B1F" w:rsidRDefault="005F5E23" w:rsidP="00BE4B1F">
      <w:pPr>
        <w:spacing w:after="100" w:afterAutospacing="1" w:line="360" w:lineRule="auto"/>
        <w:ind w:firstLine="720"/>
        <w:jc w:val="both"/>
        <w:rPr>
          <w:rFonts w:asciiTheme="majorBidi" w:hAnsiTheme="majorBidi" w:cstheme="majorBidi"/>
          <w:sz w:val="24"/>
          <w:szCs w:val="24"/>
        </w:rPr>
      </w:pPr>
      <w:proofErr w:type="gramStart"/>
      <w:r w:rsidRPr="005F5E23">
        <w:rPr>
          <w:rFonts w:asciiTheme="majorBidi" w:hAnsiTheme="majorBidi" w:cstheme="majorBidi"/>
          <w:sz w:val="24"/>
          <w:szCs w:val="24"/>
        </w:rPr>
        <w:t>Dalam kajian kontemporer, sejumlah artikel jurnal menyoroti perlunya pendekatan kontekstual terhadap teks-teks keagamaan terkait bencana.</w:t>
      </w:r>
      <w:proofErr w:type="gramEnd"/>
      <w:r w:rsidRPr="005F5E23">
        <w:rPr>
          <w:rFonts w:asciiTheme="majorBidi" w:hAnsiTheme="majorBidi" w:cstheme="majorBidi"/>
          <w:sz w:val="24"/>
          <w:szCs w:val="24"/>
        </w:rPr>
        <w:t xml:space="preserve"> </w:t>
      </w:r>
      <w:proofErr w:type="gramStart"/>
      <w:r w:rsidRPr="005F5E23">
        <w:rPr>
          <w:rFonts w:asciiTheme="majorBidi" w:hAnsiTheme="majorBidi" w:cstheme="majorBidi"/>
          <w:sz w:val="24"/>
          <w:szCs w:val="24"/>
        </w:rPr>
        <w:t>Penelitian dalam Studia Islamika menunjukkan bahwa narasi teologis tentang bencana di Indonesia perlu diarahkan pada penguatan solidaritas sosial dan mitigasi risiko, bukan pada penghakiman moral terhadap</w:t>
      </w:r>
      <w:r w:rsidR="001A0636">
        <w:rPr>
          <w:rFonts w:asciiTheme="majorBidi" w:hAnsiTheme="majorBidi" w:cstheme="majorBidi"/>
          <w:sz w:val="24"/>
          <w:szCs w:val="24"/>
        </w:rPr>
        <w:t xml:space="preserve"> korban.</w:t>
      </w:r>
      <w:proofErr w:type="gramEnd"/>
      <w:r w:rsidR="001A0636">
        <w:rPr>
          <w:rStyle w:val="FootnoteReference"/>
          <w:rFonts w:asciiTheme="majorBidi" w:hAnsiTheme="majorBidi" w:cstheme="majorBidi"/>
          <w:sz w:val="24"/>
          <w:szCs w:val="24"/>
        </w:rPr>
        <w:footnoteReference w:id="9"/>
      </w:r>
      <w:r w:rsidRPr="005F5E23">
        <w:rPr>
          <w:rFonts w:asciiTheme="majorBidi" w:hAnsiTheme="majorBidi" w:cstheme="majorBidi"/>
          <w:sz w:val="24"/>
          <w:szCs w:val="24"/>
        </w:rPr>
        <w:t xml:space="preserve"> Sementara itu, kajian yang dimuat dalam </w:t>
      </w:r>
      <w:r w:rsidRPr="001A0636">
        <w:rPr>
          <w:rFonts w:asciiTheme="majorBidi" w:hAnsiTheme="majorBidi" w:cstheme="majorBidi"/>
          <w:i/>
          <w:iCs/>
          <w:sz w:val="24"/>
          <w:szCs w:val="24"/>
        </w:rPr>
        <w:t xml:space="preserve">Al-Jami‘ah: Journal of Islamic Studies </w:t>
      </w:r>
      <w:r w:rsidRPr="005F5E23">
        <w:rPr>
          <w:rFonts w:asciiTheme="majorBidi" w:hAnsiTheme="majorBidi" w:cstheme="majorBidi"/>
          <w:sz w:val="24"/>
          <w:szCs w:val="24"/>
        </w:rPr>
        <w:t xml:space="preserve">menegaskan pentingnya dialog antara agama, sains, </w:t>
      </w:r>
      <w:proofErr w:type="gramStart"/>
      <w:r w:rsidRPr="005F5E23">
        <w:rPr>
          <w:rFonts w:asciiTheme="majorBidi" w:hAnsiTheme="majorBidi" w:cstheme="majorBidi"/>
          <w:sz w:val="24"/>
          <w:szCs w:val="24"/>
        </w:rPr>
        <w:t>dan</w:t>
      </w:r>
      <w:proofErr w:type="gramEnd"/>
      <w:r w:rsidRPr="005F5E23">
        <w:rPr>
          <w:rFonts w:asciiTheme="majorBidi" w:hAnsiTheme="majorBidi" w:cstheme="majorBidi"/>
          <w:sz w:val="24"/>
          <w:szCs w:val="24"/>
        </w:rPr>
        <w:t xml:space="preserve"> studi kebencanaan dalam membangun pemahaman keagamaan yang r</w:t>
      </w:r>
      <w:r w:rsidR="001A0636">
        <w:rPr>
          <w:rFonts w:asciiTheme="majorBidi" w:hAnsiTheme="majorBidi" w:cstheme="majorBidi"/>
          <w:sz w:val="24"/>
          <w:szCs w:val="24"/>
        </w:rPr>
        <w:t>elevan dengan tantangan modern.</w:t>
      </w:r>
      <w:r w:rsidR="001A0636">
        <w:rPr>
          <w:rStyle w:val="FootnoteReference"/>
          <w:rFonts w:asciiTheme="majorBidi" w:hAnsiTheme="majorBidi" w:cstheme="majorBidi"/>
          <w:sz w:val="24"/>
          <w:szCs w:val="24"/>
        </w:rPr>
        <w:footnoteReference w:id="10"/>
      </w:r>
      <w:r w:rsidRPr="005F5E23">
        <w:rPr>
          <w:rFonts w:asciiTheme="majorBidi" w:hAnsiTheme="majorBidi" w:cstheme="majorBidi"/>
          <w:sz w:val="24"/>
          <w:szCs w:val="24"/>
        </w:rPr>
        <w:t xml:space="preserve"> </w:t>
      </w:r>
      <w:proofErr w:type="gramStart"/>
      <w:r w:rsidRPr="005F5E23">
        <w:rPr>
          <w:rFonts w:asciiTheme="majorBidi" w:hAnsiTheme="majorBidi" w:cstheme="majorBidi"/>
          <w:sz w:val="24"/>
          <w:szCs w:val="24"/>
        </w:rPr>
        <w:t>Meskipun demikian, kajian-kajian tersebut umumnya belum secara spesifik memfokuskan bencana sebagai sunnatullah dalam perspektif hadis tematik.</w:t>
      </w:r>
      <w:proofErr w:type="gramEnd"/>
      <w:r w:rsidRPr="005F5E23">
        <w:rPr>
          <w:rFonts w:asciiTheme="majorBidi" w:hAnsiTheme="majorBidi" w:cstheme="majorBidi"/>
          <w:sz w:val="24"/>
          <w:szCs w:val="24"/>
        </w:rPr>
        <w:t xml:space="preserve"> </w:t>
      </w:r>
      <w:proofErr w:type="gramStart"/>
      <w:r w:rsidRPr="005F5E23">
        <w:rPr>
          <w:rFonts w:asciiTheme="majorBidi" w:hAnsiTheme="majorBidi" w:cstheme="majorBidi"/>
          <w:sz w:val="24"/>
          <w:szCs w:val="24"/>
        </w:rPr>
        <w:t xml:space="preserve">Oleh karena itu, penelitian ini menempati posisi strategis untuk melengkapi kajian sebelumnya dengan menempatkan hadis Nabi </w:t>
      </w:r>
      <w:r w:rsidRPr="005F5E23">
        <w:rPr>
          <w:rFonts w:asciiTheme="majorBidi" w:hAnsiTheme="majorBidi" w:cs="Times New Roman" w:hint="cs"/>
          <w:sz w:val="24"/>
          <w:szCs w:val="24"/>
          <w:rtl/>
        </w:rPr>
        <w:t>ﷺ</w:t>
      </w:r>
      <w:r w:rsidRPr="005F5E23">
        <w:rPr>
          <w:rFonts w:asciiTheme="majorBidi" w:hAnsiTheme="majorBidi" w:cstheme="majorBidi"/>
          <w:sz w:val="24"/>
          <w:szCs w:val="24"/>
        </w:rPr>
        <w:t xml:space="preserve"> sebagai basis utama analisis teologis tentang bencana dan ketetapan </w:t>
      </w:r>
      <w:r w:rsidRPr="00BE4B1F">
        <w:rPr>
          <w:rFonts w:asciiTheme="majorBidi" w:hAnsiTheme="majorBidi" w:cstheme="majorBidi"/>
          <w:i/>
          <w:iCs/>
          <w:sz w:val="24"/>
          <w:szCs w:val="24"/>
        </w:rPr>
        <w:t>Ilahi</w:t>
      </w:r>
      <w:r w:rsidRPr="005F5E23">
        <w:rPr>
          <w:rFonts w:asciiTheme="majorBidi" w:hAnsiTheme="majorBidi" w:cstheme="majorBidi"/>
          <w:sz w:val="24"/>
          <w:szCs w:val="24"/>
        </w:rPr>
        <w:t>.</w:t>
      </w:r>
      <w:proofErr w:type="gramEnd"/>
    </w:p>
    <w:p w:rsidR="00BE4B1F" w:rsidRDefault="00BE4B1F" w:rsidP="00BE4B1F">
      <w:pPr>
        <w:spacing w:after="0" w:line="360" w:lineRule="auto"/>
        <w:jc w:val="both"/>
        <w:rPr>
          <w:rFonts w:asciiTheme="majorBidi" w:hAnsiTheme="majorBidi" w:cstheme="majorBidi"/>
          <w:b/>
          <w:bCs/>
          <w:sz w:val="24"/>
          <w:szCs w:val="24"/>
        </w:rPr>
      </w:pPr>
      <w:r w:rsidRPr="00BE4B1F">
        <w:rPr>
          <w:rFonts w:asciiTheme="majorBidi" w:hAnsiTheme="majorBidi" w:cstheme="majorBidi"/>
          <w:b/>
          <w:bCs/>
          <w:sz w:val="24"/>
          <w:szCs w:val="24"/>
        </w:rPr>
        <w:t>Kerangka Teoretis dan Metodologi</w:t>
      </w:r>
    </w:p>
    <w:p w:rsidR="00F97D5B" w:rsidRDefault="00BE4B1F" w:rsidP="00F97D5B">
      <w:pPr>
        <w:spacing w:after="0" w:line="360" w:lineRule="auto"/>
        <w:ind w:firstLine="720"/>
        <w:jc w:val="both"/>
        <w:rPr>
          <w:rFonts w:asciiTheme="majorBidi" w:hAnsiTheme="majorBidi" w:cstheme="majorBidi"/>
          <w:b/>
          <w:bCs/>
          <w:sz w:val="24"/>
          <w:szCs w:val="24"/>
        </w:rPr>
      </w:pPr>
      <w:proofErr w:type="gramStart"/>
      <w:r w:rsidRPr="00BE4B1F">
        <w:rPr>
          <w:rFonts w:asciiTheme="majorBidi" w:hAnsiTheme="majorBidi" w:cstheme="majorBidi"/>
          <w:sz w:val="24"/>
          <w:szCs w:val="24"/>
        </w:rPr>
        <w:t xml:space="preserve">Kerangka teoretis penelitian ini bertumpu pada konsep </w:t>
      </w:r>
      <w:r w:rsidRPr="00A358A1">
        <w:rPr>
          <w:rFonts w:asciiTheme="majorBidi" w:hAnsiTheme="majorBidi" w:cstheme="majorBidi"/>
          <w:i/>
          <w:iCs/>
          <w:sz w:val="24"/>
          <w:szCs w:val="24"/>
        </w:rPr>
        <w:t>sunnatullah</w:t>
      </w:r>
      <w:r w:rsidRPr="00BE4B1F">
        <w:rPr>
          <w:rFonts w:asciiTheme="majorBidi" w:hAnsiTheme="majorBidi" w:cstheme="majorBidi"/>
          <w:sz w:val="24"/>
          <w:szCs w:val="24"/>
        </w:rPr>
        <w:t xml:space="preserve"> sebagai prinsip dasar dalam memahami relasi antara ketetapan </w:t>
      </w:r>
      <w:r w:rsidRPr="00A358A1">
        <w:rPr>
          <w:rFonts w:asciiTheme="majorBidi" w:hAnsiTheme="majorBidi" w:cstheme="majorBidi"/>
          <w:i/>
          <w:iCs/>
          <w:sz w:val="24"/>
          <w:szCs w:val="24"/>
        </w:rPr>
        <w:t>Ilahi</w:t>
      </w:r>
      <w:r w:rsidR="00A358A1">
        <w:rPr>
          <w:rFonts w:asciiTheme="majorBidi" w:hAnsiTheme="majorBidi" w:cstheme="majorBidi"/>
          <w:sz w:val="24"/>
          <w:szCs w:val="24"/>
        </w:rPr>
        <w:t xml:space="preserve"> </w:t>
      </w:r>
      <w:r w:rsidRPr="00BE4B1F">
        <w:rPr>
          <w:rFonts w:asciiTheme="majorBidi" w:hAnsiTheme="majorBidi" w:cstheme="majorBidi"/>
          <w:sz w:val="24"/>
          <w:szCs w:val="24"/>
        </w:rPr>
        <w:t>dan realitas kehidupan manusia, termasuk fenomena bencana.</w:t>
      </w:r>
      <w:proofErr w:type="gramEnd"/>
      <w:r w:rsidRPr="00BE4B1F">
        <w:rPr>
          <w:rFonts w:asciiTheme="majorBidi" w:hAnsiTheme="majorBidi" w:cstheme="majorBidi"/>
          <w:sz w:val="24"/>
          <w:szCs w:val="24"/>
        </w:rPr>
        <w:t xml:space="preserve"> </w:t>
      </w:r>
      <w:proofErr w:type="gramStart"/>
      <w:r w:rsidRPr="00BE4B1F">
        <w:rPr>
          <w:rFonts w:asciiTheme="majorBidi" w:hAnsiTheme="majorBidi" w:cstheme="majorBidi"/>
          <w:sz w:val="24"/>
          <w:szCs w:val="24"/>
        </w:rPr>
        <w:t xml:space="preserve">Secara terminologis, </w:t>
      </w:r>
      <w:r w:rsidRPr="00A358A1">
        <w:rPr>
          <w:rFonts w:asciiTheme="majorBidi" w:hAnsiTheme="majorBidi" w:cstheme="majorBidi"/>
          <w:i/>
          <w:iCs/>
          <w:sz w:val="24"/>
          <w:szCs w:val="24"/>
        </w:rPr>
        <w:t>sunnatullah</w:t>
      </w:r>
      <w:r w:rsidRPr="00BE4B1F">
        <w:rPr>
          <w:rFonts w:asciiTheme="majorBidi" w:hAnsiTheme="majorBidi" w:cstheme="majorBidi"/>
          <w:sz w:val="24"/>
          <w:szCs w:val="24"/>
        </w:rPr>
        <w:t xml:space="preserve"> dipahami sebagai hukum-hukum Allah yang bersifat tetap, konsisten, dan berlaku universal dalam mengatur alam semesta dan kehidupan manusia.</w:t>
      </w:r>
      <w:proofErr w:type="gramEnd"/>
      <w:r w:rsidRPr="00BE4B1F">
        <w:rPr>
          <w:rFonts w:asciiTheme="majorBidi" w:hAnsiTheme="majorBidi" w:cstheme="majorBidi"/>
          <w:sz w:val="24"/>
          <w:szCs w:val="24"/>
        </w:rPr>
        <w:t xml:space="preserve"> </w:t>
      </w:r>
      <w:proofErr w:type="gramStart"/>
      <w:r w:rsidRPr="00BE4B1F">
        <w:rPr>
          <w:rFonts w:asciiTheme="majorBidi" w:hAnsiTheme="majorBidi" w:cstheme="majorBidi"/>
          <w:sz w:val="24"/>
          <w:szCs w:val="24"/>
        </w:rPr>
        <w:t>Al-Qur’an menegaskan bahwa tidak ada perubahan dalam sunnatullah Allah, sebagaimana dinyatakan bahwa ketetapan-Nya berlaku sepanjang masa dan menjadi hukum</w:t>
      </w:r>
      <w:r w:rsidR="00F97D5B">
        <w:rPr>
          <w:rFonts w:asciiTheme="majorBidi" w:hAnsiTheme="majorBidi" w:cstheme="majorBidi"/>
          <w:sz w:val="24"/>
          <w:szCs w:val="24"/>
        </w:rPr>
        <w:t xml:space="preserve"> yang mengikat seluruh makhluk.</w:t>
      </w:r>
      <w:proofErr w:type="gramEnd"/>
      <w:r w:rsidR="00F97D5B">
        <w:rPr>
          <w:rStyle w:val="FootnoteReference"/>
          <w:rFonts w:asciiTheme="majorBidi" w:hAnsiTheme="majorBidi" w:cstheme="majorBidi"/>
          <w:sz w:val="24"/>
          <w:szCs w:val="24"/>
        </w:rPr>
        <w:footnoteReference w:id="11"/>
      </w:r>
      <w:r w:rsidRPr="00BE4B1F">
        <w:rPr>
          <w:rFonts w:asciiTheme="majorBidi" w:hAnsiTheme="majorBidi" w:cstheme="majorBidi"/>
          <w:sz w:val="24"/>
          <w:szCs w:val="24"/>
        </w:rPr>
        <w:t xml:space="preserve"> </w:t>
      </w:r>
      <w:proofErr w:type="gramStart"/>
      <w:r w:rsidRPr="00BE4B1F">
        <w:rPr>
          <w:rFonts w:asciiTheme="majorBidi" w:hAnsiTheme="majorBidi" w:cstheme="majorBidi"/>
          <w:sz w:val="24"/>
          <w:szCs w:val="24"/>
        </w:rPr>
        <w:t xml:space="preserve">Dalam konteks ini, bencana alam </w:t>
      </w:r>
      <w:r w:rsidRPr="00BE4B1F">
        <w:rPr>
          <w:rFonts w:asciiTheme="majorBidi" w:hAnsiTheme="majorBidi" w:cstheme="majorBidi"/>
          <w:sz w:val="24"/>
          <w:szCs w:val="24"/>
        </w:rPr>
        <w:lastRenderedPageBreak/>
        <w:t xml:space="preserve">dipahami bukan sebagai peristiwa acak tanpa makna, melainkan sebagai bagian dari mekanisme </w:t>
      </w:r>
      <w:r w:rsidRPr="00F97D5B">
        <w:rPr>
          <w:rFonts w:asciiTheme="majorBidi" w:hAnsiTheme="majorBidi" w:cstheme="majorBidi"/>
          <w:i/>
          <w:iCs/>
          <w:sz w:val="24"/>
          <w:szCs w:val="24"/>
        </w:rPr>
        <w:t>ilahi</w:t>
      </w:r>
      <w:r w:rsidRPr="00BE4B1F">
        <w:rPr>
          <w:rFonts w:asciiTheme="majorBidi" w:hAnsiTheme="majorBidi" w:cstheme="majorBidi"/>
          <w:sz w:val="24"/>
          <w:szCs w:val="24"/>
        </w:rPr>
        <w:t xml:space="preserve"> yang berjalan sesuai hukum sebab-akibat yang telah ditetapkan Allah Swt.</w:t>
      </w:r>
      <w:proofErr w:type="gramEnd"/>
    </w:p>
    <w:p w:rsidR="00F97D5B" w:rsidRDefault="00BE4B1F" w:rsidP="00F97D5B">
      <w:pPr>
        <w:spacing w:after="0" w:line="360" w:lineRule="auto"/>
        <w:ind w:firstLine="720"/>
        <w:jc w:val="both"/>
        <w:rPr>
          <w:rFonts w:asciiTheme="majorBidi" w:hAnsiTheme="majorBidi" w:cstheme="majorBidi"/>
          <w:b/>
          <w:bCs/>
          <w:sz w:val="24"/>
          <w:szCs w:val="24"/>
        </w:rPr>
      </w:pPr>
      <w:proofErr w:type="gramStart"/>
      <w:r w:rsidRPr="00BE4B1F">
        <w:rPr>
          <w:rFonts w:asciiTheme="majorBidi" w:hAnsiTheme="majorBidi" w:cstheme="majorBidi"/>
          <w:sz w:val="24"/>
          <w:szCs w:val="24"/>
        </w:rPr>
        <w:t xml:space="preserve">Dalam perspektif teologi Islam, </w:t>
      </w:r>
      <w:r w:rsidRPr="00F97D5B">
        <w:rPr>
          <w:rFonts w:asciiTheme="majorBidi" w:hAnsiTheme="majorBidi" w:cstheme="majorBidi"/>
          <w:i/>
          <w:iCs/>
          <w:sz w:val="24"/>
          <w:szCs w:val="24"/>
        </w:rPr>
        <w:t>sunnatullah</w:t>
      </w:r>
      <w:r w:rsidRPr="00BE4B1F">
        <w:rPr>
          <w:rFonts w:asciiTheme="majorBidi" w:hAnsiTheme="majorBidi" w:cstheme="majorBidi"/>
          <w:sz w:val="24"/>
          <w:szCs w:val="24"/>
        </w:rPr>
        <w:t xml:space="preserve"> memiliki relasi erat dengan konsep </w:t>
      </w:r>
      <w:r w:rsidRPr="00F97D5B">
        <w:rPr>
          <w:rFonts w:asciiTheme="majorBidi" w:hAnsiTheme="majorBidi" w:cstheme="majorBidi"/>
          <w:i/>
          <w:iCs/>
          <w:sz w:val="24"/>
          <w:szCs w:val="24"/>
        </w:rPr>
        <w:t>qaḍā’</w:t>
      </w:r>
      <w:r w:rsidRPr="00BE4B1F">
        <w:rPr>
          <w:rFonts w:asciiTheme="majorBidi" w:hAnsiTheme="majorBidi" w:cstheme="majorBidi"/>
          <w:sz w:val="24"/>
          <w:szCs w:val="24"/>
        </w:rPr>
        <w:t xml:space="preserve"> dan </w:t>
      </w:r>
      <w:r w:rsidRPr="00F97D5B">
        <w:rPr>
          <w:rFonts w:asciiTheme="majorBidi" w:hAnsiTheme="majorBidi" w:cstheme="majorBidi"/>
          <w:i/>
          <w:iCs/>
          <w:sz w:val="24"/>
          <w:szCs w:val="24"/>
        </w:rPr>
        <w:t>qadar</w:t>
      </w:r>
      <w:r w:rsidRPr="00BE4B1F">
        <w:rPr>
          <w:rFonts w:asciiTheme="majorBidi" w:hAnsiTheme="majorBidi" w:cstheme="majorBidi"/>
          <w:sz w:val="24"/>
          <w:szCs w:val="24"/>
        </w:rPr>
        <w:t>.</w:t>
      </w:r>
      <w:proofErr w:type="gramEnd"/>
      <w:r w:rsidRPr="00BE4B1F">
        <w:rPr>
          <w:rFonts w:asciiTheme="majorBidi" w:hAnsiTheme="majorBidi" w:cstheme="majorBidi"/>
          <w:sz w:val="24"/>
          <w:szCs w:val="24"/>
        </w:rPr>
        <w:t xml:space="preserve"> </w:t>
      </w:r>
      <w:proofErr w:type="gramStart"/>
      <w:r w:rsidRPr="00BE4B1F">
        <w:rPr>
          <w:rFonts w:asciiTheme="majorBidi" w:hAnsiTheme="majorBidi" w:cstheme="majorBidi"/>
          <w:sz w:val="24"/>
          <w:szCs w:val="24"/>
        </w:rPr>
        <w:t xml:space="preserve">Para teolog Muslim menjelaskan bahwa </w:t>
      </w:r>
      <w:r w:rsidRPr="00F97D5B">
        <w:rPr>
          <w:rFonts w:asciiTheme="majorBidi" w:hAnsiTheme="majorBidi" w:cstheme="majorBidi"/>
          <w:i/>
          <w:iCs/>
          <w:sz w:val="24"/>
          <w:szCs w:val="24"/>
        </w:rPr>
        <w:t>qaḍā’</w:t>
      </w:r>
      <w:r w:rsidRPr="00BE4B1F">
        <w:rPr>
          <w:rFonts w:asciiTheme="majorBidi" w:hAnsiTheme="majorBidi" w:cstheme="majorBidi"/>
          <w:sz w:val="24"/>
          <w:szCs w:val="24"/>
        </w:rPr>
        <w:t xml:space="preserve"> merujuk pada ketetapan Allah secara global, sedangkan </w:t>
      </w:r>
      <w:r w:rsidRPr="00F97D5B">
        <w:rPr>
          <w:rFonts w:asciiTheme="majorBidi" w:hAnsiTheme="majorBidi" w:cstheme="majorBidi"/>
          <w:i/>
          <w:iCs/>
          <w:sz w:val="24"/>
          <w:szCs w:val="24"/>
        </w:rPr>
        <w:t>qadar</w:t>
      </w:r>
      <w:r w:rsidRPr="00BE4B1F">
        <w:rPr>
          <w:rFonts w:asciiTheme="majorBidi" w:hAnsiTheme="majorBidi" w:cstheme="majorBidi"/>
          <w:sz w:val="24"/>
          <w:szCs w:val="24"/>
        </w:rPr>
        <w:t xml:space="preserve"> adalah perwujudan ketetapan tersebut seca</w:t>
      </w:r>
      <w:r w:rsidR="00F97D5B">
        <w:rPr>
          <w:rFonts w:asciiTheme="majorBidi" w:hAnsiTheme="majorBidi" w:cstheme="majorBidi"/>
          <w:sz w:val="24"/>
          <w:szCs w:val="24"/>
        </w:rPr>
        <w:t>ra rinci dalam ruang dan waktu.</w:t>
      </w:r>
      <w:proofErr w:type="gramEnd"/>
      <w:r w:rsidR="00F97D5B">
        <w:rPr>
          <w:rStyle w:val="FootnoteReference"/>
          <w:rFonts w:asciiTheme="majorBidi" w:hAnsiTheme="majorBidi" w:cstheme="majorBidi"/>
          <w:sz w:val="24"/>
          <w:szCs w:val="24"/>
        </w:rPr>
        <w:footnoteReference w:id="12"/>
      </w:r>
      <w:r w:rsidRPr="00BE4B1F">
        <w:rPr>
          <w:rFonts w:asciiTheme="majorBidi" w:hAnsiTheme="majorBidi" w:cstheme="majorBidi"/>
          <w:sz w:val="24"/>
          <w:szCs w:val="24"/>
        </w:rPr>
        <w:t xml:space="preserve"> Hadis Nabi </w:t>
      </w:r>
      <w:r w:rsidRPr="00BE4B1F">
        <w:rPr>
          <w:rFonts w:asciiTheme="majorBidi" w:hAnsiTheme="majorBidi" w:cs="Times New Roman" w:hint="cs"/>
          <w:sz w:val="24"/>
          <w:szCs w:val="24"/>
          <w:rtl/>
        </w:rPr>
        <w:t>ﷺ</w:t>
      </w:r>
      <w:r w:rsidRPr="00BE4B1F">
        <w:rPr>
          <w:rFonts w:asciiTheme="majorBidi" w:hAnsiTheme="majorBidi" w:cstheme="majorBidi"/>
          <w:sz w:val="24"/>
          <w:szCs w:val="24"/>
        </w:rPr>
        <w:t xml:space="preserve"> banyak menyinggung relasi ini, terutama dalam konteks musibah dan ujian hidup. </w:t>
      </w:r>
      <w:proofErr w:type="gramStart"/>
      <w:r w:rsidRPr="00BE4B1F">
        <w:rPr>
          <w:rFonts w:asciiTheme="majorBidi" w:hAnsiTheme="majorBidi" w:cstheme="majorBidi"/>
          <w:sz w:val="24"/>
          <w:szCs w:val="24"/>
        </w:rPr>
        <w:t xml:space="preserve">Hadis tentang takdir yang menegaskan bahwa segala sesuatu telah ditetapkan Allah jauh sebelum penciptaan makhluk, tidak dimaksudkan untuk menafikan peran manusia, melainkan untuk menanamkan kesadaran teologis bahwa ikhtiar manusia berjalan dalam koridor kehendak </w:t>
      </w:r>
      <w:r w:rsidRPr="00F97D5B">
        <w:rPr>
          <w:rFonts w:asciiTheme="majorBidi" w:hAnsiTheme="majorBidi" w:cstheme="majorBidi"/>
          <w:i/>
          <w:iCs/>
          <w:sz w:val="24"/>
          <w:szCs w:val="24"/>
        </w:rPr>
        <w:t>Ilahi</w:t>
      </w:r>
      <w:r w:rsidR="00F97D5B">
        <w:rPr>
          <w:rFonts w:asciiTheme="majorBidi" w:hAnsiTheme="majorBidi" w:cstheme="majorBidi"/>
          <w:sz w:val="24"/>
          <w:szCs w:val="24"/>
        </w:rPr>
        <w:t>.</w:t>
      </w:r>
      <w:proofErr w:type="gramEnd"/>
      <w:r w:rsidR="00F97D5B">
        <w:rPr>
          <w:rStyle w:val="FootnoteReference"/>
          <w:rFonts w:asciiTheme="majorBidi" w:hAnsiTheme="majorBidi" w:cstheme="majorBidi"/>
          <w:sz w:val="24"/>
          <w:szCs w:val="24"/>
        </w:rPr>
        <w:footnoteReference w:id="13"/>
      </w:r>
      <w:r w:rsidRPr="00BE4B1F">
        <w:rPr>
          <w:rFonts w:asciiTheme="majorBidi" w:hAnsiTheme="majorBidi" w:cstheme="majorBidi"/>
          <w:sz w:val="24"/>
          <w:szCs w:val="24"/>
        </w:rPr>
        <w:t xml:space="preserve"> </w:t>
      </w:r>
      <w:proofErr w:type="gramStart"/>
      <w:r w:rsidRPr="00BE4B1F">
        <w:rPr>
          <w:rFonts w:asciiTheme="majorBidi" w:hAnsiTheme="majorBidi" w:cstheme="majorBidi"/>
          <w:sz w:val="24"/>
          <w:szCs w:val="24"/>
        </w:rPr>
        <w:t xml:space="preserve">Oleh karena itu, memahami bencana sebagai </w:t>
      </w:r>
      <w:r w:rsidRPr="00F97D5B">
        <w:rPr>
          <w:rFonts w:asciiTheme="majorBidi" w:hAnsiTheme="majorBidi" w:cstheme="majorBidi"/>
          <w:i/>
          <w:iCs/>
          <w:sz w:val="24"/>
          <w:szCs w:val="24"/>
        </w:rPr>
        <w:t>sunnatullah</w:t>
      </w:r>
      <w:r w:rsidRPr="00BE4B1F">
        <w:rPr>
          <w:rFonts w:asciiTheme="majorBidi" w:hAnsiTheme="majorBidi" w:cstheme="majorBidi"/>
          <w:sz w:val="24"/>
          <w:szCs w:val="24"/>
        </w:rPr>
        <w:t xml:space="preserve"> menuntut keseimbangan antara iman kepada takdir dan pengakuan terhadap tanggung jawab manusia.</w:t>
      </w:r>
      <w:proofErr w:type="gramEnd"/>
    </w:p>
    <w:p w:rsidR="007A6D67" w:rsidRDefault="00BE4B1F" w:rsidP="007A6D67">
      <w:pPr>
        <w:spacing w:after="0" w:line="360" w:lineRule="auto"/>
        <w:ind w:firstLine="720"/>
        <w:jc w:val="both"/>
        <w:rPr>
          <w:rFonts w:asciiTheme="majorBidi" w:hAnsiTheme="majorBidi" w:cstheme="majorBidi"/>
          <w:b/>
          <w:bCs/>
          <w:sz w:val="24"/>
          <w:szCs w:val="24"/>
        </w:rPr>
      </w:pPr>
      <w:proofErr w:type="gramStart"/>
      <w:r w:rsidRPr="00BE4B1F">
        <w:rPr>
          <w:rFonts w:asciiTheme="majorBidi" w:hAnsiTheme="majorBidi" w:cstheme="majorBidi"/>
          <w:sz w:val="24"/>
          <w:szCs w:val="24"/>
        </w:rPr>
        <w:t>Konsep bencana dalam Islam juga tidak dapat dilepaskan dari terminologi yang digunakan dalam sumber-sumber hadis.</w:t>
      </w:r>
      <w:proofErr w:type="gramEnd"/>
      <w:r w:rsidRPr="00BE4B1F">
        <w:rPr>
          <w:rFonts w:asciiTheme="majorBidi" w:hAnsiTheme="majorBidi" w:cstheme="majorBidi"/>
          <w:sz w:val="24"/>
          <w:szCs w:val="24"/>
        </w:rPr>
        <w:t xml:space="preserve"> </w:t>
      </w:r>
      <w:proofErr w:type="gramStart"/>
      <w:r w:rsidRPr="00BE4B1F">
        <w:rPr>
          <w:rFonts w:asciiTheme="majorBidi" w:hAnsiTheme="majorBidi" w:cstheme="majorBidi"/>
          <w:sz w:val="24"/>
          <w:szCs w:val="24"/>
        </w:rPr>
        <w:t xml:space="preserve">Hadis Nabi </w:t>
      </w:r>
      <w:r w:rsidRPr="00BE4B1F">
        <w:rPr>
          <w:rFonts w:asciiTheme="majorBidi" w:hAnsiTheme="majorBidi" w:cs="Times New Roman" w:hint="cs"/>
          <w:sz w:val="24"/>
          <w:szCs w:val="24"/>
          <w:rtl/>
        </w:rPr>
        <w:t>ﷺ</w:t>
      </w:r>
      <w:r w:rsidRPr="00BE4B1F">
        <w:rPr>
          <w:rFonts w:asciiTheme="majorBidi" w:hAnsiTheme="majorBidi" w:cstheme="majorBidi"/>
          <w:sz w:val="24"/>
          <w:szCs w:val="24"/>
        </w:rPr>
        <w:t xml:space="preserve"> menggunakan istilah yang beragam, seperti </w:t>
      </w:r>
      <w:r w:rsidRPr="00F97D5B">
        <w:rPr>
          <w:rFonts w:asciiTheme="majorBidi" w:hAnsiTheme="majorBidi" w:cstheme="majorBidi"/>
          <w:i/>
          <w:iCs/>
          <w:sz w:val="24"/>
          <w:szCs w:val="24"/>
        </w:rPr>
        <w:t>balā’</w:t>
      </w:r>
      <w:r w:rsidRPr="00BE4B1F">
        <w:rPr>
          <w:rFonts w:asciiTheme="majorBidi" w:hAnsiTheme="majorBidi" w:cstheme="majorBidi"/>
          <w:sz w:val="24"/>
          <w:szCs w:val="24"/>
        </w:rPr>
        <w:t xml:space="preserve"> (ujian), </w:t>
      </w:r>
      <w:r w:rsidRPr="00F97D5B">
        <w:rPr>
          <w:rFonts w:asciiTheme="majorBidi" w:hAnsiTheme="majorBidi" w:cstheme="majorBidi"/>
          <w:i/>
          <w:iCs/>
          <w:sz w:val="24"/>
          <w:szCs w:val="24"/>
        </w:rPr>
        <w:t>muṣībah</w:t>
      </w:r>
      <w:r w:rsidRPr="00BE4B1F">
        <w:rPr>
          <w:rFonts w:asciiTheme="majorBidi" w:hAnsiTheme="majorBidi" w:cstheme="majorBidi"/>
          <w:sz w:val="24"/>
          <w:szCs w:val="24"/>
        </w:rPr>
        <w:t xml:space="preserve"> (musibah), </w:t>
      </w:r>
      <w:r w:rsidRPr="00F97D5B">
        <w:rPr>
          <w:rFonts w:asciiTheme="majorBidi" w:hAnsiTheme="majorBidi" w:cstheme="majorBidi"/>
          <w:i/>
          <w:iCs/>
          <w:sz w:val="24"/>
          <w:szCs w:val="24"/>
        </w:rPr>
        <w:t>fitnah</w:t>
      </w:r>
      <w:r w:rsidRPr="00BE4B1F">
        <w:rPr>
          <w:rFonts w:asciiTheme="majorBidi" w:hAnsiTheme="majorBidi" w:cstheme="majorBidi"/>
          <w:sz w:val="24"/>
          <w:szCs w:val="24"/>
        </w:rPr>
        <w:t xml:space="preserve"> (cobaan), dan </w:t>
      </w:r>
      <w:r w:rsidRPr="00F97D5B">
        <w:rPr>
          <w:rFonts w:asciiTheme="majorBidi" w:hAnsiTheme="majorBidi" w:cstheme="majorBidi"/>
          <w:i/>
          <w:iCs/>
          <w:sz w:val="24"/>
          <w:szCs w:val="24"/>
        </w:rPr>
        <w:t>‘adzāb</w:t>
      </w:r>
      <w:r w:rsidRPr="00BE4B1F">
        <w:rPr>
          <w:rFonts w:asciiTheme="majorBidi" w:hAnsiTheme="majorBidi" w:cstheme="majorBidi"/>
          <w:sz w:val="24"/>
          <w:szCs w:val="24"/>
        </w:rPr>
        <w:t xml:space="preserve"> (azab), yang masing-masing memiliki nuansa makna berbeda.</w:t>
      </w:r>
      <w:proofErr w:type="gramEnd"/>
      <w:r w:rsidRPr="00BE4B1F">
        <w:rPr>
          <w:rFonts w:asciiTheme="majorBidi" w:hAnsiTheme="majorBidi" w:cstheme="majorBidi"/>
          <w:sz w:val="24"/>
          <w:szCs w:val="24"/>
        </w:rPr>
        <w:t xml:space="preserve"> </w:t>
      </w:r>
      <w:proofErr w:type="gramStart"/>
      <w:r w:rsidRPr="00BE4B1F">
        <w:rPr>
          <w:rFonts w:asciiTheme="majorBidi" w:hAnsiTheme="majorBidi" w:cstheme="majorBidi"/>
          <w:sz w:val="24"/>
          <w:szCs w:val="24"/>
        </w:rPr>
        <w:t>Para ulama hadis menegaskan bahwa tidak setiap bencana dapat dikategorikan sebagai azab, sebab azab memiliki indikator tertentu yang berkaitan dengan pendustaan terhadap risa</w:t>
      </w:r>
      <w:r w:rsidR="00F97D5B">
        <w:rPr>
          <w:rFonts w:asciiTheme="majorBidi" w:hAnsiTheme="majorBidi" w:cstheme="majorBidi"/>
          <w:sz w:val="24"/>
          <w:szCs w:val="24"/>
        </w:rPr>
        <w:t>lah dan pembangkangan kolektif.</w:t>
      </w:r>
      <w:proofErr w:type="gramEnd"/>
      <w:r w:rsidR="00F97D5B">
        <w:rPr>
          <w:rStyle w:val="FootnoteReference"/>
          <w:rFonts w:asciiTheme="majorBidi" w:hAnsiTheme="majorBidi" w:cstheme="majorBidi"/>
          <w:sz w:val="24"/>
          <w:szCs w:val="24"/>
        </w:rPr>
        <w:footnoteReference w:id="14"/>
      </w:r>
      <w:r w:rsidRPr="00BE4B1F">
        <w:rPr>
          <w:rFonts w:asciiTheme="majorBidi" w:hAnsiTheme="majorBidi" w:cstheme="majorBidi"/>
          <w:sz w:val="24"/>
          <w:szCs w:val="24"/>
        </w:rPr>
        <w:t xml:space="preserve"> </w:t>
      </w:r>
      <w:proofErr w:type="gramStart"/>
      <w:r w:rsidRPr="00BE4B1F">
        <w:rPr>
          <w:rFonts w:asciiTheme="majorBidi" w:hAnsiTheme="majorBidi" w:cstheme="majorBidi"/>
          <w:sz w:val="24"/>
          <w:szCs w:val="24"/>
        </w:rPr>
        <w:t>Sebaliknya, banyak hadis menunjukkan bahwa musibah yang menimpa seorang mukmin justru bernilai positif secara spiritual, seperti penghapusan dosa dan peningkatan deraja</w:t>
      </w:r>
      <w:r w:rsidR="00F97D5B">
        <w:rPr>
          <w:rFonts w:asciiTheme="majorBidi" w:hAnsiTheme="majorBidi" w:cstheme="majorBidi"/>
          <w:sz w:val="24"/>
          <w:szCs w:val="24"/>
        </w:rPr>
        <w:t>t keimanan.</w:t>
      </w:r>
      <w:proofErr w:type="gramEnd"/>
      <w:r w:rsidR="00F97D5B">
        <w:rPr>
          <w:rStyle w:val="FootnoteReference"/>
          <w:rFonts w:asciiTheme="majorBidi" w:hAnsiTheme="majorBidi" w:cstheme="majorBidi"/>
          <w:sz w:val="24"/>
          <w:szCs w:val="24"/>
        </w:rPr>
        <w:footnoteReference w:id="15"/>
      </w:r>
      <w:r w:rsidRPr="00BE4B1F">
        <w:rPr>
          <w:rFonts w:asciiTheme="majorBidi" w:hAnsiTheme="majorBidi" w:cstheme="majorBidi"/>
          <w:sz w:val="24"/>
          <w:szCs w:val="24"/>
        </w:rPr>
        <w:t xml:space="preserve"> </w:t>
      </w:r>
      <w:proofErr w:type="gramStart"/>
      <w:r w:rsidRPr="00BE4B1F">
        <w:rPr>
          <w:rFonts w:asciiTheme="majorBidi" w:hAnsiTheme="majorBidi" w:cstheme="majorBidi"/>
          <w:sz w:val="24"/>
          <w:szCs w:val="24"/>
        </w:rPr>
        <w:t>Kerangka teoretis ini menjadi dasar untuk menolak generalisasi teologis yang menyederhanakan bencana sebagai hukuman Tuhan semata.</w:t>
      </w:r>
      <w:proofErr w:type="gramEnd"/>
    </w:p>
    <w:p w:rsidR="007A6D67" w:rsidRDefault="00BE4B1F" w:rsidP="007A6D67">
      <w:pPr>
        <w:spacing w:after="0" w:line="360" w:lineRule="auto"/>
        <w:ind w:firstLine="720"/>
        <w:jc w:val="both"/>
        <w:rPr>
          <w:rFonts w:asciiTheme="majorBidi" w:hAnsiTheme="majorBidi" w:cstheme="majorBidi"/>
          <w:b/>
          <w:bCs/>
          <w:sz w:val="24"/>
          <w:szCs w:val="24"/>
        </w:rPr>
      </w:pPr>
      <w:proofErr w:type="gramStart"/>
      <w:r w:rsidRPr="00BE4B1F">
        <w:rPr>
          <w:rFonts w:asciiTheme="majorBidi" w:hAnsiTheme="majorBidi" w:cstheme="majorBidi"/>
          <w:sz w:val="24"/>
          <w:szCs w:val="24"/>
        </w:rPr>
        <w:t>Dalam konteks metodologi pemahaman hadis, penelitian ini berpijak pada pendekatan hadis tematik (</w:t>
      </w:r>
      <w:r w:rsidRPr="007A6D67">
        <w:rPr>
          <w:rFonts w:asciiTheme="majorBidi" w:hAnsiTheme="majorBidi" w:cstheme="majorBidi"/>
          <w:i/>
          <w:iCs/>
          <w:sz w:val="24"/>
          <w:szCs w:val="24"/>
        </w:rPr>
        <w:t>maudhu‘i</w:t>
      </w:r>
      <w:r w:rsidRPr="00BE4B1F">
        <w:rPr>
          <w:rFonts w:asciiTheme="majorBidi" w:hAnsiTheme="majorBidi" w:cstheme="majorBidi"/>
          <w:sz w:val="24"/>
          <w:szCs w:val="24"/>
        </w:rPr>
        <w:t>).</w:t>
      </w:r>
      <w:proofErr w:type="gramEnd"/>
      <w:r w:rsidRPr="00BE4B1F">
        <w:rPr>
          <w:rFonts w:asciiTheme="majorBidi" w:hAnsiTheme="majorBidi" w:cstheme="majorBidi"/>
          <w:sz w:val="24"/>
          <w:szCs w:val="24"/>
        </w:rPr>
        <w:t xml:space="preserve"> </w:t>
      </w:r>
      <w:proofErr w:type="gramStart"/>
      <w:r w:rsidRPr="00BE4B1F">
        <w:rPr>
          <w:rFonts w:asciiTheme="majorBidi" w:hAnsiTheme="majorBidi" w:cstheme="majorBidi"/>
          <w:sz w:val="24"/>
          <w:szCs w:val="24"/>
        </w:rPr>
        <w:t>Pendekatan ini berupaya menghimpun seluruh hadis yang berkaitan dengan tema tertentu, kemudian dianalisis secara komprehensif untuk menemukan pola makna dan pesan normatifnya.</w:t>
      </w:r>
      <w:proofErr w:type="gramEnd"/>
      <w:r w:rsidRPr="00BE4B1F">
        <w:rPr>
          <w:rFonts w:asciiTheme="majorBidi" w:hAnsiTheme="majorBidi" w:cstheme="majorBidi"/>
          <w:sz w:val="24"/>
          <w:szCs w:val="24"/>
        </w:rPr>
        <w:t xml:space="preserve"> </w:t>
      </w:r>
      <w:proofErr w:type="gramStart"/>
      <w:r w:rsidRPr="00BE4B1F">
        <w:rPr>
          <w:rFonts w:asciiTheme="majorBidi" w:hAnsiTheme="majorBidi" w:cstheme="majorBidi"/>
          <w:sz w:val="24"/>
          <w:szCs w:val="24"/>
        </w:rPr>
        <w:t xml:space="preserve">Menurut al-Farmawī, metode </w:t>
      </w:r>
      <w:r w:rsidRPr="007A6D67">
        <w:rPr>
          <w:rFonts w:asciiTheme="majorBidi" w:hAnsiTheme="majorBidi" w:cstheme="majorBidi"/>
          <w:i/>
          <w:iCs/>
          <w:sz w:val="24"/>
          <w:szCs w:val="24"/>
        </w:rPr>
        <w:t>maudhu‘i</w:t>
      </w:r>
      <w:r w:rsidRPr="00BE4B1F">
        <w:rPr>
          <w:rFonts w:asciiTheme="majorBidi" w:hAnsiTheme="majorBidi" w:cstheme="majorBidi"/>
          <w:sz w:val="24"/>
          <w:szCs w:val="24"/>
        </w:rPr>
        <w:t xml:space="preserve"> memungkinkan peneliti memahami hadis secara utuh dan terhindar dari kesimpulan parsial akibat pen</w:t>
      </w:r>
      <w:r w:rsidR="007A6D67">
        <w:rPr>
          <w:rFonts w:asciiTheme="majorBidi" w:hAnsiTheme="majorBidi" w:cstheme="majorBidi"/>
          <w:sz w:val="24"/>
          <w:szCs w:val="24"/>
        </w:rPr>
        <w:t>gambilan hadis secara terpisah.</w:t>
      </w:r>
      <w:proofErr w:type="gramEnd"/>
      <w:r w:rsidR="007A6D67">
        <w:rPr>
          <w:rStyle w:val="FootnoteReference"/>
          <w:rFonts w:asciiTheme="majorBidi" w:hAnsiTheme="majorBidi" w:cstheme="majorBidi"/>
          <w:sz w:val="24"/>
          <w:szCs w:val="24"/>
        </w:rPr>
        <w:footnoteReference w:id="16"/>
      </w:r>
      <w:r w:rsidRPr="00BE4B1F">
        <w:rPr>
          <w:rFonts w:asciiTheme="majorBidi" w:hAnsiTheme="majorBidi" w:cstheme="majorBidi"/>
          <w:sz w:val="24"/>
          <w:szCs w:val="24"/>
        </w:rPr>
        <w:t xml:space="preserve"> </w:t>
      </w:r>
      <w:proofErr w:type="gramStart"/>
      <w:r w:rsidRPr="00BE4B1F">
        <w:rPr>
          <w:rFonts w:asciiTheme="majorBidi" w:hAnsiTheme="majorBidi" w:cstheme="majorBidi"/>
          <w:sz w:val="24"/>
          <w:szCs w:val="24"/>
        </w:rPr>
        <w:t>Pendekatan ini dinilai relevan untuk mengkaji tema bencana, karena hadis-hadis tentang musibah tersebar dalam berbagai kitab dan konteks periwayatan.</w:t>
      </w:r>
      <w:proofErr w:type="gramEnd"/>
    </w:p>
    <w:p w:rsidR="007A6D67" w:rsidRDefault="00BE4B1F" w:rsidP="007A6D67">
      <w:pPr>
        <w:spacing w:after="0" w:line="360" w:lineRule="auto"/>
        <w:ind w:firstLine="720"/>
        <w:jc w:val="both"/>
        <w:rPr>
          <w:rFonts w:asciiTheme="majorBidi" w:hAnsiTheme="majorBidi" w:cstheme="majorBidi"/>
          <w:sz w:val="24"/>
          <w:szCs w:val="24"/>
        </w:rPr>
      </w:pPr>
      <w:proofErr w:type="gramStart"/>
      <w:r w:rsidRPr="00BE4B1F">
        <w:rPr>
          <w:rFonts w:asciiTheme="majorBidi" w:hAnsiTheme="majorBidi" w:cstheme="majorBidi"/>
          <w:sz w:val="24"/>
          <w:szCs w:val="24"/>
        </w:rPr>
        <w:lastRenderedPageBreak/>
        <w:t>Selain itu, penelitian ini juga menggunakan perspektif teologi hadis, yakni upaya memahami hadis tidak hanya sebagai teks normatif, tetapi juga sebagai sumber refleksi teologis yang berinteraksi dengan realitas sosial.</w:t>
      </w:r>
      <w:proofErr w:type="gramEnd"/>
      <w:r w:rsidRPr="00BE4B1F">
        <w:rPr>
          <w:rFonts w:asciiTheme="majorBidi" w:hAnsiTheme="majorBidi" w:cstheme="majorBidi"/>
          <w:sz w:val="24"/>
          <w:szCs w:val="24"/>
        </w:rPr>
        <w:t xml:space="preserve"> </w:t>
      </w:r>
      <w:proofErr w:type="gramStart"/>
      <w:r w:rsidRPr="00BE4B1F">
        <w:rPr>
          <w:rFonts w:asciiTheme="majorBidi" w:hAnsiTheme="majorBidi" w:cstheme="majorBidi"/>
          <w:sz w:val="24"/>
          <w:szCs w:val="24"/>
        </w:rPr>
        <w:t xml:space="preserve">Pendekatan ini menekankan pentingnya membaca hadis secara kontekstual dengan memperhatikan </w:t>
      </w:r>
      <w:r w:rsidRPr="007A6D67">
        <w:rPr>
          <w:rFonts w:asciiTheme="majorBidi" w:hAnsiTheme="majorBidi" w:cstheme="majorBidi"/>
          <w:i/>
          <w:iCs/>
          <w:sz w:val="24"/>
          <w:szCs w:val="24"/>
        </w:rPr>
        <w:t>maqāṣid al-syarī‘ah</w:t>
      </w:r>
      <w:r w:rsidRPr="00BE4B1F">
        <w:rPr>
          <w:rFonts w:asciiTheme="majorBidi" w:hAnsiTheme="majorBidi" w:cstheme="majorBidi"/>
          <w:sz w:val="24"/>
          <w:szCs w:val="24"/>
        </w:rPr>
        <w:t>, kondisi historis, serta dampa</w:t>
      </w:r>
      <w:r w:rsidR="007A6D67">
        <w:rPr>
          <w:rFonts w:asciiTheme="majorBidi" w:hAnsiTheme="majorBidi" w:cstheme="majorBidi"/>
          <w:sz w:val="24"/>
          <w:szCs w:val="24"/>
        </w:rPr>
        <w:t>k sosial dari penafsiran hadis.</w:t>
      </w:r>
      <w:proofErr w:type="gramEnd"/>
      <w:r w:rsidR="007A6D67">
        <w:rPr>
          <w:rStyle w:val="FootnoteReference"/>
          <w:rFonts w:asciiTheme="majorBidi" w:hAnsiTheme="majorBidi" w:cstheme="majorBidi"/>
          <w:sz w:val="24"/>
          <w:szCs w:val="24"/>
        </w:rPr>
        <w:footnoteReference w:id="17"/>
      </w:r>
      <w:r w:rsidRPr="00BE4B1F">
        <w:rPr>
          <w:rFonts w:asciiTheme="majorBidi" w:hAnsiTheme="majorBidi" w:cstheme="majorBidi"/>
          <w:sz w:val="24"/>
          <w:szCs w:val="24"/>
        </w:rPr>
        <w:t xml:space="preserve"> </w:t>
      </w:r>
      <w:proofErr w:type="gramStart"/>
      <w:r w:rsidRPr="00BE4B1F">
        <w:rPr>
          <w:rFonts w:asciiTheme="majorBidi" w:hAnsiTheme="majorBidi" w:cstheme="majorBidi"/>
          <w:sz w:val="24"/>
          <w:szCs w:val="24"/>
        </w:rPr>
        <w:t>Dengan demikian, hadis tentang bencana tidak dipahami secara literal semata, tetapi juga diarahkan untuk menghasilkan nilai etis dan kemanusiaan yang relevan dengan konteks kebencanaan kontemporer.</w:t>
      </w:r>
      <w:proofErr w:type="gramEnd"/>
    </w:p>
    <w:p w:rsidR="007A6D67" w:rsidRDefault="00BE4B1F" w:rsidP="007A6D67">
      <w:pPr>
        <w:spacing w:after="0" w:line="360" w:lineRule="auto"/>
        <w:ind w:firstLine="720"/>
        <w:jc w:val="both"/>
        <w:rPr>
          <w:rFonts w:asciiTheme="majorBidi" w:hAnsiTheme="majorBidi" w:cstheme="majorBidi"/>
          <w:b/>
          <w:bCs/>
          <w:sz w:val="24"/>
          <w:szCs w:val="24"/>
        </w:rPr>
      </w:pPr>
      <w:proofErr w:type="gramStart"/>
      <w:r w:rsidRPr="00BE4B1F">
        <w:rPr>
          <w:rFonts w:asciiTheme="majorBidi" w:hAnsiTheme="majorBidi" w:cstheme="majorBidi"/>
          <w:sz w:val="24"/>
          <w:szCs w:val="24"/>
        </w:rPr>
        <w:t>Dari sisi metodologi penelitian, studi ini merupakan penelitian kualitatif berbasis kepustakaan (</w:t>
      </w:r>
      <w:r w:rsidRPr="007A6D67">
        <w:rPr>
          <w:rFonts w:asciiTheme="majorBidi" w:hAnsiTheme="majorBidi" w:cstheme="majorBidi"/>
          <w:i/>
          <w:iCs/>
          <w:sz w:val="24"/>
          <w:szCs w:val="24"/>
        </w:rPr>
        <w:t>library research</w:t>
      </w:r>
      <w:r w:rsidRPr="00BE4B1F">
        <w:rPr>
          <w:rFonts w:asciiTheme="majorBidi" w:hAnsiTheme="majorBidi" w:cstheme="majorBidi"/>
          <w:sz w:val="24"/>
          <w:szCs w:val="24"/>
        </w:rPr>
        <w:t>).</w:t>
      </w:r>
      <w:proofErr w:type="gramEnd"/>
      <w:r w:rsidRPr="00BE4B1F">
        <w:rPr>
          <w:rFonts w:asciiTheme="majorBidi" w:hAnsiTheme="majorBidi" w:cstheme="majorBidi"/>
          <w:sz w:val="24"/>
          <w:szCs w:val="24"/>
        </w:rPr>
        <w:t xml:space="preserve"> </w:t>
      </w:r>
      <w:proofErr w:type="gramStart"/>
      <w:r w:rsidRPr="00BE4B1F">
        <w:rPr>
          <w:rFonts w:asciiTheme="majorBidi" w:hAnsiTheme="majorBidi" w:cstheme="majorBidi"/>
          <w:sz w:val="24"/>
          <w:szCs w:val="24"/>
        </w:rPr>
        <w:t xml:space="preserve">Data primer penelitian terdiri atas hadis-hadis Nabi </w:t>
      </w:r>
      <w:r w:rsidRPr="00BE4B1F">
        <w:rPr>
          <w:rFonts w:asciiTheme="majorBidi" w:hAnsiTheme="majorBidi" w:cs="Times New Roman" w:hint="cs"/>
          <w:sz w:val="24"/>
          <w:szCs w:val="24"/>
          <w:rtl/>
        </w:rPr>
        <w:t>ﷺ</w:t>
      </w:r>
      <w:r w:rsidRPr="00BE4B1F">
        <w:rPr>
          <w:rFonts w:asciiTheme="majorBidi" w:hAnsiTheme="majorBidi" w:cstheme="majorBidi"/>
          <w:sz w:val="24"/>
          <w:szCs w:val="24"/>
        </w:rPr>
        <w:t xml:space="preserve"> yang berkaitan dengan bencana, musibah, takdir, dan </w:t>
      </w:r>
      <w:r w:rsidRPr="007A6D67">
        <w:rPr>
          <w:rFonts w:asciiTheme="majorBidi" w:hAnsiTheme="majorBidi" w:cstheme="majorBidi"/>
          <w:i/>
          <w:iCs/>
          <w:sz w:val="24"/>
          <w:szCs w:val="24"/>
        </w:rPr>
        <w:t>sunnatullah</w:t>
      </w:r>
      <w:r w:rsidRPr="00BE4B1F">
        <w:rPr>
          <w:rFonts w:asciiTheme="majorBidi" w:hAnsiTheme="majorBidi" w:cstheme="majorBidi"/>
          <w:sz w:val="24"/>
          <w:szCs w:val="24"/>
        </w:rPr>
        <w:t xml:space="preserve">, yang bersumber dari kitab-kitab hadis utama seperti </w:t>
      </w:r>
      <w:r w:rsidRPr="007A6D67">
        <w:rPr>
          <w:rFonts w:asciiTheme="majorBidi" w:hAnsiTheme="majorBidi" w:cstheme="majorBidi"/>
          <w:i/>
          <w:iCs/>
          <w:sz w:val="24"/>
          <w:szCs w:val="24"/>
        </w:rPr>
        <w:t>Ṣaḥīḥ al-Bukhārī, Ṣaḥīḥ Muslim</w:t>
      </w:r>
      <w:r w:rsidRPr="00BE4B1F">
        <w:rPr>
          <w:rFonts w:asciiTheme="majorBidi" w:hAnsiTheme="majorBidi" w:cstheme="majorBidi"/>
          <w:sz w:val="24"/>
          <w:szCs w:val="24"/>
        </w:rPr>
        <w:t>, serta kitab syarah hadis.</w:t>
      </w:r>
      <w:proofErr w:type="gramEnd"/>
      <w:r w:rsidRPr="00BE4B1F">
        <w:rPr>
          <w:rFonts w:asciiTheme="majorBidi" w:hAnsiTheme="majorBidi" w:cstheme="majorBidi"/>
          <w:sz w:val="24"/>
          <w:szCs w:val="24"/>
        </w:rPr>
        <w:t xml:space="preserve"> </w:t>
      </w:r>
      <w:proofErr w:type="gramStart"/>
      <w:r w:rsidRPr="00BE4B1F">
        <w:rPr>
          <w:rFonts w:asciiTheme="majorBidi" w:hAnsiTheme="majorBidi" w:cstheme="majorBidi"/>
          <w:sz w:val="24"/>
          <w:szCs w:val="24"/>
        </w:rPr>
        <w:t>Data sekunder diperoleh dari karya-karya ulama klasik, buku-buku teologi Islam, serta artikel jurnal ilmiah yang membahas teologi bencana dan kajian hadis kontemporer.</w:t>
      </w:r>
      <w:proofErr w:type="gramEnd"/>
      <w:r w:rsidR="007A6D67">
        <w:rPr>
          <w:rFonts w:asciiTheme="majorBidi" w:hAnsiTheme="majorBidi" w:cstheme="majorBidi"/>
          <w:b/>
          <w:bCs/>
          <w:sz w:val="24"/>
          <w:szCs w:val="24"/>
        </w:rPr>
        <w:t xml:space="preserve"> </w:t>
      </w:r>
    </w:p>
    <w:p w:rsidR="007A6D67" w:rsidRDefault="00BE4B1F" w:rsidP="007A6D67">
      <w:pPr>
        <w:spacing w:after="100" w:afterAutospacing="1" w:line="360" w:lineRule="auto"/>
        <w:ind w:firstLine="720"/>
        <w:jc w:val="both"/>
        <w:rPr>
          <w:rFonts w:asciiTheme="majorBidi" w:hAnsiTheme="majorBidi" w:cstheme="majorBidi"/>
          <w:b/>
          <w:bCs/>
          <w:sz w:val="24"/>
          <w:szCs w:val="24"/>
        </w:rPr>
      </w:pPr>
      <w:proofErr w:type="gramStart"/>
      <w:r w:rsidRPr="00BE4B1F">
        <w:rPr>
          <w:rFonts w:asciiTheme="majorBidi" w:hAnsiTheme="majorBidi" w:cstheme="majorBidi"/>
          <w:sz w:val="24"/>
          <w:szCs w:val="24"/>
        </w:rPr>
        <w:t>Untuk memperkuat relevansi akademik, penelitian ini juga memanfaatkan kajian-kajian jurnal kontemporer yang mengaitkan teks keagamaan dengan studi kebencanaan.</w:t>
      </w:r>
      <w:proofErr w:type="gramEnd"/>
      <w:r w:rsidRPr="00BE4B1F">
        <w:rPr>
          <w:rFonts w:asciiTheme="majorBidi" w:hAnsiTheme="majorBidi" w:cstheme="majorBidi"/>
          <w:sz w:val="24"/>
          <w:szCs w:val="24"/>
        </w:rPr>
        <w:t xml:space="preserve"> </w:t>
      </w:r>
      <w:proofErr w:type="gramStart"/>
      <w:r w:rsidRPr="00BE4B1F">
        <w:rPr>
          <w:rFonts w:asciiTheme="majorBidi" w:hAnsiTheme="majorBidi" w:cstheme="majorBidi"/>
          <w:sz w:val="24"/>
          <w:szCs w:val="24"/>
        </w:rPr>
        <w:t>Sejumlah penelitian menegaskan bahwa pendekatan teologis terhadap bencana perlu dikembangkan secara konstruktif agar agama berperan sebagai sumber ketahana</w:t>
      </w:r>
      <w:r w:rsidR="007A6D67">
        <w:rPr>
          <w:rFonts w:asciiTheme="majorBidi" w:hAnsiTheme="majorBidi" w:cstheme="majorBidi"/>
          <w:sz w:val="24"/>
          <w:szCs w:val="24"/>
        </w:rPr>
        <w:t>n sosial dan etika kemanusiaan.</w:t>
      </w:r>
      <w:proofErr w:type="gramEnd"/>
      <w:r w:rsidR="007A6D67">
        <w:rPr>
          <w:rStyle w:val="FootnoteReference"/>
          <w:rFonts w:asciiTheme="majorBidi" w:hAnsiTheme="majorBidi" w:cstheme="majorBidi"/>
          <w:sz w:val="24"/>
          <w:szCs w:val="24"/>
        </w:rPr>
        <w:footnoteReference w:id="18"/>
      </w:r>
      <w:r w:rsidRPr="00BE4B1F">
        <w:rPr>
          <w:rFonts w:asciiTheme="majorBidi" w:hAnsiTheme="majorBidi" w:cstheme="majorBidi"/>
          <w:sz w:val="24"/>
          <w:szCs w:val="24"/>
        </w:rPr>
        <w:t xml:space="preserve"> </w:t>
      </w:r>
      <w:proofErr w:type="gramStart"/>
      <w:r w:rsidRPr="00BE4B1F">
        <w:rPr>
          <w:rFonts w:asciiTheme="majorBidi" w:hAnsiTheme="majorBidi" w:cstheme="majorBidi"/>
          <w:sz w:val="24"/>
          <w:szCs w:val="24"/>
        </w:rPr>
        <w:t xml:space="preserve">Dengan mengintegrasikan kerangka teoretis </w:t>
      </w:r>
      <w:r w:rsidRPr="007A6D67">
        <w:rPr>
          <w:rFonts w:asciiTheme="majorBidi" w:hAnsiTheme="majorBidi" w:cstheme="majorBidi"/>
          <w:i/>
          <w:iCs/>
          <w:sz w:val="24"/>
          <w:szCs w:val="24"/>
        </w:rPr>
        <w:t>sunnatullah</w:t>
      </w:r>
      <w:r w:rsidRPr="00BE4B1F">
        <w:rPr>
          <w:rFonts w:asciiTheme="majorBidi" w:hAnsiTheme="majorBidi" w:cstheme="majorBidi"/>
          <w:sz w:val="24"/>
          <w:szCs w:val="24"/>
        </w:rPr>
        <w:t xml:space="preserve"> dan metodologi hadis tematik, penelitian ini diharapkan mampu menghasilkan pemahaman hadis yang tidak hanya normatif, tetapi juga aplikatif dalam konteks kehidupan modern.</w:t>
      </w:r>
      <w:proofErr w:type="gramEnd"/>
    </w:p>
    <w:p w:rsidR="00A16D1B" w:rsidRDefault="00A16D1B" w:rsidP="00311E7E">
      <w:pPr>
        <w:spacing w:after="0"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Hasil dan Pembahasan</w:t>
      </w:r>
    </w:p>
    <w:p w:rsidR="007A6D67" w:rsidRDefault="007939E4" w:rsidP="00311E7E">
      <w:pPr>
        <w:spacing w:after="0" w:line="360" w:lineRule="auto"/>
        <w:jc w:val="both"/>
        <w:rPr>
          <w:rFonts w:asciiTheme="majorBidi" w:hAnsiTheme="majorBidi" w:cstheme="majorBidi"/>
          <w:b/>
          <w:bCs/>
          <w:sz w:val="24"/>
          <w:szCs w:val="24"/>
        </w:rPr>
      </w:pPr>
      <w:r w:rsidRPr="007939E4">
        <w:rPr>
          <w:rFonts w:ascii="Times New Roman" w:eastAsia="Times New Roman" w:hAnsi="Times New Roman" w:cs="Times New Roman"/>
          <w:b/>
          <w:bCs/>
          <w:sz w:val="24"/>
          <w:szCs w:val="24"/>
        </w:rPr>
        <w:t>Hadis-Hadis tentang Bencana dan Ketetapan Ilahi</w:t>
      </w:r>
    </w:p>
    <w:p w:rsidR="009B582B" w:rsidRDefault="007939E4" w:rsidP="009B582B">
      <w:pPr>
        <w:spacing w:after="0" w:line="360" w:lineRule="auto"/>
        <w:ind w:firstLine="720"/>
        <w:jc w:val="both"/>
        <w:rPr>
          <w:rFonts w:ascii="Times New Roman" w:eastAsia="Times New Roman" w:hAnsi="Times New Roman" w:cs="Times New Roman"/>
          <w:sz w:val="24"/>
          <w:szCs w:val="24"/>
        </w:rPr>
      </w:pPr>
      <w:proofErr w:type="gramStart"/>
      <w:r w:rsidRPr="007939E4">
        <w:rPr>
          <w:rFonts w:ascii="Times New Roman" w:eastAsia="Times New Roman" w:hAnsi="Times New Roman" w:cs="Times New Roman"/>
          <w:sz w:val="24"/>
          <w:szCs w:val="24"/>
        </w:rPr>
        <w:t xml:space="preserve">Hadis Nabi Muhammad </w:t>
      </w:r>
      <w:r w:rsidRPr="007939E4">
        <w:rPr>
          <w:rFonts w:ascii="Times New Roman" w:eastAsia="Times New Roman" w:hAnsi="Times New Roman" w:cs="Times New Roman"/>
          <w:sz w:val="24"/>
          <w:szCs w:val="24"/>
          <w:rtl/>
        </w:rPr>
        <w:t>ﷺ</w:t>
      </w:r>
      <w:r w:rsidRPr="007939E4">
        <w:rPr>
          <w:rFonts w:ascii="Times New Roman" w:eastAsia="Times New Roman" w:hAnsi="Times New Roman" w:cs="Times New Roman"/>
          <w:sz w:val="24"/>
          <w:szCs w:val="24"/>
        </w:rPr>
        <w:t xml:space="preserve"> secara konsisten menempatkan bencana dan musibah dalam kerangka ketetapan </w:t>
      </w:r>
      <w:r w:rsidRPr="007939E4">
        <w:rPr>
          <w:rFonts w:ascii="Times New Roman" w:eastAsia="Times New Roman" w:hAnsi="Times New Roman" w:cs="Times New Roman"/>
          <w:i/>
          <w:iCs/>
          <w:sz w:val="24"/>
          <w:szCs w:val="24"/>
        </w:rPr>
        <w:t>Ilahi</w:t>
      </w:r>
      <w:r w:rsidRPr="007939E4">
        <w:rPr>
          <w:rFonts w:ascii="Times New Roman" w:eastAsia="Times New Roman" w:hAnsi="Times New Roman" w:cs="Times New Roman"/>
          <w:sz w:val="24"/>
          <w:szCs w:val="24"/>
        </w:rPr>
        <w:t xml:space="preserve"> yang menyeluruh.</w:t>
      </w:r>
      <w:proofErr w:type="gramEnd"/>
      <w:r w:rsidRPr="007939E4">
        <w:rPr>
          <w:rFonts w:ascii="Times New Roman" w:eastAsia="Times New Roman" w:hAnsi="Times New Roman" w:cs="Times New Roman"/>
          <w:sz w:val="24"/>
          <w:szCs w:val="24"/>
        </w:rPr>
        <w:t xml:space="preserve"> Dalam banyak riwayat, Nabi </w:t>
      </w:r>
      <w:r w:rsidRPr="007939E4">
        <w:rPr>
          <w:rFonts w:ascii="Times New Roman" w:eastAsia="Times New Roman" w:hAnsi="Times New Roman" w:cs="Times New Roman"/>
          <w:sz w:val="24"/>
          <w:szCs w:val="24"/>
          <w:rtl/>
        </w:rPr>
        <w:t>ﷺ</w:t>
      </w:r>
      <w:r w:rsidRPr="007939E4">
        <w:rPr>
          <w:rFonts w:ascii="Times New Roman" w:eastAsia="Times New Roman" w:hAnsi="Times New Roman" w:cs="Times New Roman"/>
          <w:sz w:val="24"/>
          <w:szCs w:val="24"/>
        </w:rPr>
        <w:t xml:space="preserve"> menegaskan bahwa segala peristiwa yang menimpa manusia, baik berupa kebaikan maupun keburukan, terjadi atas izin dan kehendak Allah Swt. Salah satu hadis fundamental dalam tema ini adalah sabda Nabi </w:t>
      </w:r>
      <w:r w:rsidRPr="007939E4">
        <w:rPr>
          <w:rFonts w:ascii="Times New Roman" w:eastAsia="Times New Roman" w:hAnsi="Times New Roman" w:cs="Times New Roman"/>
          <w:sz w:val="24"/>
          <w:szCs w:val="24"/>
          <w:rtl/>
        </w:rPr>
        <w:t>ﷺ</w:t>
      </w:r>
      <w:r w:rsidR="009B582B">
        <w:rPr>
          <w:rFonts w:ascii="Times New Roman" w:eastAsia="Times New Roman" w:hAnsi="Times New Roman" w:cs="Times New Roman"/>
          <w:sz w:val="24"/>
          <w:szCs w:val="24"/>
        </w:rPr>
        <w:t>:</w:t>
      </w:r>
    </w:p>
    <w:p w:rsidR="009B582B" w:rsidRPr="009B582B" w:rsidRDefault="009B582B" w:rsidP="009B582B">
      <w:pPr>
        <w:bidi/>
        <w:spacing w:after="0" w:line="360" w:lineRule="auto"/>
        <w:jc w:val="both"/>
        <w:rPr>
          <w:rFonts w:ascii="Times New Roman" w:eastAsia="Times New Roman" w:hAnsi="Times New Roman" w:cs="Times New Roman"/>
          <w:b/>
          <w:bCs/>
          <w:sz w:val="24"/>
          <w:szCs w:val="24"/>
        </w:rPr>
      </w:pPr>
      <w:r w:rsidRPr="009B582B">
        <w:rPr>
          <w:rFonts w:ascii="Times New Roman" w:eastAsia="Times New Roman" w:hAnsi="Times New Roman" w:cs="Times New Roman"/>
          <w:b/>
          <w:bCs/>
          <w:sz w:val="24"/>
          <w:szCs w:val="24"/>
          <w:rtl/>
        </w:rPr>
        <w:t>عَنْ عَبْدِ اللهِ بْنِ عَمْرِو بْنِ الْعَاصِ رضي الله عنهما قَالَ: سَمِعْتُ رَسُولَ اللهِ صَلَّى اللهُ عَلَيْهِ وَسَلَّمَ يَقُولُ:</w:t>
      </w:r>
      <w:r w:rsidRPr="009B582B">
        <w:rPr>
          <w:rFonts w:ascii="Times New Roman" w:eastAsia="Times New Roman" w:hAnsi="Times New Roman" w:cs="Times New Roman"/>
          <w:b/>
          <w:bCs/>
          <w:sz w:val="24"/>
          <w:szCs w:val="24"/>
        </w:rPr>
        <w:t xml:space="preserve"> </w:t>
      </w:r>
      <w:r w:rsidRPr="009B582B">
        <w:rPr>
          <w:rFonts w:ascii="Times New Roman" w:eastAsia="Times New Roman" w:hAnsi="Times New Roman" w:cs="Times New Roman"/>
          <w:b/>
          <w:bCs/>
          <w:sz w:val="24"/>
          <w:szCs w:val="24"/>
          <w:rtl/>
        </w:rPr>
        <w:t>كَتَبَ اللهُ مَقَادِيرَ الْخَلَائِقِ قَبْلَ أَنْ يَخْلُقَ السَّمَاوَاتِ وَالْأَرْضَ بِخَمْسِينَ أَلْفَ سَنَةٍ، قَالَ: وَعَرْشُهُ عَلَى الْمَاءِ</w:t>
      </w:r>
      <w:r w:rsidRPr="009B582B">
        <w:rPr>
          <w:rFonts w:ascii="Times New Roman" w:eastAsia="Times New Roman" w:hAnsi="Times New Roman" w:cs="Times New Roman"/>
          <w:b/>
          <w:bCs/>
          <w:sz w:val="24"/>
          <w:szCs w:val="24"/>
        </w:rPr>
        <w:t>.</w:t>
      </w:r>
      <w:r w:rsidRPr="009B582B">
        <w:rPr>
          <w:b/>
          <w:bCs/>
          <w:rtl/>
        </w:rPr>
        <w:t xml:space="preserve"> </w:t>
      </w:r>
      <w:r w:rsidRPr="009B582B">
        <w:rPr>
          <w:rFonts w:ascii="Times New Roman" w:eastAsia="Times New Roman" w:hAnsi="Times New Roman" w:cs="Times New Roman"/>
          <w:b/>
          <w:bCs/>
          <w:sz w:val="24"/>
          <w:szCs w:val="24"/>
          <w:rtl/>
        </w:rPr>
        <w:t>[صحيح] - [رواه مسلم] - [صحيح مسلم: 2653]</w:t>
      </w:r>
      <w:r w:rsidRPr="009B582B">
        <w:rPr>
          <w:rFonts w:ascii="Times New Roman" w:eastAsia="Times New Roman" w:hAnsi="Times New Roman" w:cs="Times New Roman"/>
          <w:b/>
          <w:bCs/>
          <w:sz w:val="24"/>
          <w:szCs w:val="24"/>
        </w:rPr>
        <w:t xml:space="preserve">  </w:t>
      </w:r>
    </w:p>
    <w:p w:rsidR="009B582B" w:rsidRDefault="009B582B" w:rsidP="009B582B">
      <w:pPr>
        <w:spacing w:after="100" w:afterAutospacing="1" w:line="240" w:lineRule="auto"/>
        <w:ind w:left="900" w:hanging="9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Artinya: </w:t>
      </w:r>
      <w:r w:rsidRPr="009B582B">
        <w:rPr>
          <w:rFonts w:ascii="Times New Roman" w:eastAsia="Times New Roman" w:hAnsi="Times New Roman" w:cs="Times New Roman"/>
          <w:i/>
          <w:iCs/>
          <w:sz w:val="24"/>
          <w:szCs w:val="24"/>
        </w:rPr>
        <w:t xml:space="preserve">Abdullah bin 'Amr bin Al-'Āṣ -raḍiyallāhu 'anhumā- meriwayatkan, ia berkata, Aku mendengar Rasulullah </w:t>
      </w:r>
      <w:r w:rsidRPr="009B582B">
        <w:rPr>
          <w:rFonts w:ascii="Times New Roman" w:eastAsia="Times New Roman" w:hAnsi="Times New Roman" w:cs="Times New Roman" w:hint="cs"/>
          <w:i/>
          <w:iCs/>
          <w:sz w:val="24"/>
          <w:szCs w:val="24"/>
          <w:rtl/>
        </w:rPr>
        <w:t>ﷺ</w:t>
      </w:r>
      <w:r w:rsidRPr="009B582B">
        <w:rPr>
          <w:rFonts w:ascii="Times New Roman" w:eastAsia="Times New Roman" w:hAnsi="Times New Roman" w:cs="Times New Roman"/>
          <w:i/>
          <w:iCs/>
          <w:sz w:val="24"/>
          <w:szCs w:val="24"/>
        </w:rPr>
        <w:t xml:space="preserve"> bersabda, "Allah telah menulis takdir semua makhluk sejak lima puluh ribu tahun sebelum menciptakan langit dan bumi, </w:t>
      </w:r>
      <w:r w:rsidR="00F841BF">
        <w:rPr>
          <w:rFonts w:ascii="Times New Roman" w:eastAsia="Times New Roman" w:hAnsi="Times New Roman" w:cs="Times New Roman"/>
          <w:i/>
          <w:iCs/>
          <w:sz w:val="24"/>
          <w:szCs w:val="24"/>
        </w:rPr>
        <w:t>sedangkan Arasy-Nya di atas air</w:t>
      </w:r>
      <w:r w:rsidRPr="009B582B">
        <w:rPr>
          <w:rFonts w:ascii="Times New Roman" w:eastAsia="Times New Roman" w:hAnsi="Times New Roman" w:cs="Times New Roman"/>
          <w:i/>
          <w:iCs/>
          <w:sz w:val="24"/>
          <w:szCs w:val="24"/>
        </w:rPr>
        <w:t>"</w:t>
      </w:r>
      <w:r w:rsidR="00F841BF">
        <w:rPr>
          <w:rFonts w:ascii="Times New Roman" w:eastAsia="Times New Roman" w:hAnsi="Times New Roman" w:cs="Times New Roman"/>
          <w:i/>
          <w:iCs/>
          <w:sz w:val="24"/>
          <w:szCs w:val="24"/>
        </w:rPr>
        <w:t>.</w:t>
      </w:r>
      <w:r>
        <w:rPr>
          <w:rFonts w:ascii="Times New Roman" w:eastAsia="Times New Roman" w:hAnsi="Times New Roman" w:cs="Times New Roman"/>
          <w:sz w:val="24"/>
          <w:szCs w:val="24"/>
        </w:rPr>
        <w:t xml:space="preserve"> </w:t>
      </w:r>
      <w:r w:rsidRPr="009B582B">
        <w:rPr>
          <w:rFonts w:ascii="Times New Roman" w:eastAsia="Times New Roman" w:hAnsi="Times New Roman" w:cs="Times New Roman"/>
          <w:sz w:val="24"/>
          <w:szCs w:val="24"/>
        </w:rPr>
        <w:t>[Sahih] - [HR. Muslim] - [Sahih Muslim - 2653]</w:t>
      </w:r>
      <w:r>
        <w:rPr>
          <w:rFonts w:ascii="Times New Roman" w:eastAsia="Times New Roman" w:hAnsi="Times New Roman" w:cs="Times New Roman"/>
          <w:sz w:val="24"/>
          <w:szCs w:val="24"/>
        </w:rPr>
        <w:t xml:space="preserve"> </w:t>
      </w:r>
    </w:p>
    <w:p w:rsidR="0066367F" w:rsidRDefault="007939E4" w:rsidP="0066367F">
      <w:pPr>
        <w:spacing w:after="0" w:line="360" w:lineRule="auto"/>
        <w:ind w:firstLine="720"/>
        <w:jc w:val="both"/>
        <w:rPr>
          <w:rFonts w:asciiTheme="majorBidi" w:hAnsiTheme="majorBidi" w:cstheme="majorBidi"/>
          <w:b/>
          <w:bCs/>
          <w:sz w:val="24"/>
          <w:szCs w:val="24"/>
        </w:rPr>
      </w:pPr>
      <w:r w:rsidRPr="007939E4">
        <w:rPr>
          <w:rFonts w:ascii="Times New Roman" w:eastAsia="Times New Roman" w:hAnsi="Times New Roman" w:cs="Times New Roman"/>
          <w:sz w:val="24"/>
          <w:szCs w:val="24"/>
        </w:rPr>
        <w:t xml:space="preserve">Hadis tentang penulisan takdir </w:t>
      </w:r>
      <w:proofErr w:type="gramStart"/>
      <w:r w:rsidRPr="007939E4">
        <w:rPr>
          <w:rFonts w:ascii="Times New Roman" w:eastAsia="Times New Roman" w:hAnsi="Times New Roman" w:cs="Times New Roman"/>
          <w:sz w:val="24"/>
          <w:szCs w:val="24"/>
        </w:rPr>
        <w:t>lima</w:t>
      </w:r>
      <w:proofErr w:type="gramEnd"/>
      <w:r w:rsidRPr="007939E4">
        <w:rPr>
          <w:rFonts w:ascii="Times New Roman" w:eastAsia="Times New Roman" w:hAnsi="Times New Roman" w:cs="Times New Roman"/>
          <w:sz w:val="24"/>
          <w:szCs w:val="24"/>
        </w:rPr>
        <w:t xml:space="preserve"> puluh ribu tahun sebelum penciptaan makhluk menunjukkan bahwa bencana bukanlah peristiwa kebetulan, melainkan bagian dari sistem ketetapan Ilahi (</w:t>
      </w:r>
      <w:r w:rsidRPr="007939E4">
        <w:rPr>
          <w:rFonts w:ascii="Times New Roman" w:eastAsia="Times New Roman" w:hAnsi="Times New Roman" w:cs="Times New Roman"/>
          <w:i/>
          <w:iCs/>
          <w:sz w:val="24"/>
          <w:szCs w:val="24"/>
        </w:rPr>
        <w:t>qaḍā’ dan qadar</w:t>
      </w:r>
      <w:r w:rsidR="005E3CAC">
        <w:rPr>
          <w:rFonts w:ascii="Times New Roman" w:eastAsia="Times New Roman" w:hAnsi="Times New Roman" w:cs="Times New Roman"/>
          <w:sz w:val="24"/>
          <w:szCs w:val="24"/>
        </w:rPr>
        <w:t>) yang telah ditentukan.</w:t>
      </w:r>
      <w:r w:rsidR="005E3CAC">
        <w:rPr>
          <w:rStyle w:val="FootnoteReference"/>
          <w:rFonts w:ascii="Times New Roman" w:eastAsia="Times New Roman" w:hAnsi="Times New Roman" w:cs="Times New Roman"/>
          <w:sz w:val="24"/>
          <w:szCs w:val="24"/>
        </w:rPr>
        <w:footnoteReference w:id="19"/>
      </w:r>
      <w:r w:rsidRPr="007939E4">
        <w:rPr>
          <w:rFonts w:ascii="Times New Roman" w:eastAsia="Times New Roman" w:hAnsi="Times New Roman" w:cs="Times New Roman"/>
          <w:sz w:val="24"/>
          <w:szCs w:val="24"/>
        </w:rPr>
        <w:t xml:space="preserve"> </w:t>
      </w:r>
      <w:proofErr w:type="gramStart"/>
      <w:r w:rsidRPr="007939E4">
        <w:rPr>
          <w:rFonts w:ascii="Times New Roman" w:eastAsia="Times New Roman" w:hAnsi="Times New Roman" w:cs="Times New Roman"/>
          <w:sz w:val="24"/>
          <w:szCs w:val="24"/>
        </w:rPr>
        <w:t>Hadis ini menjadi fondasi teologis bahwa bencana harus dipahami dalam bingkai keimanan kepada takdir, bukan semata-mata sebagai kejadian alamiah tanpa makna spiritual.</w:t>
      </w:r>
      <w:proofErr w:type="gramEnd"/>
    </w:p>
    <w:p w:rsidR="005B7189" w:rsidRDefault="007939E4" w:rsidP="005B7189">
      <w:pPr>
        <w:spacing w:after="0" w:line="360" w:lineRule="auto"/>
        <w:ind w:firstLine="720"/>
        <w:jc w:val="both"/>
        <w:rPr>
          <w:rFonts w:ascii="Times New Roman" w:eastAsia="Times New Roman" w:hAnsi="Times New Roman" w:cs="Times New Roman"/>
          <w:sz w:val="24"/>
          <w:szCs w:val="24"/>
        </w:rPr>
      </w:pPr>
      <w:proofErr w:type="gramStart"/>
      <w:r w:rsidRPr="007939E4">
        <w:rPr>
          <w:rFonts w:ascii="Times New Roman" w:eastAsia="Times New Roman" w:hAnsi="Times New Roman" w:cs="Times New Roman"/>
          <w:sz w:val="24"/>
          <w:szCs w:val="24"/>
        </w:rPr>
        <w:t xml:space="preserve">Selain menegaskan aspek ketetapan Ilahi, hadis Nabi </w:t>
      </w:r>
      <w:r w:rsidRPr="007939E4">
        <w:rPr>
          <w:rFonts w:ascii="Times New Roman" w:eastAsia="Times New Roman" w:hAnsi="Times New Roman" w:cs="Times New Roman"/>
          <w:sz w:val="24"/>
          <w:szCs w:val="24"/>
          <w:rtl/>
        </w:rPr>
        <w:t>ﷺ</w:t>
      </w:r>
      <w:r w:rsidRPr="007939E4">
        <w:rPr>
          <w:rFonts w:ascii="Times New Roman" w:eastAsia="Times New Roman" w:hAnsi="Times New Roman" w:cs="Times New Roman"/>
          <w:sz w:val="24"/>
          <w:szCs w:val="24"/>
        </w:rPr>
        <w:t xml:space="preserve"> juga menekankan bahwa bencana memiliki fungsi teologis dan moral bagi manusia.</w:t>
      </w:r>
      <w:proofErr w:type="gramEnd"/>
      <w:r w:rsidRPr="007939E4">
        <w:rPr>
          <w:rFonts w:ascii="Times New Roman" w:eastAsia="Times New Roman" w:hAnsi="Times New Roman" w:cs="Times New Roman"/>
          <w:sz w:val="24"/>
          <w:szCs w:val="24"/>
        </w:rPr>
        <w:t xml:space="preserve"> Dalam hadis riwayat Muslim dijelaskan bahwa</w:t>
      </w:r>
      <w:r w:rsidR="005B7189">
        <w:rPr>
          <w:rFonts w:ascii="Times New Roman" w:eastAsia="Times New Roman" w:hAnsi="Times New Roman" w:cs="Times New Roman"/>
          <w:sz w:val="24"/>
          <w:szCs w:val="24"/>
        </w:rPr>
        <w:t>:</w:t>
      </w:r>
      <w:r w:rsidR="005B7189">
        <w:rPr>
          <w:rStyle w:val="FootnoteReference"/>
          <w:rFonts w:ascii="Times New Roman" w:eastAsia="Times New Roman" w:hAnsi="Times New Roman" w:cs="Times New Roman"/>
          <w:sz w:val="24"/>
          <w:szCs w:val="24"/>
        </w:rPr>
        <w:footnoteReference w:id="20"/>
      </w:r>
    </w:p>
    <w:p w:rsidR="005B7189" w:rsidRPr="00FC6E78" w:rsidRDefault="005B7189" w:rsidP="005B7189">
      <w:pPr>
        <w:bidi/>
        <w:spacing w:after="0" w:line="360" w:lineRule="auto"/>
        <w:jc w:val="both"/>
        <w:rPr>
          <w:rFonts w:asciiTheme="majorBidi" w:hAnsiTheme="majorBidi" w:cstheme="majorBidi"/>
          <w:b/>
          <w:bCs/>
          <w:sz w:val="24"/>
          <w:szCs w:val="24"/>
        </w:rPr>
      </w:pPr>
      <w:r w:rsidRPr="004801B9">
        <w:rPr>
          <w:rFonts w:asciiTheme="majorBidi" w:hAnsiTheme="majorBidi" w:cs="Times New Roman"/>
          <w:b/>
          <w:bCs/>
          <w:sz w:val="24"/>
          <w:szCs w:val="24"/>
          <w:rtl/>
        </w:rPr>
        <w:t xml:space="preserve">عَنْ أَبِي سَعِيدٍ الْخُدْرِيِّ وَعَنْ أَبِي هُرَيْرَةَ رضي الله عنهما عَنِ النَّبِيِّ صلى الله عليه وسلم قَالَ: </w:t>
      </w:r>
      <w:r w:rsidRPr="00FC6E78">
        <w:rPr>
          <w:rFonts w:asciiTheme="majorBidi" w:hAnsiTheme="majorBidi" w:cs="Times New Roman"/>
          <w:b/>
          <w:bCs/>
          <w:sz w:val="24"/>
          <w:szCs w:val="24"/>
          <w:rtl/>
        </w:rPr>
        <w:t>مَا يُصِيبُ الْمُسْلِمَ مِنْ نَصَبٍ وَلَا وَصَبٍ وَلَا هَمٍّ وَلَا حُزْنٍ وَلَا أَذًى وَلَا غَمٍّ حَتَّى الشَّوْكَةِ يُشَاكُهَا إِلَّا كَفَّرَ اللَّهُ بِهَا مِنْ خَطَايَاهُ</w:t>
      </w:r>
    </w:p>
    <w:p w:rsidR="005B7189" w:rsidRDefault="005B7189" w:rsidP="005B7189">
      <w:pPr>
        <w:spacing w:after="100" w:afterAutospacing="1" w:line="240" w:lineRule="auto"/>
        <w:ind w:left="900" w:hanging="900"/>
        <w:jc w:val="both"/>
        <w:rPr>
          <w:rFonts w:asciiTheme="majorBidi" w:hAnsiTheme="majorBidi" w:cstheme="majorBidi"/>
          <w:sz w:val="24"/>
          <w:szCs w:val="24"/>
        </w:rPr>
      </w:pPr>
      <w:r>
        <w:rPr>
          <w:rFonts w:asciiTheme="majorBidi" w:hAnsiTheme="majorBidi" w:cstheme="majorBidi"/>
          <w:sz w:val="24"/>
          <w:szCs w:val="24"/>
        </w:rPr>
        <w:t xml:space="preserve">Artinya: </w:t>
      </w:r>
      <w:r w:rsidRPr="004801B9">
        <w:rPr>
          <w:rFonts w:asciiTheme="majorBidi" w:hAnsiTheme="majorBidi" w:cstheme="majorBidi"/>
          <w:i/>
          <w:iCs/>
          <w:sz w:val="24"/>
          <w:szCs w:val="24"/>
        </w:rPr>
        <w:t xml:space="preserve">Abu </w:t>
      </w:r>
      <w:proofErr w:type="gramStart"/>
      <w:r w:rsidRPr="004801B9">
        <w:rPr>
          <w:rFonts w:asciiTheme="majorBidi" w:hAnsiTheme="majorBidi" w:cstheme="majorBidi"/>
          <w:i/>
          <w:iCs/>
          <w:sz w:val="24"/>
          <w:szCs w:val="24"/>
        </w:rPr>
        <w:t>Sa'īd</w:t>
      </w:r>
      <w:proofErr w:type="gramEnd"/>
      <w:r w:rsidRPr="004801B9">
        <w:rPr>
          <w:rFonts w:asciiTheme="majorBidi" w:hAnsiTheme="majorBidi" w:cstheme="majorBidi"/>
          <w:i/>
          <w:iCs/>
          <w:sz w:val="24"/>
          <w:szCs w:val="24"/>
        </w:rPr>
        <w:t xml:space="preserve"> Al-Khudriy dan Abu Hurairah -raḍiyallāhu 'anhumā- meriwayatkan, Nabi </w:t>
      </w:r>
      <w:r w:rsidRPr="004801B9">
        <w:rPr>
          <w:rFonts w:asciiTheme="majorBidi" w:hAnsiTheme="majorBidi" w:cs="Times New Roman" w:hint="cs"/>
          <w:i/>
          <w:iCs/>
          <w:sz w:val="24"/>
          <w:szCs w:val="24"/>
          <w:rtl/>
        </w:rPr>
        <w:t>ﷺ</w:t>
      </w:r>
      <w:r w:rsidRPr="004801B9">
        <w:rPr>
          <w:rFonts w:asciiTheme="majorBidi" w:hAnsiTheme="majorBidi" w:cstheme="majorBidi"/>
          <w:i/>
          <w:iCs/>
          <w:sz w:val="24"/>
          <w:szCs w:val="24"/>
        </w:rPr>
        <w:t xml:space="preserve"> bersabda,</w:t>
      </w:r>
      <w:r w:rsidRPr="004801B9">
        <w:rPr>
          <w:rFonts w:asciiTheme="majorBidi" w:hAnsiTheme="majorBidi" w:cstheme="majorBidi"/>
          <w:sz w:val="24"/>
          <w:szCs w:val="24"/>
        </w:rPr>
        <w:t xml:space="preserve"> </w:t>
      </w:r>
      <w:r w:rsidRPr="00390BE1">
        <w:rPr>
          <w:rFonts w:asciiTheme="majorBidi" w:hAnsiTheme="majorBidi" w:cstheme="majorBidi"/>
          <w:i/>
          <w:iCs/>
          <w:sz w:val="24"/>
          <w:szCs w:val="24"/>
        </w:rPr>
        <w:t>“Tidaklah seorang muslim tertimpa suatu kelelahan, atau penyakit, atau kehawatiran, atau kesedihan, atau gangguan, bahkan duri yang melukainya melainkan Allah akan menghapus kesalahan-kesalahannya karenanya”</w:t>
      </w:r>
      <w:r w:rsidR="00DB2866">
        <w:rPr>
          <w:rFonts w:asciiTheme="majorBidi" w:hAnsiTheme="majorBidi" w:cstheme="majorBidi"/>
          <w:i/>
          <w:iCs/>
          <w:sz w:val="24"/>
          <w:szCs w:val="24"/>
        </w:rPr>
        <w:t>.</w:t>
      </w:r>
      <w:r w:rsidRPr="00390BE1">
        <w:rPr>
          <w:rFonts w:asciiTheme="majorBidi" w:hAnsiTheme="majorBidi" w:cstheme="majorBidi"/>
          <w:sz w:val="24"/>
          <w:szCs w:val="24"/>
        </w:rPr>
        <w:t xml:space="preserve"> (HR. Al-Bukhari no. 5642 dan Muslim no. 2573.)</w:t>
      </w:r>
    </w:p>
    <w:p w:rsidR="005B7189" w:rsidRDefault="007939E4" w:rsidP="005B7189">
      <w:pPr>
        <w:spacing w:after="0" w:line="360" w:lineRule="auto"/>
        <w:ind w:firstLine="720"/>
        <w:jc w:val="both"/>
        <w:rPr>
          <w:rFonts w:asciiTheme="majorBidi" w:hAnsiTheme="majorBidi" w:cstheme="majorBidi"/>
          <w:b/>
          <w:bCs/>
          <w:sz w:val="24"/>
          <w:szCs w:val="24"/>
        </w:rPr>
      </w:pPr>
      <w:proofErr w:type="gramStart"/>
      <w:r w:rsidRPr="007939E4">
        <w:rPr>
          <w:rFonts w:ascii="Times New Roman" w:eastAsia="Times New Roman" w:hAnsi="Times New Roman" w:cs="Times New Roman"/>
          <w:sz w:val="24"/>
          <w:szCs w:val="24"/>
        </w:rPr>
        <w:t>Hadis ini menunjukkan bahwa bencana tidak selalu bermakna hukuman, melainkan dapat menjadi sarana pemurnian diri dan peningkatan kualitas spiritual.</w:t>
      </w:r>
      <w:proofErr w:type="gramEnd"/>
      <w:r w:rsidRPr="007939E4">
        <w:rPr>
          <w:rFonts w:ascii="Times New Roman" w:eastAsia="Times New Roman" w:hAnsi="Times New Roman" w:cs="Times New Roman"/>
          <w:sz w:val="24"/>
          <w:szCs w:val="24"/>
        </w:rPr>
        <w:t xml:space="preserve"> </w:t>
      </w:r>
      <w:proofErr w:type="gramStart"/>
      <w:r w:rsidRPr="007939E4">
        <w:rPr>
          <w:rFonts w:ascii="Times New Roman" w:eastAsia="Times New Roman" w:hAnsi="Times New Roman" w:cs="Times New Roman"/>
          <w:sz w:val="24"/>
          <w:szCs w:val="24"/>
        </w:rPr>
        <w:t xml:space="preserve">Para ulama hadis seperti al-Nawawī menegaskan bahwa makna hadis ini bersifat umum, mencakup seluruh bentuk penderitaan yang dialami </w:t>
      </w:r>
      <w:r w:rsidR="005B7189">
        <w:rPr>
          <w:rFonts w:ascii="Times New Roman" w:eastAsia="Times New Roman" w:hAnsi="Times New Roman" w:cs="Times New Roman"/>
          <w:sz w:val="24"/>
          <w:szCs w:val="24"/>
        </w:rPr>
        <w:t>seorang mukmin dalam kehidupan.</w:t>
      </w:r>
      <w:proofErr w:type="gramEnd"/>
      <w:r w:rsidR="005B7189">
        <w:rPr>
          <w:rStyle w:val="FootnoteReference"/>
          <w:rFonts w:ascii="Times New Roman" w:eastAsia="Times New Roman" w:hAnsi="Times New Roman" w:cs="Times New Roman"/>
          <w:sz w:val="24"/>
          <w:szCs w:val="24"/>
        </w:rPr>
        <w:footnoteReference w:id="21"/>
      </w:r>
    </w:p>
    <w:p w:rsidR="00107F65" w:rsidRDefault="007939E4" w:rsidP="005B7189">
      <w:pPr>
        <w:spacing w:after="0" w:line="360" w:lineRule="auto"/>
        <w:ind w:firstLine="720"/>
        <w:jc w:val="both"/>
        <w:rPr>
          <w:rFonts w:ascii="Times New Roman" w:eastAsia="Times New Roman" w:hAnsi="Times New Roman" w:cs="Times New Roman"/>
          <w:sz w:val="24"/>
          <w:szCs w:val="24"/>
        </w:rPr>
      </w:pPr>
      <w:proofErr w:type="gramStart"/>
      <w:r w:rsidRPr="007939E4">
        <w:rPr>
          <w:rFonts w:ascii="Times New Roman" w:eastAsia="Times New Roman" w:hAnsi="Times New Roman" w:cs="Times New Roman"/>
          <w:sz w:val="24"/>
          <w:szCs w:val="24"/>
        </w:rPr>
        <w:t>Hadis-hadis tentang bencana juga menunjukkan adanya klasifikasi makna musibah dalam Islam.</w:t>
      </w:r>
      <w:proofErr w:type="gramEnd"/>
      <w:r w:rsidRPr="007939E4">
        <w:rPr>
          <w:rFonts w:ascii="Times New Roman" w:eastAsia="Times New Roman" w:hAnsi="Times New Roman" w:cs="Times New Roman"/>
          <w:sz w:val="24"/>
          <w:szCs w:val="24"/>
        </w:rPr>
        <w:t xml:space="preserve"> </w:t>
      </w:r>
      <w:proofErr w:type="gramStart"/>
      <w:r w:rsidRPr="007939E4">
        <w:rPr>
          <w:rFonts w:ascii="Times New Roman" w:eastAsia="Times New Roman" w:hAnsi="Times New Roman" w:cs="Times New Roman"/>
          <w:sz w:val="24"/>
          <w:szCs w:val="24"/>
        </w:rPr>
        <w:t xml:space="preserve">Nabi </w:t>
      </w:r>
      <w:r w:rsidRPr="007939E4">
        <w:rPr>
          <w:rFonts w:ascii="Times New Roman" w:eastAsia="Times New Roman" w:hAnsi="Times New Roman" w:cs="Times New Roman"/>
          <w:sz w:val="24"/>
          <w:szCs w:val="24"/>
          <w:rtl/>
        </w:rPr>
        <w:t>ﷺ</w:t>
      </w:r>
      <w:r w:rsidRPr="007939E4">
        <w:rPr>
          <w:rFonts w:ascii="Times New Roman" w:eastAsia="Times New Roman" w:hAnsi="Times New Roman" w:cs="Times New Roman"/>
          <w:sz w:val="24"/>
          <w:szCs w:val="24"/>
        </w:rPr>
        <w:t xml:space="preserve"> menjelaskan bahwa ujian merupakan keniscayaan bagi orang beriman, bahkan tingkat ujian sebanding dengan kualitas keimanan seseorang.</w:t>
      </w:r>
      <w:proofErr w:type="gramEnd"/>
      <w:r w:rsidRPr="007939E4">
        <w:rPr>
          <w:rFonts w:ascii="Times New Roman" w:eastAsia="Times New Roman" w:hAnsi="Times New Roman" w:cs="Times New Roman"/>
          <w:sz w:val="24"/>
          <w:szCs w:val="24"/>
        </w:rPr>
        <w:t xml:space="preserve"> Dalam hadis riwayat al-Tirmiżī disebutkan bahwa</w:t>
      </w:r>
      <w:r w:rsidR="00107F65">
        <w:rPr>
          <w:rFonts w:ascii="Times New Roman" w:eastAsia="Times New Roman" w:hAnsi="Times New Roman" w:cs="Times New Roman"/>
          <w:sz w:val="24"/>
          <w:szCs w:val="24"/>
        </w:rPr>
        <w:t>:</w:t>
      </w:r>
      <w:r w:rsidR="00107F65">
        <w:rPr>
          <w:rStyle w:val="FootnoteReference"/>
          <w:rFonts w:ascii="Times New Roman" w:eastAsia="Times New Roman" w:hAnsi="Times New Roman" w:cs="Times New Roman"/>
          <w:sz w:val="24"/>
          <w:szCs w:val="24"/>
        </w:rPr>
        <w:footnoteReference w:id="22"/>
      </w:r>
    </w:p>
    <w:p w:rsidR="00107F65" w:rsidRPr="00107F65" w:rsidRDefault="00107F65" w:rsidP="00107F65">
      <w:pPr>
        <w:bidi/>
        <w:spacing w:after="0" w:line="360" w:lineRule="auto"/>
        <w:jc w:val="both"/>
        <w:rPr>
          <w:rFonts w:ascii="Times New Roman" w:eastAsia="Times New Roman" w:hAnsi="Times New Roman" w:cs="Times New Roman"/>
          <w:b/>
          <w:bCs/>
          <w:sz w:val="24"/>
          <w:szCs w:val="24"/>
        </w:rPr>
      </w:pPr>
      <w:r w:rsidRPr="00107F65">
        <w:rPr>
          <w:rFonts w:ascii="Times New Roman" w:eastAsia="Times New Roman" w:hAnsi="Times New Roman" w:cs="Times New Roman"/>
          <w:b/>
          <w:bCs/>
          <w:sz w:val="24"/>
          <w:szCs w:val="24"/>
          <w:rtl/>
        </w:rPr>
        <w:t>عَنْ مُصْعَبِ بْنِ سَعْدٍ عَنْ أَبِيهِ قَالَ قُلْتُ يَا رَسُولَ اللَّهِ أَيُّ النَّاسِ أَشَدُّ بَلَاءً قَالَ:</w:t>
      </w:r>
      <w:r w:rsidRPr="00107F65">
        <w:rPr>
          <w:rFonts w:ascii="Times New Roman" w:eastAsia="Times New Roman" w:hAnsi="Times New Roman" w:cs="Times New Roman"/>
          <w:b/>
          <w:bCs/>
          <w:sz w:val="24"/>
          <w:szCs w:val="24"/>
        </w:rPr>
        <w:t xml:space="preserve"> </w:t>
      </w:r>
      <w:r w:rsidRPr="00107F65">
        <w:rPr>
          <w:rFonts w:ascii="Times New Roman" w:eastAsia="Times New Roman" w:hAnsi="Times New Roman" w:cs="Times New Roman"/>
          <w:b/>
          <w:bCs/>
          <w:sz w:val="24"/>
          <w:szCs w:val="24"/>
          <w:rtl/>
        </w:rPr>
        <w:t>«الْأَنْبِيَاءُ ثُمَّ الْأَمْثَلُ فَالْأَمْثَلُ فَيُبْتَلَى الرَّجُلُ عَلَى حَسَبِ دِينِهِ فَإِنْ كَانَ دِينُهُ صُلْبًا اشْتَدَّ بَلَاؤُهُ وَإِنْ كَانَ فِي دِينِهِ رِقَّةٌ ابْتُلِيَ عَلَى حَسَبِ دِينِهِ فَمَا يَبْرَحُ الْبَلَاءُ بِالْعَبْدِ حَتَّى يَتْرُكَهُ يَمْشِي عَلَى الْأَرْضِ مَا عَلَيْهِ خَطِيئَةٌ»</w:t>
      </w:r>
      <w:r w:rsidRPr="00107F65">
        <w:rPr>
          <w:rFonts w:ascii="Times New Roman" w:eastAsia="Times New Roman" w:hAnsi="Times New Roman" w:cs="Times New Roman"/>
          <w:b/>
          <w:bCs/>
          <w:sz w:val="24"/>
          <w:szCs w:val="24"/>
        </w:rPr>
        <w:t xml:space="preserve">  </w:t>
      </w:r>
    </w:p>
    <w:p w:rsidR="00107F65" w:rsidRDefault="00107F65" w:rsidP="00107F65">
      <w:pPr>
        <w:spacing w:after="100" w:afterAutospacing="1" w:line="240" w:lineRule="auto"/>
        <w:ind w:left="900" w:hanging="9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Artinya: </w:t>
      </w:r>
      <w:r w:rsidRPr="00107F65">
        <w:rPr>
          <w:rFonts w:ascii="Times New Roman" w:eastAsia="Times New Roman" w:hAnsi="Times New Roman" w:cs="Times New Roman"/>
          <w:i/>
          <w:iCs/>
          <w:sz w:val="24"/>
          <w:szCs w:val="24"/>
        </w:rPr>
        <w:t xml:space="preserve">dari Mush'ab bin Sa'ad, dari ayahnya (Sa'ad bin Abi Waqqash) radhiyallahu 'anhu, </w:t>
      </w:r>
      <w:proofErr w:type="gramStart"/>
      <w:r w:rsidRPr="00107F65">
        <w:rPr>
          <w:rFonts w:ascii="Times New Roman" w:eastAsia="Times New Roman" w:hAnsi="Times New Roman" w:cs="Times New Roman"/>
          <w:i/>
          <w:iCs/>
          <w:sz w:val="24"/>
          <w:szCs w:val="24"/>
        </w:rPr>
        <w:t>ia</w:t>
      </w:r>
      <w:proofErr w:type="gramEnd"/>
      <w:r w:rsidRPr="00107F65">
        <w:rPr>
          <w:rFonts w:ascii="Times New Roman" w:eastAsia="Times New Roman" w:hAnsi="Times New Roman" w:cs="Times New Roman"/>
          <w:i/>
          <w:iCs/>
          <w:sz w:val="24"/>
          <w:szCs w:val="24"/>
        </w:rPr>
        <w:t xml:space="preserve"> berkata: Aku bertanya, "Wahai Rasulullah, siapakah manusia yang paling berat </w:t>
      </w:r>
      <w:r w:rsidRPr="00107F65">
        <w:rPr>
          <w:rFonts w:ascii="Times New Roman" w:eastAsia="Times New Roman" w:hAnsi="Times New Roman" w:cs="Times New Roman"/>
          <w:i/>
          <w:iCs/>
          <w:sz w:val="24"/>
          <w:szCs w:val="24"/>
        </w:rPr>
        <w:lastRenderedPageBreak/>
        <w:t xml:space="preserve">ujiannya?" Beliau bersabda: "Para Nabi, kemudian orang-orang yang semisalnya (orang-orang saleh), kemudian orang-orang yang semisalnya lagi. Seseorang </w:t>
      </w:r>
      <w:proofErr w:type="gramStart"/>
      <w:r w:rsidRPr="00107F65">
        <w:rPr>
          <w:rFonts w:ascii="Times New Roman" w:eastAsia="Times New Roman" w:hAnsi="Times New Roman" w:cs="Times New Roman"/>
          <w:i/>
          <w:iCs/>
          <w:sz w:val="24"/>
          <w:szCs w:val="24"/>
        </w:rPr>
        <w:t>akan</w:t>
      </w:r>
      <w:proofErr w:type="gramEnd"/>
      <w:r w:rsidRPr="00107F65">
        <w:rPr>
          <w:rFonts w:ascii="Times New Roman" w:eastAsia="Times New Roman" w:hAnsi="Times New Roman" w:cs="Times New Roman"/>
          <w:i/>
          <w:iCs/>
          <w:sz w:val="24"/>
          <w:szCs w:val="24"/>
        </w:rPr>
        <w:t xml:space="preserve"> diuji sesuai dengan kadar (kekuatan) agamanya. Jika agamanya kuat, ujiannya </w:t>
      </w:r>
      <w:proofErr w:type="gramStart"/>
      <w:r w:rsidRPr="00107F65">
        <w:rPr>
          <w:rFonts w:ascii="Times New Roman" w:eastAsia="Times New Roman" w:hAnsi="Times New Roman" w:cs="Times New Roman"/>
          <w:i/>
          <w:iCs/>
          <w:sz w:val="24"/>
          <w:szCs w:val="24"/>
        </w:rPr>
        <w:t>akan</w:t>
      </w:r>
      <w:proofErr w:type="gramEnd"/>
      <w:r w:rsidRPr="00107F65">
        <w:rPr>
          <w:rFonts w:ascii="Times New Roman" w:eastAsia="Times New Roman" w:hAnsi="Times New Roman" w:cs="Times New Roman"/>
          <w:i/>
          <w:iCs/>
          <w:sz w:val="24"/>
          <w:szCs w:val="24"/>
        </w:rPr>
        <w:t xml:space="preserve"> bertambah berat. Jika agamanya lemah, dia </w:t>
      </w:r>
      <w:proofErr w:type="gramStart"/>
      <w:r w:rsidRPr="00107F65">
        <w:rPr>
          <w:rFonts w:ascii="Times New Roman" w:eastAsia="Times New Roman" w:hAnsi="Times New Roman" w:cs="Times New Roman"/>
          <w:i/>
          <w:iCs/>
          <w:sz w:val="24"/>
          <w:szCs w:val="24"/>
        </w:rPr>
        <w:t>akan</w:t>
      </w:r>
      <w:proofErr w:type="gramEnd"/>
      <w:r w:rsidRPr="00107F65">
        <w:rPr>
          <w:rFonts w:ascii="Times New Roman" w:eastAsia="Times New Roman" w:hAnsi="Times New Roman" w:cs="Times New Roman"/>
          <w:i/>
          <w:iCs/>
          <w:sz w:val="24"/>
          <w:szCs w:val="24"/>
        </w:rPr>
        <w:t xml:space="preserve"> diuji sesuai dengan kadar agamanya. Ujian akan terus menimpa seorang hamba sampai dia berjalan di muka bumi dalam keadaa</w:t>
      </w:r>
      <w:r w:rsidR="00991F51">
        <w:rPr>
          <w:rFonts w:ascii="Times New Roman" w:eastAsia="Times New Roman" w:hAnsi="Times New Roman" w:cs="Times New Roman"/>
          <w:i/>
          <w:iCs/>
          <w:sz w:val="24"/>
          <w:szCs w:val="24"/>
        </w:rPr>
        <w:t>n tidak mempunyai satu dosa pun</w:t>
      </w:r>
      <w:r w:rsidRPr="00107F65">
        <w:rPr>
          <w:rFonts w:ascii="Times New Roman" w:eastAsia="Times New Roman" w:hAnsi="Times New Roman" w:cs="Times New Roman"/>
          <w:i/>
          <w:iCs/>
          <w:sz w:val="24"/>
          <w:szCs w:val="24"/>
        </w:rPr>
        <w:t>"</w:t>
      </w:r>
      <w:r w:rsidR="00991F51">
        <w:rPr>
          <w:rFonts w:ascii="Times New Roman" w:eastAsia="Times New Roman" w:hAnsi="Times New Roman" w:cs="Times New Roman"/>
          <w:i/>
          <w:iCs/>
          <w:sz w:val="24"/>
          <w:szCs w:val="24"/>
        </w:rPr>
        <w:t>.</w:t>
      </w:r>
      <w:r>
        <w:rPr>
          <w:rFonts w:ascii="Times New Roman" w:eastAsia="Times New Roman" w:hAnsi="Times New Roman" w:cs="Times New Roman"/>
          <w:sz w:val="24"/>
          <w:szCs w:val="24"/>
        </w:rPr>
        <w:t xml:space="preserve"> (</w:t>
      </w:r>
      <w:r w:rsidRPr="00107F65">
        <w:rPr>
          <w:rFonts w:ascii="Times New Roman" w:eastAsia="Times New Roman" w:hAnsi="Times New Roman" w:cs="Times New Roman"/>
          <w:sz w:val="24"/>
          <w:szCs w:val="24"/>
        </w:rPr>
        <w:t xml:space="preserve">Hasan Shahih oleh Imam </w:t>
      </w:r>
      <w:proofErr w:type="gramStart"/>
      <w:r w:rsidRPr="00107F65">
        <w:rPr>
          <w:rFonts w:ascii="Times New Roman" w:eastAsia="Times New Roman" w:hAnsi="Times New Roman" w:cs="Times New Roman"/>
          <w:sz w:val="24"/>
          <w:szCs w:val="24"/>
        </w:rPr>
        <w:t>At-</w:t>
      </w:r>
      <w:proofErr w:type="gramEnd"/>
      <w:r w:rsidRPr="00107F65">
        <w:rPr>
          <w:rFonts w:ascii="Times New Roman" w:eastAsia="Times New Roman" w:hAnsi="Times New Roman" w:cs="Times New Roman"/>
          <w:sz w:val="24"/>
          <w:szCs w:val="24"/>
        </w:rPr>
        <w:t>Tirmidzi dan Shahih oleh Syekh Al-Albani</w:t>
      </w:r>
      <w:r>
        <w:rPr>
          <w:rFonts w:ascii="Times New Roman" w:eastAsia="Times New Roman" w:hAnsi="Times New Roman" w:cs="Times New Roman"/>
          <w:sz w:val="24"/>
          <w:szCs w:val="24"/>
        </w:rPr>
        <w:t>)</w:t>
      </w:r>
    </w:p>
    <w:p w:rsidR="007A0508" w:rsidRDefault="007939E4" w:rsidP="007A0508">
      <w:pPr>
        <w:spacing w:after="0" w:line="360" w:lineRule="auto"/>
        <w:ind w:firstLine="720"/>
        <w:jc w:val="both"/>
        <w:rPr>
          <w:rFonts w:asciiTheme="majorBidi" w:hAnsiTheme="majorBidi" w:cstheme="majorBidi"/>
          <w:b/>
          <w:bCs/>
          <w:sz w:val="24"/>
          <w:szCs w:val="24"/>
        </w:rPr>
      </w:pPr>
      <w:proofErr w:type="gramStart"/>
      <w:r w:rsidRPr="007939E4">
        <w:rPr>
          <w:rFonts w:ascii="Times New Roman" w:eastAsia="Times New Roman" w:hAnsi="Times New Roman" w:cs="Times New Roman"/>
          <w:sz w:val="24"/>
          <w:szCs w:val="24"/>
        </w:rPr>
        <w:t>Hadis ini menegaskan bahwa bencana tidak identik dengan kemurkaan Allah, melainkan justru dapat menjadi indikator kedekatan spiritual seseorang kepada-Nya.</w:t>
      </w:r>
      <w:proofErr w:type="gramEnd"/>
      <w:r w:rsidRPr="007939E4">
        <w:rPr>
          <w:rFonts w:ascii="Times New Roman" w:eastAsia="Times New Roman" w:hAnsi="Times New Roman" w:cs="Times New Roman"/>
          <w:sz w:val="24"/>
          <w:szCs w:val="24"/>
        </w:rPr>
        <w:t xml:space="preserve"> </w:t>
      </w:r>
      <w:proofErr w:type="gramStart"/>
      <w:r w:rsidRPr="007939E4">
        <w:rPr>
          <w:rFonts w:ascii="Times New Roman" w:eastAsia="Times New Roman" w:hAnsi="Times New Roman" w:cs="Times New Roman"/>
          <w:sz w:val="24"/>
          <w:szCs w:val="24"/>
        </w:rPr>
        <w:t>Dengan demikian, hadis-hadis tersebut membangun paradigma teologis yang menolak pemaknaan bencana secara simplistik sebagai azab semata.</w:t>
      </w:r>
      <w:proofErr w:type="gramEnd"/>
    </w:p>
    <w:p w:rsidR="009615C1" w:rsidRDefault="007939E4" w:rsidP="007A0508">
      <w:pPr>
        <w:spacing w:after="0" w:line="360" w:lineRule="auto"/>
        <w:ind w:firstLine="720"/>
        <w:jc w:val="both"/>
        <w:rPr>
          <w:rFonts w:ascii="Times New Roman" w:eastAsia="Times New Roman" w:hAnsi="Times New Roman" w:cs="Times New Roman"/>
          <w:sz w:val="24"/>
          <w:szCs w:val="24"/>
        </w:rPr>
      </w:pPr>
      <w:r w:rsidRPr="007939E4">
        <w:rPr>
          <w:rFonts w:ascii="Times New Roman" w:eastAsia="Times New Roman" w:hAnsi="Times New Roman" w:cs="Times New Roman"/>
          <w:sz w:val="24"/>
          <w:szCs w:val="24"/>
        </w:rPr>
        <w:t xml:space="preserve">Dalam konteks kolektif, hadis Nabi </w:t>
      </w:r>
      <w:r w:rsidRPr="007939E4">
        <w:rPr>
          <w:rFonts w:ascii="Times New Roman" w:eastAsia="Times New Roman" w:hAnsi="Times New Roman" w:cs="Times New Roman"/>
          <w:sz w:val="24"/>
          <w:szCs w:val="24"/>
          <w:rtl/>
        </w:rPr>
        <w:t>ﷺ</w:t>
      </w:r>
      <w:r w:rsidRPr="007939E4">
        <w:rPr>
          <w:rFonts w:ascii="Times New Roman" w:eastAsia="Times New Roman" w:hAnsi="Times New Roman" w:cs="Times New Roman"/>
          <w:sz w:val="24"/>
          <w:szCs w:val="24"/>
        </w:rPr>
        <w:t xml:space="preserve"> juga berbicara tentang bencana yang menimpa suatu masyarakat, seperti wabah dan penyakit menular (</w:t>
      </w:r>
      <w:proofErr w:type="gramStart"/>
      <w:r w:rsidRPr="007939E4">
        <w:rPr>
          <w:rFonts w:ascii="Times New Roman" w:eastAsia="Times New Roman" w:hAnsi="Times New Roman" w:cs="Times New Roman"/>
          <w:i/>
          <w:iCs/>
          <w:sz w:val="24"/>
          <w:szCs w:val="24"/>
        </w:rPr>
        <w:t>ṭā‘ūn</w:t>
      </w:r>
      <w:proofErr w:type="gramEnd"/>
      <w:r w:rsidRPr="007939E4">
        <w:rPr>
          <w:rFonts w:ascii="Times New Roman" w:eastAsia="Times New Roman" w:hAnsi="Times New Roman" w:cs="Times New Roman"/>
          <w:sz w:val="24"/>
          <w:szCs w:val="24"/>
        </w:rPr>
        <w:t xml:space="preserve">). Nabi </w:t>
      </w:r>
      <w:r w:rsidRPr="007939E4">
        <w:rPr>
          <w:rFonts w:ascii="Times New Roman" w:eastAsia="Times New Roman" w:hAnsi="Times New Roman" w:cs="Times New Roman"/>
          <w:sz w:val="24"/>
          <w:szCs w:val="24"/>
          <w:rtl/>
        </w:rPr>
        <w:t>ﷺ</w:t>
      </w:r>
      <w:r w:rsidR="009615C1">
        <w:rPr>
          <w:rFonts w:ascii="Times New Roman" w:eastAsia="Times New Roman" w:hAnsi="Times New Roman" w:cs="Times New Roman"/>
          <w:sz w:val="24"/>
          <w:szCs w:val="24"/>
        </w:rPr>
        <w:t xml:space="preserve"> bersabda:</w:t>
      </w:r>
      <w:r w:rsidR="008B7A37">
        <w:rPr>
          <w:rStyle w:val="FootnoteReference"/>
          <w:rFonts w:ascii="Times New Roman" w:eastAsia="Times New Roman" w:hAnsi="Times New Roman" w:cs="Times New Roman"/>
          <w:sz w:val="24"/>
          <w:szCs w:val="24"/>
        </w:rPr>
        <w:footnoteReference w:id="23"/>
      </w:r>
    </w:p>
    <w:p w:rsidR="009615C1" w:rsidRPr="009615C1" w:rsidRDefault="009615C1" w:rsidP="009615C1">
      <w:pPr>
        <w:bidi/>
        <w:spacing w:after="0" w:line="360" w:lineRule="auto"/>
        <w:jc w:val="both"/>
        <w:rPr>
          <w:rFonts w:ascii="Times New Roman" w:eastAsia="Times New Roman" w:hAnsi="Times New Roman" w:cs="Times New Roman"/>
          <w:b/>
          <w:bCs/>
          <w:sz w:val="24"/>
          <w:szCs w:val="24"/>
        </w:rPr>
      </w:pPr>
      <w:r w:rsidRPr="009615C1">
        <w:rPr>
          <w:rFonts w:ascii="Times New Roman" w:eastAsia="Times New Roman" w:hAnsi="Times New Roman" w:cs="Times New Roman"/>
          <w:b/>
          <w:bCs/>
          <w:sz w:val="24"/>
          <w:szCs w:val="24"/>
          <w:rtl/>
        </w:rPr>
        <w:t>عَنْ عَامِرِ بْنِ سَعْدٍ، عَنْ أَبِيهِ، أَنَّهُ سَمِعَهُ يَسْأَلُ أُسَامَةَ بْنَ زَيْدٍ: مَاذَا سَمِعْتَ مِنْ رَسُولِ اللَّهِ صلى الله عليه وسلم فِي الطَّاعُونِ؟ فَقَالَ</w:t>
      </w:r>
      <w:r w:rsidRPr="009615C1">
        <w:rPr>
          <w:rFonts w:ascii="Times New Roman" w:eastAsia="Times New Roman" w:hAnsi="Times New Roman" w:cs="Times New Roman"/>
          <w:b/>
          <w:bCs/>
          <w:sz w:val="24"/>
          <w:szCs w:val="24"/>
        </w:rPr>
        <w:t xml:space="preserve"> </w:t>
      </w:r>
      <w:r w:rsidRPr="009615C1">
        <w:rPr>
          <w:rFonts w:ascii="Times New Roman" w:eastAsia="Times New Roman" w:hAnsi="Times New Roman" w:cs="Times New Roman"/>
          <w:b/>
          <w:bCs/>
          <w:sz w:val="24"/>
          <w:szCs w:val="24"/>
          <w:rtl/>
        </w:rPr>
        <w:t>أُسَامَةُ: قَالَ رَسُولُ اللَّهِ صلى الله عليه وسلم: «الطَّاعُونُ رِجْسٌ أُرْسِلَ عَلَى طَائِفَةٍ مِنْ بَنِي إِسْرَائِيلَ أَوْ عَلَى مَنْ كَانَ قَبْلَكُمْ، فَإِذَا</w:t>
      </w:r>
      <w:r w:rsidRPr="009615C1">
        <w:rPr>
          <w:rFonts w:ascii="Times New Roman" w:eastAsia="Times New Roman" w:hAnsi="Times New Roman" w:cs="Times New Roman"/>
          <w:b/>
          <w:bCs/>
          <w:sz w:val="24"/>
          <w:szCs w:val="24"/>
        </w:rPr>
        <w:t xml:space="preserve"> </w:t>
      </w:r>
      <w:r w:rsidRPr="009615C1">
        <w:rPr>
          <w:rFonts w:ascii="Times New Roman" w:eastAsia="Times New Roman" w:hAnsi="Times New Roman" w:cs="Times New Roman"/>
          <w:b/>
          <w:bCs/>
          <w:sz w:val="24"/>
          <w:szCs w:val="24"/>
          <w:rtl/>
        </w:rPr>
        <w:t>سَمِعْتُمْ بِهِ بِأَرْضٍ فَلاَ تَقْدَمُوا عَلَيْهِ، وَإِذَا وَقَعَ بِأَرْضٍ وَأَنْتُمْ بِهَا فَلاَ تَخْرُجُوا فِرَارًا مِنْهُ</w:t>
      </w:r>
      <w:r w:rsidRPr="009615C1">
        <w:rPr>
          <w:rFonts w:ascii="Times New Roman" w:eastAsia="Times New Roman" w:hAnsi="Times New Roman" w:cs="Times New Roman"/>
          <w:b/>
          <w:bCs/>
          <w:sz w:val="24"/>
          <w:szCs w:val="24"/>
        </w:rPr>
        <w:t>.</w:t>
      </w:r>
    </w:p>
    <w:p w:rsidR="009643C0" w:rsidRDefault="009643C0" w:rsidP="009643C0">
      <w:pPr>
        <w:spacing w:after="100" w:afterAutospacing="1" w:line="240" w:lineRule="auto"/>
        <w:ind w:left="900" w:hanging="9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Artinya: </w:t>
      </w:r>
      <w:r w:rsidRPr="009643C0">
        <w:rPr>
          <w:rFonts w:ascii="Times New Roman" w:eastAsia="Times New Roman" w:hAnsi="Times New Roman" w:cs="Times New Roman"/>
          <w:i/>
          <w:iCs/>
          <w:sz w:val="24"/>
          <w:szCs w:val="24"/>
        </w:rPr>
        <w:t xml:space="preserve">Dari 'Amir bin Sa'ad, dari bapaknya yang mendengar Usamah bin Zaid bertanya kepada beliau, lalu Usamah menjawab bahwa Rasulullah </w:t>
      </w:r>
      <w:r w:rsidRPr="009643C0">
        <w:rPr>
          <w:rFonts w:ascii="Times New Roman" w:eastAsia="Times New Roman" w:hAnsi="Times New Roman" w:cs="Times New Roman" w:hint="cs"/>
          <w:i/>
          <w:iCs/>
          <w:sz w:val="24"/>
          <w:szCs w:val="24"/>
          <w:rtl/>
        </w:rPr>
        <w:t>ﷺ</w:t>
      </w:r>
      <w:r w:rsidRPr="009643C0">
        <w:rPr>
          <w:rFonts w:ascii="Times New Roman" w:eastAsia="Times New Roman" w:hAnsi="Times New Roman" w:cs="Times New Roman"/>
          <w:i/>
          <w:iCs/>
          <w:sz w:val="24"/>
          <w:szCs w:val="24"/>
        </w:rPr>
        <w:t xml:space="preserve"> bersabda, "Tha'un adalah sejenis siksa yang ditimpakan kepada satu golongan dari Bani Isra'il atau umat sebelum kalian. </w:t>
      </w:r>
      <w:proofErr w:type="gramStart"/>
      <w:r w:rsidRPr="009643C0">
        <w:rPr>
          <w:rFonts w:ascii="Times New Roman" w:eastAsia="Times New Roman" w:hAnsi="Times New Roman" w:cs="Times New Roman"/>
          <w:i/>
          <w:iCs/>
          <w:sz w:val="24"/>
          <w:szCs w:val="24"/>
        </w:rPr>
        <w:t>Jika kalian mendengar ada wabah di suatu wilayah, janganlah memasuki wilayah tersebut, dan jika kalian berada di wilayah yang terkena wab</w:t>
      </w:r>
      <w:r w:rsidR="006E1B26">
        <w:rPr>
          <w:rFonts w:ascii="Times New Roman" w:eastAsia="Times New Roman" w:hAnsi="Times New Roman" w:cs="Times New Roman"/>
          <w:i/>
          <w:iCs/>
          <w:sz w:val="24"/>
          <w:szCs w:val="24"/>
        </w:rPr>
        <w:t>ah, janganlah mengungsi darinya</w:t>
      </w:r>
      <w:r w:rsidRPr="009643C0">
        <w:rPr>
          <w:rFonts w:ascii="Times New Roman" w:eastAsia="Times New Roman" w:hAnsi="Times New Roman" w:cs="Times New Roman"/>
          <w:i/>
          <w:iCs/>
          <w:sz w:val="24"/>
          <w:szCs w:val="24"/>
        </w:rPr>
        <w:t>"</w:t>
      </w:r>
      <w:r w:rsidR="006E1B26">
        <w:rPr>
          <w:rFonts w:ascii="Times New Roman" w:eastAsia="Times New Roman" w:hAnsi="Times New Roman" w:cs="Times New Roman"/>
          <w:i/>
          <w:iCs/>
          <w:sz w:val="24"/>
          <w:szCs w:val="24"/>
        </w:rPr>
        <w:t>.</w:t>
      </w:r>
      <w:proofErr w:type="gramEnd"/>
      <w:r>
        <w:rPr>
          <w:rFonts w:ascii="Times New Roman" w:eastAsia="Times New Roman" w:hAnsi="Times New Roman" w:cs="Times New Roman"/>
          <w:sz w:val="24"/>
          <w:szCs w:val="24"/>
        </w:rPr>
        <w:t xml:space="preserve"> (</w:t>
      </w:r>
      <w:r w:rsidRPr="009643C0">
        <w:rPr>
          <w:rFonts w:ascii="Times New Roman" w:eastAsia="Times New Roman" w:hAnsi="Times New Roman" w:cs="Times New Roman"/>
          <w:sz w:val="24"/>
          <w:szCs w:val="24"/>
        </w:rPr>
        <w:t>Shahih Bukhari dan Shahih Muslim</w:t>
      </w:r>
      <w:r>
        <w:rPr>
          <w:rFonts w:ascii="Times New Roman" w:eastAsia="Times New Roman" w:hAnsi="Times New Roman" w:cs="Times New Roman"/>
          <w:sz w:val="24"/>
          <w:szCs w:val="24"/>
        </w:rPr>
        <w:t>)</w:t>
      </w:r>
    </w:p>
    <w:p w:rsidR="007244BA" w:rsidRDefault="007939E4" w:rsidP="007244BA">
      <w:pPr>
        <w:spacing w:after="0" w:line="360" w:lineRule="auto"/>
        <w:ind w:firstLine="720"/>
        <w:jc w:val="both"/>
        <w:rPr>
          <w:rFonts w:asciiTheme="majorBidi" w:hAnsiTheme="majorBidi" w:cstheme="majorBidi"/>
          <w:b/>
          <w:bCs/>
          <w:sz w:val="24"/>
          <w:szCs w:val="24"/>
        </w:rPr>
      </w:pPr>
      <w:proofErr w:type="gramStart"/>
      <w:r w:rsidRPr="007939E4">
        <w:rPr>
          <w:rFonts w:ascii="Times New Roman" w:eastAsia="Times New Roman" w:hAnsi="Times New Roman" w:cs="Times New Roman"/>
          <w:sz w:val="24"/>
          <w:szCs w:val="24"/>
        </w:rPr>
        <w:t>Hadis ini sering dijadikan rujukan dalam memahami bencana kolektif.</w:t>
      </w:r>
      <w:proofErr w:type="gramEnd"/>
      <w:r w:rsidRPr="007939E4">
        <w:rPr>
          <w:rFonts w:ascii="Times New Roman" w:eastAsia="Times New Roman" w:hAnsi="Times New Roman" w:cs="Times New Roman"/>
          <w:sz w:val="24"/>
          <w:szCs w:val="24"/>
        </w:rPr>
        <w:t xml:space="preserve"> Ibn Ḥajar al-‘Asqalānī dalam </w:t>
      </w:r>
      <w:r w:rsidRPr="007939E4">
        <w:rPr>
          <w:rFonts w:ascii="Times New Roman" w:eastAsia="Times New Roman" w:hAnsi="Times New Roman" w:cs="Times New Roman"/>
          <w:i/>
          <w:iCs/>
          <w:sz w:val="24"/>
          <w:szCs w:val="24"/>
        </w:rPr>
        <w:t>Fatḥ al-Bārī</w:t>
      </w:r>
      <w:r w:rsidRPr="007939E4">
        <w:rPr>
          <w:rFonts w:ascii="Times New Roman" w:eastAsia="Times New Roman" w:hAnsi="Times New Roman" w:cs="Times New Roman"/>
          <w:sz w:val="24"/>
          <w:szCs w:val="24"/>
        </w:rPr>
        <w:t xml:space="preserve"> menjelaskan bahwa makna “azab” dan “rahmat” dalam hadis tersebut tidak bersifat kontradiktif, melainkan bergantung pada sikap dan respons man</w:t>
      </w:r>
      <w:r w:rsidR="007244BA">
        <w:rPr>
          <w:rFonts w:ascii="Times New Roman" w:eastAsia="Times New Roman" w:hAnsi="Times New Roman" w:cs="Times New Roman"/>
          <w:sz w:val="24"/>
          <w:szCs w:val="24"/>
        </w:rPr>
        <w:t>usia terhadap bencana tersebut.</w:t>
      </w:r>
      <w:r w:rsidR="007244BA">
        <w:rPr>
          <w:rStyle w:val="FootnoteReference"/>
          <w:rFonts w:ascii="Times New Roman" w:eastAsia="Times New Roman" w:hAnsi="Times New Roman" w:cs="Times New Roman"/>
          <w:sz w:val="24"/>
          <w:szCs w:val="24"/>
        </w:rPr>
        <w:footnoteReference w:id="24"/>
      </w:r>
      <w:r w:rsidRPr="007939E4">
        <w:rPr>
          <w:rFonts w:ascii="Times New Roman" w:eastAsia="Times New Roman" w:hAnsi="Times New Roman" w:cs="Times New Roman"/>
          <w:sz w:val="24"/>
          <w:szCs w:val="24"/>
        </w:rPr>
        <w:t xml:space="preserve"> </w:t>
      </w:r>
      <w:proofErr w:type="gramStart"/>
      <w:r w:rsidRPr="007939E4">
        <w:rPr>
          <w:rFonts w:ascii="Times New Roman" w:eastAsia="Times New Roman" w:hAnsi="Times New Roman" w:cs="Times New Roman"/>
          <w:sz w:val="24"/>
          <w:szCs w:val="24"/>
        </w:rPr>
        <w:t xml:space="preserve">Bagi orang beriman yang bersabar dan bertawakal, wabah dapat bernilai pahala, sedangkan bagi yang ingkar dapat menjadi sarana hukuman </w:t>
      </w:r>
      <w:r w:rsidRPr="007939E4">
        <w:rPr>
          <w:rFonts w:ascii="Times New Roman" w:eastAsia="Times New Roman" w:hAnsi="Times New Roman" w:cs="Times New Roman"/>
          <w:i/>
          <w:iCs/>
          <w:sz w:val="24"/>
          <w:szCs w:val="24"/>
        </w:rPr>
        <w:t>Ilahi</w:t>
      </w:r>
      <w:r w:rsidRPr="007939E4">
        <w:rPr>
          <w:rFonts w:ascii="Times New Roman" w:eastAsia="Times New Roman" w:hAnsi="Times New Roman" w:cs="Times New Roman"/>
          <w:sz w:val="24"/>
          <w:szCs w:val="24"/>
        </w:rPr>
        <w:t>.</w:t>
      </w:r>
      <w:proofErr w:type="gramEnd"/>
    </w:p>
    <w:p w:rsidR="007244BA" w:rsidRDefault="007939E4" w:rsidP="007244BA">
      <w:pPr>
        <w:spacing w:after="0" w:line="360" w:lineRule="auto"/>
        <w:ind w:firstLine="720"/>
        <w:jc w:val="both"/>
        <w:rPr>
          <w:rFonts w:asciiTheme="majorBidi" w:hAnsiTheme="majorBidi" w:cstheme="majorBidi"/>
          <w:b/>
          <w:bCs/>
          <w:sz w:val="24"/>
          <w:szCs w:val="24"/>
        </w:rPr>
      </w:pPr>
      <w:proofErr w:type="gramStart"/>
      <w:r w:rsidRPr="007939E4">
        <w:rPr>
          <w:rFonts w:ascii="Times New Roman" w:eastAsia="Times New Roman" w:hAnsi="Times New Roman" w:cs="Times New Roman"/>
          <w:sz w:val="24"/>
          <w:szCs w:val="24"/>
        </w:rPr>
        <w:t>Lebih jauh, hadis-hadis tentang wabah juga menunjukkan keseimbangan antara ketetapan Ilahi dan ikhtiar manusia.</w:t>
      </w:r>
      <w:proofErr w:type="gramEnd"/>
      <w:r w:rsidRPr="007939E4">
        <w:rPr>
          <w:rFonts w:ascii="Times New Roman" w:eastAsia="Times New Roman" w:hAnsi="Times New Roman" w:cs="Times New Roman"/>
          <w:sz w:val="24"/>
          <w:szCs w:val="24"/>
        </w:rPr>
        <w:t xml:space="preserve"> </w:t>
      </w:r>
      <w:proofErr w:type="gramStart"/>
      <w:r w:rsidRPr="007939E4">
        <w:rPr>
          <w:rFonts w:ascii="Times New Roman" w:eastAsia="Times New Roman" w:hAnsi="Times New Roman" w:cs="Times New Roman"/>
          <w:sz w:val="24"/>
          <w:szCs w:val="24"/>
        </w:rPr>
        <w:t xml:space="preserve">Nabi </w:t>
      </w:r>
      <w:r w:rsidRPr="007939E4">
        <w:rPr>
          <w:rFonts w:ascii="Times New Roman" w:eastAsia="Times New Roman" w:hAnsi="Times New Roman" w:cs="Times New Roman"/>
          <w:sz w:val="24"/>
          <w:szCs w:val="24"/>
          <w:rtl/>
        </w:rPr>
        <w:t>ﷺ</w:t>
      </w:r>
      <w:r w:rsidRPr="007939E4">
        <w:rPr>
          <w:rFonts w:ascii="Times New Roman" w:eastAsia="Times New Roman" w:hAnsi="Times New Roman" w:cs="Times New Roman"/>
          <w:sz w:val="24"/>
          <w:szCs w:val="24"/>
        </w:rPr>
        <w:t xml:space="preserve"> secara tegas memerintahkan agar umat Islam tidak memasuki wilayah yang terkena wabah</w:t>
      </w:r>
      <w:r w:rsidR="007244BA">
        <w:rPr>
          <w:rFonts w:ascii="Times New Roman" w:eastAsia="Times New Roman" w:hAnsi="Times New Roman" w:cs="Times New Roman"/>
          <w:sz w:val="24"/>
          <w:szCs w:val="24"/>
        </w:rPr>
        <w:t xml:space="preserve"> dan tidak pula keluar darinya.</w:t>
      </w:r>
      <w:proofErr w:type="gramEnd"/>
      <w:r w:rsidR="007244BA">
        <w:rPr>
          <w:rStyle w:val="FootnoteReference"/>
          <w:rFonts w:ascii="Times New Roman" w:eastAsia="Times New Roman" w:hAnsi="Times New Roman" w:cs="Times New Roman"/>
          <w:sz w:val="24"/>
          <w:szCs w:val="24"/>
        </w:rPr>
        <w:footnoteReference w:id="25"/>
      </w:r>
      <w:r w:rsidRPr="007939E4">
        <w:rPr>
          <w:rFonts w:ascii="Times New Roman" w:eastAsia="Times New Roman" w:hAnsi="Times New Roman" w:cs="Times New Roman"/>
          <w:sz w:val="24"/>
          <w:szCs w:val="24"/>
        </w:rPr>
        <w:t xml:space="preserve"> </w:t>
      </w:r>
      <w:proofErr w:type="gramStart"/>
      <w:r w:rsidRPr="007939E4">
        <w:rPr>
          <w:rFonts w:ascii="Times New Roman" w:eastAsia="Times New Roman" w:hAnsi="Times New Roman" w:cs="Times New Roman"/>
          <w:sz w:val="24"/>
          <w:szCs w:val="24"/>
        </w:rPr>
        <w:t>Hadis ini menunjukkan bahwa meskipun bencana terjadi atas ketetapan Allah, manusia tetap diwajibkan melakukan usaha preventif dan mitigatif.</w:t>
      </w:r>
      <w:proofErr w:type="gramEnd"/>
      <w:r w:rsidRPr="007939E4">
        <w:rPr>
          <w:rFonts w:ascii="Times New Roman" w:eastAsia="Times New Roman" w:hAnsi="Times New Roman" w:cs="Times New Roman"/>
          <w:sz w:val="24"/>
          <w:szCs w:val="24"/>
        </w:rPr>
        <w:t xml:space="preserve"> </w:t>
      </w:r>
      <w:proofErr w:type="gramStart"/>
      <w:r w:rsidRPr="007939E4">
        <w:rPr>
          <w:rFonts w:ascii="Times New Roman" w:eastAsia="Times New Roman" w:hAnsi="Times New Roman" w:cs="Times New Roman"/>
          <w:sz w:val="24"/>
          <w:szCs w:val="24"/>
        </w:rPr>
        <w:t xml:space="preserve">Al-Nawawī menegaskan bahwa hadis ini merupakan dalil kuat tentang pengakuan Islam terhadap hukum sebab-akibat dan </w:t>
      </w:r>
      <w:r w:rsidRPr="007939E4">
        <w:rPr>
          <w:rFonts w:ascii="Times New Roman" w:eastAsia="Times New Roman" w:hAnsi="Times New Roman" w:cs="Times New Roman"/>
          <w:sz w:val="24"/>
          <w:szCs w:val="24"/>
        </w:rPr>
        <w:lastRenderedPageBreak/>
        <w:t>kewajiban menjaga keselamatan jiwa.</w:t>
      </w:r>
      <w:proofErr w:type="gramEnd"/>
      <w:r w:rsidR="007244BA">
        <w:rPr>
          <w:rStyle w:val="FootnoteReference"/>
          <w:rFonts w:ascii="Times New Roman" w:eastAsia="Times New Roman" w:hAnsi="Times New Roman" w:cs="Times New Roman"/>
          <w:sz w:val="24"/>
          <w:szCs w:val="24"/>
        </w:rPr>
        <w:footnoteReference w:id="26"/>
      </w:r>
      <w:r w:rsidRPr="007939E4">
        <w:rPr>
          <w:rFonts w:ascii="Times New Roman" w:eastAsia="Times New Roman" w:hAnsi="Times New Roman" w:cs="Times New Roman"/>
          <w:sz w:val="24"/>
          <w:szCs w:val="24"/>
        </w:rPr>
        <w:t xml:space="preserve"> </w:t>
      </w:r>
      <w:proofErr w:type="gramStart"/>
      <w:r w:rsidRPr="007939E4">
        <w:rPr>
          <w:rFonts w:ascii="Times New Roman" w:eastAsia="Times New Roman" w:hAnsi="Times New Roman" w:cs="Times New Roman"/>
          <w:sz w:val="24"/>
          <w:szCs w:val="24"/>
        </w:rPr>
        <w:t>Dengan demikian, hadis tentang bencana tidak melahirkan sikap fatalistik, melainkan mendorong tanggung jawab moral dan sosial.</w:t>
      </w:r>
      <w:proofErr w:type="gramEnd"/>
    </w:p>
    <w:p w:rsidR="007244BA" w:rsidRDefault="007939E4" w:rsidP="007244BA">
      <w:pPr>
        <w:spacing w:after="0" w:line="360" w:lineRule="auto"/>
        <w:ind w:firstLine="720"/>
        <w:jc w:val="both"/>
        <w:rPr>
          <w:rFonts w:ascii="Times New Roman" w:eastAsia="Times New Roman" w:hAnsi="Times New Roman" w:cs="Times New Roman"/>
          <w:sz w:val="24"/>
          <w:szCs w:val="24"/>
        </w:rPr>
      </w:pPr>
      <w:proofErr w:type="gramStart"/>
      <w:r w:rsidRPr="007939E4">
        <w:rPr>
          <w:rFonts w:ascii="Times New Roman" w:eastAsia="Times New Roman" w:hAnsi="Times New Roman" w:cs="Times New Roman"/>
          <w:sz w:val="24"/>
          <w:szCs w:val="24"/>
        </w:rPr>
        <w:t>Hadis-hadis lain juga mengaitkan bencana dengan kesadaran etis dan introspeksi diri, tanpa jatuh pada penghakiman moral terhadap korban.</w:t>
      </w:r>
      <w:proofErr w:type="gramEnd"/>
      <w:r w:rsidRPr="007939E4">
        <w:rPr>
          <w:rFonts w:ascii="Times New Roman" w:eastAsia="Times New Roman" w:hAnsi="Times New Roman" w:cs="Times New Roman"/>
          <w:sz w:val="24"/>
          <w:szCs w:val="24"/>
        </w:rPr>
        <w:t xml:space="preserve"> Nabi </w:t>
      </w:r>
      <w:r w:rsidRPr="007939E4">
        <w:rPr>
          <w:rFonts w:ascii="Times New Roman" w:eastAsia="Times New Roman" w:hAnsi="Times New Roman" w:cs="Times New Roman"/>
          <w:sz w:val="24"/>
          <w:szCs w:val="24"/>
          <w:rtl/>
        </w:rPr>
        <w:t>ﷺ</w:t>
      </w:r>
      <w:r w:rsidRPr="007939E4">
        <w:rPr>
          <w:rFonts w:ascii="Times New Roman" w:eastAsia="Times New Roman" w:hAnsi="Times New Roman" w:cs="Times New Roman"/>
          <w:sz w:val="24"/>
          <w:szCs w:val="24"/>
        </w:rPr>
        <w:t xml:space="preserve"> </w:t>
      </w:r>
      <w:r w:rsidR="007244BA">
        <w:rPr>
          <w:rFonts w:ascii="Times New Roman" w:eastAsia="Times New Roman" w:hAnsi="Times New Roman" w:cs="Times New Roman"/>
          <w:sz w:val="24"/>
          <w:szCs w:val="24"/>
        </w:rPr>
        <w:t>bersabda:</w:t>
      </w:r>
      <w:r w:rsidR="00D720E5">
        <w:rPr>
          <w:rStyle w:val="FootnoteReference"/>
          <w:rFonts w:ascii="Times New Roman" w:eastAsia="Times New Roman" w:hAnsi="Times New Roman" w:cs="Times New Roman"/>
          <w:sz w:val="24"/>
          <w:szCs w:val="24"/>
        </w:rPr>
        <w:footnoteReference w:id="27"/>
      </w:r>
    </w:p>
    <w:p w:rsidR="007244BA" w:rsidRPr="00CB2B3C" w:rsidRDefault="007244BA" w:rsidP="007244BA">
      <w:pPr>
        <w:bidi/>
        <w:spacing w:after="0" w:line="360" w:lineRule="auto"/>
        <w:jc w:val="both"/>
        <w:rPr>
          <w:rFonts w:ascii="Times New Roman" w:eastAsia="Times New Roman" w:hAnsi="Times New Roman" w:cs="Times New Roman"/>
          <w:b/>
          <w:bCs/>
          <w:sz w:val="24"/>
          <w:szCs w:val="24"/>
        </w:rPr>
      </w:pPr>
      <w:r w:rsidRPr="00CB2B3C">
        <w:rPr>
          <w:rFonts w:ascii="Times New Roman" w:eastAsia="Times New Roman" w:hAnsi="Times New Roman" w:cs="Times New Roman"/>
          <w:b/>
          <w:bCs/>
          <w:sz w:val="24"/>
          <w:szCs w:val="24"/>
          <w:rtl/>
        </w:rPr>
        <w:t>عَنْ عَبْدِ اللَّهِ بْنِ أَبِي أَوْفَى رَضِيَ اللَّهُ عَنْهُ قَالَ: سَمِعْتُ رَسُولَ اللَّهِ صَلَّى اللَّهُ عَلَيْهِ وَسَلَّمَ يَقُولُ</w:t>
      </w:r>
      <w:r w:rsidRPr="00CB2B3C">
        <w:rPr>
          <w:b/>
          <w:bCs/>
          <w:rtl/>
        </w:rPr>
        <w:t xml:space="preserve"> </w:t>
      </w:r>
      <w:r w:rsidRPr="00CB2B3C">
        <w:rPr>
          <w:rFonts w:ascii="Times New Roman" w:eastAsia="Times New Roman" w:hAnsi="Times New Roman" w:cs="Times New Roman"/>
          <w:b/>
          <w:bCs/>
          <w:sz w:val="24"/>
          <w:szCs w:val="24"/>
          <w:rtl/>
        </w:rPr>
        <w:t>لَا تَتَمَنَّوْا لِقَاءَ الْعَدُوِّ، فَإِذَا لَقِيتُمُوهُمْ فَاثْبُتُوا، وَاعْلَمُوا أَنَّ الْجَنَّةَ تَحْتَ ظِلَالِ السُّيُوفِ</w:t>
      </w:r>
      <w:r w:rsidRPr="00CB2B3C">
        <w:rPr>
          <w:b/>
          <w:bCs/>
          <w:rtl/>
        </w:rPr>
        <w:t xml:space="preserve"> </w:t>
      </w:r>
      <w:r w:rsidR="00CB2B3C">
        <w:rPr>
          <w:rFonts w:ascii="Times New Roman" w:eastAsia="Times New Roman" w:hAnsi="Times New Roman" w:cs="Times New Roman"/>
          <w:b/>
          <w:bCs/>
          <w:sz w:val="24"/>
          <w:szCs w:val="24"/>
          <w:rtl/>
        </w:rPr>
        <w:t>ثُمَّ قَالَ:</w:t>
      </w:r>
      <w:r w:rsidR="00CB2B3C">
        <w:rPr>
          <w:rFonts w:ascii="Times New Roman" w:eastAsia="Times New Roman" w:hAnsi="Times New Roman" w:cs="Times New Roman"/>
          <w:b/>
          <w:bCs/>
          <w:sz w:val="24"/>
          <w:szCs w:val="24"/>
        </w:rPr>
        <w:t xml:space="preserve"> </w:t>
      </w:r>
      <w:r w:rsidRPr="00CB2B3C">
        <w:rPr>
          <w:rFonts w:ascii="Times New Roman" w:eastAsia="Times New Roman" w:hAnsi="Times New Roman" w:cs="Times New Roman"/>
          <w:b/>
          <w:bCs/>
          <w:sz w:val="24"/>
          <w:szCs w:val="24"/>
          <w:rtl/>
        </w:rPr>
        <w:t>اللَّهُمَّ مُنْزِلَ الْكِتَابِ، وَمُجْرِيَ السَّحَابِ، وَهَازِمَ الْأَحْزَابِ، اهْزِمْهُمْ وَانْصُرْنَا عَلَيْهِمْ</w:t>
      </w:r>
      <w:r w:rsidRPr="00CB2B3C">
        <w:rPr>
          <w:rFonts w:ascii="Times New Roman" w:eastAsia="Times New Roman" w:hAnsi="Times New Roman" w:cs="Times New Roman"/>
          <w:b/>
          <w:bCs/>
          <w:sz w:val="24"/>
          <w:szCs w:val="24"/>
        </w:rPr>
        <w:t xml:space="preserve">.  </w:t>
      </w:r>
    </w:p>
    <w:p w:rsidR="00D720E5" w:rsidRDefault="00D720E5" w:rsidP="00D720E5">
      <w:pPr>
        <w:spacing w:after="100" w:afterAutospacing="1" w:line="240" w:lineRule="auto"/>
        <w:ind w:left="900" w:hanging="9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Artinya: </w:t>
      </w:r>
      <w:r w:rsidRPr="00D720E5">
        <w:rPr>
          <w:rFonts w:ascii="Times New Roman" w:eastAsia="Times New Roman" w:hAnsi="Times New Roman" w:cs="Times New Roman"/>
          <w:i/>
          <w:iCs/>
          <w:sz w:val="24"/>
          <w:szCs w:val="24"/>
        </w:rPr>
        <w:t xml:space="preserve">Dari Abdullah bin Abi Aufa radhiyallahu 'anhu, dia berkata: Aku mendengar Rasulullah </w:t>
      </w:r>
      <w:r w:rsidRPr="00D720E5">
        <w:rPr>
          <w:rFonts w:ascii="Times New Roman" w:eastAsia="Times New Roman" w:hAnsi="Times New Roman" w:cs="Times New Roman" w:hint="cs"/>
          <w:i/>
          <w:iCs/>
          <w:sz w:val="24"/>
          <w:szCs w:val="24"/>
          <w:rtl/>
        </w:rPr>
        <w:t>ﷺ</w:t>
      </w:r>
      <w:r w:rsidRPr="00D720E5">
        <w:rPr>
          <w:rFonts w:ascii="Times New Roman" w:eastAsia="Times New Roman" w:hAnsi="Times New Roman" w:cs="Times New Roman"/>
          <w:i/>
          <w:iCs/>
          <w:sz w:val="24"/>
          <w:szCs w:val="24"/>
        </w:rPr>
        <w:t xml:space="preserve"> bersabda: "Janganlah kalian mengharapkan bertemu musuh. </w:t>
      </w:r>
      <w:proofErr w:type="gramStart"/>
      <w:r w:rsidRPr="00D720E5">
        <w:rPr>
          <w:rFonts w:ascii="Times New Roman" w:eastAsia="Times New Roman" w:hAnsi="Times New Roman" w:cs="Times New Roman"/>
          <w:i/>
          <w:iCs/>
          <w:sz w:val="24"/>
          <w:szCs w:val="24"/>
        </w:rPr>
        <w:t>Apabila kalian bertemu dengan mereka (di medan perang), maka teguhlah (berpanggullah), dan ketahuilah bahwa surga itu di bawah bayangan pedang."</w:t>
      </w:r>
      <w:proofErr w:type="gramEnd"/>
      <w:r w:rsidRPr="00D720E5">
        <w:rPr>
          <w:rFonts w:ascii="Times New Roman" w:eastAsia="Times New Roman" w:hAnsi="Times New Roman" w:cs="Times New Roman"/>
          <w:i/>
          <w:iCs/>
          <w:sz w:val="24"/>
          <w:szCs w:val="24"/>
        </w:rPr>
        <w:t xml:space="preserve"> Kemudian beliau berdoa: "Ya Allah, Yang menurunkan Kitab (Al-Qur'an), Yang menjalankan awan, Yang mengalahkan pasukan-pasukan (musuh), kalahkanlah mereka da</w:t>
      </w:r>
      <w:r w:rsidR="00F25095">
        <w:rPr>
          <w:rFonts w:ascii="Times New Roman" w:eastAsia="Times New Roman" w:hAnsi="Times New Roman" w:cs="Times New Roman"/>
          <w:i/>
          <w:iCs/>
          <w:sz w:val="24"/>
          <w:szCs w:val="24"/>
        </w:rPr>
        <w:t>n menangkanlah kami atas mereka</w:t>
      </w:r>
      <w:r w:rsidRPr="00D720E5">
        <w:rPr>
          <w:rFonts w:ascii="Times New Roman" w:eastAsia="Times New Roman" w:hAnsi="Times New Roman" w:cs="Times New Roman"/>
          <w:i/>
          <w:iCs/>
          <w:sz w:val="24"/>
          <w:szCs w:val="24"/>
        </w:rPr>
        <w:t>"</w:t>
      </w:r>
      <w:r w:rsidR="00F25095">
        <w:rPr>
          <w:rFonts w:ascii="Times New Roman" w:eastAsia="Times New Roman" w:hAnsi="Times New Roman" w:cs="Times New Roman"/>
          <w:i/>
          <w:iCs/>
          <w:sz w:val="24"/>
          <w:szCs w:val="24"/>
        </w:rPr>
        <w:t>.</w:t>
      </w:r>
      <w:r>
        <w:rPr>
          <w:rFonts w:ascii="Times New Roman" w:eastAsia="Times New Roman" w:hAnsi="Times New Roman" w:cs="Times New Roman"/>
          <w:sz w:val="24"/>
          <w:szCs w:val="24"/>
        </w:rPr>
        <w:t xml:space="preserve"> (</w:t>
      </w:r>
      <w:r w:rsidRPr="00D720E5">
        <w:rPr>
          <w:rFonts w:ascii="Times New Roman" w:eastAsia="Times New Roman" w:hAnsi="Times New Roman" w:cs="Times New Roman"/>
          <w:sz w:val="24"/>
          <w:szCs w:val="24"/>
        </w:rPr>
        <w:t>Shahih Bukhari</w:t>
      </w:r>
      <w:r>
        <w:rPr>
          <w:rFonts w:ascii="Times New Roman" w:eastAsia="Times New Roman" w:hAnsi="Times New Roman" w:cs="Times New Roman"/>
          <w:sz w:val="24"/>
          <w:szCs w:val="24"/>
        </w:rPr>
        <w:t xml:space="preserve"> Muslim)</w:t>
      </w:r>
    </w:p>
    <w:p w:rsidR="00E40AF0" w:rsidRPr="00A16D1B" w:rsidRDefault="007939E4" w:rsidP="00A16D1B">
      <w:pPr>
        <w:spacing w:after="0" w:line="360" w:lineRule="auto"/>
        <w:ind w:firstLine="720"/>
        <w:jc w:val="both"/>
        <w:rPr>
          <w:rFonts w:ascii="Times New Roman" w:eastAsia="Times New Roman" w:hAnsi="Times New Roman" w:cs="Times New Roman"/>
          <w:sz w:val="24"/>
          <w:szCs w:val="24"/>
        </w:rPr>
      </w:pPr>
      <w:proofErr w:type="gramStart"/>
      <w:r w:rsidRPr="007939E4">
        <w:rPr>
          <w:rFonts w:ascii="Times New Roman" w:eastAsia="Times New Roman" w:hAnsi="Times New Roman" w:cs="Times New Roman"/>
          <w:sz w:val="24"/>
          <w:szCs w:val="24"/>
        </w:rPr>
        <w:t>Pesan hadis ini menunjukkan bahwa Islam menempatkan keselamatan manusia sebagai nilai utama, serta mengarahkan umat untuk merespons musibah dengan kesabaran dan empati.</w:t>
      </w:r>
      <w:proofErr w:type="gramEnd"/>
      <w:r w:rsidRPr="007939E4">
        <w:rPr>
          <w:rFonts w:ascii="Times New Roman" w:eastAsia="Times New Roman" w:hAnsi="Times New Roman" w:cs="Times New Roman"/>
          <w:sz w:val="24"/>
          <w:szCs w:val="24"/>
        </w:rPr>
        <w:t xml:space="preserve"> </w:t>
      </w:r>
      <w:proofErr w:type="gramStart"/>
      <w:r w:rsidRPr="007939E4">
        <w:rPr>
          <w:rFonts w:ascii="Times New Roman" w:eastAsia="Times New Roman" w:hAnsi="Times New Roman" w:cs="Times New Roman"/>
          <w:sz w:val="24"/>
          <w:szCs w:val="24"/>
        </w:rPr>
        <w:t>Dalam perspektif ini, bencana menjadi medium refleksi teologis yang bersifat personal dan sosial, bukan alat legitimasi untuk menyalahkan pihak tertentu.</w:t>
      </w:r>
      <w:proofErr w:type="gramEnd"/>
    </w:p>
    <w:p w:rsidR="00B45BA1" w:rsidRDefault="007939E4" w:rsidP="00B45BA1">
      <w:pPr>
        <w:spacing w:after="0" w:line="360" w:lineRule="auto"/>
        <w:jc w:val="both"/>
        <w:rPr>
          <w:rFonts w:asciiTheme="majorBidi" w:hAnsiTheme="majorBidi" w:cstheme="majorBidi"/>
          <w:b/>
          <w:bCs/>
          <w:sz w:val="24"/>
          <w:szCs w:val="24"/>
        </w:rPr>
      </w:pPr>
      <w:r w:rsidRPr="007939E4">
        <w:rPr>
          <w:rFonts w:ascii="Times New Roman" w:eastAsia="Times New Roman" w:hAnsi="Times New Roman" w:cs="Times New Roman"/>
          <w:b/>
          <w:bCs/>
          <w:sz w:val="24"/>
          <w:szCs w:val="24"/>
        </w:rPr>
        <w:t xml:space="preserve">Bencana sebagai </w:t>
      </w:r>
      <w:r w:rsidRPr="007939E4">
        <w:rPr>
          <w:rFonts w:ascii="Times New Roman" w:eastAsia="Times New Roman" w:hAnsi="Times New Roman" w:cs="Times New Roman"/>
          <w:b/>
          <w:bCs/>
          <w:i/>
          <w:iCs/>
          <w:sz w:val="24"/>
          <w:szCs w:val="24"/>
        </w:rPr>
        <w:t>Sunnatullah</w:t>
      </w:r>
      <w:r w:rsidRPr="007939E4">
        <w:rPr>
          <w:rFonts w:ascii="Times New Roman" w:eastAsia="Times New Roman" w:hAnsi="Times New Roman" w:cs="Times New Roman"/>
          <w:b/>
          <w:bCs/>
          <w:sz w:val="24"/>
          <w:szCs w:val="24"/>
        </w:rPr>
        <w:t xml:space="preserve"> dalam Perspektif Teologi Hadis</w:t>
      </w:r>
    </w:p>
    <w:p w:rsidR="003C55BE" w:rsidRDefault="007939E4" w:rsidP="003C55BE">
      <w:pPr>
        <w:spacing w:after="0" w:line="360" w:lineRule="auto"/>
        <w:ind w:firstLine="720"/>
        <w:jc w:val="both"/>
        <w:rPr>
          <w:rFonts w:asciiTheme="majorBidi" w:hAnsiTheme="majorBidi" w:cstheme="majorBidi"/>
          <w:b/>
          <w:bCs/>
          <w:sz w:val="24"/>
          <w:szCs w:val="24"/>
        </w:rPr>
      </w:pPr>
      <w:proofErr w:type="gramStart"/>
      <w:r w:rsidRPr="007939E4">
        <w:rPr>
          <w:rFonts w:ascii="Times New Roman" w:eastAsia="Times New Roman" w:hAnsi="Times New Roman" w:cs="Times New Roman"/>
          <w:sz w:val="24"/>
          <w:szCs w:val="24"/>
        </w:rPr>
        <w:t xml:space="preserve">Dalam perspektif teologi hadis, bencana dipahami sebagai bagian integral dari </w:t>
      </w:r>
      <w:r w:rsidRPr="007939E4">
        <w:rPr>
          <w:rFonts w:ascii="Times New Roman" w:eastAsia="Times New Roman" w:hAnsi="Times New Roman" w:cs="Times New Roman"/>
          <w:i/>
          <w:iCs/>
          <w:sz w:val="24"/>
          <w:szCs w:val="24"/>
        </w:rPr>
        <w:t>sunnatullah</w:t>
      </w:r>
      <w:r w:rsidRPr="007939E4">
        <w:rPr>
          <w:rFonts w:ascii="Times New Roman" w:eastAsia="Times New Roman" w:hAnsi="Times New Roman" w:cs="Times New Roman"/>
          <w:sz w:val="24"/>
          <w:szCs w:val="24"/>
        </w:rPr>
        <w:t>, yakni hukum-hukum Allah yang berlaku tetap dan konsisten dalam kehidupan manusia dan alam semesta.</w:t>
      </w:r>
      <w:proofErr w:type="gramEnd"/>
      <w:r w:rsidRPr="007939E4">
        <w:rPr>
          <w:rFonts w:ascii="Times New Roman" w:eastAsia="Times New Roman" w:hAnsi="Times New Roman" w:cs="Times New Roman"/>
          <w:sz w:val="24"/>
          <w:szCs w:val="24"/>
        </w:rPr>
        <w:t xml:space="preserve"> </w:t>
      </w:r>
      <w:proofErr w:type="gramStart"/>
      <w:r w:rsidRPr="007939E4">
        <w:rPr>
          <w:rFonts w:ascii="Times New Roman" w:eastAsia="Times New Roman" w:hAnsi="Times New Roman" w:cs="Times New Roman"/>
          <w:i/>
          <w:iCs/>
          <w:sz w:val="24"/>
          <w:szCs w:val="24"/>
        </w:rPr>
        <w:t>Sunnatullah</w:t>
      </w:r>
      <w:r w:rsidRPr="007939E4">
        <w:rPr>
          <w:rFonts w:ascii="Times New Roman" w:eastAsia="Times New Roman" w:hAnsi="Times New Roman" w:cs="Times New Roman"/>
          <w:sz w:val="24"/>
          <w:szCs w:val="24"/>
        </w:rPr>
        <w:t xml:space="preserve"> meniscayakan bahwa segala peristiwa, termasuk bencana, berlangsung dalam sistem ketetapan </w:t>
      </w:r>
      <w:r w:rsidRPr="007939E4">
        <w:rPr>
          <w:rFonts w:ascii="Times New Roman" w:eastAsia="Times New Roman" w:hAnsi="Times New Roman" w:cs="Times New Roman"/>
          <w:i/>
          <w:iCs/>
          <w:sz w:val="24"/>
          <w:szCs w:val="24"/>
        </w:rPr>
        <w:t>Ilahi</w:t>
      </w:r>
      <w:r w:rsidRPr="007939E4">
        <w:rPr>
          <w:rFonts w:ascii="Times New Roman" w:eastAsia="Times New Roman" w:hAnsi="Times New Roman" w:cs="Times New Roman"/>
          <w:sz w:val="24"/>
          <w:szCs w:val="24"/>
        </w:rPr>
        <w:t xml:space="preserve"> yang tidak bersifat arbitrer.</w:t>
      </w:r>
      <w:proofErr w:type="gramEnd"/>
      <w:r w:rsidRPr="007939E4">
        <w:rPr>
          <w:rFonts w:ascii="Times New Roman" w:eastAsia="Times New Roman" w:hAnsi="Times New Roman" w:cs="Times New Roman"/>
          <w:sz w:val="24"/>
          <w:szCs w:val="24"/>
        </w:rPr>
        <w:t xml:space="preserve"> </w:t>
      </w:r>
      <w:proofErr w:type="gramStart"/>
      <w:r w:rsidRPr="007939E4">
        <w:rPr>
          <w:rFonts w:ascii="Times New Roman" w:eastAsia="Times New Roman" w:hAnsi="Times New Roman" w:cs="Times New Roman"/>
          <w:sz w:val="24"/>
          <w:szCs w:val="24"/>
        </w:rPr>
        <w:t xml:space="preserve">Hadis-hadis Nabi </w:t>
      </w:r>
      <w:r w:rsidRPr="007939E4">
        <w:rPr>
          <w:rFonts w:ascii="Times New Roman" w:eastAsia="Times New Roman" w:hAnsi="Times New Roman" w:cs="Times New Roman"/>
          <w:sz w:val="24"/>
          <w:szCs w:val="24"/>
          <w:rtl/>
        </w:rPr>
        <w:t>ﷺ</w:t>
      </w:r>
      <w:r w:rsidRPr="007939E4">
        <w:rPr>
          <w:rFonts w:ascii="Times New Roman" w:eastAsia="Times New Roman" w:hAnsi="Times New Roman" w:cs="Times New Roman"/>
          <w:sz w:val="24"/>
          <w:szCs w:val="24"/>
        </w:rPr>
        <w:t xml:space="preserve"> menegaskan bahwa Allah tidak menzalimi hamba-Nya, dan setiap ketetapan-Nya selalu mengandung hikmah, meskipun tidak selalu dapat ditangkap sec</w:t>
      </w:r>
      <w:r w:rsidR="003C55BE">
        <w:rPr>
          <w:rFonts w:ascii="Times New Roman" w:eastAsia="Times New Roman" w:hAnsi="Times New Roman" w:cs="Times New Roman"/>
          <w:sz w:val="24"/>
          <w:szCs w:val="24"/>
        </w:rPr>
        <w:t>ara langsung oleh akal manusia.</w:t>
      </w:r>
      <w:proofErr w:type="gramEnd"/>
      <w:r w:rsidR="003C55BE">
        <w:rPr>
          <w:rStyle w:val="FootnoteReference"/>
          <w:rFonts w:ascii="Times New Roman" w:eastAsia="Times New Roman" w:hAnsi="Times New Roman" w:cs="Times New Roman"/>
          <w:sz w:val="24"/>
          <w:szCs w:val="24"/>
        </w:rPr>
        <w:footnoteReference w:id="28"/>
      </w:r>
      <w:r w:rsidRPr="007939E4">
        <w:rPr>
          <w:rFonts w:ascii="Times New Roman" w:eastAsia="Times New Roman" w:hAnsi="Times New Roman" w:cs="Times New Roman"/>
          <w:sz w:val="24"/>
          <w:szCs w:val="24"/>
        </w:rPr>
        <w:t xml:space="preserve"> </w:t>
      </w:r>
      <w:proofErr w:type="gramStart"/>
      <w:r w:rsidRPr="007939E4">
        <w:rPr>
          <w:rFonts w:ascii="Times New Roman" w:eastAsia="Times New Roman" w:hAnsi="Times New Roman" w:cs="Times New Roman"/>
          <w:sz w:val="24"/>
          <w:szCs w:val="24"/>
        </w:rPr>
        <w:t>Dengan demikian, bencana tidak dapat dilepaskan dari prinsip keadilan dan kebijaksanaan Allah yang menjadi fondasi utama teologi Islam.</w:t>
      </w:r>
      <w:proofErr w:type="gramEnd"/>
    </w:p>
    <w:p w:rsidR="003C55BE" w:rsidRDefault="007939E4" w:rsidP="003C55BE">
      <w:pPr>
        <w:spacing w:after="0" w:line="360" w:lineRule="auto"/>
        <w:ind w:firstLine="720"/>
        <w:jc w:val="both"/>
        <w:rPr>
          <w:rFonts w:asciiTheme="majorBidi" w:hAnsiTheme="majorBidi" w:cstheme="majorBidi"/>
          <w:b/>
          <w:bCs/>
          <w:sz w:val="24"/>
          <w:szCs w:val="24"/>
        </w:rPr>
      </w:pPr>
      <w:proofErr w:type="gramStart"/>
      <w:r w:rsidRPr="007939E4">
        <w:rPr>
          <w:rFonts w:ascii="Times New Roman" w:eastAsia="Times New Roman" w:hAnsi="Times New Roman" w:cs="Times New Roman"/>
          <w:sz w:val="24"/>
          <w:szCs w:val="24"/>
        </w:rPr>
        <w:t xml:space="preserve">Teologi hadis memandang bahwa relasi antara bencana dan ketetapan </w:t>
      </w:r>
      <w:r w:rsidRPr="007939E4">
        <w:rPr>
          <w:rFonts w:ascii="Times New Roman" w:eastAsia="Times New Roman" w:hAnsi="Times New Roman" w:cs="Times New Roman"/>
          <w:i/>
          <w:iCs/>
          <w:sz w:val="24"/>
          <w:szCs w:val="24"/>
        </w:rPr>
        <w:t>Ilahi</w:t>
      </w:r>
      <w:r w:rsidRPr="007939E4">
        <w:rPr>
          <w:rFonts w:ascii="Times New Roman" w:eastAsia="Times New Roman" w:hAnsi="Times New Roman" w:cs="Times New Roman"/>
          <w:sz w:val="24"/>
          <w:szCs w:val="24"/>
        </w:rPr>
        <w:t xml:space="preserve"> harus ditempatkan dalam kerangka keseimbangan antara iman kepada takdir dan tanggung jawab manusia.</w:t>
      </w:r>
      <w:proofErr w:type="gramEnd"/>
      <w:r w:rsidRPr="007939E4">
        <w:rPr>
          <w:rFonts w:ascii="Times New Roman" w:eastAsia="Times New Roman" w:hAnsi="Times New Roman" w:cs="Times New Roman"/>
          <w:sz w:val="24"/>
          <w:szCs w:val="24"/>
        </w:rPr>
        <w:t xml:space="preserve"> </w:t>
      </w:r>
      <w:proofErr w:type="gramStart"/>
      <w:r w:rsidRPr="007939E4">
        <w:rPr>
          <w:rFonts w:ascii="Times New Roman" w:eastAsia="Times New Roman" w:hAnsi="Times New Roman" w:cs="Times New Roman"/>
          <w:sz w:val="24"/>
          <w:szCs w:val="24"/>
        </w:rPr>
        <w:t xml:space="preserve">Hadis Nabi </w:t>
      </w:r>
      <w:r w:rsidRPr="007939E4">
        <w:rPr>
          <w:rFonts w:ascii="Times New Roman" w:eastAsia="Times New Roman" w:hAnsi="Times New Roman" w:cs="Times New Roman"/>
          <w:sz w:val="24"/>
          <w:szCs w:val="24"/>
          <w:rtl/>
        </w:rPr>
        <w:t>ﷺ</w:t>
      </w:r>
      <w:r w:rsidRPr="007939E4">
        <w:rPr>
          <w:rFonts w:ascii="Times New Roman" w:eastAsia="Times New Roman" w:hAnsi="Times New Roman" w:cs="Times New Roman"/>
          <w:sz w:val="24"/>
          <w:szCs w:val="24"/>
        </w:rPr>
        <w:t xml:space="preserve"> yang memerintahkan untuk berusaha sebelum bertawakal menunjukkan bahwa sunnatullah bekerja melalui mekanisme sebab-akibat (</w:t>
      </w:r>
      <w:r w:rsidRPr="007939E4">
        <w:rPr>
          <w:rFonts w:ascii="Times New Roman" w:eastAsia="Times New Roman" w:hAnsi="Times New Roman" w:cs="Times New Roman"/>
          <w:i/>
          <w:iCs/>
          <w:sz w:val="24"/>
          <w:szCs w:val="24"/>
        </w:rPr>
        <w:t>asbāb</w:t>
      </w:r>
      <w:r w:rsidR="003C55BE">
        <w:rPr>
          <w:rFonts w:ascii="Times New Roman" w:eastAsia="Times New Roman" w:hAnsi="Times New Roman" w:cs="Times New Roman"/>
          <w:sz w:val="24"/>
          <w:szCs w:val="24"/>
        </w:rPr>
        <w:t>).</w:t>
      </w:r>
      <w:proofErr w:type="gramEnd"/>
      <w:r w:rsidR="003C55BE">
        <w:rPr>
          <w:rStyle w:val="FootnoteReference"/>
          <w:rFonts w:ascii="Times New Roman" w:eastAsia="Times New Roman" w:hAnsi="Times New Roman" w:cs="Times New Roman"/>
          <w:sz w:val="24"/>
          <w:szCs w:val="24"/>
        </w:rPr>
        <w:footnoteReference w:id="29"/>
      </w:r>
      <w:r w:rsidRPr="007939E4">
        <w:rPr>
          <w:rFonts w:ascii="Times New Roman" w:eastAsia="Times New Roman" w:hAnsi="Times New Roman" w:cs="Times New Roman"/>
          <w:sz w:val="24"/>
          <w:szCs w:val="24"/>
        </w:rPr>
        <w:t xml:space="preserve"> Dalam konteks ini, bencana tidak dipahami sebagai kehendak Allah yang menafikan ikhtiar manusia, </w:t>
      </w:r>
      <w:r w:rsidRPr="007939E4">
        <w:rPr>
          <w:rFonts w:ascii="Times New Roman" w:eastAsia="Times New Roman" w:hAnsi="Times New Roman" w:cs="Times New Roman"/>
          <w:sz w:val="24"/>
          <w:szCs w:val="24"/>
        </w:rPr>
        <w:lastRenderedPageBreak/>
        <w:t xml:space="preserve">melainkan sebagai ketetapan Ilahi yang berjalan seiring dengan hukum alam dan tindakan manusia itu sendiri. </w:t>
      </w:r>
      <w:proofErr w:type="gramStart"/>
      <w:r w:rsidRPr="007939E4">
        <w:rPr>
          <w:rFonts w:ascii="Times New Roman" w:eastAsia="Times New Roman" w:hAnsi="Times New Roman" w:cs="Times New Roman"/>
          <w:sz w:val="24"/>
          <w:szCs w:val="24"/>
        </w:rPr>
        <w:t>Pemahaman ini menolak fatalisme teologis yang mematikan daya kritis dan tanggung jawab sosial umat Islam.</w:t>
      </w:r>
      <w:proofErr w:type="gramEnd"/>
    </w:p>
    <w:p w:rsidR="003D6CC0" w:rsidRDefault="007939E4" w:rsidP="003D6CC0">
      <w:pPr>
        <w:spacing w:after="0" w:line="360" w:lineRule="auto"/>
        <w:ind w:firstLine="720"/>
        <w:jc w:val="both"/>
        <w:rPr>
          <w:rFonts w:asciiTheme="majorBidi" w:hAnsiTheme="majorBidi" w:cstheme="majorBidi"/>
          <w:b/>
          <w:bCs/>
          <w:sz w:val="24"/>
          <w:szCs w:val="24"/>
        </w:rPr>
      </w:pPr>
      <w:proofErr w:type="gramStart"/>
      <w:r w:rsidRPr="007939E4">
        <w:rPr>
          <w:rFonts w:ascii="Times New Roman" w:eastAsia="Times New Roman" w:hAnsi="Times New Roman" w:cs="Times New Roman"/>
          <w:sz w:val="24"/>
          <w:szCs w:val="24"/>
        </w:rPr>
        <w:t>Dalam teologi hadis, bencana juga dipahami sebagai medium ujian keimanan (</w:t>
      </w:r>
      <w:r w:rsidRPr="007939E4">
        <w:rPr>
          <w:rFonts w:ascii="Times New Roman" w:eastAsia="Times New Roman" w:hAnsi="Times New Roman" w:cs="Times New Roman"/>
          <w:i/>
          <w:iCs/>
          <w:sz w:val="24"/>
          <w:szCs w:val="24"/>
        </w:rPr>
        <w:t>balā’</w:t>
      </w:r>
      <w:r w:rsidRPr="007939E4">
        <w:rPr>
          <w:rFonts w:ascii="Times New Roman" w:eastAsia="Times New Roman" w:hAnsi="Times New Roman" w:cs="Times New Roman"/>
          <w:sz w:val="24"/>
          <w:szCs w:val="24"/>
        </w:rPr>
        <w:t>).</w:t>
      </w:r>
      <w:proofErr w:type="gramEnd"/>
      <w:r w:rsidRPr="007939E4">
        <w:rPr>
          <w:rFonts w:ascii="Times New Roman" w:eastAsia="Times New Roman" w:hAnsi="Times New Roman" w:cs="Times New Roman"/>
          <w:sz w:val="24"/>
          <w:szCs w:val="24"/>
        </w:rPr>
        <w:t xml:space="preserve"> </w:t>
      </w:r>
      <w:proofErr w:type="gramStart"/>
      <w:r w:rsidRPr="007939E4">
        <w:rPr>
          <w:rFonts w:ascii="Times New Roman" w:eastAsia="Times New Roman" w:hAnsi="Times New Roman" w:cs="Times New Roman"/>
          <w:sz w:val="24"/>
          <w:szCs w:val="24"/>
        </w:rPr>
        <w:t>Hadis yang menyatakan bahwa ujian paling berat diberikan kepada para nabi, kemudian orang-orang saleh, menunjukkan bahwa bencana tidak selalu berbanding lurus</w:t>
      </w:r>
      <w:r w:rsidR="003C55BE">
        <w:rPr>
          <w:rFonts w:ascii="Times New Roman" w:eastAsia="Times New Roman" w:hAnsi="Times New Roman" w:cs="Times New Roman"/>
          <w:sz w:val="24"/>
          <w:szCs w:val="24"/>
        </w:rPr>
        <w:t xml:space="preserve"> dengan tingkat dosa seseorang.</w:t>
      </w:r>
      <w:proofErr w:type="gramEnd"/>
      <w:r w:rsidR="003C55BE">
        <w:rPr>
          <w:rStyle w:val="FootnoteReference"/>
          <w:rFonts w:ascii="Times New Roman" w:eastAsia="Times New Roman" w:hAnsi="Times New Roman" w:cs="Times New Roman"/>
          <w:sz w:val="24"/>
          <w:szCs w:val="24"/>
        </w:rPr>
        <w:footnoteReference w:id="30"/>
      </w:r>
      <w:r w:rsidRPr="007939E4">
        <w:rPr>
          <w:rFonts w:ascii="Times New Roman" w:eastAsia="Times New Roman" w:hAnsi="Times New Roman" w:cs="Times New Roman"/>
          <w:sz w:val="24"/>
          <w:szCs w:val="24"/>
        </w:rPr>
        <w:t xml:space="preserve"> </w:t>
      </w:r>
      <w:proofErr w:type="gramStart"/>
      <w:r w:rsidRPr="007939E4">
        <w:rPr>
          <w:rFonts w:ascii="Times New Roman" w:eastAsia="Times New Roman" w:hAnsi="Times New Roman" w:cs="Times New Roman"/>
          <w:sz w:val="24"/>
          <w:szCs w:val="24"/>
        </w:rPr>
        <w:t>Al-Nawawī menegaskan bahwa hadis-hadis ujian harus dipahami sebagai mekanisme ilahi untuk mengangkat derajat spiritual seorang mukmin, bukan sebagai indikator kemurka</w:t>
      </w:r>
      <w:r w:rsidR="003D6CC0">
        <w:rPr>
          <w:rFonts w:ascii="Times New Roman" w:eastAsia="Times New Roman" w:hAnsi="Times New Roman" w:cs="Times New Roman"/>
          <w:sz w:val="24"/>
          <w:szCs w:val="24"/>
        </w:rPr>
        <w:t>an Allah.</w:t>
      </w:r>
      <w:proofErr w:type="gramEnd"/>
      <w:r w:rsidR="003D6CC0">
        <w:rPr>
          <w:rStyle w:val="FootnoteReference"/>
          <w:rFonts w:ascii="Times New Roman" w:eastAsia="Times New Roman" w:hAnsi="Times New Roman" w:cs="Times New Roman"/>
          <w:sz w:val="24"/>
          <w:szCs w:val="24"/>
        </w:rPr>
        <w:footnoteReference w:id="31"/>
      </w:r>
      <w:r w:rsidRPr="007939E4">
        <w:rPr>
          <w:rFonts w:ascii="Times New Roman" w:eastAsia="Times New Roman" w:hAnsi="Times New Roman" w:cs="Times New Roman"/>
          <w:sz w:val="24"/>
          <w:szCs w:val="24"/>
        </w:rPr>
        <w:t xml:space="preserve"> </w:t>
      </w:r>
      <w:proofErr w:type="gramStart"/>
      <w:r w:rsidRPr="007939E4">
        <w:rPr>
          <w:rFonts w:ascii="Times New Roman" w:eastAsia="Times New Roman" w:hAnsi="Times New Roman" w:cs="Times New Roman"/>
          <w:sz w:val="24"/>
          <w:szCs w:val="24"/>
        </w:rPr>
        <w:t>Oleh karena itu, teologi hadis menolak generalisasi bahwa setiap bencana merupakan azab, terutama ketika bencana tersebut menimpa orang-orang saleh dan kelompok rentan.</w:t>
      </w:r>
      <w:proofErr w:type="gramEnd"/>
    </w:p>
    <w:p w:rsidR="00E15FBE" w:rsidRDefault="007939E4" w:rsidP="00E15FBE">
      <w:pPr>
        <w:spacing w:after="0" w:line="360" w:lineRule="auto"/>
        <w:ind w:firstLine="720"/>
        <w:jc w:val="both"/>
        <w:rPr>
          <w:rFonts w:asciiTheme="majorBidi" w:hAnsiTheme="majorBidi" w:cstheme="majorBidi"/>
          <w:b/>
          <w:bCs/>
          <w:sz w:val="24"/>
          <w:szCs w:val="24"/>
        </w:rPr>
      </w:pPr>
      <w:proofErr w:type="gramStart"/>
      <w:r w:rsidRPr="007939E4">
        <w:rPr>
          <w:rFonts w:ascii="Times New Roman" w:eastAsia="Times New Roman" w:hAnsi="Times New Roman" w:cs="Times New Roman"/>
          <w:sz w:val="24"/>
          <w:szCs w:val="24"/>
        </w:rPr>
        <w:t>Lebih lanjut, teologi hadis juga mengakui dimensi rahmat dalam bencana.</w:t>
      </w:r>
      <w:proofErr w:type="gramEnd"/>
      <w:r w:rsidRPr="007939E4">
        <w:rPr>
          <w:rFonts w:ascii="Times New Roman" w:eastAsia="Times New Roman" w:hAnsi="Times New Roman" w:cs="Times New Roman"/>
          <w:sz w:val="24"/>
          <w:szCs w:val="24"/>
        </w:rPr>
        <w:t xml:space="preserve"> Hadis tentang wabah (</w:t>
      </w:r>
      <w:proofErr w:type="gramStart"/>
      <w:r w:rsidRPr="007939E4">
        <w:rPr>
          <w:rFonts w:ascii="Times New Roman" w:eastAsia="Times New Roman" w:hAnsi="Times New Roman" w:cs="Times New Roman"/>
          <w:i/>
          <w:iCs/>
          <w:sz w:val="24"/>
          <w:szCs w:val="24"/>
        </w:rPr>
        <w:t>ṭā‘ūn</w:t>
      </w:r>
      <w:proofErr w:type="gramEnd"/>
      <w:r w:rsidRPr="007939E4">
        <w:rPr>
          <w:rFonts w:ascii="Times New Roman" w:eastAsia="Times New Roman" w:hAnsi="Times New Roman" w:cs="Times New Roman"/>
          <w:sz w:val="24"/>
          <w:szCs w:val="24"/>
        </w:rPr>
        <w:t>) yang menyatakan bahwa wabah merupakan rahmat bagi orang beriman dan azab bagi sebagian umat terdahulu menunjukkan adanya diferensiasi makna benca</w:t>
      </w:r>
      <w:r w:rsidR="00991633">
        <w:rPr>
          <w:rFonts w:ascii="Times New Roman" w:eastAsia="Times New Roman" w:hAnsi="Times New Roman" w:cs="Times New Roman"/>
          <w:sz w:val="24"/>
          <w:szCs w:val="24"/>
        </w:rPr>
        <w:t>na berdasarkan respons manusia.</w:t>
      </w:r>
      <w:r w:rsidR="00991633">
        <w:rPr>
          <w:rStyle w:val="FootnoteReference"/>
          <w:rFonts w:ascii="Times New Roman" w:eastAsia="Times New Roman" w:hAnsi="Times New Roman" w:cs="Times New Roman"/>
          <w:sz w:val="24"/>
          <w:szCs w:val="24"/>
        </w:rPr>
        <w:footnoteReference w:id="32"/>
      </w:r>
      <w:r w:rsidRPr="007939E4">
        <w:rPr>
          <w:rFonts w:ascii="Times New Roman" w:eastAsia="Times New Roman" w:hAnsi="Times New Roman" w:cs="Times New Roman"/>
          <w:sz w:val="24"/>
          <w:szCs w:val="24"/>
        </w:rPr>
        <w:t xml:space="preserve"> </w:t>
      </w:r>
      <w:proofErr w:type="gramStart"/>
      <w:r w:rsidRPr="007939E4">
        <w:rPr>
          <w:rFonts w:ascii="Times New Roman" w:eastAsia="Times New Roman" w:hAnsi="Times New Roman" w:cs="Times New Roman"/>
          <w:sz w:val="24"/>
          <w:szCs w:val="24"/>
        </w:rPr>
        <w:t xml:space="preserve">Ibn Ḥajar al-‘Asqalānī menafsirkan hadis ini dengan menegaskan bahwa rahmat terletak pada pahala kesabaran dan sikap tawakal yang aktif, sementara azab terkait dengan penolakan </w:t>
      </w:r>
      <w:r w:rsidR="00991633">
        <w:rPr>
          <w:rFonts w:ascii="Times New Roman" w:eastAsia="Times New Roman" w:hAnsi="Times New Roman" w:cs="Times New Roman"/>
          <w:sz w:val="24"/>
          <w:szCs w:val="24"/>
        </w:rPr>
        <w:t>terhadap nilai-nilai ketuhanan.</w:t>
      </w:r>
      <w:proofErr w:type="gramEnd"/>
      <w:r w:rsidR="00991633">
        <w:rPr>
          <w:rStyle w:val="FootnoteReference"/>
          <w:rFonts w:ascii="Times New Roman" w:eastAsia="Times New Roman" w:hAnsi="Times New Roman" w:cs="Times New Roman"/>
          <w:sz w:val="24"/>
          <w:szCs w:val="24"/>
        </w:rPr>
        <w:footnoteReference w:id="33"/>
      </w:r>
      <w:r w:rsidRPr="007939E4">
        <w:rPr>
          <w:rFonts w:ascii="Times New Roman" w:eastAsia="Times New Roman" w:hAnsi="Times New Roman" w:cs="Times New Roman"/>
          <w:sz w:val="24"/>
          <w:szCs w:val="24"/>
        </w:rPr>
        <w:t xml:space="preserve"> </w:t>
      </w:r>
      <w:proofErr w:type="gramStart"/>
      <w:r w:rsidRPr="007939E4">
        <w:rPr>
          <w:rFonts w:ascii="Times New Roman" w:eastAsia="Times New Roman" w:hAnsi="Times New Roman" w:cs="Times New Roman"/>
          <w:sz w:val="24"/>
          <w:szCs w:val="24"/>
        </w:rPr>
        <w:t>Dengan demikian, sunnatullah dalam bencana tidak bersifat tunggal, melainkan terbuka terhadap berbagai kemungkinan makna teologis.</w:t>
      </w:r>
      <w:proofErr w:type="gramEnd"/>
    </w:p>
    <w:p w:rsidR="00E15FBE" w:rsidRDefault="007939E4" w:rsidP="00E15FBE">
      <w:pPr>
        <w:spacing w:after="0" w:line="360" w:lineRule="auto"/>
        <w:ind w:firstLine="720"/>
        <w:jc w:val="both"/>
        <w:rPr>
          <w:rFonts w:asciiTheme="majorBidi" w:hAnsiTheme="majorBidi" w:cstheme="majorBidi"/>
          <w:b/>
          <w:bCs/>
          <w:sz w:val="24"/>
          <w:szCs w:val="24"/>
        </w:rPr>
      </w:pPr>
      <w:proofErr w:type="gramStart"/>
      <w:r w:rsidRPr="007939E4">
        <w:rPr>
          <w:rFonts w:ascii="Times New Roman" w:eastAsia="Times New Roman" w:hAnsi="Times New Roman" w:cs="Times New Roman"/>
          <w:sz w:val="24"/>
          <w:szCs w:val="24"/>
        </w:rPr>
        <w:t>Teologi hadis juga menekankan pentingnya kehati-hatian dalam mengaitkan bencana dengan dosa kolektif.</w:t>
      </w:r>
      <w:proofErr w:type="gramEnd"/>
      <w:r w:rsidRPr="007939E4">
        <w:rPr>
          <w:rFonts w:ascii="Times New Roman" w:eastAsia="Times New Roman" w:hAnsi="Times New Roman" w:cs="Times New Roman"/>
          <w:sz w:val="24"/>
          <w:szCs w:val="24"/>
        </w:rPr>
        <w:t xml:space="preserve"> </w:t>
      </w:r>
      <w:proofErr w:type="gramStart"/>
      <w:r w:rsidRPr="007939E4">
        <w:rPr>
          <w:rFonts w:ascii="Times New Roman" w:eastAsia="Times New Roman" w:hAnsi="Times New Roman" w:cs="Times New Roman"/>
          <w:sz w:val="24"/>
          <w:szCs w:val="24"/>
        </w:rPr>
        <w:t>Meskipun terdapat hadis yang mengaitkan kehancuran suatu kaum dengan kemaksiatan, para ulama menegaskan bahwa penerapan hadis tersebut harus mempertimbangkan konteks historis dan</w:t>
      </w:r>
      <w:r w:rsidR="00E15FBE">
        <w:rPr>
          <w:rFonts w:ascii="Times New Roman" w:eastAsia="Times New Roman" w:hAnsi="Times New Roman" w:cs="Times New Roman"/>
          <w:sz w:val="24"/>
          <w:szCs w:val="24"/>
        </w:rPr>
        <w:t xml:space="preserve"> indikator normatif yang jelas.</w:t>
      </w:r>
      <w:proofErr w:type="gramEnd"/>
      <w:r w:rsidR="00E15FBE">
        <w:rPr>
          <w:rStyle w:val="FootnoteReference"/>
          <w:rFonts w:ascii="Times New Roman" w:eastAsia="Times New Roman" w:hAnsi="Times New Roman" w:cs="Times New Roman"/>
          <w:sz w:val="24"/>
          <w:szCs w:val="24"/>
        </w:rPr>
        <w:footnoteReference w:id="34"/>
      </w:r>
      <w:r w:rsidRPr="007939E4">
        <w:rPr>
          <w:rFonts w:ascii="Times New Roman" w:eastAsia="Times New Roman" w:hAnsi="Times New Roman" w:cs="Times New Roman"/>
          <w:sz w:val="24"/>
          <w:szCs w:val="24"/>
        </w:rPr>
        <w:t xml:space="preserve"> Tanpa kehati-hatian metodologis, pemahaman seperti ini dapat melahirkan teologi yang menyudutkan korban dan bertentangan dengan prinsip rahmah dalam Islam. </w:t>
      </w:r>
      <w:proofErr w:type="gramStart"/>
      <w:r w:rsidRPr="007939E4">
        <w:rPr>
          <w:rFonts w:ascii="Times New Roman" w:eastAsia="Times New Roman" w:hAnsi="Times New Roman" w:cs="Times New Roman"/>
          <w:sz w:val="24"/>
          <w:szCs w:val="24"/>
        </w:rPr>
        <w:t>Oleh karena itu, pendekatan teologi hadis menuntut pembacaan kontekstual yang mempertimbangkan maqāṣid al-syarī‘ah, terutama perlindungan jiwa dan martabat manusia.</w:t>
      </w:r>
      <w:proofErr w:type="gramEnd"/>
    </w:p>
    <w:p w:rsidR="000E2D85" w:rsidRDefault="007939E4" w:rsidP="000E2D85">
      <w:pPr>
        <w:spacing w:after="0" w:line="360" w:lineRule="auto"/>
        <w:ind w:firstLine="720"/>
        <w:jc w:val="both"/>
        <w:rPr>
          <w:rFonts w:asciiTheme="majorBidi" w:hAnsiTheme="majorBidi" w:cstheme="majorBidi"/>
          <w:b/>
          <w:bCs/>
          <w:sz w:val="24"/>
          <w:szCs w:val="24"/>
        </w:rPr>
      </w:pPr>
      <w:proofErr w:type="gramStart"/>
      <w:r w:rsidRPr="007939E4">
        <w:rPr>
          <w:rFonts w:ascii="Times New Roman" w:eastAsia="Times New Roman" w:hAnsi="Times New Roman" w:cs="Times New Roman"/>
          <w:sz w:val="24"/>
          <w:szCs w:val="24"/>
        </w:rPr>
        <w:t xml:space="preserve">Dalam konteks kontemporer, teologi hadis tentang bencana sebagai </w:t>
      </w:r>
      <w:r w:rsidRPr="007939E4">
        <w:rPr>
          <w:rFonts w:ascii="Times New Roman" w:eastAsia="Times New Roman" w:hAnsi="Times New Roman" w:cs="Times New Roman"/>
          <w:i/>
          <w:iCs/>
          <w:sz w:val="24"/>
          <w:szCs w:val="24"/>
        </w:rPr>
        <w:t>sunnatullah</w:t>
      </w:r>
      <w:r w:rsidRPr="007939E4">
        <w:rPr>
          <w:rFonts w:ascii="Times New Roman" w:eastAsia="Times New Roman" w:hAnsi="Times New Roman" w:cs="Times New Roman"/>
          <w:sz w:val="24"/>
          <w:szCs w:val="24"/>
        </w:rPr>
        <w:t xml:space="preserve"> memiliki implikasi penting bagi relasi antara agama dan sains.</w:t>
      </w:r>
      <w:proofErr w:type="gramEnd"/>
      <w:r w:rsidRPr="007939E4">
        <w:rPr>
          <w:rFonts w:ascii="Times New Roman" w:eastAsia="Times New Roman" w:hAnsi="Times New Roman" w:cs="Times New Roman"/>
          <w:sz w:val="24"/>
          <w:szCs w:val="24"/>
        </w:rPr>
        <w:t xml:space="preserve"> </w:t>
      </w:r>
      <w:proofErr w:type="gramStart"/>
      <w:r w:rsidRPr="007939E4">
        <w:rPr>
          <w:rFonts w:ascii="Times New Roman" w:eastAsia="Times New Roman" w:hAnsi="Times New Roman" w:cs="Times New Roman"/>
          <w:sz w:val="24"/>
          <w:szCs w:val="24"/>
        </w:rPr>
        <w:t xml:space="preserve">Hadis-hadis Nabi </w:t>
      </w:r>
      <w:r w:rsidRPr="007939E4">
        <w:rPr>
          <w:rFonts w:ascii="Times New Roman" w:eastAsia="Times New Roman" w:hAnsi="Times New Roman" w:cs="Times New Roman"/>
          <w:sz w:val="24"/>
          <w:szCs w:val="24"/>
          <w:rtl/>
        </w:rPr>
        <w:t>ﷺ</w:t>
      </w:r>
      <w:r w:rsidRPr="007939E4">
        <w:rPr>
          <w:rFonts w:ascii="Times New Roman" w:eastAsia="Times New Roman" w:hAnsi="Times New Roman" w:cs="Times New Roman"/>
          <w:sz w:val="24"/>
          <w:szCs w:val="24"/>
        </w:rPr>
        <w:t xml:space="preserve"> yang mengakui prinsip pencegahan, kewaspadaan, dan usaha manusia menunjukkan keterbukaan </w:t>
      </w:r>
      <w:r w:rsidRPr="007939E4">
        <w:rPr>
          <w:rFonts w:ascii="Times New Roman" w:eastAsia="Times New Roman" w:hAnsi="Times New Roman" w:cs="Times New Roman"/>
          <w:sz w:val="24"/>
          <w:szCs w:val="24"/>
        </w:rPr>
        <w:lastRenderedPageBreak/>
        <w:t>Isla</w:t>
      </w:r>
      <w:r w:rsidR="00E15FBE">
        <w:rPr>
          <w:rFonts w:ascii="Times New Roman" w:eastAsia="Times New Roman" w:hAnsi="Times New Roman" w:cs="Times New Roman"/>
          <w:sz w:val="24"/>
          <w:szCs w:val="24"/>
        </w:rPr>
        <w:t>m terhadap pengetahuan empiris.</w:t>
      </w:r>
      <w:proofErr w:type="gramEnd"/>
      <w:r w:rsidR="00E15FBE">
        <w:rPr>
          <w:rStyle w:val="FootnoteReference"/>
          <w:rFonts w:ascii="Times New Roman" w:eastAsia="Times New Roman" w:hAnsi="Times New Roman" w:cs="Times New Roman"/>
          <w:sz w:val="24"/>
          <w:szCs w:val="24"/>
        </w:rPr>
        <w:footnoteReference w:id="35"/>
      </w:r>
      <w:r w:rsidRPr="007939E4">
        <w:rPr>
          <w:rFonts w:ascii="Times New Roman" w:eastAsia="Times New Roman" w:hAnsi="Times New Roman" w:cs="Times New Roman"/>
          <w:sz w:val="24"/>
          <w:szCs w:val="24"/>
        </w:rPr>
        <w:t xml:space="preserve"> Dengan demikian, memahami bencana sebagai sunnatullah tidak berarti menegasikan penjelasan ilmiah, melainkan menempatkan sains sebagai bagian dari mekanisme ketetapan Allah. </w:t>
      </w:r>
      <w:proofErr w:type="gramStart"/>
      <w:r w:rsidRPr="007939E4">
        <w:rPr>
          <w:rFonts w:ascii="Times New Roman" w:eastAsia="Times New Roman" w:hAnsi="Times New Roman" w:cs="Times New Roman"/>
          <w:sz w:val="24"/>
          <w:szCs w:val="24"/>
        </w:rPr>
        <w:t>Pandangan ini sejalan dengan kajian teologi Islam modern yang menekankan integrasi antara wahyu dan rasio dalam merespons krisis kemanusiaan.</w:t>
      </w:r>
      <w:proofErr w:type="gramEnd"/>
    </w:p>
    <w:p w:rsidR="000E2D85" w:rsidRDefault="007939E4" w:rsidP="000E2D85">
      <w:pPr>
        <w:spacing w:after="100" w:afterAutospacing="1" w:line="360" w:lineRule="auto"/>
        <w:ind w:firstLine="720"/>
        <w:jc w:val="both"/>
        <w:rPr>
          <w:rFonts w:ascii="Times New Roman" w:eastAsia="Times New Roman" w:hAnsi="Times New Roman" w:cs="Times New Roman"/>
          <w:sz w:val="24"/>
          <w:szCs w:val="24"/>
        </w:rPr>
      </w:pPr>
      <w:proofErr w:type="gramStart"/>
      <w:r w:rsidRPr="007939E4">
        <w:rPr>
          <w:rFonts w:ascii="Times New Roman" w:eastAsia="Times New Roman" w:hAnsi="Times New Roman" w:cs="Times New Roman"/>
          <w:sz w:val="24"/>
          <w:szCs w:val="24"/>
        </w:rPr>
        <w:t xml:space="preserve">Dengan demikian, bencana sebagai </w:t>
      </w:r>
      <w:r w:rsidRPr="007939E4">
        <w:rPr>
          <w:rFonts w:ascii="Times New Roman" w:eastAsia="Times New Roman" w:hAnsi="Times New Roman" w:cs="Times New Roman"/>
          <w:i/>
          <w:iCs/>
          <w:sz w:val="24"/>
          <w:szCs w:val="24"/>
        </w:rPr>
        <w:t>sunnatullah</w:t>
      </w:r>
      <w:r w:rsidRPr="007939E4">
        <w:rPr>
          <w:rFonts w:ascii="Times New Roman" w:eastAsia="Times New Roman" w:hAnsi="Times New Roman" w:cs="Times New Roman"/>
          <w:sz w:val="24"/>
          <w:szCs w:val="24"/>
        </w:rPr>
        <w:t xml:space="preserve"> dalam perspektif teologi hadis harus dipahami sebagai ketetapan </w:t>
      </w:r>
      <w:r w:rsidRPr="007939E4">
        <w:rPr>
          <w:rFonts w:ascii="Times New Roman" w:eastAsia="Times New Roman" w:hAnsi="Times New Roman" w:cs="Times New Roman"/>
          <w:i/>
          <w:iCs/>
          <w:sz w:val="24"/>
          <w:szCs w:val="24"/>
        </w:rPr>
        <w:t>Ilahi</w:t>
      </w:r>
      <w:r w:rsidRPr="007939E4">
        <w:rPr>
          <w:rFonts w:ascii="Times New Roman" w:eastAsia="Times New Roman" w:hAnsi="Times New Roman" w:cs="Times New Roman"/>
          <w:sz w:val="24"/>
          <w:szCs w:val="24"/>
        </w:rPr>
        <w:t xml:space="preserve"> yang sarat hikmah, terbuka terhadap ikhtiar manusia, serta berorientasi pada nilai-nilai rahmah dan keadilan.</w:t>
      </w:r>
      <w:proofErr w:type="gramEnd"/>
      <w:r w:rsidRPr="007939E4">
        <w:rPr>
          <w:rFonts w:ascii="Times New Roman" w:eastAsia="Times New Roman" w:hAnsi="Times New Roman" w:cs="Times New Roman"/>
          <w:sz w:val="24"/>
          <w:szCs w:val="24"/>
        </w:rPr>
        <w:t xml:space="preserve"> </w:t>
      </w:r>
      <w:proofErr w:type="gramStart"/>
      <w:r w:rsidRPr="007939E4">
        <w:rPr>
          <w:rFonts w:ascii="Times New Roman" w:eastAsia="Times New Roman" w:hAnsi="Times New Roman" w:cs="Times New Roman"/>
          <w:sz w:val="24"/>
          <w:szCs w:val="24"/>
        </w:rPr>
        <w:t xml:space="preserve">Pemahaman ini menempatkan hadis Nabi </w:t>
      </w:r>
      <w:r w:rsidRPr="007939E4">
        <w:rPr>
          <w:rFonts w:ascii="Times New Roman" w:eastAsia="Times New Roman" w:hAnsi="Times New Roman" w:cs="Times New Roman"/>
          <w:sz w:val="24"/>
          <w:szCs w:val="24"/>
          <w:rtl/>
        </w:rPr>
        <w:t>ﷺ</w:t>
      </w:r>
      <w:r w:rsidRPr="007939E4">
        <w:rPr>
          <w:rFonts w:ascii="Times New Roman" w:eastAsia="Times New Roman" w:hAnsi="Times New Roman" w:cs="Times New Roman"/>
          <w:sz w:val="24"/>
          <w:szCs w:val="24"/>
        </w:rPr>
        <w:t xml:space="preserve"> bukan hanya sebagai teks normatif, tetapi sebagai sumber etika teologis yang relevan dalam menghadapi realitas kebencanaan modern.</w:t>
      </w:r>
      <w:proofErr w:type="gramEnd"/>
    </w:p>
    <w:p w:rsidR="000E2D85" w:rsidRDefault="007939E4" w:rsidP="000E2D85">
      <w:pPr>
        <w:spacing w:after="0" w:line="360" w:lineRule="auto"/>
        <w:jc w:val="both"/>
        <w:rPr>
          <w:rFonts w:ascii="Times New Roman" w:eastAsia="Times New Roman" w:hAnsi="Times New Roman" w:cs="Times New Roman"/>
          <w:sz w:val="24"/>
          <w:szCs w:val="24"/>
        </w:rPr>
      </w:pPr>
      <w:r w:rsidRPr="007939E4">
        <w:rPr>
          <w:rFonts w:ascii="Times New Roman" w:eastAsia="Times New Roman" w:hAnsi="Times New Roman" w:cs="Times New Roman"/>
          <w:b/>
          <w:bCs/>
          <w:sz w:val="24"/>
          <w:szCs w:val="24"/>
        </w:rPr>
        <w:t>Implikasi Pemahaman Hadis tentang Bencana</w:t>
      </w:r>
    </w:p>
    <w:p w:rsidR="00636E8B" w:rsidRDefault="007939E4" w:rsidP="00636E8B">
      <w:pPr>
        <w:spacing w:after="0" w:line="360" w:lineRule="auto"/>
        <w:ind w:firstLine="720"/>
        <w:jc w:val="both"/>
        <w:rPr>
          <w:rFonts w:ascii="Times New Roman" w:eastAsia="Times New Roman" w:hAnsi="Times New Roman" w:cs="Times New Roman"/>
          <w:sz w:val="24"/>
          <w:szCs w:val="24"/>
        </w:rPr>
      </w:pPr>
      <w:r w:rsidRPr="007939E4">
        <w:rPr>
          <w:rFonts w:ascii="Times New Roman" w:eastAsia="Times New Roman" w:hAnsi="Times New Roman" w:cs="Times New Roman"/>
          <w:sz w:val="24"/>
          <w:szCs w:val="24"/>
        </w:rPr>
        <w:t xml:space="preserve">Pemahaman hadis tentang bencana sebagai bagian dari </w:t>
      </w:r>
      <w:r w:rsidRPr="007939E4">
        <w:rPr>
          <w:rFonts w:ascii="Times New Roman" w:eastAsia="Times New Roman" w:hAnsi="Times New Roman" w:cs="Times New Roman"/>
          <w:i/>
          <w:iCs/>
          <w:sz w:val="24"/>
          <w:szCs w:val="24"/>
        </w:rPr>
        <w:t>sunnatullah</w:t>
      </w:r>
      <w:r w:rsidRPr="007939E4">
        <w:rPr>
          <w:rFonts w:ascii="Times New Roman" w:eastAsia="Times New Roman" w:hAnsi="Times New Roman" w:cs="Times New Roman"/>
          <w:sz w:val="24"/>
          <w:szCs w:val="24"/>
        </w:rPr>
        <w:t xml:space="preserve"> memiliki implikasi teologis yang signifikan dalam membangun </w:t>
      </w:r>
      <w:proofErr w:type="gramStart"/>
      <w:r w:rsidRPr="007939E4">
        <w:rPr>
          <w:rFonts w:ascii="Times New Roman" w:eastAsia="Times New Roman" w:hAnsi="Times New Roman" w:cs="Times New Roman"/>
          <w:sz w:val="24"/>
          <w:szCs w:val="24"/>
        </w:rPr>
        <w:t>cara</w:t>
      </w:r>
      <w:proofErr w:type="gramEnd"/>
      <w:r w:rsidRPr="007939E4">
        <w:rPr>
          <w:rFonts w:ascii="Times New Roman" w:eastAsia="Times New Roman" w:hAnsi="Times New Roman" w:cs="Times New Roman"/>
          <w:sz w:val="24"/>
          <w:szCs w:val="24"/>
        </w:rPr>
        <w:t xml:space="preserve"> pandang keimanan umat Islam. </w:t>
      </w:r>
      <w:proofErr w:type="gramStart"/>
      <w:r w:rsidRPr="007939E4">
        <w:rPr>
          <w:rFonts w:ascii="Times New Roman" w:eastAsia="Times New Roman" w:hAnsi="Times New Roman" w:cs="Times New Roman"/>
          <w:sz w:val="24"/>
          <w:szCs w:val="24"/>
        </w:rPr>
        <w:t xml:space="preserve">Hadis-hadis Nabi </w:t>
      </w:r>
      <w:r w:rsidRPr="007939E4">
        <w:rPr>
          <w:rFonts w:ascii="Times New Roman" w:eastAsia="Times New Roman" w:hAnsi="Times New Roman" w:cs="Times New Roman"/>
          <w:sz w:val="24"/>
          <w:szCs w:val="24"/>
          <w:rtl/>
        </w:rPr>
        <w:t>ﷺ</w:t>
      </w:r>
      <w:r w:rsidRPr="007939E4">
        <w:rPr>
          <w:rFonts w:ascii="Times New Roman" w:eastAsia="Times New Roman" w:hAnsi="Times New Roman" w:cs="Times New Roman"/>
          <w:sz w:val="24"/>
          <w:szCs w:val="24"/>
        </w:rPr>
        <w:t xml:space="preserve"> yang menempatkan musibah sebagai ujian, penghapus dosa, dan sarana peningkatan derajat keimanan menegaskan bahwa bencana tidak boleh dipahami secara sempit sebagai manifestasi murka Allah.</w:t>
      </w:r>
      <w:proofErr w:type="gramEnd"/>
      <w:r w:rsidRPr="007939E4">
        <w:rPr>
          <w:rFonts w:ascii="Times New Roman" w:eastAsia="Times New Roman" w:hAnsi="Times New Roman" w:cs="Times New Roman"/>
          <w:sz w:val="24"/>
          <w:szCs w:val="24"/>
        </w:rPr>
        <w:t xml:space="preserve"> Pemahaman ini membantu membangun teologi yang berlandaskan keseimbangan antara rasa takut (</w:t>
      </w:r>
      <w:r w:rsidRPr="007939E4">
        <w:rPr>
          <w:rFonts w:ascii="Times New Roman" w:eastAsia="Times New Roman" w:hAnsi="Times New Roman" w:cs="Times New Roman"/>
          <w:i/>
          <w:iCs/>
          <w:sz w:val="24"/>
          <w:szCs w:val="24"/>
        </w:rPr>
        <w:t>khauf</w:t>
      </w:r>
      <w:r w:rsidRPr="007939E4">
        <w:rPr>
          <w:rFonts w:ascii="Times New Roman" w:eastAsia="Times New Roman" w:hAnsi="Times New Roman" w:cs="Times New Roman"/>
          <w:sz w:val="24"/>
          <w:szCs w:val="24"/>
        </w:rPr>
        <w:t>) dan harapan (</w:t>
      </w:r>
      <w:r w:rsidRPr="007939E4">
        <w:rPr>
          <w:rFonts w:ascii="Times New Roman" w:eastAsia="Times New Roman" w:hAnsi="Times New Roman" w:cs="Times New Roman"/>
          <w:i/>
          <w:iCs/>
          <w:sz w:val="24"/>
          <w:szCs w:val="24"/>
        </w:rPr>
        <w:t>rajā’</w:t>
      </w:r>
      <w:r w:rsidRPr="007939E4">
        <w:rPr>
          <w:rFonts w:ascii="Times New Roman" w:eastAsia="Times New Roman" w:hAnsi="Times New Roman" w:cs="Times New Roman"/>
          <w:sz w:val="24"/>
          <w:szCs w:val="24"/>
        </w:rPr>
        <w:t>), sehingga umat Islam tidak terjebak pada keputusasaan atau pras</w:t>
      </w:r>
      <w:r w:rsidR="00636E8B">
        <w:rPr>
          <w:rFonts w:ascii="Times New Roman" w:eastAsia="Times New Roman" w:hAnsi="Times New Roman" w:cs="Times New Roman"/>
          <w:sz w:val="24"/>
          <w:szCs w:val="24"/>
        </w:rPr>
        <w:t>angka buruk terhadap Allah Swt.</w:t>
      </w:r>
      <w:r w:rsidR="00636E8B">
        <w:rPr>
          <w:rStyle w:val="FootnoteReference"/>
          <w:rFonts w:ascii="Times New Roman" w:eastAsia="Times New Roman" w:hAnsi="Times New Roman" w:cs="Times New Roman"/>
          <w:sz w:val="24"/>
          <w:szCs w:val="24"/>
        </w:rPr>
        <w:footnoteReference w:id="36"/>
      </w:r>
      <w:r w:rsidRPr="007939E4">
        <w:rPr>
          <w:rFonts w:ascii="Times New Roman" w:eastAsia="Times New Roman" w:hAnsi="Times New Roman" w:cs="Times New Roman"/>
          <w:sz w:val="24"/>
          <w:szCs w:val="24"/>
        </w:rPr>
        <w:t xml:space="preserve"> Dalam kerangka ini, iman kepada takdir tidak melahirkan sikap pasrah yang pasif, melainkan kesadaran spiritual yang aktif dan reflektif.</w:t>
      </w:r>
    </w:p>
    <w:p w:rsidR="00636E8B" w:rsidRDefault="007939E4" w:rsidP="00636E8B">
      <w:pPr>
        <w:spacing w:after="0" w:line="360" w:lineRule="auto"/>
        <w:ind w:firstLine="720"/>
        <w:jc w:val="both"/>
        <w:rPr>
          <w:rFonts w:ascii="Times New Roman" w:eastAsia="Times New Roman" w:hAnsi="Times New Roman" w:cs="Times New Roman"/>
          <w:sz w:val="24"/>
          <w:szCs w:val="24"/>
        </w:rPr>
      </w:pPr>
      <w:proofErr w:type="gramStart"/>
      <w:r w:rsidRPr="007939E4">
        <w:rPr>
          <w:rFonts w:ascii="Times New Roman" w:eastAsia="Times New Roman" w:hAnsi="Times New Roman" w:cs="Times New Roman"/>
          <w:sz w:val="24"/>
          <w:szCs w:val="24"/>
        </w:rPr>
        <w:t>Implikasi teologis lainnya adalah penguatan konsep keadilan dan kasih sayang Allah dalam menghadapi realitas penderitaan.</w:t>
      </w:r>
      <w:proofErr w:type="gramEnd"/>
      <w:r w:rsidRPr="007939E4">
        <w:rPr>
          <w:rFonts w:ascii="Times New Roman" w:eastAsia="Times New Roman" w:hAnsi="Times New Roman" w:cs="Times New Roman"/>
          <w:sz w:val="24"/>
          <w:szCs w:val="24"/>
        </w:rPr>
        <w:t xml:space="preserve"> </w:t>
      </w:r>
      <w:proofErr w:type="gramStart"/>
      <w:r w:rsidRPr="007939E4">
        <w:rPr>
          <w:rFonts w:ascii="Times New Roman" w:eastAsia="Times New Roman" w:hAnsi="Times New Roman" w:cs="Times New Roman"/>
          <w:sz w:val="24"/>
          <w:szCs w:val="24"/>
        </w:rPr>
        <w:t xml:space="preserve">Hadis yang menyatakan bahwa setiap penderitaan seorang mukmin bernilai pahala menegaskan bahwa keadilan </w:t>
      </w:r>
      <w:r w:rsidRPr="007939E4">
        <w:rPr>
          <w:rFonts w:ascii="Times New Roman" w:eastAsia="Times New Roman" w:hAnsi="Times New Roman" w:cs="Times New Roman"/>
          <w:i/>
          <w:iCs/>
          <w:sz w:val="24"/>
          <w:szCs w:val="24"/>
        </w:rPr>
        <w:t>Ilahi</w:t>
      </w:r>
      <w:r w:rsidRPr="007939E4">
        <w:rPr>
          <w:rFonts w:ascii="Times New Roman" w:eastAsia="Times New Roman" w:hAnsi="Times New Roman" w:cs="Times New Roman"/>
          <w:sz w:val="24"/>
          <w:szCs w:val="24"/>
        </w:rPr>
        <w:t xml:space="preserve"> tidak selalu terwujud dalam bentuk kesejahteraan material, tetapi juga dala</w:t>
      </w:r>
      <w:r w:rsidR="00636E8B">
        <w:rPr>
          <w:rFonts w:ascii="Times New Roman" w:eastAsia="Times New Roman" w:hAnsi="Times New Roman" w:cs="Times New Roman"/>
          <w:sz w:val="24"/>
          <w:szCs w:val="24"/>
        </w:rPr>
        <w:t>m dimensi ukhrawi.</w:t>
      </w:r>
      <w:proofErr w:type="gramEnd"/>
      <w:r w:rsidR="00636E8B">
        <w:rPr>
          <w:rStyle w:val="FootnoteReference"/>
          <w:rFonts w:ascii="Times New Roman" w:eastAsia="Times New Roman" w:hAnsi="Times New Roman" w:cs="Times New Roman"/>
          <w:sz w:val="24"/>
          <w:szCs w:val="24"/>
        </w:rPr>
        <w:footnoteReference w:id="37"/>
      </w:r>
      <w:r w:rsidRPr="007939E4">
        <w:rPr>
          <w:rFonts w:ascii="Times New Roman" w:eastAsia="Times New Roman" w:hAnsi="Times New Roman" w:cs="Times New Roman"/>
          <w:sz w:val="24"/>
          <w:szCs w:val="24"/>
        </w:rPr>
        <w:t xml:space="preserve"> </w:t>
      </w:r>
      <w:proofErr w:type="gramStart"/>
      <w:r w:rsidRPr="007939E4">
        <w:rPr>
          <w:rFonts w:ascii="Times New Roman" w:eastAsia="Times New Roman" w:hAnsi="Times New Roman" w:cs="Times New Roman"/>
          <w:sz w:val="24"/>
          <w:szCs w:val="24"/>
        </w:rPr>
        <w:t xml:space="preserve">Al-Ghazālī menegaskan bahwa penderitaan manusia harus dipahami dalam cakrawala hikmah </w:t>
      </w:r>
      <w:r w:rsidRPr="007939E4">
        <w:rPr>
          <w:rFonts w:ascii="Times New Roman" w:eastAsia="Times New Roman" w:hAnsi="Times New Roman" w:cs="Times New Roman"/>
          <w:i/>
          <w:iCs/>
          <w:sz w:val="24"/>
          <w:szCs w:val="24"/>
        </w:rPr>
        <w:t>Ilahi</w:t>
      </w:r>
      <w:r w:rsidRPr="007939E4">
        <w:rPr>
          <w:rFonts w:ascii="Times New Roman" w:eastAsia="Times New Roman" w:hAnsi="Times New Roman" w:cs="Times New Roman"/>
          <w:sz w:val="24"/>
          <w:szCs w:val="24"/>
        </w:rPr>
        <w:t xml:space="preserve"> yang mel</w:t>
      </w:r>
      <w:r w:rsidR="00636E8B">
        <w:rPr>
          <w:rFonts w:ascii="Times New Roman" w:eastAsia="Times New Roman" w:hAnsi="Times New Roman" w:cs="Times New Roman"/>
          <w:sz w:val="24"/>
          <w:szCs w:val="24"/>
        </w:rPr>
        <w:t>ampaui jangkauan rasio manusia.</w:t>
      </w:r>
      <w:proofErr w:type="gramEnd"/>
      <w:r w:rsidR="00636E8B">
        <w:rPr>
          <w:rStyle w:val="FootnoteReference"/>
          <w:rFonts w:ascii="Times New Roman" w:eastAsia="Times New Roman" w:hAnsi="Times New Roman" w:cs="Times New Roman"/>
          <w:sz w:val="24"/>
          <w:szCs w:val="24"/>
        </w:rPr>
        <w:footnoteReference w:id="38"/>
      </w:r>
      <w:r w:rsidRPr="007939E4">
        <w:rPr>
          <w:rFonts w:ascii="Times New Roman" w:eastAsia="Times New Roman" w:hAnsi="Times New Roman" w:cs="Times New Roman"/>
          <w:sz w:val="24"/>
          <w:szCs w:val="24"/>
        </w:rPr>
        <w:t xml:space="preserve"> </w:t>
      </w:r>
      <w:proofErr w:type="gramStart"/>
      <w:r w:rsidRPr="007939E4">
        <w:rPr>
          <w:rFonts w:ascii="Times New Roman" w:eastAsia="Times New Roman" w:hAnsi="Times New Roman" w:cs="Times New Roman"/>
          <w:sz w:val="24"/>
          <w:szCs w:val="24"/>
        </w:rPr>
        <w:t>Dengan demikian, pemahaman hadis tentang bencana mendorong umat Islam untuk mengembangkan teologi yang rendah hati (</w:t>
      </w:r>
      <w:r w:rsidRPr="007939E4">
        <w:rPr>
          <w:rFonts w:ascii="Times New Roman" w:eastAsia="Times New Roman" w:hAnsi="Times New Roman" w:cs="Times New Roman"/>
          <w:i/>
          <w:iCs/>
          <w:sz w:val="24"/>
          <w:szCs w:val="24"/>
        </w:rPr>
        <w:t>theology of humility</w:t>
      </w:r>
      <w:r w:rsidRPr="007939E4">
        <w:rPr>
          <w:rFonts w:ascii="Times New Roman" w:eastAsia="Times New Roman" w:hAnsi="Times New Roman" w:cs="Times New Roman"/>
          <w:sz w:val="24"/>
          <w:szCs w:val="24"/>
        </w:rPr>
        <w:t>) di hadapan kehendak Allah.</w:t>
      </w:r>
      <w:proofErr w:type="gramEnd"/>
    </w:p>
    <w:p w:rsidR="002851B6" w:rsidRDefault="00636E8B" w:rsidP="002851B6">
      <w:pPr>
        <w:spacing w:after="0" w:line="360" w:lineRule="auto"/>
        <w:ind w:firstLine="720"/>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xml:space="preserve">Dari sisi social </w:t>
      </w:r>
      <w:r w:rsidR="007939E4" w:rsidRPr="007939E4">
        <w:rPr>
          <w:rFonts w:ascii="Times New Roman" w:eastAsia="Times New Roman" w:hAnsi="Times New Roman" w:cs="Times New Roman"/>
          <w:sz w:val="24"/>
          <w:szCs w:val="24"/>
        </w:rPr>
        <w:t>kemanusiaan, pemahaman hadis tentang bencana berimplikasi langsung pada penguatan etika empati dan solidaritas sosial.</w:t>
      </w:r>
      <w:proofErr w:type="gramEnd"/>
      <w:r w:rsidR="007939E4" w:rsidRPr="007939E4">
        <w:rPr>
          <w:rFonts w:ascii="Times New Roman" w:eastAsia="Times New Roman" w:hAnsi="Times New Roman" w:cs="Times New Roman"/>
          <w:sz w:val="24"/>
          <w:szCs w:val="24"/>
        </w:rPr>
        <w:t xml:space="preserve"> </w:t>
      </w:r>
      <w:proofErr w:type="gramStart"/>
      <w:r w:rsidR="007939E4" w:rsidRPr="007939E4">
        <w:rPr>
          <w:rFonts w:ascii="Times New Roman" w:eastAsia="Times New Roman" w:hAnsi="Times New Roman" w:cs="Times New Roman"/>
          <w:sz w:val="24"/>
          <w:szCs w:val="24"/>
        </w:rPr>
        <w:t xml:space="preserve">Hadis Nabi </w:t>
      </w:r>
      <w:r w:rsidR="007939E4" w:rsidRPr="007939E4">
        <w:rPr>
          <w:rFonts w:ascii="Times New Roman" w:eastAsia="Times New Roman" w:hAnsi="Times New Roman" w:cs="Times New Roman"/>
          <w:sz w:val="24"/>
          <w:szCs w:val="24"/>
          <w:rtl/>
        </w:rPr>
        <w:t>ﷺ</w:t>
      </w:r>
      <w:r w:rsidR="007939E4" w:rsidRPr="007939E4">
        <w:rPr>
          <w:rFonts w:ascii="Times New Roman" w:eastAsia="Times New Roman" w:hAnsi="Times New Roman" w:cs="Times New Roman"/>
          <w:sz w:val="24"/>
          <w:szCs w:val="24"/>
        </w:rPr>
        <w:t xml:space="preserve"> yang menekankan </w:t>
      </w:r>
      <w:r w:rsidR="007939E4" w:rsidRPr="007939E4">
        <w:rPr>
          <w:rFonts w:ascii="Times New Roman" w:eastAsia="Times New Roman" w:hAnsi="Times New Roman" w:cs="Times New Roman"/>
          <w:sz w:val="24"/>
          <w:szCs w:val="24"/>
        </w:rPr>
        <w:lastRenderedPageBreak/>
        <w:t>pentingnya tolong-menolong dan kasih sayang terhadap sesama menunjukkan bahwa respons utama terhadap bencana bukanlah penghakiman moral, melainkan k</w:t>
      </w:r>
      <w:r w:rsidR="002851B6">
        <w:rPr>
          <w:rFonts w:ascii="Times New Roman" w:eastAsia="Times New Roman" w:hAnsi="Times New Roman" w:cs="Times New Roman"/>
          <w:sz w:val="24"/>
          <w:szCs w:val="24"/>
        </w:rPr>
        <w:t>epedulian dan aksi kemanusiaan.</w:t>
      </w:r>
      <w:proofErr w:type="gramEnd"/>
      <w:r w:rsidR="002851B6">
        <w:rPr>
          <w:rStyle w:val="FootnoteReference"/>
          <w:rFonts w:ascii="Times New Roman" w:eastAsia="Times New Roman" w:hAnsi="Times New Roman" w:cs="Times New Roman"/>
          <w:sz w:val="24"/>
          <w:szCs w:val="24"/>
        </w:rPr>
        <w:footnoteReference w:id="39"/>
      </w:r>
      <w:r w:rsidR="007939E4" w:rsidRPr="007939E4">
        <w:rPr>
          <w:rFonts w:ascii="Times New Roman" w:eastAsia="Times New Roman" w:hAnsi="Times New Roman" w:cs="Times New Roman"/>
          <w:sz w:val="24"/>
          <w:szCs w:val="24"/>
        </w:rPr>
        <w:t xml:space="preserve"> </w:t>
      </w:r>
      <w:proofErr w:type="gramStart"/>
      <w:r w:rsidR="007939E4" w:rsidRPr="007939E4">
        <w:rPr>
          <w:rFonts w:ascii="Times New Roman" w:eastAsia="Times New Roman" w:hAnsi="Times New Roman" w:cs="Times New Roman"/>
          <w:sz w:val="24"/>
          <w:szCs w:val="24"/>
        </w:rPr>
        <w:t>Pemahaman ini menegasikan narasi keagamaan yang menyalahkan korban bencana, sekaligus menegaskan bahwa penderitaan manusia adalah panggilan moral bagi komunitas beriman untuk hadir membantu dan melindungi.</w:t>
      </w:r>
      <w:proofErr w:type="gramEnd"/>
    </w:p>
    <w:p w:rsidR="002851B6" w:rsidRDefault="007939E4" w:rsidP="002851B6">
      <w:pPr>
        <w:spacing w:after="0" w:line="360" w:lineRule="auto"/>
        <w:ind w:firstLine="720"/>
        <w:jc w:val="both"/>
        <w:rPr>
          <w:rFonts w:ascii="Times New Roman" w:eastAsia="Times New Roman" w:hAnsi="Times New Roman" w:cs="Times New Roman"/>
          <w:sz w:val="24"/>
          <w:szCs w:val="24"/>
        </w:rPr>
      </w:pPr>
      <w:proofErr w:type="gramStart"/>
      <w:r w:rsidRPr="007939E4">
        <w:rPr>
          <w:rFonts w:ascii="Times New Roman" w:eastAsia="Times New Roman" w:hAnsi="Times New Roman" w:cs="Times New Roman"/>
          <w:sz w:val="24"/>
          <w:szCs w:val="24"/>
        </w:rPr>
        <w:t xml:space="preserve">Lebih lanjut, pemahaman hadis yang menempatkan bencana sebagai </w:t>
      </w:r>
      <w:r w:rsidRPr="007939E4">
        <w:rPr>
          <w:rFonts w:ascii="Times New Roman" w:eastAsia="Times New Roman" w:hAnsi="Times New Roman" w:cs="Times New Roman"/>
          <w:i/>
          <w:iCs/>
          <w:sz w:val="24"/>
          <w:szCs w:val="24"/>
        </w:rPr>
        <w:t>sunnatullah</w:t>
      </w:r>
      <w:r w:rsidRPr="007939E4">
        <w:rPr>
          <w:rFonts w:ascii="Times New Roman" w:eastAsia="Times New Roman" w:hAnsi="Times New Roman" w:cs="Times New Roman"/>
          <w:sz w:val="24"/>
          <w:szCs w:val="24"/>
        </w:rPr>
        <w:t xml:space="preserve"> juga berimplikasi pada tanggung jawab kolektif masyarakat dalam menjaga kehidupan dan lingkungan.</w:t>
      </w:r>
      <w:proofErr w:type="gramEnd"/>
      <w:r w:rsidRPr="007939E4">
        <w:rPr>
          <w:rFonts w:ascii="Times New Roman" w:eastAsia="Times New Roman" w:hAnsi="Times New Roman" w:cs="Times New Roman"/>
          <w:sz w:val="24"/>
          <w:szCs w:val="24"/>
        </w:rPr>
        <w:t xml:space="preserve"> Hadis-hadis tentang larangan membahayakan diri sendiri dan orang </w:t>
      </w:r>
      <w:proofErr w:type="gramStart"/>
      <w:r w:rsidRPr="007939E4">
        <w:rPr>
          <w:rFonts w:ascii="Times New Roman" w:eastAsia="Times New Roman" w:hAnsi="Times New Roman" w:cs="Times New Roman"/>
          <w:sz w:val="24"/>
          <w:szCs w:val="24"/>
        </w:rPr>
        <w:t>lain</w:t>
      </w:r>
      <w:proofErr w:type="gramEnd"/>
      <w:r w:rsidRPr="007939E4">
        <w:rPr>
          <w:rFonts w:ascii="Times New Roman" w:eastAsia="Times New Roman" w:hAnsi="Times New Roman" w:cs="Times New Roman"/>
          <w:sz w:val="24"/>
          <w:szCs w:val="24"/>
        </w:rPr>
        <w:t xml:space="preserve"> (</w:t>
      </w:r>
      <w:r w:rsidRPr="007939E4">
        <w:rPr>
          <w:rFonts w:ascii="Times New Roman" w:eastAsia="Times New Roman" w:hAnsi="Times New Roman" w:cs="Times New Roman"/>
          <w:i/>
          <w:iCs/>
          <w:sz w:val="24"/>
          <w:szCs w:val="24"/>
        </w:rPr>
        <w:t>lā ḍarar wa lā ḍirār</w:t>
      </w:r>
      <w:r w:rsidRPr="007939E4">
        <w:rPr>
          <w:rFonts w:ascii="Times New Roman" w:eastAsia="Times New Roman" w:hAnsi="Times New Roman" w:cs="Times New Roman"/>
          <w:sz w:val="24"/>
          <w:szCs w:val="24"/>
        </w:rPr>
        <w:t>) memberikan dasar normatif bagi upaya mitigasi benc</w:t>
      </w:r>
      <w:r w:rsidR="002851B6">
        <w:rPr>
          <w:rFonts w:ascii="Times New Roman" w:eastAsia="Times New Roman" w:hAnsi="Times New Roman" w:cs="Times New Roman"/>
          <w:sz w:val="24"/>
          <w:szCs w:val="24"/>
        </w:rPr>
        <w:t>ana dan perlindungan ekosistem.</w:t>
      </w:r>
      <w:r w:rsidR="002851B6">
        <w:rPr>
          <w:rStyle w:val="FootnoteReference"/>
          <w:rFonts w:ascii="Times New Roman" w:eastAsia="Times New Roman" w:hAnsi="Times New Roman" w:cs="Times New Roman"/>
          <w:sz w:val="24"/>
          <w:szCs w:val="24"/>
        </w:rPr>
        <w:footnoteReference w:id="40"/>
      </w:r>
      <w:r w:rsidRPr="007939E4">
        <w:rPr>
          <w:rFonts w:ascii="Times New Roman" w:eastAsia="Times New Roman" w:hAnsi="Times New Roman" w:cs="Times New Roman"/>
          <w:sz w:val="24"/>
          <w:szCs w:val="24"/>
        </w:rPr>
        <w:t xml:space="preserve"> Dalam perspektif ini, bencana tidak semata-mata dipahami sebagai kehendak Allah yang tidak dapat dicegah, melainkan sebagai fenomena yang menuntut kesadaran ekologis dan sosial. </w:t>
      </w:r>
      <w:proofErr w:type="gramStart"/>
      <w:r w:rsidRPr="007939E4">
        <w:rPr>
          <w:rFonts w:ascii="Times New Roman" w:eastAsia="Times New Roman" w:hAnsi="Times New Roman" w:cs="Times New Roman"/>
          <w:sz w:val="24"/>
          <w:szCs w:val="24"/>
        </w:rPr>
        <w:t>Kajian ini sejalan dengan pandangan teologi lingkungan Islam yang menempatkan manusia sebagai khalifah yang bertanggung jawab menjaga kesei</w:t>
      </w:r>
      <w:r w:rsidR="002851B6">
        <w:rPr>
          <w:rFonts w:ascii="Times New Roman" w:eastAsia="Times New Roman" w:hAnsi="Times New Roman" w:cs="Times New Roman"/>
          <w:sz w:val="24"/>
          <w:szCs w:val="24"/>
        </w:rPr>
        <w:t>mbangan alam.</w:t>
      </w:r>
      <w:proofErr w:type="gramEnd"/>
      <w:r w:rsidR="002851B6">
        <w:rPr>
          <w:rStyle w:val="FootnoteReference"/>
          <w:rFonts w:ascii="Times New Roman" w:eastAsia="Times New Roman" w:hAnsi="Times New Roman" w:cs="Times New Roman"/>
          <w:sz w:val="24"/>
          <w:szCs w:val="24"/>
        </w:rPr>
        <w:footnoteReference w:id="41"/>
      </w:r>
    </w:p>
    <w:p w:rsidR="002851B6" w:rsidRDefault="007939E4" w:rsidP="002851B6">
      <w:pPr>
        <w:spacing w:after="0" w:line="360" w:lineRule="auto"/>
        <w:ind w:firstLine="720"/>
        <w:jc w:val="both"/>
        <w:rPr>
          <w:rFonts w:ascii="Times New Roman" w:eastAsia="Times New Roman" w:hAnsi="Times New Roman" w:cs="Times New Roman"/>
          <w:sz w:val="24"/>
          <w:szCs w:val="24"/>
        </w:rPr>
      </w:pPr>
      <w:proofErr w:type="gramStart"/>
      <w:r w:rsidRPr="007939E4">
        <w:rPr>
          <w:rFonts w:ascii="Times New Roman" w:eastAsia="Times New Roman" w:hAnsi="Times New Roman" w:cs="Times New Roman"/>
          <w:sz w:val="24"/>
          <w:szCs w:val="24"/>
        </w:rPr>
        <w:t>Implikasi praktis lainnya adalah terbentuknya sikap keagamaan yang konstruktif dalam menghadapi bencana, khususnya dalam konteks kebencanaan modern.</w:t>
      </w:r>
      <w:proofErr w:type="gramEnd"/>
      <w:r w:rsidRPr="007939E4">
        <w:rPr>
          <w:rFonts w:ascii="Times New Roman" w:eastAsia="Times New Roman" w:hAnsi="Times New Roman" w:cs="Times New Roman"/>
          <w:sz w:val="24"/>
          <w:szCs w:val="24"/>
        </w:rPr>
        <w:t xml:space="preserve"> </w:t>
      </w:r>
      <w:proofErr w:type="gramStart"/>
      <w:r w:rsidRPr="007939E4">
        <w:rPr>
          <w:rFonts w:ascii="Times New Roman" w:eastAsia="Times New Roman" w:hAnsi="Times New Roman" w:cs="Times New Roman"/>
          <w:sz w:val="24"/>
          <w:szCs w:val="24"/>
        </w:rPr>
        <w:t xml:space="preserve">Hadis Nabi </w:t>
      </w:r>
      <w:r w:rsidRPr="007939E4">
        <w:rPr>
          <w:rFonts w:ascii="Times New Roman" w:eastAsia="Times New Roman" w:hAnsi="Times New Roman" w:cs="Times New Roman"/>
          <w:sz w:val="24"/>
          <w:szCs w:val="24"/>
          <w:rtl/>
        </w:rPr>
        <w:t>ﷺ</w:t>
      </w:r>
      <w:r w:rsidRPr="007939E4">
        <w:rPr>
          <w:rFonts w:ascii="Times New Roman" w:eastAsia="Times New Roman" w:hAnsi="Times New Roman" w:cs="Times New Roman"/>
          <w:sz w:val="24"/>
          <w:szCs w:val="24"/>
        </w:rPr>
        <w:t xml:space="preserve"> tentang wabah yang menganjurkan karantina wilayah menunjukkan bahwa Islam mengakui prinsip </w:t>
      </w:r>
      <w:r w:rsidR="002851B6">
        <w:rPr>
          <w:rFonts w:ascii="Times New Roman" w:eastAsia="Times New Roman" w:hAnsi="Times New Roman" w:cs="Times New Roman"/>
          <w:sz w:val="24"/>
          <w:szCs w:val="24"/>
        </w:rPr>
        <w:t>pencegahan dan mitigasi risiko.</w:t>
      </w:r>
      <w:proofErr w:type="gramEnd"/>
      <w:r w:rsidR="002851B6">
        <w:rPr>
          <w:rStyle w:val="FootnoteReference"/>
          <w:rFonts w:ascii="Times New Roman" w:eastAsia="Times New Roman" w:hAnsi="Times New Roman" w:cs="Times New Roman"/>
          <w:sz w:val="24"/>
          <w:szCs w:val="24"/>
        </w:rPr>
        <w:footnoteReference w:id="42"/>
      </w:r>
      <w:r w:rsidRPr="007939E4">
        <w:rPr>
          <w:rFonts w:ascii="Times New Roman" w:eastAsia="Times New Roman" w:hAnsi="Times New Roman" w:cs="Times New Roman"/>
          <w:sz w:val="24"/>
          <w:szCs w:val="24"/>
        </w:rPr>
        <w:t xml:space="preserve"> Pemahaman hadis ini memberikan legitimasi teologis bagi kebijakan kebencanaan modern, seperti evakuasi, pembatasan sosial, dan penggunaan ilmu pengetahuan dalam mengurangi dampak bencana. </w:t>
      </w:r>
      <w:proofErr w:type="gramStart"/>
      <w:r w:rsidRPr="007939E4">
        <w:rPr>
          <w:rFonts w:ascii="Times New Roman" w:eastAsia="Times New Roman" w:hAnsi="Times New Roman" w:cs="Times New Roman"/>
          <w:sz w:val="24"/>
          <w:szCs w:val="24"/>
        </w:rPr>
        <w:t>Dengan demikian, hadis tidak diposisikan sebagai penghambat rasionalitas, tetapi sebagai sumber etika publik yang mendukung keselamatan manusia.</w:t>
      </w:r>
      <w:proofErr w:type="gramEnd"/>
    </w:p>
    <w:p w:rsidR="002851B6" w:rsidRDefault="007939E4" w:rsidP="002851B6">
      <w:pPr>
        <w:spacing w:after="100" w:afterAutospacing="1" w:line="360" w:lineRule="auto"/>
        <w:ind w:firstLine="720"/>
        <w:jc w:val="both"/>
        <w:rPr>
          <w:rFonts w:ascii="Times New Roman" w:eastAsia="Times New Roman" w:hAnsi="Times New Roman" w:cs="Times New Roman"/>
          <w:sz w:val="24"/>
          <w:szCs w:val="24"/>
        </w:rPr>
      </w:pPr>
      <w:proofErr w:type="gramStart"/>
      <w:r w:rsidRPr="007939E4">
        <w:rPr>
          <w:rFonts w:ascii="Times New Roman" w:eastAsia="Times New Roman" w:hAnsi="Times New Roman" w:cs="Times New Roman"/>
          <w:sz w:val="24"/>
          <w:szCs w:val="24"/>
        </w:rPr>
        <w:t xml:space="preserve">Secara keseluruhan, pemahaman hadis tentang bencana sebagai </w:t>
      </w:r>
      <w:r w:rsidRPr="007939E4">
        <w:rPr>
          <w:rFonts w:ascii="Times New Roman" w:eastAsia="Times New Roman" w:hAnsi="Times New Roman" w:cs="Times New Roman"/>
          <w:i/>
          <w:iCs/>
          <w:sz w:val="24"/>
          <w:szCs w:val="24"/>
        </w:rPr>
        <w:t>sunnatullah</w:t>
      </w:r>
      <w:r w:rsidRPr="007939E4">
        <w:rPr>
          <w:rFonts w:ascii="Times New Roman" w:eastAsia="Times New Roman" w:hAnsi="Times New Roman" w:cs="Times New Roman"/>
          <w:sz w:val="24"/>
          <w:szCs w:val="24"/>
        </w:rPr>
        <w:t xml:space="preserve"> memiliki implikasi luas yang mencakup dimensi teologis, sosial, dan praktis.</w:t>
      </w:r>
      <w:proofErr w:type="gramEnd"/>
      <w:r w:rsidRPr="007939E4">
        <w:rPr>
          <w:rFonts w:ascii="Times New Roman" w:eastAsia="Times New Roman" w:hAnsi="Times New Roman" w:cs="Times New Roman"/>
          <w:sz w:val="24"/>
          <w:szCs w:val="24"/>
        </w:rPr>
        <w:t xml:space="preserve"> </w:t>
      </w:r>
      <w:proofErr w:type="gramStart"/>
      <w:r w:rsidRPr="007939E4">
        <w:rPr>
          <w:rFonts w:ascii="Times New Roman" w:eastAsia="Times New Roman" w:hAnsi="Times New Roman" w:cs="Times New Roman"/>
          <w:sz w:val="24"/>
          <w:szCs w:val="24"/>
        </w:rPr>
        <w:t>Pemahaman ini mendorong lahirnya teologi yang berorientasi pada rahmah, tanggung jawab, dan keberpihakan kepada korban.</w:t>
      </w:r>
      <w:proofErr w:type="gramEnd"/>
      <w:r w:rsidRPr="007939E4">
        <w:rPr>
          <w:rFonts w:ascii="Times New Roman" w:eastAsia="Times New Roman" w:hAnsi="Times New Roman" w:cs="Times New Roman"/>
          <w:sz w:val="24"/>
          <w:szCs w:val="24"/>
        </w:rPr>
        <w:t xml:space="preserve"> </w:t>
      </w:r>
      <w:proofErr w:type="gramStart"/>
      <w:r w:rsidRPr="007939E4">
        <w:rPr>
          <w:rFonts w:ascii="Times New Roman" w:eastAsia="Times New Roman" w:hAnsi="Times New Roman" w:cs="Times New Roman"/>
          <w:sz w:val="24"/>
          <w:szCs w:val="24"/>
        </w:rPr>
        <w:t xml:space="preserve">Dengan demikian, hadis Nabi </w:t>
      </w:r>
      <w:r w:rsidRPr="007939E4">
        <w:rPr>
          <w:rFonts w:ascii="Times New Roman" w:eastAsia="Times New Roman" w:hAnsi="Times New Roman" w:cs="Times New Roman"/>
          <w:sz w:val="24"/>
          <w:szCs w:val="24"/>
          <w:rtl/>
        </w:rPr>
        <w:t>ﷺ</w:t>
      </w:r>
      <w:r w:rsidRPr="007939E4">
        <w:rPr>
          <w:rFonts w:ascii="Times New Roman" w:eastAsia="Times New Roman" w:hAnsi="Times New Roman" w:cs="Times New Roman"/>
          <w:sz w:val="24"/>
          <w:szCs w:val="24"/>
        </w:rPr>
        <w:t xml:space="preserve"> tidak hanya berfungsi sebagai sumber legitimasi keimanan terhadap takdir, tetapi juga sebagai landasan etika kemanusiaan yang relevan dan kontekstual dalam menghadapi realitas bencana di era modern.</w:t>
      </w:r>
      <w:proofErr w:type="gramEnd"/>
      <w:r w:rsidR="002851B6" w:rsidRPr="007939E4">
        <w:rPr>
          <w:rFonts w:ascii="Times New Roman" w:eastAsia="Times New Roman" w:hAnsi="Times New Roman" w:cs="Times New Roman"/>
          <w:sz w:val="24"/>
          <w:szCs w:val="24"/>
        </w:rPr>
        <w:t xml:space="preserve"> </w:t>
      </w:r>
    </w:p>
    <w:p w:rsidR="002851B6" w:rsidRPr="002851B6" w:rsidRDefault="007939E4" w:rsidP="002851B6">
      <w:pPr>
        <w:spacing w:after="0" w:line="360" w:lineRule="auto"/>
        <w:jc w:val="both"/>
        <w:rPr>
          <w:rFonts w:asciiTheme="majorBidi" w:hAnsiTheme="majorBidi" w:cstheme="majorBidi"/>
          <w:b/>
          <w:bCs/>
          <w:sz w:val="24"/>
          <w:szCs w:val="24"/>
        </w:rPr>
      </w:pPr>
      <w:r w:rsidRPr="002851B6">
        <w:rPr>
          <w:rFonts w:asciiTheme="majorBidi" w:hAnsiTheme="majorBidi" w:cstheme="majorBidi"/>
          <w:b/>
          <w:bCs/>
          <w:sz w:val="24"/>
          <w:szCs w:val="24"/>
        </w:rPr>
        <w:t>Penutup</w:t>
      </w:r>
    </w:p>
    <w:p w:rsidR="002851B6" w:rsidRPr="002851B6" w:rsidRDefault="007939E4" w:rsidP="002851B6">
      <w:pPr>
        <w:spacing w:after="0" w:line="360" w:lineRule="auto"/>
        <w:ind w:firstLine="720"/>
        <w:jc w:val="both"/>
        <w:rPr>
          <w:rFonts w:asciiTheme="majorBidi" w:hAnsiTheme="majorBidi" w:cstheme="majorBidi"/>
          <w:sz w:val="24"/>
          <w:szCs w:val="24"/>
        </w:rPr>
      </w:pPr>
      <w:proofErr w:type="gramStart"/>
      <w:r w:rsidRPr="002851B6">
        <w:rPr>
          <w:rFonts w:asciiTheme="majorBidi" w:hAnsiTheme="majorBidi" w:cstheme="majorBidi"/>
          <w:sz w:val="24"/>
          <w:szCs w:val="24"/>
        </w:rPr>
        <w:lastRenderedPageBreak/>
        <w:t xml:space="preserve">Berdasarkan pembahasan yang telah diuraikan, dapat disimpulkan bahwa bencana dalam perspektif hadis Nabi Muhammad </w:t>
      </w:r>
      <w:r w:rsidRPr="002851B6">
        <w:rPr>
          <w:rFonts w:asciiTheme="majorBidi" w:hAnsiTheme="majorBidi" w:cstheme="majorBidi"/>
          <w:sz w:val="24"/>
          <w:szCs w:val="24"/>
          <w:rtl/>
        </w:rPr>
        <w:t>ﷺ</w:t>
      </w:r>
      <w:r w:rsidRPr="002851B6">
        <w:rPr>
          <w:rFonts w:asciiTheme="majorBidi" w:hAnsiTheme="majorBidi" w:cstheme="majorBidi"/>
          <w:sz w:val="24"/>
          <w:szCs w:val="24"/>
        </w:rPr>
        <w:t xml:space="preserve"> merupakan bagian dari </w:t>
      </w:r>
      <w:r w:rsidRPr="00E44771">
        <w:rPr>
          <w:rFonts w:asciiTheme="majorBidi" w:hAnsiTheme="majorBidi" w:cstheme="majorBidi"/>
          <w:i/>
          <w:iCs/>
          <w:sz w:val="24"/>
          <w:szCs w:val="24"/>
        </w:rPr>
        <w:t>sunnatullah</w:t>
      </w:r>
      <w:r w:rsidRPr="002851B6">
        <w:rPr>
          <w:rFonts w:asciiTheme="majorBidi" w:hAnsiTheme="majorBidi" w:cstheme="majorBidi"/>
          <w:sz w:val="24"/>
          <w:szCs w:val="24"/>
        </w:rPr>
        <w:t xml:space="preserve"> atau ketetapan </w:t>
      </w:r>
      <w:r w:rsidRPr="00E44771">
        <w:rPr>
          <w:rFonts w:asciiTheme="majorBidi" w:hAnsiTheme="majorBidi" w:cstheme="majorBidi"/>
          <w:i/>
          <w:iCs/>
          <w:sz w:val="24"/>
          <w:szCs w:val="24"/>
        </w:rPr>
        <w:t>Ilahi</w:t>
      </w:r>
      <w:r w:rsidRPr="002851B6">
        <w:rPr>
          <w:rFonts w:asciiTheme="majorBidi" w:hAnsiTheme="majorBidi" w:cstheme="majorBidi"/>
          <w:sz w:val="24"/>
          <w:szCs w:val="24"/>
        </w:rPr>
        <w:t xml:space="preserve"> yang berlaku dalam kehidupan manusia.</w:t>
      </w:r>
      <w:proofErr w:type="gramEnd"/>
      <w:r w:rsidRPr="002851B6">
        <w:rPr>
          <w:rFonts w:asciiTheme="majorBidi" w:hAnsiTheme="majorBidi" w:cstheme="majorBidi"/>
          <w:sz w:val="24"/>
          <w:szCs w:val="24"/>
        </w:rPr>
        <w:t xml:space="preserve"> </w:t>
      </w:r>
      <w:proofErr w:type="gramStart"/>
      <w:r w:rsidRPr="002851B6">
        <w:rPr>
          <w:rFonts w:asciiTheme="majorBidi" w:hAnsiTheme="majorBidi" w:cstheme="majorBidi"/>
          <w:sz w:val="24"/>
          <w:szCs w:val="24"/>
        </w:rPr>
        <w:t>Hadis-hadis Nabi menunjukkan bahwa bencana tidak selalu bermakna hukuman atau murka Allah, tetapi dapat menjadi ujian keimanan, penghapus dosa, serta sarana pendidikan spiritual bagi manusia.</w:t>
      </w:r>
      <w:proofErr w:type="gramEnd"/>
      <w:r w:rsidRPr="002851B6">
        <w:rPr>
          <w:rFonts w:asciiTheme="majorBidi" w:hAnsiTheme="majorBidi" w:cstheme="majorBidi"/>
          <w:sz w:val="24"/>
          <w:szCs w:val="24"/>
        </w:rPr>
        <w:t xml:space="preserve"> </w:t>
      </w:r>
      <w:proofErr w:type="gramStart"/>
      <w:r w:rsidRPr="002851B6">
        <w:rPr>
          <w:rFonts w:asciiTheme="majorBidi" w:hAnsiTheme="majorBidi" w:cstheme="majorBidi"/>
          <w:sz w:val="24"/>
          <w:szCs w:val="24"/>
        </w:rPr>
        <w:t>Pemahaman ini menegaskan bahwa Islam memandang bencana secara lebih luas dan tidak menyederhanakannya hanya sebagai akibat dosa semata.</w:t>
      </w:r>
      <w:proofErr w:type="gramEnd"/>
    </w:p>
    <w:p w:rsidR="002851B6" w:rsidRPr="002851B6" w:rsidRDefault="007939E4" w:rsidP="002851B6">
      <w:pPr>
        <w:spacing w:after="0" w:line="360" w:lineRule="auto"/>
        <w:ind w:firstLine="720"/>
        <w:jc w:val="both"/>
        <w:rPr>
          <w:rFonts w:asciiTheme="majorBidi" w:hAnsiTheme="majorBidi" w:cstheme="majorBidi"/>
          <w:sz w:val="24"/>
          <w:szCs w:val="24"/>
        </w:rPr>
      </w:pPr>
      <w:proofErr w:type="gramStart"/>
      <w:r w:rsidRPr="002851B6">
        <w:rPr>
          <w:rFonts w:asciiTheme="majorBidi" w:hAnsiTheme="majorBidi" w:cstheme="majorBidi"/>
          <w:sz w:val="24"/>
          <w:szCs w:val="24"/>
        </w:rPr>
        <w:t xml:space="preserve">Kajian ini juga menunjukkan bahwa hadis Nabi </w:t>
      </w:r>
      <w:r w:rsidRPr="002851B6">
        <w:rPr>
          <w:rFonts w:asciiTheme="majorBidi" w:hAnsiTheme="majorBidi" w:cstheme="majorBidi"/>
          <w:sz w:val="24"/>
          <w:szCs w:val="24"/>
          <w:rtl/>
        </w:rPr>
        <w:t>ﷺ</w:t>
      </w:r>
      <w:r w:rsidRPr="002851B6">
        <w:rPr>
          <w:rFonts w:asciiTheme="majorBidi" w:hAnsiTheme="majorBidi" w:cstheme="majorBidi"/>
          <w:sz w:val="24"/>
          <w:szCs w:val="24"/>
        </w:rPr>
        <w:t xml:space="preserve"> menempatkan bencana dalam hubungan yang seimbang antara takdir Allah dan ikhtiar manusia.</w:t>
      </w:r>
      <w:proofErr w:type="gramEnd"/>
      <w:r w:rsidRPr="002851B6">
        <w:rPr>
          <w:rFonts w:asciiTheme="majorBidi" w:hAnsiTheme="majorBidi" w:cstheme="majorBidi"/>
          <w:sz w:val="24"/>
          <w:szCs w:val="24"/>
        </w:rPr>
        <w:t xml:space="preserve"> </w:t>
      </w:r>
      <w:proofErr w:type="gramStart"/>
      <w:r w:rsidRPr="002851B6">
        <w:rPr>
          <w:rFonts w:asciiTheme="majorBidi" w:hAnsiTheme="majorBidi" w:cstheme="majorBidi"/>
          <w:sz w:val="24"/>
          <w:szCs w:val="24"/>
        </w:rPr>
        <w:t xml:space="preserve">Keimanan kepada ketetapan </w:t>
      </w:r>
      <w:r w:rsidRPr="00E44771">
        <w:rPr>
          <w:rFonts w:asciiTheme="majorBidi" w:hAnsiTheme="majorBidi" w:cstheme="majorBidi"/>
          <w:i/>
          <w:iCs/>
          <w:sz w:val="24"/>
          <w:szCs w:val="24"/>
        </w:rPr>
        <w:t>Ilahi</w:t>
      </w:r>
      <w:r w:rsidRPr="002851B6">
        <w:rPr>
          <w:rFonts w:asciiTheme="majorBidi" w:hAnsiTheme="majorBidi" w:cstheme="majorBidi"/>
          <w:sz w:val="24"/>
          <w:szCs w:val="24"/>
        </w:rPr>
        <w:t xml:space="preserve"> tidak menghilangkan kewajiban manusia untuk berusaha, menjaga keselamatan, dan melakukan upaya pencegahan terhadap bencana.</w:t>
      </w:r>
      <w:proofErr w:type="gramEnd"/>
      <w:r w:rsidRPr="002851B6">
        <w:rPr>
          <w:rFonts w:asciiTheme="majorBidi" w:hAnsiTheme="majorBidi" w:cstheme="majorBidi"/>
          <w:sz w:val="24"/>
          <w:szCs w:val="24"/>
        </w:rPr>
        <w:t xml:space="preserve"> </w:t>
      </w:r>
      <w:proofErr w:type="gramStart"/>
      <w:r w:rsidRPr="002851B6">
        <w:rPr>
          <w:rFonts w:asciiTheme="majorBidi" w:hAnsiTheme="majorBidi" w:cstheme="majorBidi"/>
          <w:sz w:val="24"/>
          <w:szCs w:val="24"/>
        </w:rPr>
        <w:t>Oleh karena itu, sikap pasrah yang pasif dan fatalistik tidak sejalan dengan ajaran hadis, karena Islam justru mendorong tanggung jawab dan kepedulian terhadap sesama.</w:t>
      </w:r>
      <w:proofErr w:type="gramEnd"/>
    </w:p>
    <w:p w:rsidR="002851B6" w:rsidRPr="002851B6" w:rsidRDefault="007939E4" w:rsidP="002851B6">
      <w:pPr>
        <w:spacing w:after="0" w:line="360" w:lineRule="auto"/>
        <w:ind w:firstLine="720"/>
        <w:jc w:val="both"/>
        <w:rPr>
          <w:rFonts w:asciiTheme="majorBidi" w:hAnsiTheme="majorBidi" w:cstheme="majorBidi"/>
          <w:sz w:val="24"/>
          <w:szCs w:val="24"/>
        </w:rPr>
      </w:pPr>
      <w:proofErr w:type="gramStart"/>
      <w:r w:rsidRPr="002851B6">
        <w:rPr>
          <w:rFonts w:asciiTheme="majorBidi" w:hAnsiTheme="majorBidi" w:cstheme="majorBidi"/>
          <w:sz w:val="24"/>
          <w:szCs w:val="24"/>
        </w:rPr>
        <w:t>Selain itu, pemahaman hadis tentang bencana memiliki dampak penting bagi kehidupan sosial.</w:t>
      </w:r>
      <w:proofErr w:type="gramEnd"/>
      <w:r w:rsidRPr="002851B6">
        <w:rPr>
          <w:rFonts w:asciiTheme="majorBidi" w:hAnsiTheme="majorBidi" w:cstheme="majorBidi"/>
          <w:sz w:val="24"/>
          <w:szCs w:val="24"/>
        </w:rPr>
        <w:t xml:space="preserve"> </w:t>
      </w:r>
      <w:proofErr w:type="gramStart"/>
      <w:r w:rsidRPr="002851B6">
        <w:rPr>
          <w:rFonts w:asciiTheme="majorBidi" w:hAnsiTheme="majorBidi" w:cstheme="majorBidi"/>
          <w:sz w:val="24"/>
          <w:szCs w:val="24"/>
        </w:rPr>
        <w:t>Hadis mengajarkan umat Islam untuk merespons bencana dengan empati, solidaritas, dan kepedulian kemanusiaan, bukan dengan menyalahkan korban.</w:t>
      </w:r>
      <w:proofErr w:type="gramEnd"/>
      <w:r w:rsidRPr="002851B6">
        <w:rPr>
          <w:rFonts w:asciiTheme="majorBidi" w:hAnsiTheme="majorBidi" w:cstheme="majorBidi"/>
          <w:sz w:val="24"/>
          <w:szCs w:val="24"/>
        </w:rPr>
        <w:t xml:space="preserve"> Bencana seharusnya menjadi momentum untuk memperkuat persaudaraan, meningkatkan kepedulian sosial, dan menumbuhkan kesadaran bersama </w:t>
      </w:r>
      <w:proofErr w:type="gramStart"/>
      <w:r w:rsidRPr="002851B6">
        <w:rPr>
          <w:rFonts w:asciiTheme="majorBidi" w:hAnsiTheme="majorBidi" w:cstheme="majorBidi"/>
          <w:sz w:val="24"/>
          <w:szCs w:val="24"/>
        </w:rPr>
        <w:t>akan</w:t>
      </w:r>
      <w:proofErr w:type="gramEnd"/>
      <w:r w:rsidRPr="002851B6">
        <w:rPr>
          <w:rFonts w:asciiTheme="majorBidi" w:hAnsiTheme="majorBidi" w:cstheme="majorBidi"/>
          <w:sz w:val="24"/>
          <w:szCs w:val="24"/>
        </w:rPr>
        <w:t xml:space="preserve"> pentingnya menjaga kehidupan dan lingkungan.</w:t>
      </w:r>
    </w:p>
    <w:p w:rsidR="007939E4" w:rsidRPr="002851B6" w:rsidRDefault="007939E4" w:rsidP="0086304A">
      <w:pPr>
        <w:spacing w:after="100" w:afterAutospacing="1" w:line="360" w:lineRule="auto"/>
        <w:ind w:firstLine="720"/>
        <w:jc w:val="both"/>
        <w:rPr>
          <w:rFonts w:asciiTheme="majorBidi" w:hAnsiTheme="majorBidi" w:cstheme="majorBidi"/>
          <w:sz w:val="24"/>
          <w:szCs w:val="24"/>
        </w:rPr>
      </w:pPr>
      <w:proofErr w:type="gramStart"/>
      <w:r w:rsidRPr="002851B6">
        <w:rPr>
          <w:rFonts w:asciiTheme="majorBidi" w:hAnsiTheme="majorBidi" w:cstheme="majorBidi"/>
          <w:sz w:val="24"/>
          <w:szCs w:val="24"/>
        </w:rPr>
        <w:t xml:space="preserve">Dengan demikian, memahami bencana sebagai </w:t>
      </w:r>
      <w:r w:rsidRPr="00E44771">
        <w:rPr>
          <w:rFonts w:asciiTheme="majorBidi" w:hAnsiTheme="majorBidi" w:cstheme="majorBidi"/>
          <w:i/>
          <w:iCs/>
          <w:sz w:val="24"/>
          <w:szCs w:val="24"/>
        </w:rPr>
        <w:t>sunnatullah</w:t>
      </w:r>
      <w:r w:rsidRPr="002851B6">
        <w:rPr>
          <w:rFonts w:asciiTheme="majorBidi" w:hAnsiTheme="majorBidi" w:cstheme="majorBidi"/>
          <w:sz w:val="24"/>
          <w:szCs w:val="24"/>
        </w:rPr>
        <w:t xml:space="preserve"> dalam perspektif hadis dapat membantu membangun sikap keagamaan yang lebih bijak, humanis, dan kontekstual.</w:t>
      </w:r>
      <w:proofErr w:type="gramEnd"/>
      <w:r w:rsidRPr="002851B6">
        <w:rPr>
          <w:rFonts w:asciiTheme="majorBidi" w:hAnsiTheme="majorBidi" w:cstheme="majorBidi"/>
          <w:sz w:val="24"/>
          <w:szCs w:val="24"/>
        </w:rPr>
        <w:t xml:space="preserve"> </w:t>
      </w:r>
      <w:proofErr w:type="gramStart"/>
      <w:r w:rsidRPr="002851B6">
        <w:rPr>
          <w:rFonts w:asciiTheme="majorBidi" w:hAnsiTheme="majorBidi" w:cstheme="majorBidi"/>
          <w:sz w:val="24"/>
          <w:szCs w:val="24"/>
        </w:rPr>
        <w:t>Kajian ini diharapkan dapat menjadi rujukan awal dalam mengembangkan pemahaman keislaman yang tidak hanya kuat secara teologis, tetapi juga relevan dengan realitas kebencanaan yang dihadapi masyarakat saat ini.</w:t>
      </w:r>
      <w:proofErr w:type="gramEnd"/>
    </w:p>
    <w:p w:rsidR="007939E4" w:rsidRPr="0086304A" w:rsidRDefault="0086304A" w:rsidP="00BE4B1F">
      <w:pPr>
        <w:spacing w:after="0" w:line="360" w:lineRule="auto"/>
        <w:jc w:val="both"/>
        <w:rPr>
          <w:rFonts w:asciiTheme="majorBidi" w:hAnsiTheme="majorBidi" w:cstheme="majorBidi"/>
          <w:b/>
          <w:bCs/>
          <w:sz w:val="24"/>
          <w:szCs w:val="24"/>
        </w:rPr>
      </w:pPr>
      <w:r w:rsidRPr="0086304A">
        <w:rPr>
          <w:rFonts w:asciiTheme="majorBidi" w:hAnsiTheme="majorBidi" w:cstheme="majorBidi"/>
          <w:b/>
          <w:bCs/>
          <w:sz w:val="24"/>
          <w:szCs w:val="24"/>
        </w:rPr>
        <w:t>Daftar Pustaka</w:t>
      </w:r>
    </w:p>
    <w:p w:rsidR="0012114C" w:rsidRPr="0086304A" w:rsidRDefault="0012114C" w:rsidP="00557219">
      <w:pPr>
        <w:pStyle w:val="FootnoteText"/>
        <w:spacing w:after="240"/>
        <w:ind w:left="720" w:hanging="720"/>
        <w:jc w:val="both"/>
        <w:rPr>
          <w:rFonts w:asciiTheme="majorBidi" w:hAnsiTheme="majorBidi" w:cstheme="majorBidi"/>
          <w:sz w:val="24"/>
          <w:szCs w:val="24"/>
        </w:rPr>
      </w:pPr>
      <w:proofErr w:type="gramStart"/>
      <w:r w:rsidRPr="0086304A">
        <w:rPr>
          <w:rFonts w:asciiTheme="majorBidi" w:hAnsiTheme="majorBidi" w:cstheme="majorBidi"/>
          <w:sz w:val="24"/>
          <w:szCs w:val="24"/>
        </w:rPr>
        <w:t xml:space="preserve">‘Abd al-Ḥayy al-Farmawī, </w:t>
      </w:r>
      <w:r w:rsidRPr="0086304A">
        <w:rPr>
          <w:rStyle w:val="Emphasis"/>
          <w:rFonts w:asciiTheme="majorBidi" w:hAnsiTheme="majorBidi" w:cstheme="majorBidi"/>
          <w:sz w:val="24"/>
          <w:szCs w:val="24"/>
        </w:rPr>
        <w:t>al-Bidāyah fī al-Tafsīr al-Maudhū‘ī</w:t>
      </w:r>
      <w:r w:rsidRPr="0086304A">
        <w:rPr>
          <w:rFonts w:asciiTheme="majorBidi" w:hAnsiTheme="majorBidi" w:cstheme="majorBidi"/>
          <w:sz w:val="24"/>
          <w:szCs w:val="24"/>
        </w:rPr>
        <w:t xml:space="preserve"> (Kairo: al-Ḥaḍā</w:t>
      </w:r>
      <w:r w:rsidR="00557219">
        <w:rPr>
          <w:rFonts w:asciiTheme="majorBidi" w:hAnsiTheme="majorBidi" w:cstheme="majorBidi"/>
          <w:sz w:val="24"/>
          <w:szCs w:val="24"/>
        </w:rPr>
        <w:t>rah al-‘Arabiyyah, 1977)</w:t>
      </w:r>
      <w:r w:rsidRPr="0086304A">
        <w:rPr>
          <w:rFonts w:asciiTheme="majorBidi" w:hAnsiTheme="majorBidi" w:cstheme="majorBidi"/>
          <w:sz w:val="24"/>
          <w:szCs w:val="24"/>
        </w:rPr>
        <w:t>.</w:t>
      </w:r>
      <w:proofErr w:type="gramEnd"/>
      <w:r w:rsidRPr="0086304A">
        <w:rPr>
          <w:rFonts w:asciiTheme="majorBidi" w:hAnsiTheme="majorBidi" w:cstheme="majorBidi"/>
          <w:sz w:val="24"/>
          <w:szCs w:val="24"/>
        </w:rPr>
        <w:t xml:space="preserve"> </w:t>
      </w:r>
    </w:p>
    <w:p w:rsidR="0012114C" w:rsidRPr="0086304A" w:rsidRDefault="0012114C" w:rsidP="00557219">
      <w:pPr>
        <w:pStyle w:val="FootnoteText"/>
        <w:spacing w:after="240"/>
        <w:ind w:left="720" w:hanging="720"/>
        <w:jc w:val="both"/>
        <w:rPr>
          <w:rFonts w:asciiTheme="majorBidi" w:hAnsiTheme="majorBidi" w:cstheme="majorBidi"/>
          <w:sz w:val="24"/>
          <w:szCs w:val="24"/>
        </w:rPr>
      </w:pPr>
      <w:r w:rsidRPr="0086304A">
        <w:rPr>
          <w:rFonts w:asciiTheme="majorBidi" w:hAnsiTheme="majorBidi" w:cstheme="majorBidi"/>
          <w:sz w:val="24"/>
          <w:szCs w:val="24"/>
        </w:rPr>
        <w:t xml:space="preserve">Abdul Karim Soroush, </w:t>
      </w:r>
      <w:r w:rsidRPr="0086304A">
        <w:rPr>
          <w:rStyle w:val="Emphasis"/>
          <w:rFonts w:asciiTheme="majorBidi" w:hAnsiTheme="majorBidi" w:cstheme="majorBidi"/>
          <w:sz w:val="24"/>
          <w:szCs w:val="24"/>
        </w:rPr>
        <w:t>Reason, Freedom, and Democracy in Islam</w:t>
      </w:r>
      <w:r w:rsidRPr="0086304A">
        <w:rPr>
          <w:rFonts w:asciiTheme="majorBidi" w:hAnsiTheme="majorBidi" w:cstheme="majorBidi"/>
          <w:sz w:val="24"/>
          <w:szCs w:val="24"/>
        </w:rPr>
        <w:t xml:space="preserve"> (Oxford: Oxford</w:t>
      </w:r>
      <w:r w:rsidR="00557219">
        <w:rPr>
          <w:rFonts w:asciiTheme="majorBidi" w:hAnsiTheme="majorBidi" w:cstheme="majorBidi"/>
          <w:sz w:val="24"/>
          <w:szCs w:val="24"/>
        </w:rPr>
        <w:t xml:space="preserve"> University Press, 2000)</w:t>
      </w:r>
      <w:r w:rsidRPr="0086304A">
        <w:rPr>
          <w:rFonts w:asciiTheme="majorBidi" w:hAnsiTheme="majorBidi" w:cstheme="majorBidi"/>
          <w:sz w:val="24"/>
          <w:szCs w:val="24"/>
        </w:rPr>
        <w:t xml:space="preserve">. </w:t>
      </w:r>
    </w:p>
    <w:p w:rsidR="0012114C" w:rsidRPr="0086304A" w:rsidRDefault="0012114C" w:rsidP="00557219">
      <w:pPr>
        <w:pStyle w:val="FootnoteText"/>
        <w:spacing w:after="240"/>
        <w:ind w:left="720" w:hanging="720"/>
        <w:jc w:val="both"/>
        <w:rPr>
          <w:rFonts w:asciiTheme="majorBidi" w:hAnsiTheme="majorBidi" w:cstheme="majorBidi"/>
          <w:sz w:val="24"/>
          <w:szCs w:val="24"/>
        </w:rPr>
      </w:pPr>
      <w:proofErr w:type="gramStart"/>
      <w:r w:rsidRPr="0086304A">
        <w:rPr>
          <w:rFonts w:asciiTheme="majorBidi" w:hAnsiTheme="majorBidi" w:cstheme="majorBidi"/>
          <w:sz w:val="24"/>
          <w:szCs w:val="24"/>
        </w:rPr>
        <w:t xml:space="preserve">Al-Bukhārī, </w:t>
      </w:r>
      <w:r w:rsidRPr="0086304A">
        <w:rPr>
          <w:rStyle w:val="Emphasis"/>
          <w:rFonts w:asciiTheme="majorBidi" w:hAnsiTheme="majorBidi" w:cstheme="majorBidi"/>
          <w:sz w:val="24"/>
          <w:szCs w:val="24"/>
        </w:rPr>
        <w:t>Ṣaḥīḥ al-Bukhārī</w:t>
      </w:r>
      <w:r w:rsidRPr="0086304A">
        <w:rPr>
          <w:rFonts w:asciiTheme="majorBidi" w:hAnsiTheme="majorBidi" w:cstheme="majorBidi"/>
          <w:sz w:val="24"/>
          <w:szCs w:val="24"/>
        </w:rPr>
        <w:t>, Juz VII (Beir</w:t>
      </w:r>
      <w:r w:rsidR="00557219">
        <w:rPr>
          <w:rFonts w:asciiTheme="majorBidi" w:hAnsiTheme="majorBidi" w:cstheme="majorBidi"/>
          <w:sz w:val="24"/>
          <w:szCs w:val="24"/>
        </w:rPr>
        <w:t>ut: Dār Ibn Kathīr, 1987)</w:t>
      </w:r>
      <w:r w:rsidRPr="0086304A">
        <w:rPr>
          <w:rFonts w:asciiTheme="majorBidi" w:hAnsiTheme="majorBidi" w:cstheme="majorBidi"/>
          <w:sz w:val="24"/>
          <w:szCs w:val="24"/>
        </w:rPr>
        <w:t>.</w:t>
      </w:r>
      <w:proofErr w:type="gramEnd"/>
      <w:r w:rsidRPr="0086304A">
        <w:rPr>
          <w:rFonts w:asciiTheme="majorBidi" w:hAnsiTheme="majorBidi" w:cstheme="majorBidi"/>
          <w:sz w:val="24"/>
          <w:szCs w:val="24"/>
        </w:rPr>
        <w:t xml:space="preserve">  </w:t>
      </w:r>
    </w:p>
    <w:p w:rsidR="0012114C" w:rsidRPr="0086304A" w:rsidRDefault="0012114C" w:rsidP="00557219">
      <w:pPr>
        <w:pStyle w:val="FootnoteText"/>
        <w:spacing w:after="240"/>
        <w:ind w:left="720" w:hanging="720"/>
        <w:jc w:val="both"/>
        <w:rPr>
          <w:rFonts w:asciiTheme="majorBidi" w:hAnsiTheme="majorBidi" w:cstheme="majorBidi"/>
          <w:sz w:val="24"/>
          <w:szCs w:val="24"/>
        </w:rPr>
      </w:pPr>
      <w:r w:rsidRPr="0086304A">
        <w:rPr>
          <w:rFonts w:asciiTheme="majorBidi" w:hAnsiTheme="majorBidi" w:cstheme="majorBidi"/>
          <w:sz w:val="24"/>
          <w:szCs w:val="24"/>
        </w:rPr>
        <w:t xml:space="preserve">Al-Ghazālī, </w:t>
      </w:r>
      <w:r w:rsidRPr="0086304A">
        <w:rPr>
          <w:rStyle w:val="Emphasis"/>
          <w:rFonts w:asciiTheme="majorBidi" w:hAnsiTheme="majorBidi" w:cstheme="majorBidi"/>
          <w:sz w:val="24"/>
          <w:szCs w:val="24"/>
        </w:rPr>
        <w:t>al-Iqtiṣād fī al-I‘tiqād</w:t>
      </w:r>
      <w:r w:rsidRPr="0086304A">
        <w:rPr>
          <w:rFonts w:asciiTheme="majorBidi" w:hAnsiTheme="majorBidi" w:cstheme="majorBidi"/>
          <w:sz w:val="24"/>
          <w:szCs w:val="24"/>
        </w:rPr>
        <w:t xml:space="preserve"> (Beirut: Dār al-K</w:t>
      </w:r>
      <w:r w:rsidR="00557219">
        <w:rPr>
          <w:rFonts w:asciiTheme="majorBidi" w:hAnsiTheme="majorBidi" w:cstheme="majorBidi"/>
          <w:sz w:val="24"/>
          <w:szCs w:val="24"/>
        </w:rPr>
        <w:t>utub al-‘Ilmiyyah, 2004)</w:t>
      </w:r>
      <w:r w:rsidRPr="0086304A">
        <w:rPr>
          <w:rFonts w:asciiTheme="majorBidi" w:hAnsiTheme="majorBidi" w:cstheme="majorBidi"/>
          <w:sz w:val="24"/>
          <w:szCs w:val="24"/>
        </w:rPr>
        <w:t xml:space="preserve">. </w:t>
      </w:r>
    </w:p>
    <w:p w:rsidR="0012114C" w:rsidRPr="0086304A" w:rsidRDefault="0012114C" w:rsidP="00557219">
      <w:pPr>
        <w:pStyle w:val="FootnoteText"/>
        <w:spacing w:after="240"/>
        <w:ind w:left="720" w:hanging="720"/>
        <w:jc w:val="both"/>
        <w:rPr>
          <w:rFonts w:asciiTheme="majorBidi" w:hAnsiTheme="majorBidi" w:cstheme="majorBidi"/>
          <w:sz w:val="24"/>
          <w:szCs w:val="24"/>
        </w:rPr>
      </w:pPr>
      <w:proofErr w:type="gramStart"/>
      <w:r w:rsidRPr="0086304A">
        <w:rPr>
          <w:rFonts w:asciiTheme="majorBidi" w:hAnsiTheme="majorBidi" w:cstheme="majorBidi"/>
          <w:sz w:val="24"/>
          <w:szCs w:val="24"/>
        </w:rPr>
        <w:t>al-Ghazālī</w:t>
      </w:r>
      <w:proofErr w:type="gramEnd"/>
      <w:r w:rsidRPr="0086304A">
        <w:rPr>
          <w:rFonts w:asciiTheme="majorBidi" w:hAnsiTheme="majorBidi" w:cstheme="majorBidi"/>
          <w:sz w:val="24"/>
          <w:szCs w:val="24"/>
        </w:rPr>
        <w:t xml:space="preserve">, </w:t>
      </w:r>
      <w:r w:rsidRPr="0086304A">
        <w:rPr>
          <w:rStyle w:val="Emphasis"/>
          <w:rFonts w:asciiTheme="majorBidi" w:hAnsiTheme="majorBidi" w:cstheme="majorBidi"/>
          <w:sz w:val="24"/>
          <w:szCs w:val="24"/>
        </w:rPr>
        <w:t>al-Iqtiṣād fī al-I‘tiqād</w:t>
      </w:r>
      <w:r w:rsidRPr="0086304A">
        <w:rPr>
          <w:rFonts w:asciiTheme="majorBidi" w:hAnsiTheme="majorBidi" w:cstheme="majorBidi"/>
          <w:sz w:val="24"/>
          <w:szCs w:val="24"/>
        </w:rPr>
        <w:t xml:space="preserve"> (Beirut: Dār al-</w:t>
      </w:r>
      <w:r w:rsidR="00557219">
        <w:rPr>
          <w:rFonts w:asciiTheme="majorBidi" w:hAnsiTheme="majorBidi" w:cstheme="majorBidi"/>
          <w:sz w:val="24"/>
          <w:szCs w:val="24"/>
        </w:rPr>
        <w:t>Kutub al-‘Ilmiyyah, 2004)</w:t>
      </w:r>
      <w:r w:rsidRPr="0086304A">
        <w:rPr>
          <w:rFonts w:asciiTheme="majorBidi" w:hAnsiTheme="majorBidi" w:cstheme="majorBidi"/>
          <w:sz w:val="24"/>
          <w:szCs w:val="24"/>
        </w:rPr>
        <w:t xml:space="preserve">. </w:t>
      </w:r>
    </w:p>
    <w:p w:rsidR="0012114C" w:rsidRPr="0086304A" w:rsidRDefault="0012114C" w:rsidP="00557219">
      <w:pPr>
        <w:pStyle w:val="FootnoteText"/>
        <w:spacing w:after="240"/>
        <w:ind w:left="720" w:hanging="720"/>
        <w:jc w:val="both"/>
        <w:rPr>
          <w:rFonts w:asciiTheme="majorBidi" w:hAnsiTheme="majorBidi" w:cstheme="majorBidi"/>
          <w:sz w:val="24"/>
          <w:szCs w:val="24"/>
        </w:rPr>
      </w:pPr>
      <w:proofErr w:type="gramStart"/>
      <w:r w:rsidRPr="0086304A">
        <w:rPr>
          <w:rFonts w:asciiTheme="majorBidi" w:hAnsiTheme="majorBidi" w:cstheme="majorBidi"/>
          <w:sz w:val="24"/>
          <w:szCs w:val="24"/>
        </w:rPr>
        <w:lastRenderedPageBreak/>
        <w:t xml:space="preserve">Al-Nawawī, </w:t>
      </w:r>
      <w:r w:rsidRPr="0086304A">
        <w:rPr>
          <w:rStyle w:val="Emphasis"/>
          <w:rFonts w:asciiTheme="majorBidi" w:hAnsiTheme="majorBidi" w:cstheme="majorBidi"/>
          <w:sz w:val="24"/>
          <w:szCs w:val="24"/>
        </w:rPr>
        <w:t>Syarḥ Ṣaḥīḥ Muslim</w:t>
      </w:r>
      <w:r w:rsidRPr="0086304A">
        <w:rPr>
          <w:rFonts w:asciiTheme="majorBidi" w:hAnsiTheme="majorBidi" w:cstheme="majorBidi"/>
          <w:sz w:val="24"/>
          <w:szCs w:val="24"/>
        </w:rPr>
        <w:t>, Juz XIV (Be</w:t>
      </w:r>
      <w:r w:rsidR="00557219">
        <w:rPr>
          <w:rFonts w:asciiTheme="majorBidi" w:hAnsiTheme="majorBidi" w:cstheme="majorBidi"/>
          <w:sz w:val="24"/>
          <w:szCs w:val="24"/>
        </w:rPr>
        <w:t>irut: Dār al-Fikr, 1996)</w:t>
      </w:r>
      <w:r w:rsidRPr="0086304A">
        <w:rPr>
          <w:rFonts w:asciiTheme="majorBidi" w:hAnsiTheme="majorBidi" w:cstheme="majorBidi"/>
          <w:sz w:val="24"/>
          <w:szCs w:val="24"/>
        </w:rPr>
        <w:t>.</w:t>
      </w:r>
      <w:proofErr w:type="gramEnd"/>
      <w:r w:rsidRPr="0086304A">
        <w:rPr>
          <w:rFonts w:asciiTheme="majorBidi" w:hAnsiTheme="majorBidi" w:cstheme="majorBidi"/>
          <w:sz w:val="24"/>
          <w:szCs w:val="24"/>
        </w:rPr>
        <w:t xml:space="preserve">  </w:t>
      </w:r>
    </w:p>
    <w:p w:rsidR="0012114C" w:rsidRPr="0086304A" w:rsidRDefault="0012114C" w:rsidP="00557219">
      <w:pPr>
        <w:pStyle w:val="FootnoteText"/>
        <w:spacing w:after="240"/>
        <w:ind w:left="720" w:hanging="720"/>
        <w:jc w:val="both"/>
        <w:rPr>
          <w:rFonts w:asciiTheme="majorBidi" w:hAnsiTheme="majorBidi" w:cstheme="majorBidi"/>
          <w:sz w:val="24"/>
          <w:szCs w:val="24"/>
        </w:rPr>
      </w:pPr>
      <w:r w:rsidRPr="0086304A">
        <w:rPr>
          <w:rFonts w:asciiTheme="majorBidi" w:hAnsiTheme="majorBidi" w:cstheme="majorBidi"/>
          <w:sz w:val="24"/>
          <w:szCs w:val="24"/>
        </w:rPr>
        <w:t xml:space="preserve">Al-Qur’an, QS. </w:t>
      </w:r>
      <w:proofErr w:type="gramStart"/>
      <w:r w:rsidRPr="0086304A">
        <w:rPr>
          <w:rFonts w:asciiTheme="majorBidi" w:hAnsiTheme="majorBidi" w:cstheme="majorBidi"/>
          <w:sz w:val="24"/>
          <w:szCs w:val="24"/>
        </w:rPr>
        <w:t>al-Fāṭir</w:t>
      </w:r>
      <w:proofErr w:type="gramEnd"/>
      <w:r w:rsidRPr="0086304A">
        <w:rPr>
          <w:rFonts w:asciiTheme="majorBidi" w:hAnsiTheme="majorBidi" w:cstheme="majorBidi"/>
          <w:sz w:val="24"/>
          <w:szCs w:val="24"/>
        </w:rPr>
        <w:t xml:space="preserve"> [35]: 43; lihat juga Fazlur Rahman, </w:t>
      </w:r>
      <w:r w:rsidRPr="0086304A">
        <w:rPr>
          <w:rStyle w:val="Emphasis"/>
          <w:rFonts w:asciiTheme="majorBidi" w:hAnsiTheme="majorBidi" w:cstheme="majorBidi"/>
          <w:sz w:val="24"/>
          <w:szCs w:val="24"/>
        </w:rPr>
        <w:t>Major Themes of the Qur’an</w:t>
      </w:r>
      <w:r w:rsidRPr="0086304A">
        <w:rPr>
          <w:rFonts w:asciiTheme="majorBidi" w:hAnsiTheme="majorBidi" w:cstheme="majorBidi"/>
          <w:sz w:val="24"/>
          <w:szCs w:val="24"/>
        </w:rPr>
        <w:t xml:space="preserve"> (Chicago: Universit</w:t>
      </w:r>
      <w:r w:rsidR="00557219">
        <w:rPr>
          <w:rFonts w:asciiTheme="majorBidi" w:hAnsiTheme="majorBidi" w:cstheme="majorBidi"/>
          <w:sz w:val="24"/>
          <w:szCs w:val="24"/>
        </w:rPr>
        <w:t>y of Chicago Press, 2009)</w:t>
      </w:r>
      <w:r w:rsidRPr="0086304A">
        <w:rPr>
          <w:rFonts w:asciiTheme="majorBidi" w:hAnsiTheme="majorBidi" w:cstheme="majorBidi"/>
          <w:sz w:val="24"/>
          <w:szCs w:val="24"/>
        </w:rPr>
        <w:t xml:space="preserve">. </w:t>
      </w:r>
    </w:p>
    <w:p w:rsidR="0012114C" w:rsidRPr="0086304A" w:rsidRDefault="0012114C" w:rsidP="00557219">
      <w:pPr>
        <w:pStyle w:val="FootnoteText"/>
        <w:spacing w:after="240"/>
        <w:ind w:left="720" w:hanging="720"/>
        <w:jc w:val="both"/>
        <w:rPr>
          <w:rFonts w:asciiTheme="majorBidi" w:hAnsiTheme="majorBidi" w:cstheme="majorBidi"/>
          <w:sz w:val="24"/>
          <w:szCs w:val="24"/>
        </w:rPr>
      </w:pPr>
      <w:r w:rsidRPr="0086304A">
        <w:rPr>
          <w:rFonts w:asciiTheme="majorBidi" w:hAnsiTheme="majorBidi" w:cstheme="majorBidi"/>
          <w:sz w:val="24"/>
          <w:szCs w:val="24"/>
        </w:rPr>
        <w:t xml:space="preserve">Al-Taftāzānī, </w:t>
      </w:r>
      <w:r w:rsidRPr="0086304A">
        <w:rPr>
          <w:rStyle w:val="Emphasis"/>
          <w:rFonts w:asciiTheme="majorBidi" w:hAnsiTheme="majorBidi" w:cstheme="majorBidi"/>
          <w:sz w:val="24"/>
          <w:szCs w:val="24"/>
        </w:rPr>
        <w:t>Sharḥ al-‘Aqā’id al-Nasafiyyah</w:t>
      </w:r>
      <w:r w:rsidRPr="0086304A">
        <w:rPr>
          <w:rFonts w:asciiTheme="majorBidi" w:hAnsiTheme="majorBidi" w:cstheme="majorBidi"/>
          <w:sz w:val="24"/>
          <w:szCs w:val="24"/>
        </w:rPr>
        <w:t xml:space="preserve"> (Beirut: Dār al-K</w:t>
      </w:r>
      <w:r w:rsidR="00557219">
        <w:rPr>
          <w:rFonts w:asciiTheme="majorBidi" w:hAnsiTheme="majorBidi" w:cstheme="majorBidi"/>
          <w:sz w:val="24"/>
          <w:szCs w:val="24"/>
        </w:rPr>
        <w:t>utub al-‘Ilmiyyah, 2000)</w:t>
      </w:r>
      <w:r w:rsidRPr="0086304A">
        <w:rPr>
          <w:rFonts w:asciiTheme="majorBidi" w:hAnsiTheme="majorBidi" w:cstheme="majorBidi"/>
          <w:sz w:val="24"/>
          <w:szCs w:val="24"/>
        </w:rPr>
        <w:t xml:space="preserve">. </w:t>
      </w:r>
    </w:p>
    <w:p w:rsidR="0012114C" w:rsidRPr="0086304A" w:rsidRDefault="0012114C" w:rsidP="00557219">
      <w:pPr>
        <w:pStyle w:val="FootnoteText"/>
        <w:spacing w:after="240"/>
        <w:ind w:left="720" w:hanging="720"/>
        <w:jc w:val="both"/>
        <w:rPr>
          <w:rFonts w:asciiTheme="majorBidi" w:hAnsiTheme="majorBidi" w:cstheme="majorBidi"/>
          <w:sz w:val="24"/>
          <w:szCs w:val="24"/>
        </w:rPr>
      </w:pPr>
      <w:proofErr w:type="gramStart"/>
      <w:r w:rsidRPr="0086304A">
        <w:rPr>
          <w:rFonts w:asciiTheme="majorBidi" w:hAnsiTheme="majorBidi" w:cstheme="majorBidi"/>
          <w:sz w:val="24"/>
          <w:szCs w:val="24"/>
        </w:rPr>
        <w:t xml:space="preserve">Al-Tirmiżī, </w:t>
      </w:r>
      <w:r w:rsidRPr="0086304A">
        <w:rPr>
          <w:rStyle w:val="Emphasis"/>
          <w:rFonts w:asciiTheme="majorBidi" w:hAnsiTheme="majorBidi" w:cstheme="majorBidi"/>
          <w:sz w:val="24"/>
          <w:szCs w:val="24"/>
        </w:rPr>
        <w:t>Sunan al-Tirmiżī</w:t>
      </w:r>
      <w:r w:rsidRPr="0086304A">
        <w:rPr>
          <w:rFonts w:asciiTheme="majorBidi" w:hAnsiTheme="majorBidi" w:cstheme="majorBidi"/>
          <w:sz w:val="24"/>
          <w:szCs w:val="24"/>
        </w:rPr>
        <w:t>, Juz IV (Beirut: Dār a</w:t>
      </w:r>
      <w:r w:rsidR="00557219">
        <w:rPr>
          <w:rFonts w:asciiTheme="majorBidi" w:hAnsiTheme="majorBidi" w:cstheme="majorBidi"/>
          <w:sz w:val="24"/>
          <w:szCs w:val="24"/>
        </w:rPr>
        <w:t>l-Gharb al-Islāmī, 1998)</w:t>
      </w:r>
      <w:r w:rsidRPr="0086304A">
        <w:rPr>
          <w:rFonts w:asciiTheme="majorBidi" w:hAnsiTheme="majorBidi" w:cstheme="majorBidi"/>
          <w:sz w:val="24"/>
          <w:szCs w:val="24"/>
        </w:rPr>
        <w:t>.</w:t>
      </w:r>
      <w:proofErr w:type="gramEnd"/>
      <w:r w:rsidRPr="0086304A">
        <w:rPr>
          <w:rFonts w:asciiTheme="majorBidi" w:hAnsiTheme="majorBidi" w:cstheme="majorBidi"/>
          <w:sz w:val="24"/>
          <w:szCs w:val="24"/>
        </w:rPr>
        <w:t xml:space="preserve">  </w:t>
      </w:r>
    </w:p>
    <w:p w:rsidR="0012114C" w:rsidRPr="0086304A" w:rsidRDefault="0012114C" w:rsidP="00557219">
      <w:pPr>
        <w:pStyle w:val="FootnoteText"/>
        <w:spacing w:after="240"/>
        <w:ind w:left="720" w:hanging="720"/>
        <w:jc w:val="both"/>
        <w:rPr>
          <w:rFonts w:asciiTheme="majorBidi" w:hAnsiTheme="majorBidi" w:cstheme="majorBidi"/>
          <w:sz w:val="24"/>
          <w:szCs w:val="24"/>
        </w:rPr>
      </w:pPr>
      <w:proofErr w:type="gramStart"/>
      <w:r w:rsidRPr="0086304A">
        <w:rPr>
          <w:rFonts w:asciiTheme="majorBidi" w:hAnsiTheme="majorBidi" w:cstheme="majorBidi"/>
          <w:sz w:val="24"/>
          <w:szCs w:val="24"/>
        </w:rPr>
        <w:t>Asef Bayat, “Religion, Social Crisis and Moral Responsibility,” Studia Islamik</w:t>
      </w:r>
      <w:r w:rsidR="00557219">
        <w:rPr>
          <w:rFonts w:asciiTheme="majorBidi" w:hAnsiTheme="majorBidi" w:cstheme="majorBidi"/>
          <w:sz w:val="24"/>
          <w:szCs w:val="24"/>
        </w:rPr>
        <w:t>a, Vol. 24, No. 2 (2017)</w:t>
      </w:r>
      <w:r w:rsidRPr="0086304A">
        <w:rPr>
          <w:rFonts w:asciiTheme="majorBidi" w:hAnsiTheme="majorBidi" w:cstheme="majorBidi"/>
          <w:sz w:val="24"/>
          <w:szCs w:val="24"/>
        </w:rPr>
        <w:t>.</w:t>
      </w:r>
      <w:proofErr w:type="gramEnd"/>
    </w:p>
    <w:p w:rsidR="0012114C" w:rsidRPr="0086304A" w:rsidRDefault="0012114C" w:rsidP="00557219">
      <w:pPr>
        <w:pStyle w:val="FootnoteText"/>
        <w:spacing w:after="240"/>
        <w:ind w:left="720" w:hanging="720"/>
        <w:jc w:val="both"/>
        <w:rPr>
          <w:rFonts w:asciiTheme="majorBidi" w:hAnsiTheme="majorBidi" w:cstheme="majorBidi"/>
          <w:sz w:val="24"/>
          <w:szCs w:val="24"/>
        </w:rPr>
      </w:pPr>
      <w:proofErr w:type="gramStart"/>
      <w:r w:rsidRPr="0086304A">
        <w:rPr>
          <w:rFonts w:asciiTheme="majorBidi" w:hAnsiTheme="majorBidi" w:cstheme="majorBidi"/>
          <w:sz w:val="24"/>
          <w:szCs w:val="24"/>
        </w:rPr>
        <w:t xml:space="preserve">Ebrahim Moosa, “Islamic Ethics and the Problem of Evil,” </w:t>
      </w:r>
      <w:r w:rsidRPr="0086304A">
        <w:rPr>
          <w:rStyle w:val="Emphasis"/>
          <w:rFonts w:asciiTheme="majorBidi" w:hAnsiTheme="majorBidi" w:cstheme="majorBidi"/>
          <w:sz w:val="24"/>
          <w:szCs w:val="24"/>
        </w:rPr>
        <w:t>Journal of Islamic Ethics</w:t>
      </w:r>
      <w:r w:rsidR="00557219">
        <w:rPr>
          <w:rFonts w:asciiTheme="majorBidi" w:hAnsiTheme="majorBidi" w:cstheme="majorBidi"/>
          <w:sz w:val="24"/>
          <w:szCs w:val="24"/>
        </w:rPr>
        <w:t>, Vol. 2, No. 1 (2018)</w:t>
      </w:r>
      <w:r w:rsidRPr="0086304A">
        <w:rPr>
          <w:rFonts w:asciiTheme="majorBidi" w:hAnsiTheme="majorBidi" w:cstheme="majorBidi"/>
          <w:sz w:val="24"/>
          <w:szCs w:val="24"/>
        </w:rPr>
        <w:t>.</w:t>
      </w:r>
      <w:proofErr w:type="gramEnd"/>
      <w:r w:rsidRPr="0086304A">
        <w:rPr>
          <w:rFonts w:asciiTheme="majorBidi" w:hAnsiTheme="majorBidi" w:cstheme="majorBidi"/>
          <w:sz w:val="24"/>
          <w:szCs w:val="24"/>
        </w:rPr>
        <w:t xml:space="preserve"> </w:t>
      </w:r>
    </w:p>
    <w:p w:rsidR="0012114C" w:rsidRPr="0086304A" w:rsidRDefault="0012114C" w:rsidP="00557219">
      <w:pPr>
        <w:pStyle w:val="FootnoteText"/>
        <w:spacing w:after="240"/>
        <w:ind w:left="720" w:hanging="720"/>
        <w:jc w:val="both"/>
        <w:rPr>
          <w:rFonts w:asciiTheme="majorBidi" w:hAnsiTheme="majorBidi" w:cstheme="majorBidi"/>
          <w:sz w:val="24"/>
          <w:szCs w:val="24"/>
        </w:rPr>
      </w:pPr>
      <w:r w:rsidRPr="0086304A">
        <w:rPr>
          <w:rFonts w:asciiTheme="majorBidi" w:hAnsiTheme="majorBidi" w:cstheme="majorBidi"/>
          <w:sz w:val="24"/>
          <w:szCs w:val="24"/>
        </w:rPr>
        <w:t xml:space="preserve">Ibn Ḥajar al-‘Asqalānī, </w:t>
      </w:r>
      <w:r w:rsidRPr="0086304A">
        <w:rPr>
          <w:rStyle w:val="Emphasis"/>
          <w:rFonts w:asciiTheme="majorBidi" w:hAnsiTheme="majorBidi" w:cstheme="majorBidi"/>
          <w:sz w:val="24"/>
          <w:szCs w:val="24"/>
        </w:rPr>
        <w:t>Fatḥ al-Bārī</w:t>
      </w:r>
      <w:r w:rsidRPr="0086304A">
        <w:rPr>
          <w:rFonts w:asciiTheme="majorBidi" w:hAnsiTheme="majorBidi" w:cstheme="majorBidi"/>
          <w:sz w:val="24"/>
          <w:szCs w:val="24"/>
        </w:rPr>
        <w:t>, Juz X (Beirut: Dār al-Ma‘rifah, 13</w:t>
      </w:r>
      <w:r w:rsidR="00557219">
        <w:rPr>
          <w:rFonts w:asciiTheme="majorBidi" w:hAnsiTheme="majorBidi" w:cstheme="majorBidi"/>
          <w:sz w:val="24"/>
          <w:szCs w:val="24"/>
        </w:rPr>
        <w:t>79 H)</w:t>
      </w:r>
      <w:r w:rsidRPr="0086304A">
        <w:rPr>
          <w:rFonts w:asciiTheme="majorBidi" w:hAnsiTheme="majorBidi" w:cstheme="majorBidi"/>
          <w:sz w:val="24"/>
          <w:szCs w:val="24"/>
        </w:rPr>
        <w:t xml:space="preserve">. </w:t>
      </w:r>
    </w:p>
    <w:p w:rsidR="0012114C" w:rsidRPr="0086304A" w:rsidRDefault="0012114C" w:rsidP="00557219">
      <w:pPr>
        <w:pStyle w:val="FootnoteText"/>
        <w:spacing w:after="240"/>
        <w:ind w:left="720" w:hanging="720"/>
        <w:jc w:val="both"/>
        <w:rPr>
          <w:rFonts w:asciiTheme="majorBidi" w:hAnsiTheme="majorBidi" w:cstheme="majorBidi"/>
          <w:sz w:val="24"/>
          <w:szCs w:val="24"/>
        </w:rPr>
      </w:pPr>
      <w:r w:rsidRPr="0086304A">
        <w:rPr>
          <w:rFonts w:asciiTheme="majorBidi" w:hAnsiTheme="majorBidi" w:cstheme="majorBidi"/>
          <w:sz w:val="24"/>
          <w:szCs w:val="24"/>
        </w:rPr>
        <w:t xml:space="preserve">Ibn Mājah, </w:t>
      </w:r>
      <w:r w:rsidRPr="0086304A">
        <w:rPr>
          <w:rStyle w:val="Emphasis"/>
          <w:rFonts w:asciiTheme="majorBidi" w:hAnsiTheme="majorBidi" w:cstheme="majorBidi"/>
          <w:sz w:val="24"/>
          <w:szCs w:val="24"/>
        </w:rPr>
        <w:t>Sunan Ibn Mājah</w:t>
      </w:r>
      <w:r w:rsidRPr="0086304A">
        <w:rPr>
          <w:rFonts w:asciiTheme="majorBidi" w:hAnsiTheme="majorBidi" w:cstheme="majorBidi"/>
          <w:sz w:val="24"/>
          <w:szCs w:val="24"/>
        </w:rPr>
        <w:t xml:space="preserve">, </w:t>
      </w:r>
      <w:proofErr w:type="gramStart"/>
      <w:r w:rsidRPr="0086304A">
        <w:rPr>
          <w:rFonts w:asciiTheme="majorBidi" w:hAnsiTheme="majorBidi" w:cstheme="majorBidi"/>
          <w:sz w:val="24"/>
          <w:szCs w:val="24"/>
        </w:rPr>
        <w:t>Juz</w:t>
      </w:r>
      <w:proofErr w:type="gramEnd"/>
      <w:r w:rsidRPr="0086304A">
        <w:rPr>
          <w:rFonts w:asciiTheme="majorBidi" w:hAnsiTheme="majorBidi" w:cstheme="majorBidi"/>
          <w:sz w:val="24"/>
          <w:szCs w:val="24"/>
        </w:rPr>
        <w:t xml:space="preserve"> II (Be</w:t>
      </w:r>
      <w:r w:rsidR="00557219">
        <w:rPr>
          <w:rFonts w:asciiTheme="majorBidi" w:hAnsiTheme="majorBidi" w:cstheme="majorBidi"/>
          <w:sz w:val="24"/>
          <w:szCs w:val="24"/>
        </w:rPr>
        <w:t>irut: Dār al-Fikr, t.t.)</w:t>
      </w:r>
      <w:r w:rsidRPr="0086304A">
        <w:rPr>
          <w:rFonts w:asciiTheme="majorBidi" w:hAnsiTheme="majorBidi" w:cstheme="majorBidi"/>
          <w:sz w:val="24"/>
          <w:szCs w:val="24"/>
        </w:rPr>
        <w:t xml:space="preserve">. </w:t>
      </w:r>
    </w:p>
    <w:p w:rsidR="0012114C" w:rsidRPr="0086304A" w:rsidRDefault="0012114C" w:rsidP="00557219">
      <w:pPr>
        <w:pStyle w:val="FootnoteText"/>
        <w:spacing w:after="240"/>
        <w:ind w:left="720" w:hanging="720"/>
        <w:jc w:val="both"/>
        <w:rPr>
          <w:rFonts w:asciiTheme="majorBidi" w:hAnsiTheme="majorBidi" w:cstheme="majorBidi"/>
          <w:sz w:val="24"/>
          <w:szCs w:val="24"/>
        </w:rPr>
      </w:pPr>
      <w:r w:rsidRPr="0086304A">
        <w:rPr>
          <w:rFonts w:asciiTheme="majorBidi" w:hAnsiTheme="majorBidi" w:cstheme="majorBidi"/>
          <w:sz w:val="24"/>
          <w:szCs w:val="24"/>
        </w:rPr>
        <w:t xml:space="preserve">Ibn Taymiyyah, </w:t>
      </w:r>
      <w:proofErr w:type="gramStart"/>
      <w:r w:rsidRPr="0086304A">
        <w:rPr>
          <w:rStyle w:val="Emphasis"/>
          <w:rFonts w:asciiTheme="majorBidi" w:hAnsiTheme="majorBidi" w:cstheme="majorBidi"/>
          <w:sz w:val="24"/>
          <w:szCs w:val="24"/>
        </w:rPr>
        <w:t>Majmū‘ al</w:t>
      </w:r>
      <w:proofErr w:type="gramEnd"/>
      <w:r w:rsidRPr="0086304A">
        <w:rPr>
          <w:rStyle w:val="Emphasis"/>
          <w:rFonts w:asciiTheme="majorBidi" w:hAnsiTheme="majorBidi" w:cstheme="majorBidi"/>
          <w:sz w:val="24"/>
          <w:szCs w:val="24"/>
        </w:rPr>
        <w:t>-Fatāwā</w:t>
      </w:r>
      <w:r w:rsidRPr="0086304A">
        <w:rPr>
          <w:rFonts w:asciiTheme="majorBidi" w:hAnsiTheme="majorBidi" w:cstheme="majorBidi"/>
          <w:sz w:val="24"/>
          <w:szCs w:val="24"/>
        </w:rPr>
        <w:t>, Juz IV (Riyadh: Dā</w:t>
      </w:r>
      <w:r w:rsidR="00557219">
        <w:rPr>
          <w:rFonts w:asciiTheme="majorBidi" w:hAnsiTheme="majorBidi" w:cstheme="majorBidi"/>
          <w:sz w:val="24"/>
          <w:szCs w:val="24"/>
        </w:rPr>
        <w:t>r ‘Ālam al-Kutub, 1995)</w:t>
      </w:r>
      <w:r w:rsidRPr="0086304A">
        <w:rPr>
          <w:rFonts w:asciiTheme="majorBidi" w:hAnsiTheme="majorBidi" w:cstheme="majorBidi"/>
          <w:sz w:val="24"/>
          <w:szCs w:val="24"/>
        </w:rPr>
        <w:t xml:space="preserve">. </w:t>
      </w:r>
    </w:p>
    <w:p w:rsidR="0012114C" w:rsidRPr="0086304A" w:rsidRDefault="0012114C" w:rsidP="00557219">
      <w:pPr>
        <w:pStyle w:val="FootnoteText"/>
        <w:spacing w:after="240"/>
        <w:ind w:left="720" w:hanging="720"/>
        <w:jc w:val="both"/>
        <w:rPr>
          <w:rFonts w:asciiTheme="majorBidi" w:hAnsiTheme="majorBidi" w:cstheme="majorBidi"/>
          <w:sz w:val="24"/>
          <w:szCs w:val="24"/>
        </w:rPr>
      </w:pPr>
      <w:r w:rsidRPr="0086304A">
        <w:rPr>
          <w:rFonts w:asciiTheme="majorBidi" w:hAnsiTheme="majorBidi" w:cstheme="majorBidi"/>
          <w:sz w:val="24"/>
          <w:szCs w:val="24"/>
        </w:rPr>
        <w:t xml:space="preserve">Jasser Auda, </w:t>
      </w:r>
      <w:r w:rsidRPr="0086304A">
        <w:rPr>
          <w:rStyle w:val="Emphasis"/>
          <w:rFonts w:asciiTheme="majorBidi" w:hAnsiTheme="majorBidi" w:cstheme="majorBidi"/>
          <w:sz w:val="24"/>
          <w:szCs w:val="24"/>
        </w:rPr>
        <w:t>Maqasid al-Shariah as Philosophy of Islamic Law</w:t>
      </w:r>
      <w:r w:rsidR="00557219">
        <w:rPr>
          <w:rFonts w:asciiTheme="majorBidi" w:hAnsiTheme="majorBidi" w:cstheme="majorBidi"/>
          <w:sz w:val="24"/>
          <w:szCs w:val="24"/>
        </w:rPr>
        <w:t xml:space="preserve"> (London: IIIT, 2008)</w:t>
      </w:r>
      <w:r w:rsidRPr="0086304A">
        <w:rPr>
          <w:rFonts w:asciiTheme="majorBidi" w:hAnsiTheme="majorBidi" w:cstheme="majorBidi"/>
          <w:sz w:val="24"/>
          <w:szCs w:val="24"/>
        </w:rPr>
        <w:t xml:space="preserve">. </w:t>
      </w:r>
    </w:p>
    <w:p w:rsidR="0012114C" w:rsidRDefault="0012114C" w:rsidP="00557219">
      <w:pPr>
        <w:pStyle w:val="FootnoteText"/>
        <w:spacing w:after="240"/>
        <w:ind w:left="720" w:hanging="720"/>
        <w:jc w:val="both"/>
        <w:rPr>
          <w:rFonts w:asciiTheme="majorBidi" w:hAnsiTheme="majorBidi" w:cstheme="majorBidi"/>
          <w:sz w:val="24"/>
          <w:szCs w:val="24"/>
        </w:rPr>
      </w:pPr>
      <w:proofErr w:type="gramStart"/>
      <w:r w:rsidRPr="0086304A">
        <w:rPr>
          <w:rFonts w:asciiTheme="majorBidi" w:hAnsiTheme="majorBidi" w:cstheme="majorBidi"/>
          <w:sz w:val="24"/>
          <w:szCs w:val="24"/>
        </w:rPr>
        <w:t xml:space="preserve">M. Amin Abdullah, “Religion, Science and Disaster Studies,” </w:t>
      </w:r>
      <w:r w:rsidRPr="0086304A">
        <w:rPr>
          <w:rStyle w:val="Emphasis"/>
          <w:rFonts w:asciiTheme="majorBidi" w:hAnsiTheme="majorBidi" w:cstheme="majorBidi"/>
          <w:sz w:val="24"/>
          <w:szCs w:val="24"/>
        </w:rPr>
        <w:t>Al-Jami‘ah</w:t>
      </w:r>
      <w:r w:rsidR="00557219">
        <w:rPr>
          <w:rFonts w:asciiTheme="majorBidi" w:hAnsiTheme="majorBidi" w:cstheme="majorBidi"/>
          <w:sz w:val="24"/>
          <w:szCs w:val="24"/>
        </w:rPr>
        <w:t>, Vol. 55, No. 2 (2017)</w:t>
      </w:r>
      <w:r w:rsidRPr="0086304A">
        <w:rPr>
          <w:rFonts w:asciiTheme="majorBidi" w:hAnsiTheme="majorBidi" w:cstheme="majorBidi"/>
          <w:sz w:val="24"/>
          <w:szCs w:val="24"/>
        </w:rPr>
        <w:t>.</w:t>
      </w:r>
      <w:proofErr w:type="gramEnd"/>
      <w:r w:rsidRPr="0086304A">
        <w:rPr>
          <w:rFonts w:asciiTheme="majorBidi" w:hAnsiTheme="majorBidi" w:cstheme="majorBidi"/>
          <w:sz w:val="24"/>
          <w:szCs w:val="24"/>
        </w:rPr>
        <w:t xml:space="preserve"> </w:t>
      </w:r>
    </w:p>
    <w:p w:rsidR="0012114C" w:rsidRPr="0086304A" w:rsidRDefault="0012114C" w:rsidP="00557219">
      <w:pPr>
        <w:pStyle w:val="FootnoteText"/>
        <w:spacing w:after="240"/>
        <w:ind w:left="720" w:hanging="720"/>
        <w:jc w:val="both"/>
        <w:rPr>
          <w:rFonts w:asciiTheme="majorBidi" w:hAnsiTheme="majorBidi" w:cstheme="majorBidi"/>
          <w:sz w:val="24"/>
          <w:szCs w:val="24"/>
        </w:rPr>
      </w:pPr>
      <w:proofErr w:type="gramStart"/>
      <w:r w:rsidRPr="0086304A">
        <w:rPr>
          <w:rFonts w:asciiTheme="majorBidi" w:hAnsiTheme="majorBidi" w:cstheme="majorBidi"/>
          <w:sz w:val="24"/>
          <w:szCs w:val="24"/>
        </w:rPr>
        <w:t xml:space="preserve">M. Amin Abdullah, “Religion, Science, and Disaster Studies,” </w:t>
      </w:r>
      <w:r w:rsidRPr="0086304A">
        <w:rPr>
          <w:rStyle w:val="Emphasis"/>
          <w:rFonts w:asciiTheme="majorBidi" w:hAnsiTheme="majorBidi" w:cstheme="majorBidi"/>
          <w:sz w:val="24"/>
          <w:szCs w:val="24"/>
        </w:rPr>
        <w:t>Al-Jami‘ah</w:t>
      </w:r>
      <w:r w:rsidR="00557219">
        <w:rPr>
          <w:rFonts w:asciiTheme="majorBidi" w:hAnsiTheme="majorBidi" w:cstheme="majorBidi"/>
          <w:sz w:val="24"/>
          <w:szCs w:val="24"/>
        </w:rPr>
        <w:t>, Vol. 55, No. 2 (2017)</w:t>
      </w:r>
      <w:r w:rsidRPr="0086304A">
        <w:rPr>
          <w:rFonts w:asciiTheme="majorBidi" w:hAnsiTheme="majorBidi" w:cstheme="majorBidi"/>
          <w:sz w:val="24"/>
          <w:szCs w:val="24"/>
        </w:rPr>
        <w:t>.</w:t>
      </w:r>
      <w:proofErr w:type="gramEnd"/>
      <w:r w:rsidRPr="0086304A">
        <w:rPr>
          <w:rFonts w:asciiTheme="majorBidi" w:hAnsiTheme="majorBidi" w:cstheme="majorBidi"/>
          <w:sz w:val="24"/>
          <w:szCs w:val="24"/>
        </w:rPr>
        <w:t xml:space="preserve"> </w:t>
      </w:r>
    </w:p>
    <w:p w:rsidR="0012114C" w:rsidRPr="0086304A" w:rsidRDefault="0012114C" w:rsidP="00557219">
      <w:pPr>
        <w:pStyle w:val="FootnoteText"/>
        <w:spacing w:after="240"/>
        <w:ind w:left="720" w:hanging="720"/>
        <w:jc w:val="both"/>
        <w:rPr>
          <w:rFonts w:asciiTheme="majorBidi" w:hAnsiTheme="majorBidi" w:cstheme="majorBidi"/>
          <w:sz w:val="24"/>
          <w:szCs w:val="24"/>
        </w:rPr>
      </w:pPr>
      <w:r w:rsidRPr="0086304A">
        <w:rPr>
          <w:rFonts w:asciiTheme="majorBidi" w:hAnsiTheme="majorBidi" w:cstheme="majorBidi"/>
          <w:sz w:val="24"/>
          <w:szCs w:val="24"/>
        </w:rPr>
        <w:t xml:space="preserve">M. Quraish Shihab, </w:t>
      </w:r>
      <w:r w:rsidRPr="0086304A">
        <w:rPr>
          <w:rStyle w:val="Emphasis"/>
          <w:rFonts w:asciiTheme="majorBidi" w:hAnsiTheme="majorBidi" w:cstheme="majorBidi"/>
          <w:sz w:val="24"/>
          <w:szCs w:val="24"/>
        </w:rPr>
        <w:t>Tafsir al-Mishbah</w:t>
      </w:r>
      <w:r w:rsidRPr="0086304A">
        <w:rPr>
          <w:rFonts w:asciiTheme="majorBidi" w:hAnsiTheme="majorBidi" w:cstheme="majorBidi"/>
          <w:sz w:val="24"/>
          <w:szCs w:val="24"/>
        </w:rPr>
        <w:t>, Vol. 2 (Jaka</w:t>
      </w:r>
      <w:r w:rsidR="00557219">
        <w:rPr>
          <w:rFonts w:asciiTheme="majorBidi" w:hAnsiTheme="majorBidi" w:cstheme="majorBidi"/>
          <w:sz w:val="24"/>
          <w:szCs w:val="24"/>
        </w:rPr>
        <w:t>rta: Lentera Hati, 2002)</w:t>
      </w:r>
      <w:r w:rsidRPr="0086304A">
        <w:rPr>
          <w:rFonts w:asciiTheme="majorBidi" w:hAnsiTheme="majorBidi" w:cstheme="majorBidi"/>
          <w:sz w:val="24"/>
          <w:szCs w:val="24"/>
        </w:rPr>
        <w:t xml:space="preserve">. </w:t>
      </w:r>
    </w:p>
    <w:p w:rsidR="0012114C" w:rsidRPr="0086304A" w:rsidRDefault="0012114C" w:rsidP="00557219">
      <w:pPr>
        <w:pStyle w:val="FootnoteText"/>
        <w:spacing w:after="240"/>
        <w:ind w:left="720" w:hanging="720"/>
        <w:jc w:val="both"/>
        <w:rPr>
          <w:rFonts w:asciiTheme="majorBidi" w:hAnsiTheme="majorBidi" w:cstheme="majorBidi"/>
          <w:sz w:val="24"/>
          <w:szCs w:val="24"/>
        </w:rPr>
      </w:pPr>
      <w:r w:rsidRPr="0086304A">
        <w:rPr>
          <w:rFonts w:asciiTheme="majorBidi" w:hAnsiTheme="majorBidi" w:cstheme="majorBidi"/>
          <w:sz w:val="24"/>
          <w:szCs w:val="24"/>
        </w:rPr>
        <w:t xml:space="preserve">Muslim ibn al-Ḥajjāj, </w:t>
      </w:r>
      <w:r w:rsidRPr="0086304A">
        <w:rPr>
          <w:rStyle w:val="Emphasis"/>
          <w:rFonts w:asciiTheme="majorBidi" w:hAnsiTheme="majorBidi" w:cstheme="majorBidi"/>
          <w:sz w:val="24"/>
          <w:szCs w:val="24"/>
        </w:rPr>
        <w:t>Ṣaḥīḥ Muslim</w:t>
      </w:r>
      <w:r w:rsidRPr="0086304A">
        <w:rPr>
          <w:rFonts w:asciiTheme="majorBidi" w:hAnsiTheme="majorBidi" w:cstheme="majorBidi"/>
          <w:sz w:val="24"/>
          <w:szCs w:val="24"/>
        </w:rPr>
        <w:t>, Juz IV (Beirut: Dār Ihyā’ al-</w:t>
      </w:r>
      <w:r w:rsidR="00557219">
        <w:rPr>
          <w:rFonts w:asciiTheme="majorBidi" w:hAnsiTheme="majorBidi" w:cstheme="majorBidi"/>
          <w:sz w:val="24"/>
          <w:szCs w:val="24"/>
        </w:rPr>
        <w:t>Turāth al-‘Arabī, t.t.)</w:t>
      </w:r>
      <w:r w:rsidRPr="0086304A">
        <w:rPr>
          <w:rFonts w:asciiTheme="majorBidi" w:hAnsiTheme="majorBidi" w:cstheme="majorBidi"/>
          <w:sz w:val="24"/>
          <w:szCs w:val="24"/>
        </w:rPr>
        <w:t xml:space="preserve">.  </w:t>
      </w:r>
    </w:p>
    <w:p w:rsidR="0012114C" w:rsidRPr="0086304A" w:rsidRDefault="0012114C" w:rsidP="00557219">
      <w:pPr>
        <w:pStyle w:val="FootnoteText"/>
        <w:spacing w:after="240"/>
        <w:ind w:left="720" w:hanging="720"/>
        <w:jc w:val="both"/>
        <w:rPr>
          <w:rFonts w:asciiTheme="majorBidi" w:hAnsiTheme="majorBidi" w:cstheme="majorBidi"/>
          <w:sz w:val="24"/>
          <w:szCs w:val="24"/>
        </w:rPr>
      </w:pPr>
      <w:r w:rsidRPr="0086304A">
        <w:rPr>
          <w:rFonts w:asciiTheme="majorBidi" w:hAnsiTheme="majorBidi" w:cstheme="majorBidi"/>
          <w:sz w:val="24"/>
          <w:szCs w:val="24"/>
        </w:rPr>
        <w:t xml:space="preserve">Seyyed Hossein Nasr, </w:t>
      </w:r>
      <w:r w:rsidRPr="0086304A">
        <w:rPr>
          <w:rStyle w:val="Emphasis"/>
          <w:rFonts w:asciiTheme="majorBidi" w:hAnsiTheme="majorBidi" w:cstheme="majorBidi"/>
          <w:sz w:val="24"/>
          <w:szCs w:val="24"/>
        </w:rPr>
        <w:t>Man and Nature: The Spiritual Crisis of Modern Man</w:t>
      </w:r>
      <w:r w:rsidR="00557219">
        <w:rPr>
          <w:rFonts w:asciiTheme="majorBidi" w:hAnsiTheme="majorBidi" w:cstheme="majorBidi"/>
          <w:sz w:val="24"/>
          <w:szCs w:val="24"/>
        </w:rPr>
        <w:t xml:space="preserve"> (London: Unwin, 1990)</w:t>
      </w:r>
      <w:r w:rsidRPr="0086304A">
        <w:rPr>
          <w:rFonts w:asciiTheme="majorBidi" w:hAnsiTheme="majorBidi" w:cstheme="majorBidi"/>
          <w:sz w:val="24"/>
          <w:szCs w:val="24"/>
        </w:rPr>
        <w:t xml:space="preserve">. </w:t>
      </w:r>
    </w:p>
    <w:p w:rsidR="0086304A" w:rsidRPr="00557219" w:rsidRDefault="0012114C" w:rsidP="00557219">
      <w:pPr>
        <w:pStyle w:val="FootnoteText"/>
        <w:spacing w:after="240"/>
        <w:ind w:left="720" w:hanging="720"/>
        <w:jc w:val="both"/>
        <w:rPr>
          <w:rFonts w:asciiTheme="majorBidi" w:hAnsiTheme="majorBidi" w:cstheme="majorBidi"/>
          <w:sz w:val="24"/>
          <w:szCs w:val="24"/>
        </w:rPr>
      </w:pPr>
      <w:r w:rsidRPr="0086304A">
        <w:rPr>
          <w:rFonts w:asciiTheme="majorBidi" w:hAnsiTheme="majorBidi" w:cstheme="majorBidi"/>
          <w:sz w:val="24"/>
          <w:szCs w:val="24"/>
        </w:rPr>
        <w:t xml:space="preserve">Syamsul Rijal, “Teologi Bencana dalam Perspektif Islam Indonesia,” </w:t>
      </w:r>
      <w:r w:rsidRPr="0086304A">
        <w:rPr>
          <w:rStyle w:val="Emphasis"/>
          <w:rFonts w:asciiTheme="majorBidi" w:hAnsiTheme="majorBidi" w:cstheme="majorBidi"/>
          <w:sz w:val="24"/>
          <w:szCs w:val="24"/>
        </w:rPr>
        <w:t>Studia Islamika</w:t>
      </w:r>
      <w:r w:rsidR="00557219">
        <w:rPr>
          <w:rFonts w:asciiTheme="majorBidi" w:hAnsiTheme="majorBidi" w:cstheme="majorBidi"/>
          <w:sz w:val="24"/>
          <w:szCs w:val="24"/>
        </w:rPr>
        <w:t>, Vol. 27, No. 1 (2020)</w:t>
      </w:r>
      <w:r w:rsidRPr="0086304A">
        <w:rPr>
          <w:rFonts w:asciiTheme="majorBidi" w:hAnsiTheme="majorBidi" w:cstheme="majorBidi"/>
          <w:sz w:val="24"/>
          <w:szCs w:val="24"/>
        </w:rPr>
        <w:t xml:space="preserve">. </w:t>
      </w:r>
    </w:p>
    <w:sectPr w:rsidR="0086304A" w:rsidRPr="00557219" w:rsidSect="005A51AA">
      <w:footerReference w:type="default" r:id="rId11"/>
      <w:pgSz w:w="11907" w:h="16839" w:code="9"/>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D52E9" w:rsidRDefault="009D52E9" w:rsidP="005F5E23">
      <w:pPr>
        <w:spacing w:after="0" w:line="240" w:lineRule="auto"/>
      </w:pPr>
      <w:r>
        <w:separator/>
      </w:r>
    </w:p>
  </w:endnote>
  <w:endnote w:type="continuationSeparator" w:id="0">
    <w:p w:rsidR="009D52E9" w:rsidRDefault="009D52E9" w:rsidP="005F5E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83089921"/>
      <w:docPartObj>
        <w:docPartGallery w:val="Page Numbers (Bottom of Page)"/>
        <w:docPartUnique/>
      </w:docPartObj>
    </w:sdtPr>
    <w:sdtEndPr>
      <w:rPr>
        <w:noProof/>
      </w:rPr>
    </w:sdtEndPr>
    <w:sdtContent>
      <w:p w:rsidR="005A51AA" w:rsidRDefault="005A51AA">
        <w:pPr>
          <w:pStyle w:val="Footer"/>
          <w:jc w:val="center"/>
        </w:pPr>
        <w:r>
          <w:fldChar w:fldCharType="begin"/>
        </w:r>
        <w:r>
          <w:instrText xml:space="preserve"> PAGE   \* MERGEFORMAT </w:instrText>
        </w:r>
        <w:r>
          <w:fldChar w:fldCharType="separate"/>
        </w:r>
        <w:r w:rsidR="002A3E7A">
          <w:rPr>
            <w:noProof/>
          </w:rPr>
          <w:t>14</w:t>
        </w:r>
        <w:r>
          <w:rPr>
            <w:noProof/>
          </w:rPr>
          <w:fldChar w:fldCharType="end"/>
        </w:r>
      </w:p>
    </w:sdtContent>
  </w:sdt>
  <w:p w:rsidR="005A51AA" w:rsidRDefault="005A51A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D52E9" w:rsidRDefault="009D52E9" w:rsidP="005F5E23">
      <w:pPr>
        <w:spacing w:after="0" w:line="240" w:lineRule="auto"/>
      </w:pPr>
      <w:r>
        <w:separator/>
      </w:r>
    </w:p>
  </w:footnote>
  <w:footnote w:type="continuationSeparator" w:id="0">
    <w:p w:rsidR="009D52E9" w:rsidRDefault="009D52E9" w:rsidP="005F5E23">
      <w:pPr>
        <w:spacing w:after="0" w:line="240" w:lineRule="auto"/>
      </w:pPr>
      <w:r>
        <w:continuationSeparator/>
      </w:r>
    </w:p>
  </w:footnote>
  <w:footnote w:id="1">
    <w:p w:rsidR="005F5E23" w:rsidRPr="00876FD8" w:rsidRDefault="005F5E23" w:rsidP="00876FD8">
      <w:pPr>
        <w:pStyle w:val="FootnoteText"/>
        <w:ind w:firstLine="720"/>
        <w:jc w:val="both"/>
        <w:rPr>
          <w:rFonts w:asciiTheme="majorBidi" w:hAnsiTheme="majorBidi" w:cstheme="majorBidi"/>
        </w:rPr>
      </w:pPr>
      <w:r w:rsidRPr="00876FD8">
        <w:rPr>
          <w:rStyle w:val="FootnoteReference"/>
          <w:rFonts w:asciiTheme="majorBidi" w:hAnsiTheme="majorBidi" w:cstheme="majorBidi"/>
        </w:rPr>
        <w:footnoteRef/>
      </w:r>
      <w:r w:rsidRPr="00876FD8">
        <w:rPr>
          <w:rFonts w:asciiTheme="majorBidi" w:hAnsiTheme="majorBidi" w:cstheme="majorBidi"/>
        </w:rPr>
        <w:t xml:space="preserve">Abdul Karim Soroush, </w:t>
      </w:r>
      <w:r w:rsidRPr="00876FD8">
        <w:rPr>
          <w:rStyle w:val="Emphasis"/>
          <w:rFonts w:asciiTheme="majorBidi" w:hAnsiTheme="majorBidi" w:cstheme="majorBidi"/>
        </w:rPr>
        <w:t>Reason, Freedom, and Democracy in Islam</w:t>
      </w:r>
      <w:r w:rsidRPr="00876FD8">
        <w:rPr>
          <w:rFonts w:asciiTheme="majorBidi" w:hAnsiTheme="majorBidi" w:cstheme="majorBidi"/>
        </w:rPr>
        <w:t xml:space="preserve"> (Oxford: Oxford University Press, 2000), h. 112. </w:t>
      </w:r>
    </w:p>
  </w:footnote>
  <w:footnote w:id="2">
    <w:p w:rsidR="009068AF" w:rsidRPr="00876FD8" w:rsidRDefault="009068AF" w:rsidP="00876FD8">
      <w:pPr>
        <w:pStyle w:val="FootnoteText"/>
        <w:ind w:firstLine="720"/>
        <w:jc w:val="both"/>
        <w:rPr>
          <w:rFonts w:asciiTheme="majorBidi" w:hAnsiTheme="majorBidi" w:cstheme="majorBidi"/>
        </w:rPr>
      </w:pPr>
      <w:r w:rsidRPr="00876FD8">
        <w:rPr>
          <w:rStyle w:val="FootnoteReference"/>
          <w:rFonts w:asciiTheme="majorBidi" w:hAnsiTheme="majorBidi" w:cstheme="majorBidi"/>
        </w:rPr>
        <w:footnoteRef/>
      </w:r>
      <w:r w:rsidRPr="00876FD8">
        <w:rPr>
          <w:rFonts w:asciiTheme="majorBidi" w:hAnsiTheme="majorBidi" w:cstheme="majorBidi"/>
          <w:color w:val="0A0A0A"/>
          <w:shd w:val="clear" w:color="auto" w:fill="FFFFFF"/>
          <w:rtl/>
        </w:rPr>
        <w:t>إِذَا سَمِعْتُمْ بِالطَّاعُونِ بِأَرْضٍ فَلَا تَدْخُلُوهَا، وَإِذَا وَقَعَ بِأَرْضٍ وَأَنْتُمْ بِهَا فَلَا تَخْرُجُوا مِنْهَا</w:t>
      </w:r>
      <w:r w:rsidRPr="00876FD8">
        <w:rPr>
          <w:rStyle w:val="vkekvd"/>
          <w:rFonts w:asciiTheme="majorBidi" w:hAnsiTheme="majorBidi" w:cstheme="majorBidi"/>
          <w:color w:val="0A0A0A"/>
          <w:shd w:val="clear" w:color="auto" w:fill="FFFFFF"/>
        </w:rPr>
        <w:t xml:space="preserve"> </w:t>
      </w:r>
      <w:r w:rsidRPr="00876FD8">
        <w:rPr>
          <w:rFonts w:asciiTheme="majorBidi" w:hAnsiTheme="majorBidi" w:cstheme="majorBidi"/>
          <w:color w:val="0A0A0A"/>
          <w:shd w:val="clear" w:color="auto" w:fill="FFFFFF"/>
        </w:rPr>
        <w:t xml:space="preserve">hadis shahih riwayat Imam Bukhari dan Imam Muslim, yang berisi panduan Nabi Muhammad </w:t>
      </w:r>
      <w:r w:rsidRPr="00876FD8">
        <w:rPr>
          <w:rFonts w:asciiTheme="majorBidi" w:hAnsiTheme="majorBidi" w:cstheme="majorBidi"/>
          <w:color w:val="0A0A0A"/>
          <w:shd w:val="clear" w:color="auto" w:fill="FFFFFF"/>
          <w:rtl/>
        </w:rPr>
        <w:t>ﷺ</w:t>
      </w:r>
      <w:r w:rsidRPr="00876FD8">
        <w:rPr>
          <w:rFonts w:asciiTheme="majorBidi" w:hAnsiTheme="majorBidi" w:cstheme="majorBidi"/>
          <w:color w:val="0A0A0A"/>
          <w:shd w:val="clear" w:color="auto" w:fill="FFFFFF"/>
        </w:rPr>
        <w:t xml:space="preserve"> dalam menghadapi wabah penyakit. </w:t>
      </w:r>
      <w:proofErr w:type="gramStart"/>
      <w:r w:rsidRPr="00876FD8">
        <w:rPr>
          <w:rFonts w:asciiTheme="majorBidi" w:hAnsiTheme="majorBidi" w:cstheme="majorBidi"/>
          <w:color w:val="0A0A0A"/>
          <w:shd w:val="clear" w:color="auto" w:fill="FFFFFF"/>
        </w:rPr>
        <w:t>Hadis ini dikenal sebagai dasar dari konsep karantina dalam Islam.</w:t>
      </w:r>
      <w:proofErr w:type="gramEnd"/>
      <w:r w:rsidRPr="00876FD8">
        <w:rPr>
          <w:rFonts w:asciiTheme="majorBidi" w:hAnsiTheme="majorBidi" w:cstheme="majorBidi"/>
        </w:rPr>
        <w:t xml:space="preserve"> </w:t>
      </w:r>
    </w:p>
  </w:footnote>
  <w:footnote w:id="3">
    <w:p w:rsidR="004801B9" w:rsidRPr="00876FD8" w:rsidRDefault="004801B9" w:rsidP="00876FD8">
      <w:pPr>
        <w:pStyle w:val="FootnoteText"/>
        <w:ind w:firstLine="720"/>
        <w:jc w:val="both"/>
        <w:rPr>
          <w:rFonts w:asciiTheme="majorBidi" w:hAnsiTheme="majorBidi" w:cstheme="majorBidi"/>
        </w:rPr>
      </w:pPr>
      <w:r w:rsidRPr="00876FD8">
        <w:rPr>
          <w:rStyle w:val="FootnoteReference"/>
          <w:rFonts w:asciiTheme="majorBidi" w:hAnsiTheme="majorBidi" w:cstheme="majorBidi"/>
        </w:rPr>
        <w:footnoteRef/>
      </w:r>
      <w:proofErr w:type="gramStart"/>
      <w:r w:rsidRPr="00876FD8">
        <w:rPr>
          <w:rFonts w:asciiTheme="majorBidi" w:hAnsiTheme="majorBidi" w:cstheme="majorBidi"/>
        </w:rPr>
        <w:t xml:space="preserve">Al-Bukhārī, </w:t>
      </w:r>
      <w:r w:rsidRPr="00876FD8">
        <w:rPr>
          <w:rStyle w:val="Emphasis"/>
          <w:rFonts w:asciiTheme="majorBidi" w:hAnsiTheme="majorBidi" w:cstheme="majorBidi"/>
        </w:rPr>
        <w:t>Ṣaḥīḥ al-Bukhārī</w:t>
      </w:r>
      <w:r w:rsidRPr="00876FD8">
        <w:rPr>
          <w:rFonts w:asciiTheme="majorBidi" w:hAnsiTheme="majorBidi" w:cstheme="majorBidi"/>
        </w:rPr>
        <w:t>, Juz VII (Beirut: Dār Ibn Kathīr, 1987), h. 31.</w:t>
      </w:r>
      <w:proofErr w:type="gramEnd"/>
      <w:r w:rsidRPr="00876FD8">
        <w:rPr>
          <w:rFonts w:asciiTheme="majorBidi" w:hAnsiTheme="majorBidi" w:cstheme="majorBidi"/>
        </w:rPr>
        <w:t xml:space="preserve"> </w:t>
      </w:r>
    </w:p>
  </w:footnote>
  <w:footnote w:id="4">
    <w:p w:rsidR="00974080" w:rsidRPr="00876FD8" w:rsidRDefault="00974080" w:rsidP="00876FD8">
      <w:pPr>
        <w:pStyle w:val="FootnoteText"/>
        <w:ind w:firstLine="720"/>
        <w:jc w:val="both"/>
        <w:rPr>
          <w:rFonts w:asciiTheme="majorBidi" w:hAnsiTheme="majorBidi" w:cstheme="majorBidi"/>
        </w:rPr>
      </w:pPr>
      <w:r w:rsidRPr="00876FD8">
        <w:rPr>
          <w:rStyle w:val="FootnoteReference"/>
          <w:rFonts w:asciiTheme="majorBidi" w:hAnsiTheme="majorBidi" w:cstheme="majorBidi"/>
        </w:rPr>
        <w:footnoteRef/>
      </w:r>
      <w:r w:rsidRPr="00876FD8">
        <w:rPr>
          <w:rFonts w:asciiTheme="majorBidi" w:hAnsiTheme="majorBidi" w:cstheme="majorBidi"/>
        </w:rPr>
        <w:t>Ebrahim Moosa, “</w:t>
      </w:r>
      <w:r w:rsidRPr="00A37411">
        <w:rPr>
          <w:rFonts w:asciiTheme="majorBidi" w:hAnsiTheme="majorBidi" w:cstheme="majorBidi"/>
          <w:i/>
          <w:iCs/>
        </w:rPr>
        <w:t>Islamic Ethics and the Problem of Evil</w:t>
      </w:r>
      <w:r w:rsidRPr="00876FD8">
        <w:rPr>
          <w:rFonts w:asciiTheme="majorBidi" w:hAnsiTheme="majorBidi" w:cstheme="majorBidi"/>
        </w:rPr>
        <w:t xml:space="preserve">,” </w:t>
      </w:r>
      <w:r w:rsidRPr="00876FD8">
        <w:rPr>
          <w:rStyle w:val="Emphasis"/>
          <w:rFonts w:asciiTheme="majorBidi" w:hAnsiTheme="majorBidi" w:cstheme="majorBidi"/>
        </w:rPr>
        <w:t>Journal of Islamic Ethics</w:t>
      </w:r>
      <w:r w:rsidRPr="00876FD8">
        <w:rPr>
          <w:rFonts w:asciiTheme="majorBidi" w:hAnsiTheme="majorBidi" w:cstheme="majorBidi"/>
        </w:rPr>
        <w:t xml:space="preserve">, Vol. 2, No. 1 (2018), h. 45-47. </w:t>
      </w:r>
    </w:p>
  </w:footnote>
  <w:footnote w:id="5">
    <w:p w:rsidR="00F05971" w:rsidRPr="00876FD8" w:rsidRDefault="00F05971" w:rsidP="00876FD8">
      <w:pPr>
        <w:pStyle w:val="FootnoteText"/>
        <w:ind w:firstLine="720"/>
        <w:jc w:val="both"/>
        <w:rPr>
          <w:rFonts w:asciiTheme="majorBidi" w:hAnsiTheme="majorBidi" w:cstheme="majorBidi"/>
        </w:rPr>
      </w:pPr>
      <w:r w:rsidRPr="00876FD8">
        <w:rPr>
          <w:rStyle w:val="FootnoteReference"/>
          <w:rFonts w:asciiTheme="majorBidi" w:hAnsiTheme="majorBidi" w:cstheme="majorBidi"/>
        </w:rPr>
        <w:footnoteRef/>
      </w:r>
      <w:proofErr w:type="gramStart"/>
      <w:r w:rsidRPr="00876FD8">
        <w:rPr>
          <w:rFonts w:asciiTheme="majorBidi" w:hAnsiTheme="majorBidi" w:cstheme="majorBidi"/>
        </w:rPr>
        <w:t>Asef Bayat, “</w:t>
      </w:r>
      <w:r w:rsidRPr="00F841BF">
        <w:rPr>
          <w:rFonts w:asciiTheme="majorBidi" w:hAnsiTheme="majorBidi" w:cstheme="majorBidi"/>
          <w:i/>
          <w:iCs/>
        </w:rPr>
        <w:t>Religion, Social Crisis and Moral Responsibility</w:t>
      </w:r>
      <w:r w:rsidRPr="00876FD8">
        <w:rPr>
          <w:rFonts w:asciiTheme="majorBidi" w:hAnsiTheme="majorBidi" w:cstheme="majorBidi"/>
        </w:rPr>
        <w:t>,” Studia Islamika, Vol. 24, No. 2 (2017), h. 215.</w:t>
      </w:r>
      <w:proofErr w:type="gramEnd"/>
    </w:p>
  </w:footnote>
  <w:footnote w:id="6">
    <w:p w:rsidR="00F05971" w:rsidRPr="00876FD8" w:rsidRDefault="00F05971" w:rsidP="00876FD8">
      <w:pPr>
        <w:pStyle w:val="FootnoteText"/>
        <w:ind w:firstLine="720"/>
        <w:jc w:val="both"/>
        <w:rPr>
          <w:rFonts w:asciiTheme="majorBidi" w:hAnsiTheme="majorBidi" w:cstheme="majorBidi"/>
        </w:rPr>
      </w:pPr>
      <w:r w:rsidRPr="00876FD8">
        <w:rPr>
          <w:rStyle w:val="FootnoteReference"/>
          <w:rFonts w:asciiTheme="majorBidi" w:hAnsiTheme="majorBidi" w:cstheme="majorBidi"/>
        </w:rPr>
        <w:footnoteRef/>
      </w:r>
      <w:r w:rsidRPr="00876FD8">
        <w:rPr>
          <w:rFonts w:asciiTheme="majorBidi" w:hAnsiTheme="majorBidi" w:cstheme="majorBidi"/>
        </w:rPr>
        <w:t xml:space="preserve">M. Quraish Shihab, </w:t>
      </w:r>
      <w:r w:rsidRPr="00876FD8">
        <w:rPr>
          <w:rStyle w:val="Emphasis"/>
          <w:rFonts w:asciiTheme="majorBidi" w:hAnsiTheme="majorBidi" w:cstheme="majorBidi"/>
        </w:rPr>
        <w:t>Tafsir al-Mishbah</w:t>
      </w:r>
      <w:r w:rsidRPr="00876FD8">
        <w:rPr>
          <w:rFonts w:asciiTheme="majorBidi" w:hAnsiTheme="majorBidi" w:cstheme="majorBidi"/>
        </w:rPr>
        <w:t xml:space="preserve">, Vol. 2 (Jakarta: Lentera Hati, 2002), h. 487. </w:t>
      </w:r>
    </w:p>
  </w:footnote>
  <w:footnote w:id="7">
    <w:p w:rsidR="001A0636" w:rsidRPr="00876FD8" w:rsidRDefault="001A0636" w:rsidP="00876FD8">
      <w:pPr>
        <w:pStyle w:val="FootnoteText"/>
        <w:ind w:firstLine="720"/>
        <w:jc w:val="both"/>
        <w:rPr>
          <w:rFonts w:asciiTheme="majorBidi" w:hAnsiTheme="majorBidi" w:cstheme="majorBidi"/>
        </w:rPr>
      </w:pPr>
      <w:r w:rsidRPr="00876FD8">
        <w:rPr>
          <w:rStyle w:val="FootnoteReference"/>
          <w:rFonts w:asciiTheme="majorBidi" w:hAnsiTheme="majorBidi" w:cstheme="majorBidi"/>
        </w:rPr>
        <w:footnoteRef/>
      </w:r>
      <w:r w:rsidRPr="00876FD8">
        <w:rPr>
          <w:rFonts w:asciiTheme="majorBidi" w:hAnsiTheme="majorBidi" w:cstheme="majorBidi"/>
        </w:rPr>
        <w:t xml:space="preserve">Ibn Ḥajar al-‘Asqalānī, </w:t>
      </w:r>
      <w:r w:rsidRPr="00876FD8">
        <w:rPr>
          <w:rStyle w:val="Emphasis"/>
          <w:rFonts w:asciiTheme="majorBidi" w:hAnsiTheme="majorBidi" w:cstheme="majorBidi"/>
        </w:rPr>
        <w:t>Fatḥ al-Bārī</w:t>
      </w:r>
      <w:r w:rsidRPr="00876FD8">
        <w:rPr>
          <w:rFonts w:asciiTheme="majorBidi" w:hAnsiTheme="majorBidi" w:cstheme="majorBidi"/>
        </w:rPr>
        <w:t xml:space="preserve">, Juz X (Beirut: Dār al-Ma‘rifah, 1379 H), h. 181. </w:t>
      </w:r>
    </w:p>
  </w:footnote>
  <w:footnote w:id="8">
    <w:p w:rsidR="001A0636" w:rsidRPr="00876FD8" w:rsidRDefault="001A0636" w:rsidP="00876FD8">
      <w:pPr>
        <w:pStyle w:val="FootnoteText"/>
        <w:ind w:firstLine="720"/>
        <w:jc w:val="both"/>
        <w:rPr>
          <w:rFonts w:asciiTheme="majorBidi" w:hAnsiTheme="majorBidi" w:cstheme="majorBidi"/>
        </w:rPr>
      </w:pPr>
      <w:r w:rsidRPr="00876FD8">
        <w:rPr>
          <w:rStyle w:val="FootnoteReference"/>
          <w:rFonts w:asciiTheme="majorBidi" w:hAnsiTheme="majorBidi" w:cstheme="majorBidi"/>
        </w:rPr>
        <w:footnoteRef/>
      </w:r>
      <w:proofErr w:type="gramStart"/>
      <w:r w:rsidRPr="00876FD8">
        <w:rPr>
          <w:rFonts w:asciiTheme="majorBidi" w:hAnsiTheme="majorBidi" w:cstheme="majorBidi"/>
        </w:rPr>
        <w:t xml:space="preserve">Al-Nawawī, </w:t>
      </w:r>
      <w:r w:rsidRPr="00876FD8">
        <w:rPr>
          <w:rStyle w:val="Emphasis"/>
          <w:rFonts w:asciiTheme="majorBidi" w:hAnsiTheme="majorBidi" w:cstheme="majorBidi"/>
        </w:rPr>
        <w:t>Syarḥ Ṣaḥīḥ Muslim</w:t>
      </w:r>
      <w:r w:rsidRPr="00876FD8">
        <w:rPr>
          <w:rFonts w:asciiTheme="majorBidi" w:hAnsiTheme="majorBidi" w:cstheme="majorBidi"/>
        </w:rPr>
        <w:t>, Juz XIV (Beirut: Dār al-Fikr, 1996), h. 204.</w:t>
      </w:r>
      <w:proofErr w:type="gramEnd"/>
      <w:r w:rsidRPr="00876FD8">
        <w:rPr>
          <w:rFonts w:asciiTheme="majorBidi" w:hAnsiTheme="majorBidi" w:cstheme="majorBidi"/>
        </w:rPr>
        <w:t xml:space="preserve"> </w:t>
      </w:r>
    </w:p>
  </w:footnote>
  <w:footnote w:id="9">
    <w:p w:rsidR="001A0636" w:rsidRPr="00876FD8" w:rsidRDefault="001A0636" w:rsidP="00876FD8">
      <w:pPr>
        <w:pStyle w:val="FootnoteText"/>
        <w:ind w:firstLine="720"/>
        <w:jc w:val="both"/>
        <w:rPr>
          <w:rFonts w:asciiTheme="majorBidi" w:hAnsiTheme="majorBidi" w:cstheme="majorBidi"/>
        </w:rPr>
      </w:pPr>
      <w:r w:rsidRPr="00876FD8">
        <w:rPr>
          <w:rStyle w:val="FootnoteReference"/>
          <w:rFonts w:asciiTheme="majorBidi" w:hAnsiTheme="majorBidi" w:cstheme="majorBidi"/>
        </w:rPr>
        <w:footnoteRef/>
      </w:r>
      <w:r w:rsidRPr="00876FD8">
        <w:rPr>
          <w:rFonts w:asciiTheme="majorBidi" w:hAnsiTheme="majorBidi" w:cstheme="majorBidi"/>
        </w:rPr>
        <w:t>Syamsul Rijal, “</w:t>
      </w:r>
      <w:r w:rsidRPr="00F841BF">
        <w:rPr>
          <w:rFonts w:asciiTheme="majorBidi" w:hAnsiTheme="majorBidi" w:cstheme="majorBidi"/>
          <w:i/>
          <w:iCs/>
        </w:rPr>
        <w:t>Teologi Bencana dalam Perspektif Islam Indonesia</w:t>
      </w:r>
      <w:r w:rsidRPr="00876FD8">
        <w:rPr>
          <w:rFonts w:asciiTheme="majorBidi" w:hAnsiTheme="majorBidi" w:cstheme="majorBidi"/>
        </w:rPr>
        <w:t xml:space="preserve">,” </w:t>
      </w:r>
      <w:r w:rsidRPr="00876FD8">
        <w:rPr>
          <w:rStyle w:val="Emphasis"/>
          <w:rFonts w:asciiTheme="majorBidi" w:hAnsiTheme="majorBidi" w:cstheme="majorBidi"/>
        </w:rPr>
        <w:t>Studia Islamika</w:t>
      </w:r>
      <w:r w:rsidRPr="00876FD8">
        <w:rPr>
          <w:rFonts w:asciiTheme="majorBidi" w:hAnsiTheme="majorBidi" w:cstheme="majorBidi"/>
        </w:rPr>
        <w:t xml:space="preserve">, Vol. 27, No. 1 (2020), h. 33-35. </w:t>
      </w:r>
    </w:p>
  </w:footnote>
  <w:footnote w:id="10">
    <w:p w:rsidR="001A0636" w:rsidRPr="00876FD8" w:rsidRDefault="001A0636" w:rsidP="00876FD8">
      <w:pPr>
        <w:pStyle w:val="FootnoteText"/>
        <w:ind w:firstLine="720"/>
        <w:jc w:val="both"/>
        <w:rPr>
          <w:rFonts w:asciiTheme="majorBidi" w:hAnsiTheme="majorBidi" w:cstheme="majorBidi"/>
        </w:rPr>
      </w:pPr>
      <w:r w:rsidRPr="00876FD8">
        <w:rPr>
          <w:rStyle w:val="FootnoteReference"/>
          <w:rFonts w:asciiTheme="majorBidi" w:hAnsiTheme="majorBidi" w:cstheme="majorBidi"/>
        </w:rPr>
        <w:footnoteRef/>
      </w:r>
      <w:proofErr w:type="gramStart"/>
      <w:r w:rsidRPr="00876FD8">
        <w:rPr>
          <w:rFonts w:asciiTheme="majorBidi" w:hAnsiTheme="majorBidi" w:cstheme="majorBidi"/>
        </w:rPr>
        <w:t>M. Amin Abdullah, “</w:t>
      </w:r>
      <w:r w:rsidRPr="00F841BF">
        <w:rPr>
          <w:rFonts w:asciiTheme="majorBidi" w:hAnsiTheme="majorBidi" w:cstheme="majorBidi"/>
          <w:i/>
          <w:iCs/>
        </w:rPr>
        <w:t>Religion, Science, and Disaster Studies</w:t>
      </w:r>
      <w:r w:rsidRPr="00876FD8">
        <w:rPr>
          <w:rFonts w:asciiTheme="majorBidi" w:hAnsiTheme="majorBidi" w:cstheme="majorBidi"/>
        </w:rPr>
        <w:t xml:space="preserve">,” </w:t>
      </w:r>
      <w:r w:rsidRPr="00876FD8">
        <w:rPr>
          <w:rStyle w:val="Emphasis"/>
          <w:rFonts w:asciiTheme="majorBidi" w:hAnsiTheme="majorBidi" w:cstheme="majorBidi"/>
        </w:rPr>
        <w:t>Al-Jami‘ah</w:t>
      </w:r>
      <w:r w:rsidRPr="00876FD8">
        <w:rPr>
          <w:rFonts w:asciiTheme="majorBidi" w:hAnsiTheme="majorBidi" w:cstheme="majorBidi"/>
        </w:rPr>
        <w:t>, Vol. 55, No. 2 (2017), h. 271-273.</w:t>
      </w:r>
      <w:proofErr w:type="gramEnd"/>
      <w:r w:rsidRPr="00876FD8">
        <w:rPr>
          <w:rFonts w:asciiTheme="majorBidi" w:hAnsiTheme="majorBidi" w:cstheme="majorBidi"/>
        </w:rPr>
        <w:t xml:space="preserve"> </w:t>
      </w:r>
    </w:p>
  </w:footnote>
  <w:footnote w:id="11">
    <w:p w:rsidR="00F97D5B" w:rsidRPr="00876FD8" w:rsidRDefault="00F97D5B" w:rsidP="00876FD8">
      <w:pPr>
        <w:pStyle w:val="FootnoteText"/>
        <w:ind w:firstLine="720"/>
        <w:jc w:val="both"/>
        <w:rPr>
          <w:rFonts w:asciiTheme="majorBidi" w:hAnsiTheme="majorBidi" w:cstheme="majorBidi"/>
        </w:rPr>
      </w:pPr>
      <w:r w:rsidRPr="00876FD8">
        <w:rPr>
          <w:rStyle w:val="FootnoteReference"/>
          <w:rFonts w:asciiTheme="majorBidi" w:hAnsiTheme="majorBidi" w:cstheme="majorBidi"/>
        </w:rPr>
        <w:footnoteRef/>
      </w:r>
      <w:r w:rsidRPr="00876FD8">
        <w:rPr>
          <w:rFonts w:asciiTheme="majorBidi" w:hAnsiTheme="majorBidi" w:cstheme="majorBidi"/>
        </w:rPr>
        <w:t xml:space="preserve">Al-Qur’an, QS. </w:t>
      </w:r>
      <w:proofErr w:type="gramStart"/>
      <w:r w:rsidRPr="00876FD8">
        <w:rPr>
          <w:rFonts w:asciiTheme="majorBidi" w:hAnsiTheme="majorBidi" w:cstheme="majorBidi"/>
        </w:rPr>
        <w:t>al-Fāṭir</w:t>
      </w:r>
      <w:proofErr w:type="gramEnd"/>
      <w:r w:rsidRPr="00876FD8">
        <w:rPr>
          <w:rFonts w:asciiTheme="majorBidi" w:hAnsiTheme="majorBidi" w:cstheme="majorBidi"/>
        </w:rPr>
        <w:t xml:space="preserve"> [35]: 43; lihat juga Fazlur Rahman, </w:t>
      </w:r>
      <w:r w:rsidRPr="00876FD8">
        <w:rPr>
          <w:rStyle w:val="Emphasis"/>
          <w:rFonts w:asciiTheme="majorBidi" w:hAnsiTheme="majorBidi" w:cstheme="majorBidi"/>
        </w:rPr>
        <w:t>Major Themes of the Qur’an</w:t>
      </w:r>
      <w:r w:rsidRPr="00876FD8">
        <w:rPr>
          <w:rFonts w:asciiTheme="majorBidi" w:hAnsiTheme="majorBidi" w:cstheme="majorBidi"/>
        </w:rPr>
        <w:t xml:space="preserve"> (Chicago: University of Chicago Press, 2009), h. 7-9. </w:t>
      </w:r>
    </w:p>
  </w:footnote>
  <w:footnote w:id="12">
    <w:p w:rsidR="00F97D5B" w:rsidRPr="00876FD8" w:rsidRDefault="00F97D5B" w:rsidP="00876FD8">
      <w:pPr>
        <w:pStyle w:val="FootnoteText"/>
        <w:ind w:firstLine="720"/>
        <w:jc w:val="both"/>
        <w:rPr>
          <w:rFonts w:asciiTheme="majorBidi" w:hAnsiTheme="majorBidi" w:cstheme="majorBidi"/>
        </w:rPr>
      </w:pPr>
      <w:r w:rsidRPr="00876FD8">
        <w:rPr>
          <w:rStyle w:val="FootnoteReference"/>
          <w:rFonts w:asciiTheme="majorBidi" w:hAnsiTheme="majorBidi" w:cstheme="majorBidi"/>
        </w:rPr>
        <w:footnoteRef/>
      </w:r>
      <w:r w:rsidRPr="00876FD8">
        <w:rPr>
          <w:rFonts w:asciiTheme="majorBidi" w:hAnsiTheme="majorBidi" w:cstheme="majorBidi"/>
        </w:rPr>
        <w:t xml:space="preserve">Al-Taftāzānī, </w:t>
      </w:r>
      <w:r w:rsidRPr="00876FD8">
        <w:rPr>
          <w:rStyle w:val="Emphasis"/>
          <w:rFonts w:asciiTheme="majorBidi" w:hAnsiTheme="majorBidi" w:cstheme="majorBidi"/>
        </w:rPr>
        <w:t>Sharḥ al-‘Aqā’id al-Nasafiyyah</w:t>
      </w:r>
      <w:r w:rsidRPr="00876FD8">
        <w:rPr>
          <w:rFonts w:asciiTheme="majorBidi" w:hAnsiTheme="majorBidi" w:cstheme="majorBidi"/>
        </w:rPr>
        <w:t xml:space="preserve"> (Beirut: Dār al-Kutub al-‘Ilmiyyah, 2000), h. 92-94. </w:t>
      </w:r>
    </w:p>
  </w:footnote>
  <w:footnote w:id="13">
    <w:p w:rsidR="00F97D5B" w:rsidRPr="00876FD8" w:rsidRDefault="00F97D5B" w:rsidP="00876FD8">
      <w:pPr>
        <w:pStyle w:val="FootnoteText"/>
        <w:ind w:firstLine="720"/>
        <w:jc w:val="both"/>
        <w:rPr>
          <w:rFonts w:asciiTheme="majorBidi" w:hAnsiTheme="majorBidi" w:cstheme="majorBidi"/>
        </w:rPr>
      </w:pPr>
      <w:r w:rsidRPr="00876FD8">
        <w:rPr>
          <w:rStyle w:val="FootnoteReference"/>
          <w:rFonts w:asciiTheme="majorBidi" w:hAnsiTheme="majorBidi" w:cstheme="majorBidi"/>
        </w:rPr>
        <w:footnoteRef/>
      </w:r>
      <w:r w:rsidRPr="00876FD8">
        <w:rPr>
          <w:rFonts w:asciiTheme="majorBidi" w:hAnsiTheme="majorBidi" w:cstheme="majorBidi"/>
        </w:rPr>
        <w:t xml:space="preserve">Muslim ibn al-Ḥajjāj, </w:t>
      </w:r>
      <w:r w:rsidRPr="00876FD8">
        <w:rPr>
          <w:rStyle w:val="Emphasis"/>
          <w:rFonts w:asciiTheme="majorBidi" w:hAnsiTheme="majorBidi" w:cstheme="majorBidi"/>
        </w:rPr>
        <w:t>Ṣaḥīḥ Muslim</w:t>
      </w:r>
      <w:r w:rsidRPr="00876FD8">
        <w:rPr>
          <w:rFonts w:asciiTheme="majorBidi" w:hAnsiTheme="majorBidi" w:cstheme="majorBidi"/>
        </w:rPr>
        <w:t xml:space="preserve">, Juz VIII (Beirut: Dār Ihyā’ al-Turāth al-‘Arabī, t.t.), h. 2045. </w:t>
      </w:r>
    </w:p>
  </w:footnote>
  <w:footnote w:id="14">
    <w:p w:rsidR="00F97D5B" w:rsidRPr="00876FD8" w:rsidRDefault="00F97D5B" w:rsidP="00876FD8">
      <w:pPr>
        <w:pStyle w:val="FootnoteText"/>
        <w:ind w:firstLine="720"/>
        <w:jc w:val="both"/>
        <w:rPr>
          <w:rFonts w:asciiTheme="majorBidi" w:hAnsiTheme="majorBidi" w:cstheme="majorBidi"/>
        </w:rPr>
      </w:pPr>
      <w:r w:rsidRPr="00876FD8">
        <w:rPr>
          <w:rStyle w:val="FootnoteReference"/>
          <w:rFonts w:asciiTheme="majorBidi" w:hAnsiTheme="majorBidi" w:cstheme="majorBidi"/>
        </w:rPr>
        <w:footnoteRef/>
      </w:r>
      <w:r w:rsidRPr="00876FD8">
        <w:rPr>
          <w:rFonts w:asciiTheme="majorBidi" w:hAnsiTheme="majorBidi" w:cstheme="majorBidi"/>
        </w:rPr>
        <w:t xml:space="preserve">Ibn Taymiyyah, </w:t>
      </w:r>
      <w:proofErr w:type="gramStart"/>
      <w:r w:rsidRPr="00876FD8">
        <w:rPr>
          <w:rStyle w:val="Emphasis"/>
          <w:rFonts w:asciiTheme="majorBidi" w:hAnsiTheme="majorBidi" w:cstheme="majorBidi"/>
        </w:rPr>
        <w:t>Majmū‘ al</w:t>
      </w:r>
      <w:proofErr w:type="gramEnd"/>
      <w:r w:rsidRPr="00876FD8">
        <w:rPr>
          <w:rStyle w:val="Emphasis"/>
          <w:rFonts w:asciiTheme="majorBidi" w:hAnsiTheme="majorBidi" w:cstheme="majorBidi"/>
        </w:rPr>
        <w:t>-Fatāwā</w:t>
      </w:r>
      <w:r w:rsidRPr="00876FD8">
        <w:rPr>
          <w:rFonts w:asciiTheme="majorBidi" w:hAnsiTheme="majorBidi" w:cstheme="majorBidi"/>
        </w:rPr>
        <w:t xml:space="preserve">, Juz IV (Riyadh: Dār ‘Ālam al-Kutub, 1995), h. 280-281. </w:t>
      </w:r>
    </w:p>
  </w:footnote>
  <w:footnote w:id="15">
    <w:p w:rsidR="00F97D5B" w:rsidRPr="00876FD8" w:rsidRDefault="00F97D5B" w:rsidP="00876FD8">
      <w:pPr>
        <w:pStyle w:val="FootnoteText"/>
        <w:ind w:firstLine="720"/>
        <w:jc w:val="both"/>
        <w:rPr>
          <w:rFonts w:asciiTheme="majorBidi" w:hAnsiTheme="majorBidi" w:cstheme="majorBidi"/>
        </w:rPr>
      </w:pPr>
      <w:r w:rsidRPr="00876FD8">
        <w:rPr>
          <w:rStyle w:val="FootnoteReference"/>
          <w:rFonts w:asciiTheme="majorBidi" w:hAnsiTheme="majorBidi" w:cstheme="majorBidi"/>
        </w:rPr>
        <w:footnoteRef/>
      </w:r>
      <w:proofErr w:type="gramStart"/>
      <w:r w:rsidRPr="00876FD8">
        <w:rPr>
          <w:rFonts w:asciiTheme="majorBidi" w:hAnsiTheme="majorBidi" w:cstheme="majorBidi"/>
        </w:rPr>
        <w:t xml:space="preserve">Al-Nawawī, </w:t>
      </w:r>
      <w:r w:rsidRPr="00876FD8">
        <w:rPr>
          <w:rStyle w:val="Emphasis"/>
          <w:rFonts w:asciiTheme="majorBidi" w:hAnsiTheme="majorBidi" w:cstheme="majorBidi"/>
        </w:rPr>
        <w:t>Syarḥ Ṣaḥīḥ Muslim</w:t>
      </w:r>
      <w:r w:rsidRPr="00876FD8">
        <w:rPr>
          <w:rFonts w:asciiTheme="majorBidi" w:hAnsiTheme="majorBidi" w:cstheme="majorBidi"/>
        </w:rPr>
        <w:t>, Juz XVI (Beirut: Dār al-Fikr, 1996), h. 120.</w:t>
      </w:r>
      <w:proofErr w:type="gramEnd"/>
      <w:r w:rsidRPr="00876FD8">
        <w:rPr>
          <w:rFonts w:asciiTheme="majorBidi" w:hAnsiTheme="majorBidi" w:cstheme="majorBidi"/>
        </w:rPr>
        <w:t xml:space="preserve"> </w:t>
      </w:r>
    </w:p>
  </w:footnote>
  <w:footnote w:id="16">
    <w:p w:rsidR="007A6D67" w:rsidRPr="00876FD8" w:rsidRDefault="007A6D67" w:rsidP="00876FD8">
      <w:pPr>
        <w:pStyle w:val="FootnoteText"/>
        <w:ind w:firstLine="720"/>
        <w:jc w:val="both"/>
        <w:rPr>
          <w:rFonts w:asciiTheme="majorBidi" w:hAnsiTheme="majorBidi" w:cstheme="majorBidi"/>
        </w:rPr>
      </w:pPr>
      <w:r w:rsidRPr="00876FD8">
        <w:rPr>
          <w:rStyle w:val="FootnoteReference"/>
          <w:rFonts w:asciiTheme="majorBidi" w:hAnsiTheme="majorBidi" w:cstheme="majorBidi"/>
        </w:rPr>
        <w:footnoteRef/>
      </w:r>
      <w:proofErr w:type="gramStart"/>
      <w:r w:rsidRPr="00876FD8">
        <w:rPr>
          <w:rFonts w:asciiTheme="majorBidi" w:hAnsiTheme="majorBidi" w:cstheme="majorBidi"/>
        </w:rPr>
        <w:t xml:space="preserve">‘Abd al-Ḥayy al-Farmawī, </w:t>
      </w:r>
      <w:r w:rsidRPr="00876FD8">
        <w:rPr>
          <w:rStyle w:val="Emphasis"/>
          <w:rFonts w:asciiTheme="majorBidi" w:hAnsiTheme="majorBidi" w:cstheme="majorBidi"/>
        </w:rPr>
        <w:t>al-Bidāyah fī al-Tafsīr al-Maudhū‘ī</w:t>
      </w:r>
      <w:r w:rsidRPr="00876FD8">
        <w:rPr>
          <w:rFonts w:asciiTheme="majorBidi" w:hAnsiTheme="majorBidi" w:cstheme="majorBidi"/>
        </w:rPr>
        <w:t xml:space="preserve"> (Kairo: al-Ḥaḍārah al-‘Arabiyyah, 1977), h. 52-54.</w:t>
      </w:r>
      <w:proofErr w:type="gramEnd"/>
      <w:r w:rsidRPr="00876FD8">
        <w:rPr>
          <w:rFonts w:asciiTheme="majorBidi" w:hAnsiTheme="majorBidi" w:cstheme="majorBidi"/>
        </w:rPr>
        <w:t xml:space="preserve"> </w:t>
      </w:r>
    </w:p>
  </w:footnote>
  <w:footnote w:id="17">
    <w:p w:rsidR="007A6D67" w:rsidRPr="00876FD8" w:rsidRDefault="007A6D67" w:rsidP="00876FD8">
      <w:pPr>
        <w:pStyle w:val="FootnoteText"/>
        <w:ind w:firstLine="720"/>
        <w:jc w:val="both"/>
        <w:rPr>
          <w:rFonts w:asciiTheme="majorBidi" w:hAnsiTheme="majorBidi" w:cstheme="majorBidi"/>
        </w:rPr>
      </w:pPr>
      <w:r w:rsidRPr="00876FD8">
        <w:rPr>
          <w:rStyle w:val="FootnoteReference"/>
          <w:rFonts w:asciiTheme="majorBidi" w:hAnsiTheme="majorBidi" w:cstheme="majorBidi"/>
        </w:rPr>
        <w:footnoteRef/>
      </w:r>
      <w:r w:rsidRPr="00876FD8">
        <w:rPr>
          <w:rFonts w:asciiTheme="majorBidi" w:hAnsiTheme="majorBidi" w:cstheme="majorBidi"/>
        </w:rPr>
        <w:t xml:space="preserve">Jasser Auda, </w:t>
      </w:r>
      <w:r w:rsidRPr="00876FD8">
        <w:rPr>
          <w:rStyle w:val="Emphasis"/>
          <w:rFonts w:asciiTheme="majorBidi" w:hAnsiTheme="majorBidi" w:cstheme="majorBidi"/>
        </w:rPr>
        <w:t>Maqasid al-Shariah as Philosophy of Islamic Law</w:t>
      </w:r>
      <w:r w:rsidRPr="00876FD8">
        <w:rPr>
          <w:rFonts w:asciiTheme="majorBidi" w:hAnsiTheme="majorBidi" w:cstheme="majorBidi"/>
        </w:rPr>
        <w:t xml:space="preserve"> (London: IIIT, 2008), h. 90-93. </w:t>
      </w:r>
    </w:p>
  </w:footnote>
  <w:footnote w:id="18">
    <w:p w:rsidR="007A6D67" w:rsidRPr="00876FD8" w:rsidRDefault="007A6D67" w:rsidP="00876FD8">
      <w:pPr>
        <w:pStyle w:val="FootnoteText"/>
        <w:ind w:firstLine="720"/>
        <w:jc w:val="both"/>
        <w:rPr>
          <w:rFonts w:asciiTheme="majorBidi" w:hAnsiTheme="majorBidi" w:cstheme="majorBidi"/>
        </w:rPr>
      </w:pPr>
      <w:r w:rsidRPr="00876FD8">
        <w:rPr>
          <w:rStyle w:val="FootnoteReference"/>
          <w:rFonts w:asciiTheme="majorBidi" w:hAnsiTheme="majorBidi" w:cstheme="majorBidi"/>
        </w:rPr>
        <w:footnoteRef/>
      </w:r>
      <w:r w:rsidRPr="00876FD8">
        <w:rPr>
          <w:rFonts w:asciiTheme="majorBidi" w:hAnsiTheme="majorBidi" w:cstheme="majorBidi"/>
        </w:rPr>
        <w:t>Syamsul Rijal, “</w:t>
      </w:r>
      <w:r w:rsidRPr="00DB2866">
        <w:rPr>
          <w:rFonts w:asciiTheme="majorBidi" w:hAnsiTheme="majorBidi" w:cstheme="majorBidi"/>
          <w:i/>
          <w:iCs/>
        </w:rPr>
        <w:t>Teologi Bencana dan Ketahanan Sosial Umat Islam</w:t>
      </w:r>
      <w:r w:rsidRPr="00876FD8">
        <w:rPr>
          <w:rFonts w:asciiTheme="majorBidi" w:hAnsiTheme="majorBidi" w:cstheme="majorBidi"/>
        </w:rPr>
        <w:t xml:space="preserve">,” </w:t>
      </w:r>
      <w:r w:rsidRPr="00876FD8">
        <w:rPr>
          <w:rStyle w:val="Emphasis"/>
          <w:rFonts w:asciiTheme="majorBidi" w:hAnsiTheme="majorBidi" w:cstheme="majorBidi"/>
        </w:rPr>
        <w:t>Studia Islamika</w:t>
      </w:r>
      <w:r w:rsidRPr="00876FD8">
        <w:rPr>
          <w:rFonts w:asciiTheme="majorBidi" w:hAnsiTheme="majorBidi" w:cstheme="majorBidi"/>
        </w:rPr>
        <w:t>, Vol. 27, No. 2 (2020), h. 201-203; lihat juga M. Amin Abdullah, “</w:t>
      </w:r>
      <w:r w:rsidRPr="00DB2866">
        <w:rPr>
          <w:rFonts w:asciiTheme="majorBidi" w:hAnsiTheme="majorBidi" w:cstheme="majorBidi"/>
          <w:i/>
          <w:iCs/>
        </w:rPr>
        <w:t>Religion, Science and Disaster Studies</w:t>
      </w:r>
      <w:r w:rsidRPr="00876FD8">
        <w:rPr>
          <w:rFonts w:asciiTheme="majorBidi" w:hAnsiTheme="majorBidi" w:cstheme="majorBidi"/>
        </w:rPr>
        <w:t xml:space="preserve">,” </w:t>
      </w:r>
      <w:r w:rsidRPr="00876FD8">
        <w:rPr>
          <w:rStyle w:val="Emphasis"/>
          <w:rFonts w:asciiTheme="majorBidi" w:hAnsiTheme="majorBidi" w:cstheme="majorBidi"/>
        </w:rPr>
        <w:t>Al-Jami‘ah</w:t>
      </w:r>
      <w:r w:rsidRPr="00876FD8">
        <w:rPr>
          <w:rFonts w:asciiTheme="majorBidi" w:hAnsiTheme="majorBidi" w:cstheme="majorBidi"/>
        </w:rPr>
        <w:t xml:space="preserve">, Vol. 55, No. 2 (2017), h. 271-273. </w:t>
      </w:r>
    </w:p>
  </w:footnote>
  <w:footnote w:id="19">
    <w:p w:rsidR="005E3CAC" w:rsidRPr="00876FD8" w:rsidRDefault="005E3CAC" w:rsidP="00876FD8">
      <w:pPr>
        <w:pStyle w:val="FootnoteText"/>
        <w:ind w:firstLine="720"/>
        <w:jc w:val="both"/>
        <w:rPr>
          <w:rFonts w:asciiTheme="majorBidi" w:hAnsiTheme="majorBidi" w:cstheme="majorBidi"/>
        </w:rPr>
      </w:pPr>
      <w:r w:rsidRPr="00876FD8">
        <w:rPr>
          <w:rStyle w:val="FootnoteReference"/>
          <w:rFonts w:asciiTheme="majorBidi" w:hAnsiTheme="majorBidi" w:cstheme="majorBidi"/>
        </w:rPr>
        <w:footnoteRef/>
      </w:r>
      <w:r w:rsidRPr="00876FD8">
        <w:rPr>
          <w:rFonts w:asciiTheme="majorBidi" w:hAnsiTheme="majorBidi" w:cstheme="majorBidi"/>
        </w:rPr>
        <w:t xml:space="preserve">Muslim ibn al-Ḥajjāj, </w:t>
      </w:r>
      <w:r w:rsidRPr="00876FD8">
        <w:rPr>
          <w:rStyle w:val="Emphasis"/>
          <w:rFonts w:asciiTheme="majorBidi" w:hAnsiTheme="majorBidi" w:cstheme="majorBidi"/>
        </w:rPr>
        <w:t>Ṣaḥīḥ Muslim</w:t>
      </w:r>
      <w:r w:rsidRPr="00876FD8">
        <w:rPr>
          <w:rFonts w:asciiTheme="majorBidi" w:hAnsiTheme="majorBidi" w:cstheme="majorBidi"/>
        </w:rPr>
        <w:t xml:space="preserve">, Juz VIII (Beirut: Dār Ihyā’ al-Turāth al-‘Arabī, t.t.), h. 2044-2045. </w:t>
      </w:r>
    </w:p>
  </w:footnote>
  <w:footnote w:id="20">
    <w:p w:rsidR="005B7189" w:rsidRPr="00876FD8" w:rsidRDefault="005B7189" w:rsidP="00876FD8">
      <w:pPr>
        <w:pStyle w:val="FootnoteText"/>
        <w:ind w:firstLine="720"/>
        <w:jc w:val="both"/>
        <w:rPr>
          <w:rFonts w:asciiTheme="majorBidi" w:hAnsiTheme="majorBidi" w:cstheme="majorBidi"/>
        </w:rPr>
      </w:pPr>
      <w:r w:rsidRPr="00876FD8">
        <w:rPr>
          <w:rStyle w:val="FootnoteReference"/>
          <w:rFonts w:asciiTheme="majorBidi" w:hAnsiTheme="majorBidi" w:cstheme="majorBidi"/>
        </w:rPr>
        <w:footnoteRef/>
      </w:r>
      <w:r w:rsidRPr="00876FD8">
        <w:rPr>
          <w:rFonts w:asciiTheme="majorBidi" w:hAnsiTheme="majorBidi" w:cstheme="majorBidi"/>
        </w:rPr>
        <w:t xml:space="preserve">Muslim ibn al-Ḥajjāj, </w:t>
      </w:r>
      <w:r w:rsidRPr="00876FD8">
        <w:rPr>
          <w:rStyle w:val="Emphasis"/>
          <w:rFonts w:asciiTheme="majorBidi" w:hAnsiTheme="majorBidi" w:cstheme="majorBidi"/>
        </w:rPr>
        <w:t>Ṣaḥīḥ Muslim</w:t>
      </w:r>
      <w:r w:rsidRPr="00876FD8">
        <w:rPr>
          <w:rFonts w:asciiTheme="majorBidi" w:hAnsiTheme="majorBidi" w:cstheme="majorBidi"/>
        </w:rPr>
        <w:t xml:space="preserve">, Juz IV (Beirut: Dār Ihyā’ al-Turāth al-‘Arabī, t.t.), h. 1991.  </w:t>
      </w:r>
    </w:p>
  </w:footnote>
  <w:footnote w:id="21">
    <w:p w:rsidR="005B7189" w:rsidRPr="00876FD8" w:rsidRDefault="005B7189" w:rsidP="00876FD8">
      <w:pPr>
        <w:pStyle w:val="FootnoteText"/>
        <w:ind w:firstLine="720"/>
        <w:jc w:val="both"/>
        <w:rPr>
          <w:rFonts w:asciiTheme="majorBidi" w:hAnsiTheme="majorBidi" w:cstheme="majorBidi"/>
        </w:rPr>
      </w:pPr>
      <w:r w:rsidRPr="00876FD8">
        <w:rPr>
          <w:rStyle w:val="FootnoteReference"/>
          <w:rFonts w:asciiTheme="majorBidi" w:hAnsiTheme="majorBidi" w:cstheme="majorBidi"/>
        </w:rPr>
        <w:footnoteRef/>
      </w:r>
      <w:proofErr w:type="gramStart"/>
      <w:r w:rsidRPr="00876FD8">
        <w:rPr>
          <w:rFonts w:asciiTheme="majorBidi" w:hAnsiTheme="majorBidi" w:cstheme="majorBidi"/>
        </w:rPr>
        <w:t xml:space="preserve">Al-Nawawī, </w:t>
      </w:r>
      <w:r w:rsidRPr="00876FD8">
        <w:rPr>
          <w:rStyle w:val="Emphasis"/>
          <w:rFonts w:asciiTheme="majorBidi" w:hAnsiTheme="majorBidi" w:cstheme="majorBidi"/>
        </w:rPr>
        <w:t>Syarḥ Ṣaḥīḥ Muslim</w:t>
      </w:r>
      <w:r w:rsidRPr="00876FD8">
        <w:rPr>
          <w:rFonts w:asciiTheme="majorBidi" w:hAnsiTheme="majorBidi" w:cstheme="majorBidi"/>
        </w:rPr>
        <w:t>, Juz XVI (Beirut: Dār al-Fikr, 1996), h. 120.</w:t>
      </w:r>
      <w:proofErr w:type="gramEnd"/>
      <w:r w:rsidRPr="00876FD8">
        <w:rPr>
          <w:rFonts w:asciiTheme="majorBidi" w:hAnsiTheme="majorBidi" w:cstheme="majorBidi"/>
        </w:rPr>
        <w:t xml:space="preserve"> </w:t>
      </w:r>
    </w:p>
  </w:footnote>
  <w:footnote w:id="22">
    <w:p w:rsidR="00107F65" w:rsidRPr="00876FD8" w:rsidRDefault="00107F65" w:rsidP="00876FD8">
      <w:pPr>
        <w:pStyle w:val="FootnoteText"/>
        <w:ind w:firstLine="720"/>
        <w:jc w:val="both"/>
        <w:rPr>
          <w:rFonts w:asciiTheme="majorBidi" w:hAnsiTheme="majorBidi" w:cstheme="majorBidi"/>
        </w:rPr>
      </w:pPr>
      <w:r w:rsidRPr="00876FD8">
        <w:rPr>
          <w:rStyle w:val="FootnoteReference"/>
          <w:rFonts w:asciiTheme="majorBidi" w:hAnsiTheme="majorBidi" w:cstheme="majorBidi"/>
        </w:rPr>
        <w:footnoteRef/>
      </w:r>
      <w:proofErr w:type="gramStart"/>
      <w:r w:rsidRPr="00876FD8">
        <w:rPr>
          <w:rFonts w:asciiTheme="majorBidi" w:hAnsiTheme="majorBidi" w:cstheme="majorBidi"/>
        </w:rPr>
        <w:t xml:space="preserve">Al-Tirmiżī, </w:t>
      </w:r>
      <w:r w:rsidRPr="00876FD8">
        <w:rPr>
          <w:rStyle w:val="Emphasis"/>
          <w:rFonts w:asciiTheme="majorBidi" w:hAnsiTheme="majorBidi" w:cstheme="majorBidi"/>
        </w:rPr>
        <w:t>Sunan al-Tirmiżī</w:t>
      </w:r>
      <w:r w:rsidRPr="00876FD8">
        <w:rPr>
          <w:rFonts w:asciiTheme="majorBidi" w:hAnsiTheme="majorBidi" w:cstheme="majorBidi"/>
        </w:rPr>
        <w:t>, Juz IV (Beirut: Dār al-Gharb al-Islāmī, 1998), h. 601.</w:t>
      </w:r>
      <w:proofErr w:type="gramEnd"/>
      <w:r w:rsidRPr="00876FD8">
        <w:rPr>
          <w:rFonts w:asciiTheme="majorBidi" w:hAnsiTheme="majorBidi" w:cstheme="majorBidi"/>
        </w:rPr>
        <w:t xml:space="preserve"> </w:t>
      </w:r>
    </w:p>
  </w:footnote>
  <w:footnote w:id="23">
    <w:p w:rsidR="008B7A37" w:rsidRPr="00876FD8" w:rsidRDefault="008B7A37" w:rsidP="00876FD8">
      <w:pPr>
        <w:pStyle w:val="FootnoteText"/>
        <w:ind w:firstLine="720"/>
        <w:jc w:val="both"/>
        <w:rPr>
          <w:rFonts w:asciiTheme="majorBidi" w:hAnsiTheme="majorBidi" w:cstheme="majorBidi"/>
        </w:rPr>
      </w:pPr>
      <w:r w:rsidRPr="00876FD8">
        <w:rPr>
          <w:rStyle w:val="FootnoteReference"/>
          <w:rFonts w:asciiTheme="majorBidi" w:hAnsiTheme="majorBidi" w:cstheme="majorBidi"/>
        </w:rPr>
        <w:footnoteRef/>
      </w:r>
      <w:proofErr w:type="gramStart"/>
      <w:r w:rsidRPr="00876FD8">
        <w:rPr>
          <w:rFonts w:asciiTheme="majorBidi" w:hAnsiTheme="majorBidi" w:cstheme="majorBidi"/>
        </w:rPr>
        <w:t xml:space="preserve">Al-Bukhārī, </w:t>
      </w:r>
      <w:r w:rsidRPr="00876FD8">
        <w:rPr>
          <w:rStyle w:val="Emphasis"/>
          <w:rFonts w:asciiTheme="majorBidi" w:hAnsiTheme="majorBidi" w:cstheme="majorBidi"/>
        </w:rPr>
        <w:t>Ṣaḥīḥ al-Bukhārī</w:t>
      </w:r>
      <w:r w:rsidRPr="00876FD8">
        <w:rPr>
          <w:rFonts w:asciiTheme="majorBidi" w:hAnsiTheme="majorBidi" w:cstheme="majorBidi"/>
        </w:rPr>
        <w:t>, Juz VII (Beirut: Dār Ibn Kathīr, 1987), h. 31.</w:t>
      </w:r>
      <w:proofErr w:type="gramEnd"/>
      <w:r w:rsidRPr="00876FD8">
        <w:rPr>
          <w:rFonts w:asciiTheme="majorBidi" w:hAnsiTheme="majorBidi" w:cstheme="majorBidi"/>
        </w:rPr>
        <w:t xml:space="preserve"> </w:t>
      </w:r>
    </w:p>
  </w:footnote>
  <w:footnote w:id="24">
    <w:p w:rsidR="007244BA" w:rsidRPr="00876FD8" w:rsidRDefault="007244BA" w:rsidP="00876FD8">
      <w:pPr>
        <w:pStyle w:val="FootnoteText"/>
        <w:ind w:firstLine="720"/>
        <w:jc w:val="both"/>
        <w:rPr>
          <w:rFonts w:asciiTheme="majorBidi" w:hAnsiTheme="majorBidi" w:cstheme="majorBidi"/>
        </w:rPr>
      </w:pPr>
      <w:r w:rsidRPr="00876FD8">
        <w:rPr>
          <w:rStyle w:val="FootnoteReference"/>
          <w:rFonts w:asciiTheme="majorBidi" w:hAnsiTheme="majorBidi" w:cstheme="majorBidi"/>
        </w:rPr>
        <w:footnoteRef/>
      </w:r>
      <w:r w:rsidRPr="00876FD8">
        <w:rPr>
          <w:rFonts w:asciiTheme="majorBidi" w:hAnsiTheme="majorBidi" w:cstheme="majorBidi"/>
        </w:rPr>
        <w:t xml:space="preserve">Ibn Ḥajar al-‘Asqalānī, </w:t>
      </w:r>
      <w:r w:rsidRPr="00876FD8">
        <w:rPr>
          <w:rStyle w:val="Emphasis"/>
          <w:rFonts w:asciiTheme="majorBidi" w:hAnsiTheme="majorBidi" w:cstheme="majorBidi"/>
        </w:rPr>
        <w:t>Fatḥ al-Bārī</w:t>
      </w:r>
      <w:r w:rsidRPr="00876FD8">
        <w:rPr>
          <w:rFonts w:asciiTheme="majorBidi" w:hAnsiTheme="majorBidi" w:cstheme="majorBidi"/>
        </w:rPr>
        <w:t xml:space="preserve">, Juz X (Beirut: Dār al-Ma‘rifah, 1379 H), h. 180-182. </w:t>
      </w:r>
    </w:p>
  </w:footnote>
  <w:footnote w:id="25">
    <w:p w:rsidR="007244BA" w:rsidRPr="00876FD8" w:rsidRDefault="007244BA" w:rsidP="00876FD8">
      <w:pPr>
        <w:pStyle w:val="FootnoteText"/>
        <w:ind w:firstLine="720"/>
        <w:jc w:val="both"/>
        <w:rPr>
          <w:rFonts w:asciiTheme="majorBidi" w:hAnsiTheme="majorBidi" w:cstheme="majorBidi"/>
        </w:rPr>
      </w:pPr>
      <w:r w:rsidRPr="00876FD8">
        <w:rPr>
          <w:rStyle w:val="FootnoteReference"/>
          <w:rFonts w:asciiTheme="majorBidi" w:hAnsiTheme="majorBidi" w:cstheme="majorBidi"/>
        </w:rPr>
        <w:footnoteRef/>
      </w:r>
      <w:proofErr w:type="gramStart"/>
      <w:r w:rsidRPr="00876FD8">
        <w:rPr>
          <w:rFonts w:asciiTheme="majorBidi" w:hAnsiTheme="majorBidi" w:cstheme="majorBidi"/>
        </w:rPr>
        <w:t xml:space="preserve">Al-Bukhārī, </w:t>
      </w:r>
      <w:r w:rsidRPr="00876FD8">
        <w:rPr>
          <w:rStyle w:val="Emphasis"/>
          <w:rFonts w:asciiTheme="majorBidi" w:hAnsiTheme="majorBidi" w:cstheme="majorBidi"/>
        </w:rPr>
        <w:t>Ṣaḥīḥ al-Bukhārī</w:t>
      </w:r>
      <w:r w:rsidRPr="00876FD8">
        <w:rPr>
          <w:rFonts w:asciiTheme="majorBidi" w:hAnsiTheme="majorBidi" w:cstheme="majorBidi"/>
        </w:rPr>
        <w:t xml:space="preserve">, Juz VII, h. 30; Muslim, </w:t>
      </w:r>
      <w:r w:rsidRPr="00876FD8">
        <w:rPr>
          <w:rStyle w:val="Emphasis"/>
          <w:rFonts w:asciiTheme="majorBidi" w:hAnsiTheme="majorBidi" w:cstheme="majorBidi"/>
        </w:rPr>
        <w:t>Ṣaḥīḥ Muslim</w:t>
      </w:r>
      <w:r w:rsidRPr="00876FD8">
        <w:rPr>
          <w:rFonts w:asciiTheme="majorBidi" w:hAnsiTheme="majorBidi" w:cstheme="majorBidi"/>
        </w:rPr>
        <w:t>, Juz IV, h. 2218.</w:t>
      </w:r>
      <w:proofErr w:type="gramEnd"/>
      <w:r w:rsidRPr="00876FD8">
        <w:rPr>
          <w:rFonts w:asciiTheme="majorBidi" w:hAnsiTheme="majorBidi" w:cstheme="majorBidi"/>
        </w:rPr>
        <w:t xml:space="preserve"> </w:t>
      </w:r>
    </w:p>
  </w:footnote>
  <w:footnote w:id="26">
    <w:p w:rsidR="007244BA" w:rsidRPr="00876FD8" w:rsidRDefault="007244BA" w:rsidP="00876FD8">
      <w:pPr>
        <w:pStyle w:val="FootnoteText"/>
        <w:ind w:firstLine="720"/>
        <w:jc w:val="both"/>
        <w:rPr>
          <w:rFonts w:asciiTheme="majorBidi" w:hAnsiTheme="majorBidi" w:cstheme="majorBidi"/>
        </w:rPr>
      </w:pPr>
      <w:r w:rsidRPr="00876FD8">
        <w:rPr>
          <w:rStyle w:val="FootnoteReference"/>
          <w:rFonts w:asciiTheme="majorBidi" w:hAnsiTheme="majorBidi" w:cstheme="majorBidi"/>
        </w:rPr>
        <w:footnoteRef/>
      </w:r>
      <w:proofErr w:type="gramStart"/>
      <w:r w:rsidRPr="00876FD8">
        <w:rPr>
          <w:rFonts w:asciiTheme="majorBidi" w:hAnsiTheme="majorBidi" w:cstheme="majorBidi"/>
        </w:rPr>
        <w:t xml:space="preserve">Al-Nawawī, </w:t>
      </w:r>
      <w:r w:rsidRPr="00876FD8">
        <w:rPr>
          <w:rStyle w:val="Emphasis"/>
          <w:rFonts w:asciiTheme="majorBidi" w:hAnsiTheme="majorBidi" w:cstheme="majorBidi"/>
        </w:rPr>
        <w:t>Syarḥ Ṣaḥīḥ Muslim</w:t>
      </w:r>
      <w:r w:rsidRPr="00876FD8">
        <w:rPr>
          <w:rFonts w:asciiTheme="majorBidi" w:hAnsiTheme="majorBidi" w:cstheme="majorBidi"/>
        </w:rPr>
        <w:t>, Juz XIV (Beirut: Dār al-Fikr, 1996), h. 204.</w:t>
      </w:r>
      <w:proofErr w:type="gramEnd"/>
      <w:r w:rsidRPr="00876FD8">
        <w:rPr>
          <w:rFonts w:asciiTheme="majorBidi" w:hAnsiTheme="majorBidi" w:cstheme="majorBidi"/>
        </w:rPr>
        <w:t xml:space="preserve"> </w:t>
      </w:r>
    </w:p>
  </w:footnote>
  <w:footnote w:id="27">
    <w:p w:rsidR="00D720E5" w:rsidRPr="00876FD8" w:rsidRDefault="00D720E5" w:rsidP="00876FD8">
      <w:pPr>
        <w:pStyle w:val="FootnoteText"/>
        <w:ind w:firstLine="720"/>
        <w:jc w:val="both"/>
        <w:rPr>
          <w:rFonts w:asciiTheme="majorBidi" w:hAnsiTheme="majorBidi" w:cstheme="majorBidi"/>
        </w:rPr>
      </w:pPr>
      <w:r w:rsidRPr="00876FD8">
        <w:rPr>
          <w:rStyle w:val="FootnoteReference"/>
          <w:rFonts w:asciiTheme="majorBidi" w:hAnsiTheme="majorBidi" w:cstheme="majorBidi"/>
        </w:rPr>
        <w:footnoteRef/>
      </w:r>
      <w:proofErr w:type="gramStart"/>
      <w:r w:rsidRPr="00876FD8">
        <w:rPr>
          <w:rFonts w:asciiTheme="majorBidi" w:hAnsiTheme="majorBidi" w:cstheme="majorBidi"/>
        </w:rPr>
        <w:t xml:space="preserve">Al-Bukhārī, </w:t>
      </w:r>
      <w:r w:rsidRPr="004B6022">
        <w:rPr>
          <w:rFonts w:asciiTheme="majorBidi" w:hAnsiTheme="majorBidi" w:cstheme="majorBidi"/>
          <w:i/>
          <w:iCs/>
        </w:rPr>
        <w:t>Ṣaḥīḥ al-Bukhārī</w:t>
      </w:r>
      <w:r w:rsidRPr="00876FD8">
        <w:rPr>
          <w:rFonts w:asciiTheme="majorBidi" w:hAnsiTheme="majorBidi" w:cstheme="majorBidi"/>
        </w:rPr>
        <w:t>, Juz VIII (Beirut: Dār Ibn Kathīr, 1987), h. 148.</w:t>
      </w:r>
      <w:proofErr w:type="gramEnd"/>
    </w:p>
  </w:footnote>
  <w:footnote w:id="28">
    <w:p w:rsidR="003C55BE" w:rsidRPr="00876FD8" w:rsidRDefault="003C55BE" w:rsidP="00876FD8">
      <w:pPr>
        <w:pStyle w:val="FootnoteText"/>
        <w:ind w:firstLine="720"/>
        <w:jc w:val="both"/>
        <w:rPr>
          <w:rFonts w:asciiTheme="majorBidi" w:hAnsiTheme="majorBidi" w:cstheme="majorBidi"/>
        </w:rPr>
      </w:pPr>
      <w:r w:rsidRPr="00876FD8">
        <w:rPr>
          <w:rStyle w:val="FootnoteReference"/>
          <w:rFonts w:asciiTheme="majorBidi" w:hAnsiTheme="majorBidi" w:cstheme="majorBidi"/>
        </w:rPr>
        <w:footnoteRef/>
      </w:r>
      <w:r w:rsidRPr="00876FD8">
        <w:rPr>
          <w:rFonts w:asciiTheme="majorBidi" w:hAnsiTheme="majorBidi" w:cstheme="majorBidi"/>
        </w:rPr>
        <w:t xml:space="preserve">Muslim ibn al-Ḥajjāj, </w:t>
      </w:r>
      <w:r w:rsidRPr="00876FD8">
        <w:rPr>
          <w:rStyle w:val="Emphasis"/>
          <w:rFonts w:asciiTheme="majorBidi" w:hAnsiTheme="majorBidi" w:cstheme="majorBidi"/>
        </w:rPr>
        <w:t>Ṣaḥīḥ Muslim</w:t>
      </w:r>
      <w:r w:rsidRPr="00876FD8">
        <w:rPr>
          <w:rFonts w:asciiTheme="majorBidi" w:hAnsiTheme="majorBidi" w:cstheme="majorBidi"/>
        </w:rPr>
        <w:t xml:space="preserve">, Juz VIII (Beirut: Dār Ihyā’ al-Turāth al-‘Arabī, t.t.), h. 2045; lihat juga al-Ghazālī, </w:t>
      </w:r>
      <w:r w:rsidRPr="00876FD8">
        <w:rPr>
          <w:rStyle w:val="Emphasis"/>
          <w:rFonts w:asciiTheme="majorBidi" w:hAnsiTheme="majorBidi" w:cstheme="majorBidi"/>
        </w:rPr>
        <w:t>al-Iqtiṣād fī al-I‘tiqād</w:t>
      </w:r>
      <w:r w:rsidRPr="00876FD8">
        <w:rPr>
          <w:rFonts w:asciiTheme="majorBidi" w:hAnsiTheme="majorBidi" w:cstheme="majorBidi"/>
        </w:rPr>
        <w:t xml:space="preserve"> (Beirut: Dār al-Kutub al-‘Ilmiyyah, 2004), h. 89. </w:t>
      </w:r>
    </w:p>
  </w:footnote>
  <w:footnote w:id="29">
    <w:p w:rsidR="003C55BE" w:rsidRPr="00876FD8" w:rsidRDefault="003C55BE" w:rsidP="00876FD8">
      <w:pPr>
        <w:pStyle w:val="FootnoteText"/>
        <w:ind w:firstLine="720"/>
        <w:jc w:val="both"/>
        <w:rPr>
          <w:rFonts w:asciiTheme="majorBidi" w:hAnsiTheme="majorBidi" w:cstheme="majorBidi"/>
        </w:rPr>
      </w:pPr>
      <w:r w:rsidRPr="00876FD8">
        <w:rPr>
          <w:rStyle w:val="FootnoteReference"/>
          <w:rFonts w:asciiTheme="majorBidi" w:hAnsiTheme="majorBidi" w:cstheme="majorBidi"/>
        </w:rPr>
        <w:footnoteRef/>
      </w:r>
      <w:proofErr w:type="gramStart"/>
      <w:r w:rsidRPr="00876FD8">
        <w:rPr>
          <w:rFonts w:asciiTheme="majorBidi" w:hAnsiTheme="majorBidi" w:cstheme="majorBidi"/>
        </w:rPr>
        <w:t xml:space="preserve">Al-Tirmiżī, </w:t>
      </w:r>
      <w:r w:rsidRPr="00876FD8">
        <w:rPr>
          <w:rStyle w:val="Emphasis"/>
          <w:rFonts w:asciiTheme="majorBidi" w:hAnsiTheme="majorBidi" w:cstheme="majorBidi"/>
        </w:rPr>
        <w:t>Sunan al-Tirmiżī</w:t>
      </w:r>
      <w:r w:rsidRPr="00876FD8">
        <w:rPr>
          <w:rFonts w:asciiTheme="majorBidi" w:hAnsiTheme="majorBidi" w:cstheme="majorBidi"/>
        </w:rPr>
        <w:t>, Juz IV (Beirut: Dār al-Gharb al-Islāmī, 1998), h. 667.</w:t>
      </w:r>
      <w:proofErr w:type="gramEnd"/>
      <w:r w:rsidRPr="00876FD8">
        <w:rPr>
          <w:rFonts w:asciiTheme="majorBidi" w:hAnsiTheme="majorBidi" w:cstheme="majorBidi"/>
        </w:rPr>
        <w:t xml:space="preserve"> </w:t>
      </w:r>
    </w:p>
  </w:footnote>
  <w:footnote w:id="30">
    <w:p w:rsidR="003C55BE" w:rsidRPr="00876FD8" w:rsidRDefault="003C55BE" w:rsidP="00876FD8">
      <w:pPr>
        <w:pStyle w:val="FootnoteText"/>
        <w:ind w:firstLine="720"/>
        <w:jc w:val="both"/>
        <w:rPr>
          <w:rFonts w:asciiTheme="majorBidi" w:hAnsiTheme="majorBidi" w:cstheme="majorBidi"/>
        </w:rPr>
      </w:pPr>
      <w:r w:rsidRPr="00876FD8">
        <w:rPr>
          <w:rStyle w:val="FootnoteReference"/>
          <w:rFonts w:asciiTheme="majorBidi" w:hAnsiTheme="majorBidi" w:cstheme="majorBidi"/>
        </w:rPr>
        <w:footnoteRef/>
      </w:r>
      <w:proofErr w:type="gramStart"/>
      <w:r w:rsidRPr="00876FD8">
        <w:rPr>
          <w:rFonts w:asciiTheme="majorBidi" w:hAnsiTheme="majorBidi" w:cstheme="majorBidi"/>
        </w:rPr>
        <w:t xml:space="preserve">Al-Tirmiżī, </w:t>
      </w:r>
      <w:r w:rsidRPr="00876FD8">
        <w:rPr>
          <w:rStyle w:val="Emphasis"/>
          <w:rFonts w:asciiTheme="majorBidi" w:hAnsiTheme="majorBidi" w:cstheme="majorBidi"/>
        </w:rPr>
        <w:t>Sunan al-Tirmiżī</w:t>
      </w:r>
      <w:r w:rsidRPr="00876FD8">
        <w:rPr>
          <w:rFonts w:asciiTheme="majorBidi" w:hAnsiTheme="majorBidi" w:cstheme="majorBidi"/>
        </w:rPr>
        <w:t>, Juz IV (Beirut: Dār al-Gharb al-Islāmī, 1998), h. 601.</w:t>
      </w:r>
      <w:proofErr w:type="gramEnd"/>
      <w:r w:rsidRPr="00876FD8">
        <w:rPr>
          <w:rFonts w:asciiTheme="majorBidi" w:hAnsiTheme="majorBidi" w:cstheme="majorBidi"/>
        </w:rPr>
        <w:t xml:space="preserve"> </w:t>
      </w:r>
    </w:p>
  </w:footnote>
  <w:footnote w:id="31">
    <w:p w:rsidR="003D6CC0" w:rsidRPr="00876FD8" w:rsidRDefault="003D6CC0" w:rsidP="00876FD8">
      <w:pPr>
        <w:pStyle w:val="FootnoteText"/>
        <w:ind w:firstLine="720"/>
        <w:jc w:val="both"/>
        <w:rPr>
          <w:rFonts w:asciiTheme="majorBidi" w:hAnsiTheme="majorBidi" w:cstheme="majorBidi"/>
        </w:rPr>
      </w:pPr>
      <w:r w:rsidRPr="00876FD8">
        <w:rPr>
          <w:rStyle w:val="FootnoteReference"/>
          <w:rFonts w:asciiTheme="majorBidi" w:hAnsiTheme="majorBidi" w:cstheme="majorBidi"/>
        </w:rPr>
        <w:footnoteRef/>
      </w:r>
      <w:proofErr w:type="gramStart"/>
      <w:r w:rsidRPr="00876FD8">
        <w:rPr>
          <w:rFonts w:asciiTheme="majorBidi" w:hAnsiTheme="majorBidi" w:cstheme="majorBidi"/>
        </w:rPr>
        <w:t xml:space="preserve">Al-Nawawī, </w:t>
      </w:r>
      <w:r w:rsidRPr="00876FD8">
        <w:rPr>
          <w:rStyle w:val="Emphasis"/>
          <w:rFonts w:asciiTheme="majorBidi" w:hAnsiTheme="majorBidi" w:cstheme="majorBidi"/>
        </w:rPr>
        <w:t>Syarḥ Ṣaḥīḥ Muslim</w:t>
      </w:r>
      <w:r w:rsidRPr="00876FD8">
        <w:rPr>
          <w:rFonts w:asciiTheme="majorBidi" w:hAnsiTheme="majorBidi" w:cstheme="majorBidi"/>
        </w:rPr>
        <w:t>, Juz XVI (Beirut: Dār al-Fikr, 1996), h. 120-121.</w:t>
      </w:r>
      <w:proofErr w:type="gramEnd"/>
      <w:r w:rsidRPr="00876FD8">
        <w:rPr>
          <w:rFonts w:asciiTheme="majorBidi" w:hAnsiTheme="majorBidi" w:cstheme="majorBidi"/>
        </w:rPr>
        <w:t xml:space="preserve"> </w:t>
      </w:r>
    </w:p>
  </w:footnote>
  <w:footnote w:id="32">
    <w:p w:rsidR="00991633" w:rsidRPr="00876FD8" w:rsidRDefault="00991633" w:rsidP="00876FD8">
      <w:pPr>
        <w:pStyle w:val="FootnoteText"/>
        <w:ind w:firstLine="720"/>
        <w:jc w:val="both"/>
        <w:rPr>
          <w:rFonts w:asciiTheme="majorBidi" w:hAnsiTheme="majorBidi" w:cstheme="majorBidi"/>
        </w:rPr>
      </w:pPr>
      <w:r w:rsidRPr="00876FD8">
        <w:rPr>
          <w:rStyle w:val="FootnoteReference"/>
          <w:rFonts w:asciiTheme="majorBidi" w:hAnsiTheme="majorBidi" w:cstheme="majorBidi"/>
        </w:rPr>
        <w:footnoteRef/>
      </w:r>
      <w:proofErr w:type="gramStart"/>
      <w:r w:rsidRPr="00876FD8">
        <w:rPr>
          <w:rFonts w:asciiTheme="majorBidi" w:hAnsiTheme="majorBidi" w:cstheme="majorBidi"/>
        </w:rPr>
        <w:t xml:space="preserve">Al-Bukhārī, </w:t>
      </w:r>
      <w:r w:rsidRPr="00876FD8">
        <w:rPr>
          <w:rStyle w:val="Emphasis"/>
          <w:rFonts w:asciiTheme="majorBidi" w:hAnsiTheme="majorBidi" w:cstheme="majorBidi"/>
        </w:rPr>
        <w:t>Ṣaḥīḥ al-Bukhārī</w:t>
      </w:r>
      <w:r w:rsidRPr="00876FD8">
        <w:rPr>
          <w:rFonts w:asciiTheme="majorBidi" w:hAnsiTheme="majorBidi" w:cstheme="majorBidi"/>
        </w:rPr>
        <w:t>, Juz VII (Beirut: Dār Ibn Kathīr, 1987), h. 31.</w:t>
      </w:r>
      <w:proofErr w:type="gramEnd"/>
      <w:r w:rsidRPr="00876FD8">
        <w:rPr>
          <w:rFonts w:asciiTheme="majorBidi" w:hAnsiTheme="majorBidi" w:cstheme="majorBidi"/>
        </w:rPr>
        <w:t xml:space="preserve"> </w:t>
      </w:r>
    </w:p>
  </w:footnote>
  <w:footnote w:id="33">
    <w:p w:rsidR="00991633" w:rsidRPr="00876FD8" w:rsidRDefault="00991633" w:rsidP="00876FD8">
      <w:pPr>
        <w:pStyle w:val="FootnoteText"/>
        <w:ind w:firstLine="720"/>
        <w:jc w:val="both"/>
        <w:rPr>
          <w:rFonts w:asciiTheme="majorBidi" w:hAnsiTheme="majorBidi" w:cstheme="majorBidi"/>
        </w:rPr>
      </w:pPr>
      <w:r w:rsidRPr="00876FD8">
        <w:rPr>
          <w:rStyle w:val="FootnoteReference"/>
          <w:rFonts w:asciiTheme="majorBidi" w:hAnsiTheme="majorBidi" w:cstheme="majorBidi"/>
        </w:rPr>
        <w:footnoteRef/>
      </w:r>
      <w:r w:rsidRPr="00876FD8">
        <w:rPr>
          <w:rFonts w:asciiTheme="majorBidi" w:hAnsiTheme="majorBidi" w:cstheme="majorBidi"/>
        </w:rPr>
        <w:t xml:space="preserve">Ibn Ḥajar al-‘Asqalānī, </w:t>
      </w:r>
      <w:r w:rsidRPr="004B6022">
        <w:rPr>
          <w:rFonts w:asciiTheme="majorBidi" w:hAnsiTheme="majorBidi" w:cstheme="majorBidi"/>
          <w:i/>
          <w:iCs/>
        </w:rPr>
        <w:t>Fatḥ al-Bārī</w:t>
      </w:r>
      <w:r w:rsidRPr="00876FD8">
        <w:rPr>
          <w:rFonts w:asciiTheme="majorBidi" w:hAnsiTheme="majorBidi" w:cstheme="majorBidi"/>
        </w:rPr>
        <w:t>, Juz X (Beirut: Dār al-Ma‘rifah, 1379 H), h. 180-182.</w:t>
      </w:r>
    </w:p>
  </w:footnote>
  <w:footnote w:id="34">
    <w:p w:rsidR="00E15FBE" w:rsidRPr="00876FD8" w:rsidRDefault="00E15FBE" w:rsidP="00876FD8">
      <w:pPr>
        <w:pStyle w:val="FootnoteText"/>
        <w:ind w:firstLine="720"/>
        <w:jc w:val="both"/>
        <w:rPr>
          <w:rFonts w:asciiTheme="majorBidi" w:hAnsiTheme="majorBidi" w:cstheme="majorBidi"/>
        </w:rPr>
      </w:pPr>
      <w:r w:rsidRPr="00876FD8">
        <w:rPr>
          <w:rStyle w:val="FootnoteReference"/>
          <w:rFonts w:asciiTheme="majorBidi" w:hAnsiTheme="majorBidi" w:cstheme="majorBidi"/>
        </w:rPr>
        <w:footnoteRef/>
      </w:r>
      <w:r w:rsidRPr="00876FD8">
        <w:rPr>
          <w:rFonts w:asciiTheme="majorBidi" w:hAnsiTheme="majorBidi" w:cstheme="majorBidi"/>
        </w:rPr>
        <w:t xml:space="preserve">Ibn Taymiyyah, </w:t>
      </w:r>
      <w:proofErr w:type="gramStart"/>
      <w:r w:rsidRPr="00876FD8">
        <w:rPr>
          <w:rStyle w:val="Emphasis"/>
          <w:rFonts w:asciiTheme="majorBidi" w:hAnsiTheme="majorBidi" w:cstheme="majorBidi"/>
        </w:rPr>
        <w:t>Majmū‘ al</w:t>
      </w:r>
      <w:proofErr w:type="gramEnd"/>
      <w:r w:rsidRPr="00876FD8">
        <w:rPr>
          <w:rStyle w:val="Emphasis"/>
          <w:rFonts w:asciiTheme="majorBidi" w:hAnsiTheme="majorBidi" w:cstheme="majorBidi"/>
        </w:rPr>
        <w:t>-Fatāwā</w:t>
      </w:r>
      <w:r w:rsidRPr="00876FD8">
        <w:rPr>
          <w:rFonts w:asciiTheme="majorBidi" w:hAnsiTheme="majorBidi" w:cstheme="majorBidi"/>
        </w:rPr>
        <w:t xml:space="preserve">, Juz IV (Riyadh: Dār ‘Ālam al-Kutub, 1995), h. 280-281. </w:t>
      </w:r>
    </w:p>
  </w:footnote>
  <w:footnote w:id="35">
    <w:p w:rsidR="00E15FBE" w:rsidRPr="00876FD8" w:rsidRDefault="00E15FBE" w:rsidP="00876FD8">
      <w:pPr>
        <w:pStyle w:val="FootnoteText"/>
        <w:ind w:firstLine="720"/>
        <w:jc w:val="both"/>
        <w:rPr>
          <w:rFonts w:asciiTheme="majorBidi" w:hAnsiTheme="majorBidi" w:cstheme="majorBidi"/>
        </w:rPr>
      </w:pPr>
      <w:r w:rsidRPr="00876FD8">
        <w:rPr>
          <w:rStyle w:val="FootnoteReference"/>
          <w:rFonts w:asciiTheme="majorBidi" w:hAnsiTheme="majorBidi" w:cstheme="majorBidi"/>
        </w:rPr>
        <w:footnoteRef/>
      </w:r>
      <w:proofErr w:type="gramStart"/>
      <w:r w:rsidRPr="00876FD8">
        <w:rPr>
          <w:rFonts w:asciiTheme="majorBidi" w:hAnsiTheme="majorBidi" w:cstheme="majorBidi"/>
        </w:rPr>
        <w:t xml:space="preserve">Al-Nawawī, </w:t>
      </w:r>
      <w:r w:rsidRPr="00876FD8">
        <w:rPr>
          <w:rStyle w:val="Emphasis"/>
          <w:rFonts w:asciiTheme="majorBidi" w:hAnsiTheme="majorBidi" w:cstheme="majorBidi"/>
        </w:rPr>
        <w:t>Syarḥ Ṣaḥīḥ Muslim</w:t>
      </w:r>
      <w:r w:rsidRPr="00876FD8">
        <w:rPr>
          <w:rFonts w:asciiTheme="majorBidi" w:hAnsiTheme="majorBidi" w:cstheme="majorBidi"/>
        </w:rPr>
        <w:t>, Juz XIV (Beirut: Dār al-Fikr, 1996), h. 204.</w:t>
      </w:r>
      <w:proofErr w:type="gramEnd"/>
      <w:r w:rsidRPr="00876FD8">
        <w:rPr>
          <w:rFonts w:asciiTheme="majorBidi" w:hAnsiTheme="majorBidi" w:cstheme="majorBidi"/>
        </w:rPr>
        <w:t xml:space="preserve"> </w:t>
      </w:r>
    </w:p>
  </w:footnote>
  <w:footnote w:id="36">
    <w:p w:rsidR="00636E8B" w:rsidRPr="00876FD8" w:rsidRDefault="00636E8B" w:rsidP="00876FD8">
      <w:pPr>
        <w:pStyle w:val="FootnoteText"/>
        <w:ind w:firstLine="720"/>
        <w:jc w:val="both"/>
        <w:rPr>
          <w:rFonts w:asciiTheme="majorBidi" w:hAnsiTheme="majorBidi" w:cstheme="majorBidi"/>
        </w:rPr>
      </w:pPr>
      <w:r w:rsidRPr="00876FD8">
        <w:rPr>
          <w:rStyle w:val="FootnoteReference"/>
          <w:rFonts w:asciiTheme="majorBidi" w:hAnsiTheme="majorBidi" w:cstheme="majorBidi"/>
        </w:rPr>
        <w:footnoteRef/>
      </w:r>
      <w:r w:rsidRPr="00876FD8">
        <w:rPr>
          <w:rFonts w:asciiTheme="majorBidi" w:hAnsiTheme="majorBidi" w:cstheme="majorBidi"/>
        </w:rPr>
        <w:t xml:space="preserve">Muslim ibn al-Ḥajjāj, </w:t>
      </w:r>
      <w:r w:rsidRPr="00876FD8">
        <w:rPr>
          <w:rStyle w:val="Emphasis"/>
          <w:rFonts w:asciiTheme="majorBidi" w:hAnsiTheme="majorBidi" w:cstheme="majorBidi"/>
        </w:rPr>
        <w:t>Ṣaḥīḥ Muslim</w:t>
      </w:r>
      <w:r w:rsidRPr="00876FD8">
        <w:rPr>
          <w:rFonts w:asciiTheme="majorBidi" w:hAnsiTheme="majorBidi" w:cstheme="majorBidi"/>
        </w:rPr>
        <w:t xml:space="preserve">, Juz IV (Beirut: Dār Ihyā’ al-Turāth al-‘Arabī, t.t.), h. 1991. </w:t>
      </w:r>
    </w:p>
  </w:footnote>
  <w:footnote w:id="37">
    <w:p w:rsidR="00636E8B" w:rsidRPr="00876FD8" w:rsidRDefault="00636E8B" w:rsidP="00876FD8">
      <w:pPr>
        <w:pStyle w:val="FootnoteText"/>
        <w:ind w:firstLine="720"/>
        <w:jc w:val="both"/>
        <w:rPr>
          <w:rFonts w:asciiTheme="majorBidi" w:hAnsiTheme="majorBidi" w:cstheme="majorBidi"/>
        </w:rPr>
      </w:pPr>
      <w:r w:rsidRPr="00876FD8">
        <w:rPr>
          <w:rStyle w:val="FootnoteReference"/>
          <w:rFonts w:asciiTheme="majorBidi" w:hAnsiTheme="majorBidi" w:cstheme="majorBidi"/>
        </w:rPr>
        <w:footnoteRef/>
      </w:r>
      <w:r w:rsidRPr="00876FD8">
        <w:rPr>
          <w:rFonts w:asciiTheme="majorBidi" w:hAnsiTheme="majorBidi" w:cstheme="majorBidi"/>
        </w:rPr>
        <w:t xml:space="preserve">Muslim ibn al-Ḥajjāj, </w:t>
      </w:r>
      <w:r w:rsidRPr="00876FD8">
        <w:rPr>
          <w:rStyle w:val="Emphasis"/>
          <w:rFonts w:asciiTheme="majorBidi" w:hAnsiTheme="majorBidi" w:cstheme="majorBidi"/>
        </w:rPr>
        <w:t>Ṣaḥīḥ Muslim</w:t>
      </w:r>
      <w:r w:rsidRPr="00876FD8">
        <w:rPr>
          <w:rFonts w:asciiTheme="majorBidi" w:hAnsiTheme="majorBidi" w:cstheme="majorBidi"/>
        </w:rPr>
        <w:t xml:space="preserve">, Juz IV (Beirut: Dār Ihyā’ al-Turāth al-‘Arabī, t.t.), h. 1991. </w:t>
      </w:r>
    </w:p>
  </w:footnote>
  <w:footnote w:id="38">
    <w:p w:rsidR="00636E8B" w:rsidRPr="00876FD8" w:rsidRDefault="00636E8B" w:rsidP="00876FD8">
      <w:pPr>
        <w:pStyle w:val="FootnoteText"/>
        <w:ind w:firstLine="720"/>
        <w:jc w:val="both"/>
        <w:rPr>
          <w:rFonts w:asciiTheme="majorBidi" w:hAnsiTheme="majorBidi" w:cstheme="majorBidi"/>
        </w:rPr>
      </w:pPr>
      <w:r w:rsidRPr="00876FD8">
        <w:rPr>
          <w:rStyle w:val="FootnoteReference"/>
          <w:rFonts w:asciiTheme="majorBidi" w:hAnsiTheme="majorBidi" w:cstheme="majorBidi"/>
        </w:rPr>
        <w:footnoteRef/>
      </w:r>
      <w:r w:rsidRPr="00876FD8">
        <w:rPr>
          <w:rFonts w:asciiTheme="majorBidi" w:hAnsiTheme="majorBidi" w:cstheme="majorBidi"/>
        </w:rPr>
        <w:t xml:space="preserve">Al-Ghazālī, </w:t>
      </w:r>
      <w:r w:rsidRPr="00876FD8">
        <w:rPr>
          <w:rStyle w:val="Emphasis"/>
          <w:rFonts w:asciiTheme="majorBidi" w:hAnsiTheme="majorBidi" w:cstheme="majorBidi"/>
        </w:rPr>
        <w:t>al-Iqtiṣād fī al-I‘tiqād</w:t>
      </w:r>
      <w:r w:rsidRPr="00876FD8">
        <w:rPr>
          <w:rFonts w:asciiTheme="majorBidi" w:hAnsiTheme="majorBidi" w:cstheme="majorBidi"/>
        </w:rPr>
        <w:t xml:space="preserve"> (Beirut: Dār al-Kutub al-‘Ilmiyyah, 2004), h. 91-92. </w:t>
      </w:r>
    </w:p>
  </w:footnote>
  <w:footnote w:id="39">
    <w:p w:rsidR="002851B6" w:rsidRPr="00876FD8" w:rsidRDefault="002851B6" w:rsidP="00876FD8">
      <w:pPr>
        <w:pStyle w:val="FootnoteText"/>
        <w:ind w:firstLine="720"/>
        <w:jc w:val="both"/>
        <w:rPr>
          <w:rFonts w:asciiTheme="majorBidi" w:hAnsiTheme="majorBidi" w:cstheme="majorBidi"/>
        </w:rPr>
      </w:pPr>
      <w:r w:rsidRPr="00876FD8">
        <w:rPr>
          <w:rStyle w:val="FootnoteReference"/>
          <w:rFonts w:asciiTheme="majorBidi" w:hAnsiTheme="majorBidi" w:cstheme="majorBidi"/>
        </w:rPr>
        <w:footnoteRef/>
      </w:r>
      <w:proofErr w:type="gramStart"/>
      <w:r w:rsidRPr="00876FD8">
        <w:rPr>
          <w:rFonts w:asciiTheme="majorBidi" w:hAnsiTheme="majorBidi" w:cstheme="majorBidi"/>
        </w:rPr>
        <w:t xml:space="preserve">Al-Bukhārī, </w:t>
      </w:r>
      <w:r w:rsidRPr="00876FD8">
        <w:rPr>
          <w:rStyle w:val="Emphasis"/>
          <w:rFonts w:asciiTheme="majorBidi" w:hAnsiTheme="majorBidi" w:cstheme="majorBidi"/>
        </w:rPr>
        <w:t>Ṣaḥīḥ al-Bukhārī</w:t>
      </w:r>
      <w:r w:rsidRPr="00876FD8">
        <w:rPr>
          <w:rFonts w:asciiTheme="majorBidi" w:hAnsiTheme="majorBidi" w:cstheme="majorBidi"/>
        </w:rPr>
        <w:t>, Juz XIII (Beirut: Dār Ibn Kathīr, 1987), h. 52.</w:t>
      </w:r>
      <w:proofErr w:type="gramEnd"/>
      <w:r w:rsidRPr="00876FD8">
        <w:rPr>
          <w:rFonts w:asciiTheme="majorBidi" w:hAnsiTheme="majorBidi" w:cstheme="majorBidi"/>
        </w:rPr>
        <w:t xml:space="preserve"> </w:t>
      </w:r>
    </w:p>
  </w:footnote>
  <w:footnote w:id="40">
    <w:p w:rsidR="002851B6" w:rsidRPr="00876FD8" w:rsidRDefault="002851B6" w:rsidP="00876FD8">
      <w:pPr>
        <w:pStyle w:val="FootnoteText"/>
        <w:ind w:firstLine="720"/>
        <w:jc w:val="both"/>
        <w:rPr>
          <w:rFonts w:asciiTheme="majorBidi" w:hAnsiTheme="majorBidi" w:cstheme="majorBidi"/>
        </w:rPr>
      </w:pPr>
      <w:r w:rsidRPr="00876FD8">
        <w:rPr>
          <w:rStyle w:val="FootnoteReference"/>
          <w:rFonts w:asciiTheme="majorBidi" w:hAnsiTheme="majorBidi" w:cstheme="majorBidi"/>
        </w:rPr>
        <w:footnoteRef/>
      </w:r>
      <w:r w:rsidRPr="00876FD8">
        <w:rPr>
          <w:rFonts w:asciiTheme="majorBidi" w:hAnsiTheme="majorBidi" w:cstheme="majorBidi"/>
        </w:rPr>
        <w:t xml:space="preserve">Ibn Mājah, </w:t>
      </w:r>
      <w:r w:rsidRPr="00876FD8">
        <w:rPr>
          <w:rStyle w:val="Emphasis"/>
          <w:rFonts w:asciiTheme="majorBidi" w:hAnsiTheme="majorBidi" w:cstheme="majorBidi"/>
        </w:rPr>
        <w:t>Sunan Ibn Mājah</w:t>
      </w:r>
      <w:r w:rsidRPr="00876FD8">
        <w:rPr>
          <w:rFonts w:asciiTheme="majorBidi" w:hAnsiTheme="majorBidi" w:cstheme="majorBidi"/>
        </w:rPr>
        <w:t xml:space="preserve">, Juz II (Beirut: Dār al-Fikr, t.t.), h. 784. </w:t>
      </w:r>
    </w:p>
  </w:footnote>
  <w:footnote w:id="41">
    <w:p w:rsidR="002851B6" w:rsidRPr="00876FD8" w:rsidRDefault="002851B6" w:rsidP="00876FD8">
      <w:pPr>
        <w:pStyle w:val="FootnoteText"/>
        <w:ind w:firstLine="720"/>
        <w:jc w:val="both"/>
        <w:rPr>
          <w:rFonts w:asciiTheme="majorBidi" w:hAnsiTheme="majorBidi" w:cstheme="majorBidi"/>
        </w:rPr>
      </w:pPr>
      <w:r w:rsidRPr="00876FD8">
        <w:rPr>
          <w:rStyle w:val="FootnoteReference"/>
          <w:rFonts w:asciiTheme="majorBidi" w:hAnsiTheme="majorBidi" w:cstheme="majorBidi"/>
        </w:rPr>
        <w:footnoteRef/>
      </w:r>
      <w:r w:rsidRPr="00876FD8">
        <w:rPr>
          <w:rFonts w:asciiTheme="majorBidi" w:hAnsiTheme="majorBidi" w:cstheme="majorBidi"/>
        </w:rPr>
        <w:t xml:space="preserve">Seyyed Hossein Nasr, </w:t>
      </w:r>
      <w:r w:rsidRPr="00876FD8">
        <w:rPr>
          <w:rStyle w:val="Emphasis"/>
          <w:rFonts w:asciiTheme="majorBidi" w:hAnsiTheme="majorBidi" w:cstheme="majorBidi"/>
        </w:rPr>
        <w:t>Man and Nature: The Spiritual Crisis of Modern Man</w:t>
      </w:r>
      <w:r w:rsidRPr="00876FD8">
        <w:rPr>
          <w:rFonts w:asciiTheme="majorBidi" w:hAnsiTheme="majorBidi" w:cstheme="majorBidi"/>
        </w:rPr>
        <w:t xml:space="preserve"> (London: Unwin, 1990), h. 98-100. </w:t>
      </w:r>
    </w:p>
  </w:footnote>
  <w:footnote w:id="42">
    <w:p w:rsidR="002851B6" w:rsidRPr="00876FD8" w:rsidRDefault="002851B6" w:rsidP="00876FD8">
      <w:pPr>
        <w:pStyle w:val="FootnoteText"/>
        <w:ind w:firstLine="720"/>
        <w:jc w:val="both"/>
        <w:rPr>
          <w:rFonts w:asciiTheme="majorBidi" w:hAnsiTheme="majorBidi" w:cstheme="majorBidi"/>
        </w:rPr>
      </w:pPr>
      <w:r w:rsidRPr="00876FD8">
        <w:rPr>
          <w:rStyle w:val="FootnoteReference"/>
          <w:rFonts w:asciiTheme="majorBidi" w:hAnsiTheme="majorBidi" w:cstheme="majorBidi"/>
        </w:rPr>
        <w:footnoteRef/>
      </w:r>
      <w:proofErr w:type="gramStart"/>
      <w:r w:rsidRPr="00876FD8">
        <w:rPr>
          <w:rFonts w:asciiTheme="majorBidi" w:hAnsiTheme="majorBidi" w:cstheme="majorBidi"/>
        </w:rPr>
        <w:t xml:space="preserve">Al-Bukhārī, </w:t>
      </w:r>
      <w:r w:rsidRPr="00876FD8">
        <w:rPr>
          <w:rStyle w:val="Emphasis"/>
          <w:rFonts w:asciiTheme="majorBidi" w:hAnsiTheme="majorBidi" w:cstheme="majorBidi"/>
        </w:rPr>
        <w:t>Ṣaḥīḥ al-Bukhārī</w:t>
      </w:r>
      <w:r w:rsidRPr="00876FD8">
        <w:rPr>
          <w:rFonts w:asciiTheme="majorBidi" w:hAnsiTheme="majorBidi" w:cstheme="majorBidi"/>
        </w:rPr>
        <w:t>, Juz VII (Beirut: Dār Ibn Kathīr, 1987), h. 30-31.</w:t>
      </w:r>
      <w:proofErr w:type="gramEnd"/>
      <w:r w:rsidRPr="00876FD8">
        <w:rPr>
          <w:rFonts w:asciiTheme="majorBidi" w:hAnsiTheme="majorBidi" w:cstheme="majorBidi"/>
        </w:rPr>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EE64E7"/>
    <w:multiLevelType w:val="multilevel"/>
    <w:tmpl w:val="8F2C1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2A82E38"/>
    <w:multiLevelType w:val="multilevel"/>
    <w:tmpl w:val="AD38AE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7AAD0256"/>
    <w:multiLevelType w:val="multilevel"/>
    <w:tmpl w:val="87D2EF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7D9A50A7"/>
    <w:multiLevelType w:val="multilevel"/>
    <w:tmpl w:val="BA3AF1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6B1D"/>
    <w:rsid w:val="00003803"/>
    <w:rsid w:val="00017BB0"/>
    <w:rsid w:val="00026F0F"/>
    <w:rsid w:val="0005742D"/>
    <w:rsid w:val="00060FF8"/>
    <w:rsid w:val="00065BCF"/>
    <w:rsid w:val="00072EC7"/>
    <w:rsid w:val="00076E46"/>
    <w:rsid w:val="00081CD7"/>
    <w:rsid w:val="000A47F0"/>
    <w:rsid w:val="000B7672"/>
    <w:rsid w:val="000C1E41"/>
    <w:rsid w:val="000D27FA"/>
    <w:rsid w:val="000D3099"/>
    <w:rsid w:val="000D6BC9"/>
    <w:rsid w:val="000E2D85"/>
    <w:rsid w:val="000F0194"/>
    <w:rsid w:val="000F1450"/>
    <w:rsid w:val="000F566C"/>
    <w:rsid w:val="00107F65"/>
    <w:rsid w:val="00115EC7"/>
    <w:rsid w:val="0012114C"/>
    <w:rsid w:val="001344B3"/>
    <w:rsid w:val="0013472B"/>
    <w:rsid w:val="001367AD"/>
    <w:rsid w:val="00137725"/>
    <w:rsid w:val="00137C3A"/>
    <w:rsid w:val="00152B09"/>
    <w:rsid w:val="00156BC9"/>
    <w:rsid w:val="0016100B"/>
    <w:rsid w:val="001627C3"/>
    <w:rsid w:val="0018008A"/>
    <w:rsid w:val="00182AA5"/>
    <w:rsid w:val="001846C1"/>
    <w:rsid w:val="001916FA"/>
    <w:rsid w:val="00193448"/>
    <w:rsid w:val="001A0552"/>
    <w:rsid w:val="001A0636"/>
    <w:rsid w:val="001A0653"/>
    <w:rsid w:val="001A4C8B"/>
    <w:rsid w:val="001B1CC8"/>
    <w:rsid w:val="001C0404"/>
    <w:rsid w:val="001C63E1"/>
    <w:rsid w:val="001C6B6B"/>
    <w:rsid w:val="001D30B0"/>
    <w:rsid w:val="001D58E6"/>
    <w:rsid w:val="001D6846"/>
    <w:rsid w:val="001E2CCF"/>
    <w:rsid w:val="001E46DB"/>
    <w:rsid w:val="001E7EBD"/>
    <w:rsid w:val="001F16BF"/>
    <w:rsid w:val="001F2A9F"/>
    <w:rsid w:val="00201CD2"/>
    <w:rsid w:val="00202284"/>
    <w:rsid w:val="0022483B"/>
    <w:rsid w:val="00236359"/>
    <w:rsid w:val="00240AF3"/>
    <w:rsid w:val="00241288"/>
    <w:rsid w:val="00250D1F"/>
    <w:rsid w:val="00271C4E"/>
    <w:rsid w:val="002737D1"/>
    <w:rsid w:val="00274272"/>
    <w:rsid w:val="00274BC3"/>
    <w:rsid w:val="002851B6"/>
    <w:rsid w:val="00286EC9"/>
    <w:rsid w:val="00291317"/>
    <w:rsid w:val="00294D04"/>
    <w:rsid w:val="002A33BB"/>
    <w:rsid w:val="002A3E7A"/>
    <w:rsid w:val="002A431E"/>
    <w:rsid w:val="002B0AC3"/>
    <w:rsid w:val="002B5697"/>
    <w:rsid w:val="002C3B96"/>
    <w:rsid w:val="002C4FA3"/>
    <w:rsid w:val="002C7542"/>
    <w:rsid w:val="002C7FC7"/>
    <w:rsid w:val="002D1730"/>
    <w:rsid w:val="002D546F"/>
    <w:rsid w:val="002E1E1B"/>
    <w:rsid w:val="002E74B5"/>
    <w:rsid w:val="002E78B2"/>
    <w:rsid w:val="003114C3"/>
    <w:rsid w:val="00311E7E"/>
    <w:rsid w:val="003121A8"/>
    <w:rsid w:val="003143A1"/>
    <w:rsid w:val="003159BF"/>
    <w:rsid w:val="003211AB"/>
    <w:rsid w:val="003224D1"/>
    <w:rsid w:val="00326081"/>
    <w:rsid w:val="003323C2"/>
    <w:rsid w:val="003327E8"/>
    <w:rsid w:val="003371C0"/>
    <w:rsid w:val="00340F9A"/>
    <w:rsid w:val="00342C34"/>
    <w:rsid w:val="00352FA2"/>
    <w:rsid w:val="0035692D"/>
    <w:rsid w:val="00365806"/>
    <w:rsid w:val="00365BDF"/>
    <w:rsid w:val="00366E32"/>
    <w:rsid w:val="0037786D"/>
    <w:rsid w:val="003806AC"/>
    <w:rsid w:val="00390BE1"/>
    <w:rsid w:val="00391733"/>
    <w:rsid w:val="003921D4"/>
    <w:rsid w:val="00394749"/>
    <w:rsid w:val="003A06FA"/>
    <w:rsid w:val="003A1E55"/>
    <w:rsid w:val="003B011E"/>
    <w:rsid w:val="003B02FE"/>
    <w:rsid w:val="003B08E7"/>
    <w:rsid w:val="003B1ACE"/>
    <w:rsid w:val="003B1FF8"/>
    <w:rsid w:val="003B26A3"/>
    <w:rsid w:val="003B3709"/>
    <w:rsid w:val="003B4DC5"/>
    <w:rsid w:val="003B5969"/>
    <w:rsid w:val="003B6B1D"/>
    <w:rsid w:val="003C0411"/>
    <w:rsid w:val="003C1213"/>
    <w:rsid w:val="003C2B60"/>
    <w:rsid w:val="003C55BE"/>
    <w:rsid w:val="003D67F9"/>
    <w:rsid w:val="003D6CC0"/>
    <w:rsid w:val="003D6E54"/>
    <w:rsid w:val="003E1B5A"/>
    <w:rsid w:val="003E54D5"/>
    <w:rsid w:val="003F02E0"/>
    <w:rsid w:val="00400F6C"/>
    <w:rsid w:val="0040383E"/>
    <w:rsid w:val="00405A68"/>
    <w:rsid w:val="00406D3D"/>
    <w:rsid w:val="0042254D"/>
    <w:rsid w:val="00425811"/>
    <w:rsid w:val="004276C1"/>
    <w:rsid w:val="004317FC"/>
    <w:rsid w:val="00432F6F"/>
    <w:rsid w:val="00440552"/>
    <w:rsid w:val="004461A0"/>
    <w:rsid w:val="00460515"/>
    <w:rsid w:val="00461F0E"/>
    <w:rsid w:val="00461F55"/>
    <w:rsid w:val="00465550"/>
    <w:rsid w:val="004801B9"/>
    <w:rsid w:val="00487F9B"/>
    <w:rsid w:val="004933A2"/>
    <w:rsid w:val="00493970"/>
    <w:rsid w:val="00494B77"/>
    <w:rsid w:val="004A2D21"/>
    <w:rsid w:val="004A4674"/>
    <w:rsid w:val="004B6022"/>
    <w:rsid w:val="004B7969"/>
    <w:rsid w:val="004D1D7E"/>
    <w:rsid w:val="004D4299"/>
    <w:rsid w:val="004D4B50"/>
    <w:rsid w:val="004D6C6C"/>
    <w:rsid w:val="004E077F"/>
    <w:rsid w:val="004F0C09"/>
    <w:rsid w:val="004F3410"/>
    <w:rsid w:val="004F36D1"/>
    <w:rsid w:val="004F37D6"/>
    <w:rsid w:val="004F40A5"/>
    <w:rsid w:val="00501130"/>
    <w:rsid w:val="0050186C"/>
    <w:rsid w:val="0050466A"/>
    <w:rsid w:val="00505A27"/>
    <w:rsid w:val="0051564C"/>
    <w:rsid w:val="0052017B"/>
    <w:rsid w:val="0052200D"/>
    <w:rsid w:val="00533421"/>
    <w:rsid w:val="00534183"/>
    <w:rsid w:val="0054703B"/>
    <w:rsid w:val="00554583"/>
    <w:rsid w:val="00555EE2"/>
    <w:rsid w:val="00557219"/>
    <w:rsid w:val="00566F26"/>
    <w:rsid w:val="00570981"/>
    <w:rsid w:val="00584872"/>
    <w:rsid w:val="00585F72"/>
    <w:rsid w:val="00586C2F"/>
    <w:rsid w:val="005879BC"/>
    <w:rsid w:val="00592148"/>
    <w:rsid w:val="005938B9"/>
    <w:rsid w:val="00594199"/>
    <w:rsid w:val="0059680C"/>
    <w:rsid w:val="005A51AA"/>
    <w:rsid w:val="005A700A"/>
    <w:rsid w:val="005B0F0F"/>
    <w:rsid w:val="005B7189"/>
    <w:rsid w:val="005C11A0"/>
    <w:rsid w:val="005E3CAC"/>
    <w:rsid w:val="005F278E"/>
    <w:rsid w:val="005F4D18"/>
    <w:rsid w:val="005F5E23"/>
    <w:rsid w:val="005F6BC4"/>
    <w:rsid w:val="00606E92"/>
    <w:rsid w:val="0060772A"/>
    <w:rsid w:val="00626AF4"/>
    <w:rsid w:val="006309A7"/>
    <w:rsid w:val="00630ABE"/>
    <w:rsid w:val="0063365E"/>
    <w:rsid w:val="006337D9"/>
    <w:rsid w:val="00636E8B"/>
    <w:rsid w:val="00640BF5"/>
    <w:rsid w:val="00647954"/>
    <w:rsid w:val="00654603"/>
    <w:rsid w:val="00662A50"/>
    <w:rsid w:val="0066367F"/>
    <w:rsid w:val="006702C8"/>
    <w:rsid w:val="006745C7"/>
    <w:rsid w:val="00675A3E"/>
    <w:rsid w:val="0067739E"/>
    <w:rsid w:val="0069792A"/>
    <w:rsid w:val="006A59EA"/>
    <w:rsid w:val="006A6BC6"/>
    <w:rsid w:val="006B762A"/>
    <w:rsid w:val="006C0C6A"/>
    <w:rsid w:val="006C405E"/>
    <w:rsid w:val="006D1FEE"/>
    <w:rsid w:val="006D552D"/>
    <w:rsid w:val="006E1619"/>
    <w:rsid w:val="006E1B26"/>
    <w:rsid w:val="006F5EEE"/>
    <w:rsid w:val="00700AA2"/>
    <w:rsid w:val="00714B34"/>
    <w:rsid w:val="00721F92"/>
    <w:rsid w:val="007244BA"/>
    <w:rsid w:val="007250DD"/>
    <w:rsid w:val="007344FB"/>
    <w:rsid w:val="007413D7"/>
    <w:rsid w:val="00744245"/>
    <w:rsid w:val="007538D4"/>
    <w:rsid w:val="00763FDA"/>
    <w:rsid w:val="00764E20"/>
    <w:rsid w:val="007717F2"/>
    <w:rsid w:val="00776BD7"/>
    <w:rsid w:val="0078306E"/>
    <w:rsid w:val="007844B4"/>
    <w:rsid w:val="007939E4"/>
    <w:rsid w:val="007A0508"/>
    <w:rsid w:val="007A6D67"/>
    <w:rsid w:val="007B3F2A"/>
    <w:rsid w:val="007C19C7"/>
    <w:rsid w:val="007C24C1"/>
    <w:rsid w:val="007D0046"/>
    <w:rsid w:val="007E1169"/>
    <w:rsid w:val="007E5980"/>
    <w:rsid w:val="007E62F8"/>
    <w:rsid w:val="00804C23"/>
    <w:rsid w:val="00805AB4"/>
    <w:rsid w:val="00823115"/>
    <w:rsid w:val="00833FC0"/>
    <w:rsid w:val="00844FA2"/>
    <w:rsid w:val="008476EE"/>
    <w:rsid w:val="00857BC7"/>
    <w:rsid w:val="0086304A"/>
    <w:rsid w:val="00865768"/>
    <w:rsid w:val="00872D15"/>
    <w:rsid w:val="00876FD8"/>
    <w:rsid w:val="008802B4"/>
    <w:rsid w:val="00890AE3"/>
    <w:rsid w:val="008915AC"/>
    <w:rsid w:val="008A6B77"/>
    <w:rsid w:val="008B164E"/>
    <w:rsid w:val="008B750A"/>
    <w:rsid w:val="008B7A37"/>
    <w:rsid w:val="008C146F"/>
    <w:rsid w:val="008D3FCD"/>
    <w:rsid w:val="008F02E7"/>
    <w:rsid w:val="008F2339"/>
    <w:rsid w:val="008F37CF"/>
    <w:rsid w:val="008F5067"/>
    <w:rsid w:val="008F5326"/>
    <w:rsid w:val="008F7385"/>
    <w:rsid w:val="008F7C06"/>
    <w:rsid w:val="00906814"/>
    <w:rsid w:val="009068AF"/>
    <w:rsid w:val="00906ADF"/>
    <w:rsid w:val="00933925"/>
    <w:rsid w:val="009349CE"/>
    <w:rsid w:val="0094010A"/>
    <w:rsid w:val="00960BFC"/>
    <w:rsid w:val="00960DD4"/>
    <w:rsid w:val="009615C1"/>
    <w:rsid w:val="00962DDC"/>
    <w:rsid w:val="009643A5"/>
    <w:rsid w:val="009643C0"/>
    <w:rsid w:val="00965870"/>
    <w:rsid w:val="00966029"/>
    <w:rsid w:val="00967BF3"/>
    <w:rsid w:val="00971669"/>
    <w:rsid w:val="00974080"/>
    <w:rsid w:val="0097637D"/>
    <w:rsid w:val="009770EB"/>
    <w:rsid w:val="00982E4C"/>
    <w:rsid w:val="00984E47"/>
    <w:rsid w:val="00985B8A"/>
    <w:rsid w:val="009915DE"/>
    <w:rsid w:val="00991633"/>
    <w:rsid w:val="00991F51"/>
    <w:rsid w:val="009979AE"/>
    <w:rsid w:val="009A6C9D"/>
    <w:rsid w:val="009B1908"/>
    <w:rsid w:val="009B1C82"/>
    <w:rsid w:val="009B582B"/>
    <w:rsid w:val="009B58FC"/>
    <w:rsid w:val="009B7528"/>
    <w:rsid w:val="009C3B6D"/>
    <w:rsid w:val="009D06D0"/>
    <w:rsid w:val="009D52E9"/>
    <w:rsid w:val="009D5EDF"/>
    <w:rsid w:val="009E1532"/>
    <w:rsid w:val="009F321E"/>
    <w:rsid w:val="009F4BD6"/>
    <w:rsid w:val="00A05290"/>
    <w:rsid w:val="00A10670"/>
    <w:rsid w:val="00A10DF7"/>
    <w:rsid w:val="00A16D1B"/>
    <w:rsid w:val="00A21D54"/>
    <w:rsid w:val="00A23A45"/>
    <w:rsid w:val="00A358A1"/>
    <w:rsid w:val="00A37411"/>
    <w:rsid w:val="00A4364E"/>
    <w:rsid w:val="00A54F66"/>
    <w:rsid w:val="00A57EFC"/>
    <w:rsid w:val="00A601D8"/>
    <w:rsid w:val="00A63849"/>
    <w:rsid w:val="00A67BEE"/>
    <w:rsid w:val="00A75AA1"/>
    <w:rsid w:val="00A82CB4"/>
    <w:rsid w:val="00A90F52"/>
    <w:rsid w:val="00AA023D"/>
    <w:rsid w:val="00AA12AD"/>
    <w:rsid w:val="00AA6E3C"/>
    <w:rsid w:val="00AC01B0"/>
    <w:rsid w:val="00AC0C59"/>
    <w:rsid w:val="00AC27EB"/>
    <w:rsid w:val="00AC7A21"/>
    <w:rsid w:val="00AD0ACF"/>
    <w:rsid w:val="00AD0E81"/>
    <w:rsid w:val="00AD461D"/>
    <w:rsid w:val="00AD563B"/>
    <w:rsid w:val="00AE059A"/>
    <w:rsid w:val="00AE2CC2"/>
    <w:rsid w:val="00AF38ED"/>
    <w:rsid w:val="00B065C9"/>
    <w:rsid w:val="00B33AD1"/>
    <w:rsid w:val="00B3715A"/>
    <w:rsid w:val="00B423BB"/>
    <w:rsid w:val="00B42FA7"/>
    <w:rsid w:val="00B45BA1"/>
    <w:rsid w:val="00B56A35"/>
    <w:rsid w:val="00B631AE"/>
    <w:rsid w:val="00B70C14"/>
    <w:rsid w:val="00B70F42"/>
    <w:rsid w:val="00B737F6"/>
    <w:rsid w:val="00B74045"/>
    <w:rsid w:val="00B752D3"/>
    <w:rsid w:val="00B76906"/>
    <w:rsid w:val="00B808A6"/>
    <w:rsid w:val="00B827B6"/>
    <w:rsid w:val="00B83551"/>
    <w:rsid w:val="00B867A1"/>
    <w:rsid w:val="00BA5C5A"/>
    <w:rsid w:val="00BC2B6F"/>
    <w:rsid w:val="00BC45F8"/>
    <w:rsid w:val="00BE4B1F"/>
    <w:rsid w:val="00BE5417"/>
    <w:rsid w:val="00BF208E"/>
    <w:rsid w:val="00BF5AF2"/>
    <w:rsid w:val="00C01CB1"/>
    <w:rsid w:val="00C04216"/>
    <w:rsid w:val="00C060DE"/>
    <w:rsid w:val="00C06E49"/>
    <w:rsid w:val="00C10B45"/>
    <w:rsid w:val="00C12CF0"/>
    <w:rsid w:val="00C2304A"/>
    <w:rsid w:val="00C27EAC"/>
    <w:rsid w:val="00C3017D"/>
    <w:rsid w:val="00C410C7"/>
    <w:rsid w:val="00C430E6"/>
    <w:rsid w:val="00C56BF5"/>
    <w:rsid w:val="00C636B5"/>
    <w:rsid w:val="00C72C98"/>
    <w:rsid w:val="00C731CC"/>
    <w:rsid w:val="00C83DCB"/>
    <w:rsid w:val="00C86DD6"/>
    <w:rsid w:val="00CA05E9"/>
    <w:rsid w:val="00CA79A3"/>
    <w:rsid w:val="00CB2B3C"/>
    <w:rsid w:val="00CC24EC"/>
    <w:rsid w:val="00CC47E2"/>
    <w:rsid w:val="00CC5827"/>
    <w:rsid w:val="00CD1CFC"/>
    <w:rsid w:val="00CD25B3"/>
    <w:rsid w:val="00CD7183"/>
    <w:rsid w:val="00CE1D44"/>
    <w:rsid w:val="00CE4B15"/>
    <w:rsid w:val="00CE7AEA"/>
    <w:rsid w:val="00CF0C58"/>
    <w:rsid w:val="00D1450D"/>
    <w:rsid w:val="00D233A3"/>
    <w:rsid w:val="00D240D4"/>
    <w:rsid w:val="00D24CD8"/>
    <w:rsid w:val="00D27574"/>
    <w:rsid w:val="00D352FA"/>
    <w:rsid w:val="00D35C86"/>
    <w:rsid w:val="00D46B80"/>
    <w:rsid w:val="00D509B9"/>
    <w:rsid w:val="00D6038F"/>
    <w:rsid w:val="00D720E5"/>
    <w:rsid w:val="00D735E3"/>
    <w:rsid w:val="00D74B3E"/>
    <w:rsid w:val="00D77946"/>
    <w:rsid w:val="00D82178"/>
    <w:rsid w:val="00D85F25"/>
    <w:rsid w:val="00D923D6"/>
    <w:rsid w:val="00D97A6A"/>
    <w:rsid w:val="00DA2377"/>
    <w:rsid w:val="00DA344C"/>
    <w:rsid w:val="00DA48C2"/>
    <w:rsid w:val="00DA490E"/>
    <w:rsid w:val="00DA4EE0"/>
    <w:rsid w:val="00DA5D27"/>
    <w:rsid w:val="00DB095C"/>
    <w:rsid w:val="00DB170D"/>
    <w:rsid w:val="00DB1A98"/>
    <w:rsid w:val="00DB2160"/>
    <w:rsid w:val="00DB2866"/>
    <w:rsid w:val="00DB4B1A"/>
    <w:rsid w:val="00DC13F5"/>
    <w:rsid w:val="00DC3187"/>
    <w:rsid w:val="00DD0EBB"/>
    <w:rsid w:val="00DD1BE5"/>
    <w:rsid w:val="00DD2584"/>
    <w:rsid w:val="00DD4149"/>
    <w:rsid w:val="00DD61EE"/>
    <w:rsid w:val="00DF1A06"/>
    <w:rsid w:val="00DF4F75"/>
    <w:rsid w:val="00E0074C"/>
    <w:rsid w:val="00E019B1"/>
    <w:rsid w:val="00E06D1E"/>
    <w:rsid w:val="00E14911"/>
    <w:rsid w:val="00E15FBE"/>
    <w:rsid w:val="00E16762"/>
    <w:rsid w:val="00E217C1"/>
    <w:rsid w:val="00E2355F"/>
    <w:rsid w:val="00E2498A"/>
    <w:rsid w:val="00E266F9"/>
    <w:rsid w:val="00E3743E"/>
    <w:rsid w:val="00E40AF0"/>
    <w:rsid w:val="00E42502"/>
    <w:rsid w:val="00E43C4B"/>
    <w:rsid w:val="00E44771"/>
    <w:rsid w:val="00E503DF"/>
    <w:rsid w:val="00E563B5"/>
    <w:rsid w:val="00E77594"/>
    <w:rsid w:val="00E77BAE"/>
    <w:rsid w:val="00E92813"/>
    <w:rsid w:val="00E9566D"/>
    <w:rsid w:val="00EA1B6F"/>
    <w:rsid w:val="00EA6FC5"/>
    <w:rsid w:val="00EB2EC2"/>
    <w:rsid w:val="00EC039A"/>
    <w:rsid w:val="00ED4AED"/>
    <w:rsid w:val="00ED6532"/>
    <w:rsid w:val="00EE44A2"/>
    <w:rsid w:val="00EE5F42"/>
    <w:rsid w:val="00EE6A3D"/>
    <w:rsid w:val="00EE6DA5"/>
    <w:rsid w:val="00EF3CBF"/>
    <w:rsid w:val="00F0173A"/>
    <w:rsid w:val="00F05971"/>
    <w:rsid w:val="00F06848"/>
    <w:rsid w:val="00F20583"/>
    <w:rsid w:val="00F210D2"/>
    <w:rsid w:val="00F24419"/>
    <w:rsid w:val="00F25095"/>
    <w:rsid w:val="00F36BF0"/>
    <w:rsid w:val="00F53912"/>
    <w:rsid w:val="00F563B8"/>
    <w:rsid w:val="00F6706C"/>
    <w:rsid w:val="00F67B10"/>
    <w:rsid w:val="00F704E4"/>
    <w:rsid w:val="00F7069E"/>
    <w:rsid w:val="00F7256D"/>
    <w:rsid w:val="00F841BF"/>
    <w:rsid w:val="00F851B9"/>
    <w:rsid w:val="00F93DC0"/>
    <w:rsid w:val="00F941FB"/>
    <w:rsid w:val="00F943C3"/>
    <w:rsid w:val="00F97427"/>
    <w:rsid w:val="00F97D5B"/>
    <w:rsid w:val="00FA0A43"/>
    <w:rsid w:val="00FA2902"/>
    <w:rsid w:val="00FA2FED"/>
    <w:rsid w:val="00FA5867"/>
    <w:rsid w:val="00FA6350"/>
    <w:rsid w:val="00FA6733"/>
    <w:rsid w:val="00FB0EAB"/>
    <w:rsid w:val="00FB24B0"/>
    <w:rsid w:val="00FB42ED"/>
    <w:rsid w:val="00FC4AE7"/>
    <w:rsid w:val="00FC695A"/>
    <w:rsid w:val="00FC6E78"/>
    <w:rsid w:val="00FE0133"/>
    <w:rsid w:val="00FE7D2D"/>
    <w:rsid w:val="00FF02A3"/>
    <w:rsid w:val="00FF36E6"/>
    <w:rsid w:val="00FF49E5"/>
    <w:rsid w:val="00FF56A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7939E4"/>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B6B1D"/>
    <w:rPr>
      <w:color w:val="0000FF" w:themeColor="hyperlink"/>
      <w:u w:val="single"/>
    </w:rPr>
  </w:style>
  <w:style w:type="paragraph" w:styleId="FootnoteText">
    <w:name w:val="footnote text"/>
    <w:basedOn w:val="Normal"/>
    <w:link w:val="FootnoteTextChar"/>
    <w:uiPriority w:val="99"/>
    <w:unhideWhenUsed/>
    <w:rsid w:val="005F5E23"/>
    <w:pPr>
      <w:spacing w:after="0" w:line="240" w:lineRule="auto"/>
    </w:pPr>
    <w:rPr>
      <w:sz w:val="20"/>
      <w:szCs w:val="20"/>
    </w:rPr>
  </w:style>
  <w:style w:type="character" w:customStyle="1" w:styleId="FootnoteTextChar">
    <w:name w:val="Footnote Text Char"/>
    <w:basedOn w:val="DefaultParagraphFont"/>
    <w:link w:val="FootnoteText"/>
    <w:uiPriority w:val="99"/>
    <w:rsid w:val="005F5E23"/>
    <w:rPr>
      <w:sz w:val="20"/>
      <w:szCs w:val="20"/>
    </w:rPr>
  </w:style>
  <w:style w:type="character" w:styleId="FootnoteReference">
    <w:name w:val="footnote reference"/>
    <w:basedOn w:val="DefaultParagraphFont"/>
    <w:uiPriority w:val="99"/>
    <w:semiHidden/>
    <w:unhideWhenUsed/>
    <w:rsid w:val="005F5E23"/>
    <w:rPr>
      <w:vertAlign w:val="superscript"/>
    </w:rPr>
  </w:style>
  <w:style w:type="character" w:styleId="Emphasis">
    <w:name w:val="Emphasis"/>
    <w:basedOn w:val="DefaultParagraphFont"/>
    <w:uiPriority w:val="20"/>
    <w:qFormat/>
    <w:rsid w:val="005F5E23"/>
    <w:rPr>
      <w:i/>
      <w:iCs/>
    </w:rPr>
  </w:style>
  <w:style w:type="character" w:customStyle="1" w:styleId="vkekvd">
    <w:name w:val="vkekvd"/>
    <w:basedOn w:val="DefaultParagraphFont"/>
    <w:rsid w:val="009068AF"/>
  </w:style>
  <w:style w:type="character" w:customStyle="1" w:styleId="Heading2Char">
    <w:name w:val="Heading 2 Char"/>
    <w:basedOn w:val="DefaultParagraphFont"/>
    <w:link w:val="Heading2"/>
    <w:uiPriority w:val="9"/>
    <w:rsid w:val="007939E4"/>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7939E4"/>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5A51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51AA"/>
  </w:style>
  <w:style w:type="paragraph" w:styleId="Footer">
    <w:name w:val="footer"/>
    <w:basedOn w:val="Normal"/>
    <w:link w:val="FooterChar"/>
    <w:uiPriority w:val="99"/>
    <w:unhideWhenUsed/>
    <w:rsid w:val="005A51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51A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7939E4"/>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B6B1D"/>
    <w:rPr>
      <w:color w:val="0000FF" w:themeColor="hyperlink"/>
      <w:u w:val="single"/>
    </w:rPr>
  </w:style>
  <w:style w:type="paragraph" w:styleId="FootnoteText">
    <w:name w:val="footnote text"/>
    <w:basedOn w:val="Normal"/>
    <w:link w:val="FootnoteTextChar"/>
    <w:uiPriority w:val="99"/>
    <w:unhideWhenUsed/>
    <w:rsid w:val="005F5E23"/>
    <w:pPr>
      <w:spacing w:after="0" w:line="240" w:lineRule="auto"/>
    </w:pPr>
    <w:rPr>
      <w:sz w:val="20"/>
      <w:szCs w:val="20"/>
    </w:rPr>
  </w:style>
  <w:style w:type="character" w:customStyle="1" w:styleId="FootnoteTextChar">
    <w:name w:val="Footnote Text Char"/>
    <w:basedOn w:val="DefaultParagraphFont"/>
    <w:link w:val="FootnoteText"/>
    <w:uiPriority w:val="99"/>
    <w:rsid w:val="005F5E23"/>
    <w:rPr>
      <w:sz w:val="20"/>
      <w:szCs w:val="20"/>
    </w:rPr>
  </w:style>
  <w:style w:type="character" w:styleId="FootnoteReference">
    <w:name w:val="footnote reference"/>
    <w:basedOn w:val="DefaultParagraphFont"/>
    <w:uiPriority w:val="99"/>
    <w:semiHidden/>
    <w:unhideWhenUsed/>
    <w:rsid w:val="005F5E23"/>
    <w:rPr>
      <w:vertAlign w:val="superscript"/>
    </w:rPr>
  </w:style>
  <w:style w:type="character" w:styleId="Emphasis">
    <w:name w:val="Emphasis"/>
    <w:basedOn w:val="DefaultParagraphFont"/>
    <w:uiPriority w:val="20"/>
    <w:qFormat/>
    <w:rsid w:val="005F5E23"/>
    <w:rPr>
      <w:i/>
      <w:iCs/>
    </w:rPr>
  </w:style>
  <w:style w:type="character" w:customStyle="1" w:styleId="vkekvd">
    <w:name w:val="vkekvd"/>
    <w:basedOn w:val="DefaultParagraphFont"/>
    <w:rsid w:val="009068AF"/>
  </w:style>
  <w:style w:type="character" w:customStyle="1" w:styleId="Heading2Char">
    <w:name w:val="Heading 2 Char"/>
    <w:basedOn w:val="DefaultParagraphFont"/>
    <w:link w:val="Heading2"/>
    <w:uiPriority w:val="9"/>
    <w:rsid w:val="007939E4"/>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7939E4"/>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5A51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51AA"/>
  </w:style>
  <w:style w:type="paragraph" w:styleId="Footer">
    <w:name w:val="footer"/>
    <w:basedOn w:val="Normal"/>
    <w:link w:val="FooterChar"/>
    <w:uiPriority w:val="99"/>
    <w:unhideWhenUsed/>
    <w:rsid w:val="005A51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51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6673506">
      <w:bodyDiv w:val="1"/>
      <w:marLeft w:val="0"/>
      <w:marRight w:val="0"/>
      <w:marTop w:val="0"/>
      <w:marBottom w:val="0"/>
      <w:divBdr>
        <w:top w:val="none" w:sz="0" w:space="0" w:color="auto"/>
        <w:left w:val="none" w:sz="0" w:space="0" w:color="auto"/>
        <w:bottom w:val="none" w:sz="0" w:space="0" w:color="auto"/>
        <w:right w:val="none" w:sz="0" w:space="0" w:color="auto"/>
      </w:divBdr>
    </w:div>
    <w:div w:id="1143741857">
      <w:bodyDiv w:val="1"/>
      <w:marLeft w:val="0"/>
      <w:marRight w:val="0"/>
      <w:marTop w:val="0"/>
      <w:marBottom w:val="0"/>
      <w:divBdr>
        <w:top w:val="none" w:sz="0" w:space="0" w:color="auto"/>
        <w:left w:val="none" w:sz="0" w:space="0" w:color="auto"/>
        <w:bottom w:val="none" w:sz="0" w:space="0" w:color="auto"/>
        <w:right w:val="none" w:sz="0" w:space="0" w:color="auto"/>
      </w:divBdr>
    </w:div>
    <w:div w:id="1358197792">
      <w:bodyDiv w:val="1"/>
      <w:marLeft w:val="0"/>
      <w:marRight w:val="0"/>
      <w:marTop w:val="0"/>
      <w:marBottom w:val="0"/>
      <w:divBdr>
        <w:top w:val="none" w:sz="0" w:space="0" w:color="auto"/>
        <w:left w:val="none" w:sz="0" w:space="0" w:color="auto"/>
        <w:bottom w:val="none" w:sz="0" w:space="0" w:color="auto"/>
        <w:right w:val="none" w:sz="0" w:space="0" w:color="auto"/>
      </w:divBdr>
    </w:div>
    <w:div w:id="1547060769">
      <w:bodyDiv w:val="1"/>
      <w:marLeft w:val="0"/>
      <w:marRight w:val="0"/>
      <w:marTop w:val="0"/>
      <w:marBottom w:val="0"/>
      <w:divBdr>
        <w:top w:val="none" w:sz="0" w:space="0" w:color="auto"/>
        <w:left w:val="none" w:sz="0" w:space="0" w:color="auto"/>
        <w:bottom w:val="none" w:sz="0" w:space="0" w:color="auto"/>
        <w:right w:val="none" w:sz="0" w:space="0" w:color="auto"/>
      </w:divBdr>
    </w:div>
    <w:div w:id="2054306003">
      <w:bodyDiv w:val="1"/>
      <w:marLeft w:val="0"/>
      <w:marRight w:val="0"/>
      <w:marTop w:val="0"/>
      <w:marBottom w:val="0"/>
      <w:divBdr>
        <w:top w:val="none" w:sz="0" w:space="0" w:color="auto"/>
        <w:left w:val="none" w:sz="0" w:space="0" w:color="auto"/>
        <w:bottom w:val="none" w:sz="0" w:space="0" w:color="auto"/>
        <w:right w:val="none" w:sz="0" w:space="0" w:color="auto"/>
      </w:divBdr>
    </w:div>
    <w:div w:id="2104566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mailto:ernawatiginting@uinsu.ac.id" TargetMode="External"/><Relationship Id="rId4" Type="http://schemas.microsoft.com/office/2007/relationships/stylesWithEffects" Target="stylesWithEffects.xml"/><Relationship Id="rId9" Type="http://schemas.openxmlformats.org/officeDocument/2006/relationships/hyperlink" Target="mailto:paisalsiregar@uinsu.ac.i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2DF87D-91AA-45D6-A457-7415D64C4F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353</TotalTime>
  <Pages>14</Pages>
  <Words>5034</Words>
  <Characters>28695</Characters>
  <Application>Microsoft Office Word</Application>
  <DocSecurity>0</DocSecurity>
  <Lines>239</Lines>
  <Paragraphs>67</Paragraphs>
  <ScaleCrop>false</ScaleCrop>
  <HeadingPairs>
    <vt:vector size="2" baseType="variant">
      <vt:variant>
        <vt:lpstr>Title</vt:lpstr>
      </vt:variant>
      <vt:variant>
        <vt:i4>1</vt:i4>
      </vt:variant>
    </vt:vector>
  </HeadingPairs>
  <TitlesOfParts>
    <vt:vector size="1" baseType="lpstr">
      <vt:lpstr/>
    </vt:vector>
  </TitlesOfParts>
  <Company>Hazyone</Company>
  <LinksUpToDate>false</LinksUpToDate>
  <CharactersWithSpaces>33662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Acer</cp:lastModifiedBy>
  <cp:revision>86</cp:revision>
  <dcterms:created xsi:type="dcterms:W3CDTF">2026-01-06T03:26:00Z</dcterms:created>
  <dcterms:modified xsi:type="dcterms:W3CDTF">2026-02-07T15:40:00Z</dcterms:modified>
</cp:coreProperties>
</file>