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4365F" w:rsidRPr="008D3082" w:rsidRDefault="0047216F" w:rsidP="008D3082">
      <w:pPr>
        <w:spacing w:after="0" w:line="360" w:lineRule="auto"/>
        <w:jc w:val="center"/>
        <w:outlineLvl w:val="0"/>
        <w:rPr>
          <w:rFonts w:ascii="Times New Roman" w:hAnsi="Times New Roman" w:cs="Times New Roman"/>
          <w:b/>
          <w:sz w:val="24"/>
          <w:szCs w:val="24"/>
        </w:rPr>
      </w:pPr>
      <w:r w:rsidRPr="008D3082">
        <w:rPr>
          <w:rFonts w:ascii="Times New Roman" w:hAnsi="Times New Roman" w:cs="Times New Roman"/>
          <w:b/>
          <w:sz w:val="24"/>
          <w:szCs w:val="24"/>
        </w:rPr>
        <w:t>AKUNTABILITAS BERBASIS TRANSENDENSI: PENERAPAN SHARIAH ENTERPRISE THEORY PADA LEMBAGA KEUANGAN MIKRO SYARIAH</w:t>
      </w:r>
    </w:p>
    <w:p w:rsidR="009E387D" w:rsidRPr="008D3082" w:rsidRDefault="009E387D" w:rsidP="008D3082">
      <w:pPr>
        <w:spacing w:after="0" w:line="360" w:lineRule="auto"/>
        <w:jc w:val="center"/>
        <w:outlineLvl w:val="0"/>
        <w:rPr>
          <w:rFonts w:ascii="Times New Roman" w:hAnsi="Times New Roman" w:cs="Times New Roman"/>
          <w:b/>
          <w:sz w:val="24"/>
          <w:szCs w:val="24"/>
        </w:rPr>
      </w:pPr>
    </w:p>
    <w:p w:rsidR="008A3700" w:rsidRPr="008D3082" w:rsidRDefault="00D646CF" w:rsidP="008D3082">
      <w:pPr>
        <w:spacing w:after="0" w:line="360" w:lineRule="auto"/>
        <w:jc w:val="center"/>
        <w:outlineLvl w:val="0"/>
        <w:rPr>
          <w:rFonts w:ascii="Times New Roman" w:hAnsi="Times New Roman" w:cs="Times New Roman"/>
          <w:b/>
          <w:sz w:val="24"/>
          <w:szCs w:val="24"/>
        </w:rPr>
      </w:pPr>
      <w:r w:rsidRPr="008D3082">
        <w:rPr>
          <w:rFonts w:ascii="Times New Roman" w:hAnsi="Times New Roman" w:cs="Times New Roman"/>
          <w:b/>
          <w:sz w:val="24"/>
          <w:szCs w:val="24"/>
        </w:rPr>
        <w:t xml:space="preserve">Ali </w:t>
      </w:r>
      <w:r w:rsidR="009E387D" w:rsidRPr="008D3082">
        <w:rPr>
          <w:rFonts w:ascii="Times New Roman" w:hAnsi="Times New Roman" w:cs="Times New Roman"/>
          <w:b/>
          <w:sz w:val="24"/>
          <w:szCs w:val="24"/>
        </w:rPr>
        <w:t>Topan Lubis,</w:t>
      </w:r>
    </w:p>
    <w:p w:rsidR="008A3700" w:rsidRPr="008D3082" w:rsidRDefault="009E387D" w:rsidP="008D3082">
      <w:pPr>
        <w:spacing w:after="0" w:line="360" w:lineRule="auto"/>
        <w:jc w:val="center"/>
        <w:outlineLvl w:val="0"/>
        <w:rPr>
          <w:rFonts w:ascii="Times New Roman" w:hAnsi="Times New Roman" w:cs="Times New Roman"/>
          <w:sz w:val="24"/>
          <w:szCs w:val="24"/>
        </w:rPr>
      </w:pPr>
      <w:r w:rsidRPr="008D3082">
        <w:rPr>
          <w:rFonts w:ascii="Times New Roman" w:hAnsi="Times New Roman" w:cs="Times New Roman"/>
          <w:sz w:val="24"/>
          <w:szCs w:val="24"/>
        </w:rPr>
        <w:t xml:space="preserve">Prodi Perbankan Syariah </w:t>
      </w:r>
      <w:r w:rsidR="00D646CF" w:rsidRPr="008D3082">
        <w:rPr>
          <w:rFonts w:ascii="Times New Roman" w:hAnsi="Times New Roman" w:cs="Times New Roman"/>
          <w:sz w:val="24"/>
          <w:szCs w:val="24"/>
        </w:rPr>
        <w:t>Sekolah Tinggi Agama Islam Negeri Mandailing Natal,</w:t>
      </w:r>
    </w:p>
    <w:p w:rsidR="00D646CF" w:rsidRDefault="00D646CF" w:rsidP="008D3082">
      <w:pPr>
        <w:spacing w:after="0" w:line="360" w:lineRule="auto"/>
        <w:jc w:val="center"/>
        <w:outlineLvl w:val="0"/>
        <w:rPr>
          <w:rFonts w:ascii="Times New Roman" w:hAnsi="Times New Roman" w:cs="Times New Roman"/>
          <w:sz w:val="24"/>
          <w:szCs w:val="24"/>
        </w:rPr>
      </w:pPr>
      <w:r w:rsidRPr="008D3082">
        <w:rPr>
          <w:rFonts w:ascii="Times New Roman" w:hAnsi="Times New Roman" w:cs="Times New Roman"/>
          <w:sz w:val="24"/>
          <w:szCs w:val="24"/>
        </w:rPr>
        <w:t>Email:</w:t>
      </w:r>
      <w:r w:rsidR="008A3700" w:rsidRPr="008D3082">
        <w:rPr>
          <w:rFonts w:ascii="Times New Roman" w:hAnsi="Times New Roman" w:cs="Times New Roman"/>
          <w:sz w:val="24"/>
          <w:szCs w:val="24"/>
        </w:rPr>
        <w:t xml:space="preserve"> </w:t>
      </w:r>
      <w:hyperlink r:id="rId5" w:history="1">
        <w:r w:rsidR="008D3082" w:rsidRPr="00333CE7">
          <w:rPr>
            <w:rStyle w:val="Hyperlink"/>
            <w:rFonts w:ascii="Times New Roman" w:hAnsi="Times New Roman" w:cs="Times New Roman"/>
            <w:sz w:val="24"/>
            <w:szCs w:val="24"/>
          </w:rPr>
          <w:t>Alylubis18@gmail.com</w:t>
        </w:r>
      </w:hyperlink>
      <w:r w:rsidR="008D3082">
        <w:rPr>
          <w:rFonts w:ascii="Times New Roman" w:hAnsi="Times New Roman" w:cs="Times New Roman"/>
          <w:sz w:val="24"/>
          <w:szCs w:val="24"/>
        </w:rPr>
        <w:t>.  No Hp: 085372321940</w:t>
      </w:r>
    </w:p>
    <w:p w:rsidR="008D3082" w:rsidRPr="008D3082" w:rsidRDefault="008D3082" w:rsidP="008D3082">
      <w:pPr>
        <w:spacing w:after="0" w:line="360" w:lineRule="auto"/>
        <w:jc w:val="center"/>
        <w:outlineLvl w:val="0"/>
        <w:rPr>
          <w:rFonts w:ascii="Times New Roman" w:hAnsi="Times New Roman" w:cs="Times New Roman"/>
          <w:b/>
          <w:sz w:val="24"/>
          <w:szCs w:val="24"/>
        </w:rPr>
      </w:pPr>
    </w:p>
    <w:p w:rsidR="00D646CF" w:rsidRPr="008D3082" w:rsidRDefault="003062A9" w:rsidP="008D3082">
      <w:pPr>
        <w:spacing w:after="0" w:line="360" w:lineRule="auto"/>
        <w:jc w:val="center"/>
        <w:outlineLvl w:val="0"/>
        <w:rPr>
          <w:rFonts w:ascii="Times New Roman" w:eastAsia="Times New Roman" w:hAnsi="Times New Roman" w:cs="Times New Roman"/>
          <w:b/>
          <w:bCs/>
          <w:kern w:val="36"/>
          <w:sz w:val="24"/>
          <w:szCs w:val="24"/>
        </w:rPr>
      </w:pPr>
      <w:r w:rsidRPr="008D3082">
        <w:rPr>
          <w:rFonts w:ascii="Times New Roman" w:hAnsi="Times New Roman" w:cs="Times New Roman"/>
          <w:b/>
          <w:sz w:val="24"/>
          <w:szCs w:val="24"/>
        </w:rPr>
        <w:t>ABSTRAK</w:t>
      </w:r>
    </w:p>
    <w:p w:rsidR="008D3082" w:rsidRDefault="003062A9" w:rsidP="008D3082">
      <w:pPr>
        <w:spacing w:after="0" w:line="360" w:lineRule="auto"/>
        <w:ind w:firstLine="567"/>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Pengukuran akuntabilitas lembaga keuangan syariah yang mengadopsi akuntansi konvensional cenderung bias karena hanya berorientasi pada pemenuhan aspek materialitas pemilik modal (</w:t>
      </w:r>
      <w:r w:rsidRPr="008D3082">
        <w:rPr>
          <w:rFonts w:ascii="Times New Roman" w:eastAsia="Times New Roman" w:hAnsi="Times New Roman" w:cs="Times New Roman"/>
          <w:i/>
          <w:iCs/>
          <w:sz w:val="24"/>
          <w:szCs w:val="24"/>
        </w:rPr>
        <w:t>stockholder</w:t>
      </w:r>
      <w:r w:rsidRPr="008D3082">
        <w:rPr>
          <w:rFonts w:ascii="Times New Roman" w:eastAsia="Times New Roman" w:hAnsi="Times New Roman" w:cs="Times New Roman"/>
          <w:sz w:val="24"/>
          <w:szCs w:val="24"/>
        </w:rPr>
        <w:t>). Sebagai entitas yang memikul amanah ganda, Lembaga Keuangan Mikro Syariah (LKMS) membutuhkan rekonstruksi pertanggungjawaban berbasis transendensi agar terhindar dari pergeseran misi (</w:t>
      </w:r>
      <w:r w:rsidRPr="008D3082">
        <w:rPr>
          <w:rFonts w:ascii="Times New Roman" w:eastAsia="Times New Roman" w:hAnsi="Times New Roman" w:cs="Times New Roman"/>
          <w:i/>
          <w:iCs/>
          <w:sz w:val="24"/>
          <w:szCs w:val="24"/>
        </w:rPr>
        <w:t>mission drift</w:t>
      </w:r>
      <w:r w:rsidRPr="008D3082">
        <w:rPr>
          <w:rFonts w:ascii="Times New Roman" w:eastAsia="Times New Roman" w:hAnsi="Times New Roman" w:cs="Times New Roman"/>
          <w:sz w:val="24"/>
          <w:szCs w:val="24"/>
        </w:rPr>
        <w:t xml:space="preserve">) komersial. Penelitian ini bertujuan untuk menganalisis secara mendalam kualitas implementasi akuntabilitas berbasis transendensi dengan menerapkan kerangka </w:t>
      </w:r>
      <w:r w:rsidRPr="008D3082">
        <w:rPr>
          <w:rFonts w:ascii="Times New Roman" w:eastAsia="Times New Roman" w:hAnsi="Times New Roman" w:cs="Times New Roman"/>
          <w:i/>
          <w:iCs/>
          <w:sz w:val="24"/>
          <w:szCs w:val="24"/>
        </w:rPr>
        <w:t>Shariah Enterprise Theory</w:t>
      </w:r>
      <w:r w:rsidRPr="008D3082">
        <w:rPr>
          <w:rFonts w:ascii="Times New Roman" w:eastAsia="Times New Roman" w:hAnsi="Times New Roman" w:cs="Times New Roman"/>
          <w:sz w:val="24"/>
          <w:szCs w:val="24"/>
        </w:rPr>
        <w:t xml:space="preserve"> (SET) pada LKMS. Penelitian deskriptif ini menggunakan pendekatan kualitatif-evaluatif pada jaringan LKMS (BMT dan BWM) di Sumatera Utara yang dipilih secara </w:t>
      </w:r>
      <w:r w:rsidRPr="008D3082">
        <w:rPr>
          <w:rFonts w:ascii="Times New Roman" w:eastAsia="Times New Roman" w:hAnsi="Times New Roman" w:cs="Times New Roman"/>
          <w:i/>
          <w:iCs/>
          <w:sz w:val="24"/>
          <w:szCs w:val="24"/>
        </w:rPr>
        <w:t>purposive sampling</w:t>
      </w:r>
      <w:r w:rsidRPr="008D3082">
        <w:rPr>
          <w:rFonts w:ascii="Times New Roman" w:eastAsia="Times New Roman" w:hAnsi="Times New Roman" w:cs="Times New Roman"/>
          <w:sz w:val="24"/>
          <w:szCs w:val="24"/>
        </w:rPr>
        <w:t xml:space="preserve">. Data dihimpun melalui triangulasi metode yang meliputi studi dokumentasi laporan keuangan dan laporan Dewan Pengawas Syariah (DPS), serta wawancara mendalam bersama informan kunci. Analisis data dioperasionalkan menggunakan model interaktif Miles, Huberman, dan Saldaña. </w:t>
      </w:r>
      <w:r w:rsidRPr="008D3082">
        <w:rPr>
          <w:rFonts w:ascii="Times New Roman" w:eastAsia="Times New Roman" w:hAnsi="Times New Roman" w:cs="Times New Roman"/>
          <w:b/>
          <w:bCs/>
          <w:sz w:val="24"/>
          <w:szCs w:val="24"/>
        </w:rPr>
        <w:t xml:space="preserve"> </w:t>
      </w:r>
      <w:r w:rsidRPr="008D3082">
        <w:rPr>
          <w:rFonts w:ascii="Times New Roman" w:eastAsia="Times New Roman" w:hAnsi="Times New Roman" w:cs="Times New Roman"/>
          <w:sz w:val="24"/>
          <w:szCs w:val="24"/>
        </w:rPr>
        <w:t>Temuan menunjukkan bahwa kualitas akuntabilitas berbasis transendensi pada LKMS belum berjalan secara seimbang (</w:t>
      </w:r>
      <w:r w:rsidRPr="008D3082">
        <w:rPr>
          <w:rFonts w:ascii="Times New Roman" w:eastAsia="Times New Roman" w:hAnsi="Times New Roman" w:cs="Times New Roman"/>
          <w:i/>
          <w:iCs/>
          <w:sz w:val="24"/>
          <w:szCs w:val="24"/>
        </w:rPr>
        <w:t>mizan</w:t>
      </w:r>
      <w:r w:rsidRPr="008D3082">
        <w:rPr>
          <w:rFonts w:ascii="Times New Roman" w:eastAsia="Times New Roman" w:hAnsi="Times New Roman" w:cs="Times New Roman"/>
          <w:sz w:val="24"/>
          <w:szCs w:val="24"/>
        </w:rPr>
        <w:t>) di ketiga dimensinya. LKMS meraih kriteria Sangat Baik pada pilar teosentris-vertikal (</w:t>
      </w:r>
      <w:r w:rsidRPr="008D3082">
        <w:rPr>
          <w:rFonts w:ascii="Times New Roman" w:eastAsia="Times New Roman" w:hAnsi="Times New Roman" w:cs="Times New Roman"/>
          <w:i/>
          <w:iCs/>
          <w:sz w:val="24"/>
          <w:szCs w:val="24"/>
        </w:rPr>
        <w:t>Hablan Minallah</w:t>
      </w:r>
      <w:r w:rsidRPr="008D3082">
        <w:rPr>
          <w:rFonts w:ascii="Times New Roman" w:eastAsia="Times New Roman" w:hAnsi="Times New Roman" w:cs="Times New Roman"/>
          <w:sz w:val="24"/>
          <w:szCs w:val="24"/>
        </w:rPr>
        <w:t>) melalui kepatuhan syariah orisinal dan pengelolaan ZISWAF, serta pilar horizontal (</w:t>
      </w:r>
      <w:r w:rsidRPr="008D3082">
        <w:rPr>
          <w:rFonts w:ascii="Times New Roman" w:eastAsia="Times New Roman" w:hAnsi="Times New Roman" w:cs="Times New Roman"/>
          <w:i/>
          <w:iCs/>
          <w:sz w:val="24"/>
          <w:szCs w:val="24"/>
        </w:rPr>
        <w:t>Hablan Minannas</w:t>
      </w:r>
      <w:r w:rsidRPr="008D3082">
        <w:rPr>
          <w:rFonts w:ascii="Times New Roman" w:eastAsia="Times New Roman" w:hAnsi="Times New Roman" w:cs="Times New Roman"/>
          <w:sz w:val="24"/>
          <w:szCs w:val="24"/>
        </w:rPr>
        <w:t xml:space="preserve">) melalui kesejahteraan karyawan dan proteksi nasabah dhuafa. Namun, pilar akuntabilitas lingkungan (alam semesta) masih kurang optimal (kriteria Cukup Baik) akibat ketiadaan SOP </w:t>
      </w:r>
      <w:r w:rsidRPr="008D3082">
        <w:rPr>
          <w:rFonts w:ascii="Times New Roman" w:eastAsia="Times New Roman" w:hAnsi="Times New Roman" w:cs="Times New Roman"/>
          <w:i/>
          <w:iCs/>
          <w:sz w:val="24"/>
          <w:szCs w:val="24"/>
        </w:rPr>
        <w:t>ecological screening</w:t>
      </w:r>
      <w:r w:rsidRPr="008D3082">
        <w:rPr>
          <w:rFonts w:ascii="Times New Roman" w:eastAsia="Times New Roman" w:hAnsi="Times New Roman" w:cs="Times New Roman"/>
          <w:sz w:val="24"/>
          <w:szCs w:val="24"/>
        </w:rPr>
        <w:t xml:space="preserve"> pembiayaan serta belum terwujudnya ekosistem </w:t>
      </w:r>
      <w:r w:rsidRPr="008D3082">
        <w:rPr>
          <w:rFonts w:ascii="Times New Roman" w:eastAsia="Times New Roman" w:hAnsi="Times New Roman" w:cs="Times New Roman"/>
          <w:i/>
          <w:iCs/>
          <w:sz w:val="24"/>
          <w:szCs w:val="24"/>
        </w:rPr>
        <w:t>eco-office</w:t>
      </w:r>
      <w:r w:rsidRPr="008D3082">
        <w:rPr>
          <w:rFonts w:ascii="Times New Roman" w:eastAsia="Times New Roman" w:hAnsi="Times New Roman" w:cs="Times New Roman"/>
          <w:sz w:val="24"/>
          <w:szCs w:val="24"/>
        </w:rPr>
        <w:t xml:space="preserve"> secara menyeluruh. LKMS telah memenuhi akuntabilitas syariat secara formalitas hukum, namun masih mengalami defisit etika ekologis secara </w:t>
      </w:r>
      <w:r w:rsidRPr="008D3082">
        <w:rPr>
          <w:rFonts w:ascii="Times New Roman" w:eastAsia="Times New Roman" w:hAnsi="Times New Roman" w:cs="Times New Roman"/>
          <w:sz w:val="24"/>
          <w:szCs w:val="24"/>
        </w:rPr>
        <w:lastRenderedPageBreak/>
        <w:t xml:space="preserve">substantif, sehingga membutuhkan reorientasi visi tata kelola korporasi yang integratif demi menyelaraskan kemaslahatan ekonomi, sosial, dan alam semesta. </w:t>
      </w:r>
    </w:p>
    <w:p w:rsidR="008D3082" w:rsidRPr="008D3082" w:rsidRDefault="008D3082" w:rsidP="008D3082">
      <w:pPr>
        <w:spacing w:after="0" w:line="360" w:lineRule="auto"/>
        <w:ind w:firstLine="567"/>
        <w:jc w:val="center"/>
        <w:rPr>
          <w:rFonts w:ascii="Times New Roman" w:eastAsia="Times New Roman" w:hAnsi="Times New Roman" w:cs="Times New Roman"/>
          <w:sz w:val="24"/>
          <w:szCs w:val="24"/>
        </w:rPr>
      </w:pPr>
      <w:r w:rsidRPr="008D3082">
        <w:rPr>
          <w:rFonts w:ascii="Times New Roman" w:hAnsi="Times New Roman" w:cs="Times New Roman"/>
          <w:sz w:val="24"/>
          <w:szCs w:val="24"/>
        </w:rPr>
        <w:t>ABSTRACT</w:t>
      </w:r>
    </w:p>
    <w:p w:rsidR="008D3082" w:rsidRDefault="008D3082" w:rsidP="008D3082">
      <w:pPr>
        <w:spacing w:after="0" w:line="360" w:lineRule="auto"/>
        <w:ind w:firstLine="567"/>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The accountability measurement of Islamic financial institutions that adopt conventional accounting tends to be biased, as it is solely oriented toward fulfilling the materiality aspects of stockholders. As entities bearing a double-bottom-line performance, Islamic Microfinance Institutions (IMFIs) require a reconstruction of accountability based on transcendence to avoid commercial mission drift. This study aims to analyze in-depth the quality of implementation of transcendence-based accountability by applying the Shariah Enterprise Theory (SET) framework to IMFIs. This descriptive research employs a qualitative-evaluative approach within a network of IMFIs (BMT and BWM) in North Sumatra, selected through purposive sampling. Data were gathered through method triangulation, comprising the documentary study of financial statements and Shariah Supervisory Board (SSB) reports, alongside in-depth interviews with key informants. Data analysis was operationalized using the interactive model of Miles, Huberman, and Saldaña. The findings indicate that the quality of transcendence-based accountability within IMFIs has not operated in a balanced manner (</w:t>
      </w:r>
      <w:r w:rsidRPr="008D3082">
        <w:rPr>
          <w:rFonts w:ascii="Times New Roman" w:eastAsia="Times New Roman" w:hAnsi="Times New Roman" w:cs="Times New Roman"/>
          <w:i/>
          <w:iCs/>
          <w:sz w:val="24"/>
          <w:szCs w:val="24"/>
        </w:rPr>
        <w:t>mizan</w:t>
      </w:r>
      <w:r w:rsidRPr="008D3082">
        <w:rPr>
          <w:rFonts w:ascii="Times New Roman" w:eastAsia="Times New Roman" w:hAnsi="Times New Roman" w:cs="Times New Roman"/>
          <w:sz w:val="24"/>
          <w:szCs w:val="24"/>
        </w:rPr>
        <w:t>) across its three dimensions. IMFIs achieved an "Excellent" criterion in the theocentric-vertical pillar (</w:t>
      </w:r>
      <w:r w:rsidRPr="008D3082">
        <w:rPr>
          <w:rFonts w:ascii="Times New Roman" w:eastAsia="Times New Roman" w:hAnsi="Times New Roman" w:cs="Times New Roman"/>
          <w:i/>
          <w:iCs/>
          <w:sz w:val="24"/>
          <w:szCs w:val="24"/>
        </w:rPr>
        <w:t>Hablan Minallah</w:t>
      </w:r>
      <w:r w:rsidRPr="008D3082">
        <w:rPr>
          <w:rFonts w:ascii="Times New Roman" w:eastAsia="Times New Roman" w:hAnsi="Times New Roman" w:cs="Times New Roman"/>
          <w:sz w:val="24"/>
          <w:szCs w:val="24"/>
        </w:rPr>
        <w:t>) through authentic Shariah compliance and ZISWAF management, as well as the horizontal pillar (</w:t>
      </w:r>
      <w:r w:rsidRPr="008D3082">
        <w:rPr>
          <w:rFonts w:ascii="Times New Roman" w:eastAsia="Times New Roman" w:hAnsi="Times New Roman" w:cs="Times New Roman"/>
          <w:i/>
          <w:iCs/>
          <w:sz w:val="24"/>
          <w:szCs w:val="24"/>
        </w:rPr>
        <w:t>Hablan Minannas</w:t>
      </w:r>
      <w:r w:rsidRPr="008D3082">
        <w:rPr>
          <w:rFonts w:ascii="Times New Roman" w:eastAsia="Times New Roman" w:hAnsi="Times New Roman" w:cs="Times New Roman"/>
          <w:sz w:val="24"/>
          <w:szCs w:val="24"/>
        </w:rPr>
        <w:t>) through employee welfare and the protection of vulnerable (</w:t>
      </w:r>
      <w:r w:rsidRPr="008D3082">
        <w:rPr>
          <w:rFonts w:ascii="Times New Roman" w:eastAsia="Times New Roman" w:hAnsi="Times New Roman" w:cs="Times New Roman"/>
          <w:i/>
          <w:iCs/>
          <w:sz w:val="24"/>
          <w:szCs w:val="24"/>
        </w:rPr>
        <w:t>dhuafa</w:t>
      </w:r>
      <w:r w:rsidRPr="008D3082">
        <w:rPr>
          <w:rFonts w:ascii="Times New Roman" w:eastAsia="Times New Roman" w:hAnsi="Times New Roman" w:cs="Times New Roman"/>
          <w:sz w:val="24"/>
          <w:szCs w:val="24"/>
        </w:rPr>
        <w:t xml:space="preserve">) clients. However, the environmental accountability pillar (the universe) remains sub-optimal ("Fairly Good" criterion) due to the absence of standard operating procedures (SOPs) for financing ecological screening and the incomplete realization of a comprehensive eco-office ecosystem. While IMFIs have fulfilled Shariah accountability in terms of legal formality, they still experience a substantive deficit in ecological ethics; hence, a reorientation toward an integrative corporate governance vision is critically required to </w:t>
      </w:r>
    </w:p>
    <w:p w:rsidR="00FA330C" w:rsidRPr="008D3082" w:rsidRDefault="00FA330C" w:rsidP="008D3082">
      <w:pPr>
        <w:spacing w:after="0" w:line="360" w:lineRule="auto"/>
        <w:ind w:firstLine="567"/>
        <w:jc w:val="both"/>
        <w:rPr>
          <w:rFonts w:ascii="Times New Roman" w:eastAsia="Times New Roman" w:hAnsi="Times New Roman" w:cs="Times New Roman"/>
          <w:b/>
          <w:bCs/>
          <w:sz w:val="24"/>
          <w:szCs w:val="24"/>
        </w:rPr>
      </w:pPr>
      <w:bookmarkStart w:id="0" w:name="_GoBack"/>
      <w:bookmarkEnd w:id="0"/>
    </w:p>
    <w:p w:rsidR="003062A9" w:rsidRPr="008D3082" w:rsidRDefault="003062A9" w:rsidP="008D3082">
      <w:pPr>
        <w:spacing w:after="0" w:line="360" w:lineRule="auto"/>
        <w:jc w:val="both"/>
        <w:rPr>
          <w:rFonts w:ascii="Times New Roman" w:eastAsia="Times New Roman" w:hAnsi="Times New Roman" w:cs="Times New Roman"/>
          <w:sz w:val="24"/>
          <w:szCs w:val="24"/>
        </w:rPr>
      </w:pPr>
      <w:r w:rsidRPr="008D3082">
        <w:rPr>
          <w:rFonts w:ascii="Times New Roman" w:eastAsia="Times New Roman" w:hAnsi="Times New Roman" w:cs="Times New Roman"/>
          <w:b/>
          <w:bCs/>
          <w:sz w:val="24"/>
          <w:szCs w:val="24"/>
        </w:rPr>
        <w:t>Kata Kunci:</w:t>
      </w:r>
      <w:r w:rsidRPr="008D3082">
        <w:rPr>
          <w:rFonts w:ascii="Times New Roman" w:eastAsia="Times New Roman" w:hAnsi="Times New Roman" w:cs="Times New Roman"/>
          <w:sz w:val="24"/>
          <w:szCs w:val="24"/>
        </w:rPr>
        <w:t xml:space="preserve"> Akuntabilitas Transendensi, </w:t>
      </w:r>
      <w:r w:rsidRPr="008D3082">
        <w:rPr>
          <w:rFonts w:ascii="Times New Roman" w:eastAsia="Times New Roman" w:hAnsi="Times New Roman" w:cs="Times New Roman"/>
          <w:i/>
          <w:iCs/>
          <w:sz w:val="24"/>
          <w:szCs w:val="24"/>
        </w:rPr>
        <w:t>Shariah Enterprise Theory</w:t>
      </w:r>
      <w:r w:rsidRPr="008D3082">
        <w:rPr>
          <w:rFonts w:ascii="Times New Roman" w:eastAsia="Times New Roman" w:hAnsi="Times New Roman" w:cs="Times New Roman"/>
          <w:sz w:val="24"/>
          <w:szCs w:val="24"/>
        </w:rPr>
        <w:t>,</w:t>
      </w:r>
      <w:r w:rsidR="008D3082" w:rsidRPr="008D3082">
        <w:t xml:space="preserve"> </w:t>
      </w:r>
      <w:r w:rsidR="008D3082" w:rsidRPr="008D3082">
        <w:rPr>
          <w:rFonts w:ascii="Times New Roman" w:hAnsi="Times New Roman" w:cs="Times New Roman"/>
          <w:i/>
        </w:rPr>
        <w:t>Green Microfinance</w:t>
      </w:r>
      <w:r w:rsidRPr="008D3082">
        <w:rPr>
          <w:rFonts w:ascii="Times New Roman" w:eastAsia="Times New Roman" w:hAnsi="Times New Roman" w:cs="Times New Roman"/>
          <w:sz w:val="24"/>
          <w:szCs w:val="24"/>
        </w:rPr>
        <w:t xml:space="preserve"> Lembaga Keuangan Mikro Syariah, Kepatuhan Syariah, Etika Ekologis.</w:t>
      </w:r>
    </w:p>
    <w:p w:rsidR="003062A9" w:rsidRPr="008D3082" w:rsidRDefault="003062A9" w:rsidP="008D3082">
      <w:pPr>
        <w:spacing w:after="0" w:line="360" w:lineRule="auto"/>
        <w:jc w:val="both"/>
        <w:outlineLvl w:val="0"/>
        <w:rPr>
          <w:rFonts w:ascii="Times New Roman" w:eastAsia="Times New Roman" w:hAnsi="Times New Roman" w:cs="Times New Roman"/>
          <w:b/>
          <w:bCs/>
          <w:kern w:val="36"/>
          <w:sz w:val="24"/>
          <w:szCs w:val="24"/>
        </w:rPr>
      </w:pPr>
    </w:p>
    <w:p w:rsidR="00634503" w:rsidRPr="008D3082" w:rsidRDefault="00634503" w:rsidP="008D3082">
      <w:pPr>
        <w:spacing w:after="0" w:line="360" w:lineRule="auto"/>
        <w:jc w:val="both"/>
        <w:outlineLvl w:val="0"/>
        <w:rPr>
          <w:rFonts w:ascii="Times New Roman" w:eastAsia="Times New Roman" w:hAnsi="Times New Roman" w:cs="Times New Roman"/>
          <w:b/>
          <w:bCs/>
          <w:kern w:val="36"/>
          <w:sz w:val="24"/>
          <w:szCs w:val="24"/>
        </w:rPr>
      </w:pPr>
      <w:r w:rsidRPr="008D3082">
        <w:rPr>
          <w:rFonts w:ascii="Times New Roman" w:eastAsia="Times New Roman" w:hAnsi="Times New Roman" w:cs="Times New Roman"/>
          <w:b/>
          <w:bCs/>
          <w:kern w:val="36"/>
          <w:sz w:val="24"/>
          <w:szCs w:val="24"/>
        </w:rPr>
        <w:lastRenderedPageBreak/>
        <w:t>PENDAHULUAN</w:t>
      </w:r>
    </w:p>
    <w:p w:rsidR="00B373BB" w:rsidRPr="008D3082" w:rsidRDefault="00B373BB" w:rsidP="008D3082">
      <w:pPr>
        <w:spacing w:after="0" w:line="360" w:lineRule="auto"/>
        <w:ind w:firstLine="567"/>
        <w:jc w:val="both"/>
        <w:rPr>
          <w:rFonts w:ascii="Times New Roman" w:hAnsi="Times New Roman" w:cs="Times New Roman"/>
          <w:sz w:val="24"/>
          <w:szCs w:val="24"/>
        </w:rPr>
      </w:pPr>
      <w:r w:rsidRPr="008D3082">
        <w:rPr>
          <w:rFonts w:ascii="Times New Roman" w:hAnsi="Times New Roman" w:cs="Times New Roman"/>
          <w:sz w:val="24"/>
          <w:szCs w:val="24"/>
        </w:rPr>
        <w:t xml:space="preserve">Transformasi ekonomi syariah di Indonesia dalam beberapa dasawarsa terakhir menunjukkan akselerasi yang signifikan, khususnya pada sektor lembaga keuangan mikro berbasis masyarakat. Sebagai negara dengan populasi </w:t>
      </w:r>
      <w:proofErr w:type="gramStart"/>
      <w:r w:rsidRPr="008D3082">
        <w:rPr>
          <w:rFonts w:ascii="Times New Roman" w:hAnsi="Times New Roman" w:cs="Times New Roman"/>
          <w:sz w:val="24"/>
          <w:szCs w:val="24"/>
        </w:rPr>
        <w:t>muslim</w:t>
      </w:r>
      <w:proofErr w:type="gramEnd"/>
      <w:r w:rsidRPr="008D3082">
        <w:rPr>
          <w:rFonts w:ascii="Times New Roman" w:hAnsi="Times New Roman" w:cs="Times New Roman"/>
          <w:sz w:val="24"/>
          <w:szCs w:val="24"/>
        </w:rPr>
        <w:t xml:space="preserve"> terbesar di dunia, keberadaan Lembaga Keuangan Mikro Syariah (LKMS)—yang direpresentasikan oleh Baitul Maal wat Tamwil (BMT) dan Bank Wakaf Mikro (BWM)—memiliki peran strategis sebagai pilar penggerak ekonomi umat. LKMS hadir sebagai instrumen inklusi keuangan yang efektif dalam mengentaskan kemiskinan dan memberdayakan pelaku Usaha Mikro, Kecil, dan Menengah (UMKM) melalui penyediaan akses pembiayaan yang adil. Pemerintah Indonesia secara konsisten memperkuat ekosistem ini melalui regulasi yang integratif, terutama dalam memfasilitasi optimalisasi </w:t>
      </w:r>
      <w:proofErr w:type="gramStart"/>
      <w:r w:rsidRPr="008D3082">
        <w:rPr>
          <w:rFonts w:ascii="Times New Roman" w:hAnsi="Times New Roman" w:cs="Times New Roman"/>
          <w:sz w:val="24"/>
          <w:szCs w:val="24"/>
        </w:rPr>
        <w:t>dana</w:t>
      </w:r>
      <w:proofErr w:type="gramEnd"/>
      <w:r w:rsidRPr="008D3082">
        <w:rPr>
          <w:rFonts w:ascii="Times New Roman" w:hAnsi="Times New Roman" w:cs="Times New Roman"/>
          <w:sz w:val="24"/>
          <w:szCs w:val="24"/>
        </w:rPr>
        <w:t xml:space="preserve"> sosial Islam demi mendorong stabilitas ekonomi masyarakat bawah. Dalam konteks tata kelola, pengawasan syariah (</w:t>
      </w:r>
      <w:r w:rsidRPr="008D3082">
        <w:rPr>
          <w:rFonts w:ascii="Times New Roman" w:hAnsi="Times New Roman" w:cs="Times New Roman"/>
          <w:i/>
          <w:iCs/>
          <w:sz w:val="24"/>
          <w:szCs w:val="24"/>
        </w:rPr>
        <w:t>shariah governance</w:t>
      </w:r>
      <w:r w:rsidRPr="008D3082">
        <w:rPr>
          <w:rFonts w:ascii="Times New Roman" w:hAnsi="Times New Roman" w:cs="Times New Roman"/>
          <w:sz w:val="24"/>
          <w:szCs w:val="24"/>
        </w:rPr>
        <w:t>) yang ketat menjadi jangkar utama untuk memastikan bahwa model operasional LKMS tetap konsisten pada misi sosial-keagamaan tanpa kehilangan daya saing kelembagaannya. Meskipun pertumbuhan institusi keuangan mikro ini berjalan pesat, dinamika tersebut dihadapkan pada tantangan fundamental terkait dengan konsep pertanggungjawaban dan pelaporan keuangan. Praktik akuntansi konvensional yang diadopsi oleh sebagian besar lembaga keuangan saat ini dinilai tidak memadai untuk entitas syariah karena cenderung bias dan hanya berorientasi pada kepentingan pemilik modal (</w:t>
      </w:r>
      <w:r w:rsidRPr="008D3082">
        <w:rPr>
          <w:rFonts w:ascii="Times New Roman" w:hAnsi="Times New Roman" w:cs="Times New Roman"/>
          <w:i/>
          <w:iCs/>
          <w:sz w:val="24"/>
          <w:szCs w:val="24"/>
        </w:rPr>
        <w:t>stockholder</w:t>
      </w:r>
      <w:r w:rsidRPr="008D3082">
        <w:rPr>
          <w:rFonts w:ascii="Times New Roman" w:hAnsi="Times New Roman" w:cs="Times New Roman"/>
          <w:sz w:val="24"/>
          <w:szCs w:val="24"/>
        </w:rPr>
        <w:t>) serta pemenuhan aspek materialitas semata. Sebagai entitas yang memikul amanah ganda (</w:t>
      </w:r>
      <w:r w:rsidRPr="008D3082">
        <w:rPr>
          <w:rFonts w:ascii="Times New Roman" w:hAnsi="Times New Roman" w:cs="Times New Roman"/>
          <w:i/>
          <w:iCs/>
          <w:sz w:val="24"/>
          <w:szCs w:val="24"/>
        </w:rPr>
        <w:t>double-bottom-line performance</w:t>
      </w:r>
      <w:r w:rsidRPr="008D3082">
        <w:rPr>
          <w:rFonts w:ascii="Times New Roman" w:hAnsi="Times New Roman" w:cs="Times New Roman"/>
          <w:sz w:val="24"/>
          <w:szCs w:val="24"/>
        </w:rPr>
        <w:t>), LKMS tidak sekadar mengejar keuntungan finansial (</w:t>
      </w:r>
      <w:r w:rsidRPr="008D3082">
        <w:rPr>
          <w:rFonts w:ascii="Times New Roman" w:hAnsi="Times New Roman" w:cs="Times New Roman"/>
          <w:i/>
          <w:iCs/>
          <w:sz w:val="24"/>
          <w:szCs w:val="24"/>
        </w:rPr>
        <w:t>profit</w:t>
      </w:r>
      <w:r w:rsidRPr="008D3082">
        <w:rPr>
          <w:rFonts w:ascii="Times New Roman" w:hAnsi="Times New Roman" w:cs="Times New Roman"/>
          <w:sz w:val="24"/>
          <w:szCs w:val="24"/>
        </w:rPr>
        <w:t>), melainkan mengemban tanggung jawab sosial (</w:t>
      </w:r>
      <w:r w:rsidRPr="008D3082">
        <w:rPr>
          <w:rFonts w:ascii="Times New Roman" w:hAnsi="Times New Roman" w:cs="Times New Roman"/>
          <w:i/>
          <w:iCs/>
          <w:sz w:val="24"/>
          <w:szCs w:val="24"/>
        </w:rPr>
        <w:t>people</w:t>
      </w:r>
      <w:r w:rsidRPr="008D3082">
        <w:rPr>
          <w:rFonts w:ascii="Times New Roman" w:hAnsi="Times New Roman" w:cs="Times New Roman"/>
          <w:sz w:val="24"/>
          <w:szCs w:val="24"/>
        </w:rPr>
        <w:t>) dan spiritual (</w:t>
      </w:r>
      <w:r w:rsidRPr="008D3082">
        <w:rPr>
          <w:rFonts w:ascii="Times New Roman" w:hAnsi="Times New Roman" w:cs="Times New Roman"/>
          <w:i/>
          <w:iCs/>
          <w:sz w:val="24"/>
          <w:szCs w:val="24"/>
        </w:rPr>
        <w:t>piety</w:t>
      </w:r>
      <w:r w:rsidRPr="008D3082">
        <w:rPr>
          <w:rFonts w:ascii="Times New Roman" w:hAnsi="Times New Roman" w:cs="Times New Roman"/>
          <w:sz w:val="24"/>
          <w:szCs w:val="24"/>
        </w:rPr>
        <w:t xml:space="preserve">) yang besar kepada umat. LKMS mengelola instrumen keuangan yang kompleks, mulai dari pembiayaan produktif komersial hingga </w:t>
      </w:r>
      <w:proofErr w:type="gramStart"/>
      <w:r w:rsidRPr="008D3082">
        <w:rPr>
          <w:rFonts w:ascii="Times New Roman" w:hAnsi="Times New Roman" w:cs="Times New Roman"/>
          <w:sz w:val="24"/>
          <w:szCs w:val="24"/>
        </w:rPr>
        <w:t>dana</w:t>
      </w:r>
      <w:proofErr w:type="gramEnd"/>
      <w:r w:rsidRPr="008D3082">
        <w:rPr>
          <w:rFonts w:ascii="Times New Roman" w:hAnsi="Times New Roman" w:cs="Times New Roman"/>
          <w:sz w:val="24"/>
          <w:szCs w:val="24"/>
        </w:rPr>
        <w:t xml:space="preserve"> kebajikan seperti Zakat, Infak, Sedekah, dan Wakaf (ZISWAF). Kegagalan dalam menyajikan akuntabilitas yang utuh dapat memicu terjadinya pergeseran misi (</w:t>
      </w:r>
      <w:r w:rsidRPr="008D3082">
        <w:rPr>
          <w:rFonts w:ascii="Times New Roman" w:hAnsi="Times New Roman" w:cs="Times New Roman"/>
          <w:i/>
          <w:iCs/>
          <w:sz w:val="24"/>
          <w:szCs w:val="24"/>
        </w:rPr>
        <w:t>mission drift</w:t>
      </w:r>
      <w:r w:rsidRPr="008D3082">
        <w:rPr>
          <w:rFonts w:ascii="Times New Roman" w:hAnsi="Times New Roman" w:cs="Times New Roman"/>
          <w:sz w:val="24"/>
          <w:szCs w:val="24"/>
        </w:rPr>
        <w:t>), di mana lembaga mikro terjebak dalam pusaran kapitalisme komersial dan mengabaikan fungsi sosial-religiusnya (Hussain &amp; Ahmed, 2024). Oleh karena itu, LKMS mutlak membutuhkan dimensi transendensi (spiritualitas) sebagai komitmen moral untuk menjaga modal sosial (</w:t>
      </w:r>
      <w:r w:rsidRPr="008D3082">
        <w:rPr>
          <w:rFonts w:ascii="Times New Roman" w:hAnsi="Times New Roman" w:cs="Times New Roman"/>
          <w:i/>
          <w:iCs/>
          <w:sz w:val="24"/>
          <w:szCs w:val="24"/>
        </w:rPr>
        <w:t>spiritual capital</w:t>
      </w:r>
      <w:r w:rsidRPr="008D3082">
        <w:rPr>
          <w:rFonts w:ascii="Times New Roman" w:hAnsi="Times New Roman" w:cs="Times New Roman"/>
          <w:sz w:val="24"/>
          <w:szCs w:val="24"/>
        </w:rPr>
        <w:t xml:space="preserve">) dan kepercayaan nasabah. </w:t>
      </w:r>
    </w:p>
    <w:p w:rsidR="00B373BB" w:rsidRPr="008D3082" w:rsidRDefault="00B373BB" w:rsidP="008D3082">
      <w:pPr>
        <w:spacing w:after="0" w:line="360" w:lineRule="auto"/>
        <w:ind w:firstLine="567"/>
        <w:jc w:val="both"/>
        <w:rPr>
          <w:rFonts w:ascii="Times New Roman" w:eastAsia="Times New Roman" w:hAnsi="Times New Roman" w:cs="Times New Roman"/>
          <w:sz w:val="24"/>
          <w:szCs w:val="24"/>
        </w:rPr>
      </w:pPr>
      <w:r w:rsidRPr="008D3082">
        <w:rPr>
          <w:rFonts w:ascii="Times New Roman" w:hAnsi="Times New Roman" w:cs="Times New Roman"/>
          <w:sz w:val="24"/>
          <w:szCs w:val="24"/>
        </w:rPr>
        <w:lastRenderedPageBreak/>
        <w:t>Guna mengatasi keterbatasan kerangka akuntansi sekuler tersebut, rekonstruksi konsep pertanggungjawaban menuju akuntabilitas berbasis transendensi menjadi sebuah keniscayaan akademik. Akuntansi syariah menegaskan bahwa Allah SWT adalah pemilik mutlak atas seluruh sumber daya ekonomi, sedangkan manusia dan lembaga keuangan bertindak sebagai khalifah yang memegang amanah tersebut. Untuk mengoperasionalkan nilai tauhid ini ke dalam struktur pelaporan, Shariah Enterprise Theory (SET) hadir sebagai meta-teori yang komprehensif. Berbeda dengan teori entitas konvensional, SET menempatkan Tuhan (Allah SWT) sebagai pusat tertinggi dari seluruh bentuk akuntabilitas (akuntabilitas vertikal) (Triyuwono, 2007). Dari poros vertikal ini, SET menurunkan hubungan berlapis yang seimbang secara horizontal kepada manusia (</w:t>
      </w:r>
      <w:proofErr w:type="gramStart"/>
      <w:r w:rsidRPr="008D3082">
        <w:rPr>
          <w:rFonts w:ascii="Times New Roman" w:hAnsi="Times New Roman" w:cs="Times New Roman"/>
          <w:i/>
          <w:iCs/>
          <w:sz w:val="24"/>
          <w:szCs w:val="24"/>
        </w:rPr>
        <w:t>stakeholders</w:t>
      </w:r>
      <w:proofErr w:type="gramEnd"/>
      <w:r w:rsidRPr="008D3082">
        <w:rPr>
          <w:rFonts w:ascii="Times New Roman" w:hAnsi="Times New Roman" w:cs="Times New Roman"/>
          <w:sz w:val="24"/>
          <w:szCs w:val="24"/>
        </w:rPr>
        <w:t xml:space="preserve"> seperti karyawan, nasabah dhuafa, dan masyarakat) melalui distribusi kesejahteraan yang adil, serta akuntabilitas terhadap alam semesta (</w:t>
      </w:r>
      <w:r w:rsidRPr="008D3082">
        <w:rPr>
          <w:rFonts w:ascii="Times New Roman" w:hAnsi="Times New Roman" w:cs="Times New Roman"/>
          <w:i/>
          <w:iCs/>
          <w:sz w:val="24"/>
          <w:szCs w:val="24"/>
        </w:rPr>
        <w:t>environment</w:t>
      </w:r>
      <w:r w:rsidRPr="008D3082">
        <w:rPr>
          <w:rFonts w:ascii="Times New Roman" w:hAnsi="Times New Roman" w:cs="Times New Roman"/>
          <w:sz w:val="24"/>
          <w:szCs w:val="24"/>
        </w:rPr>
        <w:t xml:space="preserve">) demi kelestarian ekosistem. Implementasi SET memastikan bahwa tata kelola bisnis tidak hanya bernilai profitabilitas duniawi, tetapi juga berorientasi pada nilai kemaslahatan tertinggi yang transendental. </w:t>
      </w:r>
      <w:r w:rsidRPr="008D3082">
        <w:rPr>
          <w:rFonts w:ascii="Times New Roman" w:hAnsi="Times New Roman" w:cs="Times New Roman"/>
          <w:bCs/>
          <w:sz w:val="24"/>
          <w:szCs w:val="24"/>
        </w:rPr>
        <w:t>Penelitian yang serupa mengenai penerapan akuntabilitas berbasis teori ini sebenarnya telah dilakukan oleh Amerieska dkk. (2012) yang mengonseptualisasikan pelaporan institusi BMT, serta Saadah dkk. (2023) yang menguji perwujudan tanggung jawab sosial pada tataran korporasi syariah</w:t>
      </w:r>
      <w:r w:rsidRPr="008D3082">
        <w:rPr>
          <w:rFonts w:ascii="Times New Roman" w:hAnsi="Times New Roman" w:cs="Times New Roman"/>
          <w:sz w:val="24"/>
          <w:szCs w:val="24"/>
        </w:rPr>
        <w:t xml:space="preserve">. </w:t>
      </w:r>
      <w:r w:rsidRPr="008D3082">
        <w:rPr>
          <w:rFonts w:ascii="Times New Roman" w:hAnsi="Times New Roman" w:cs="Times New Roman"/>
          <w:bCs/>
          <w:sz w:val="24"/>
          <w:szCs w:val="24"/>
        </w:rPr>
        <w:t>Selain itu, Ni’mah (2017) juga mengevaluasi pelaporan sosial lembaga keuangan mikro berdasarkan pilar-pilar SET</w:t>
      </w:r>
      <w:r w:rsidRPr="008D3082">
        <w:rPr>
          <w:rFonts w:ascii="Times New Roman" w:hAnsi="Times New Roman" w:cs="Times New Roman"/>
          <w:sz w:val="24"/>
          <w:szCs w:val="24"/>
        </w:rPr>
        <w:t xml:space="preserve">. Namun, sebagian besar literatur terdahulu tersebut masih terbatas pada pengembangan model teoretis abstrak atau berfokus pada sektor perbankan syariah komersial skala makro yang memiliki kepatuhan formalitas tinggi. Masih sangat terbatas penelitian empiris yang mengevaluasi secara mendalam manifestasi operasional SET pada tataran lembaga keuangan mikro akar rumput seperti jaringan LKMS (BMT dan BWM) yang memiliki keterbatasan instrumen pelaporan </w:t>
      </w:r>
      <w:proofErr w:type="gramStart"/>
      <w:r w:rsidRPr="008D3082">
        <w:rPr>
          <w:rFonts w:ascii="Times New Roman" w:hAnsi="Times New Roman" w:cs="Times New Roman"/>
          <w:sz w:val="24"/>
          <w:szCs w:val="24"/>
        </w:rPr>
        <w:t>baku</w:t>
      </w:r>
      <w:proofErr w:type="gramEnd"/>
      <w:r w:rsidRPr="008D3082">
        <w:rPr>
          <w:rFonts w:ascii="Times New Roman" w:hAnsi="Times New Roman" w:cs="Times New Roman"/>
          <w:sz w:val="24"/>
          <w:szCs w:val="24"/>
        </w:rPr>
        <w:t>, khususnya di wilayah Sumatera Utara. Berdasarkan permasalahan tersebut, muncul pertanyaan mendasar: bagaimana kualitas implementasi akuntabilitas berbasis transendensi pada dimensi vertikal, horizontal, dan lingkungan dengan menggunakan lensa Shariah Enterprise Theory (SET) pada LKMS di Sumatera Utara? Berdasarkan celah riset (</w:t>
      </w:r>
      <w:r w:rsidRPr="008D3082">
        <w:rPr>
          <w:rFonts w:ascii="Times New Roman" w:hAnsi="Times New Roman" w:cs="Times New Roman"/>
          <w:i/>
          <w:iCs/>
          <w:sz w:val="24"/>
          <w:szCs w:val="24"/>
        </w:rPr>
        <w:t>research gap</w:t>
      </w:r>
      <w:r w:rsidRPr="008D3082">
        <w:rPr>
          <w:rFonts w:ascii="Times New Roman" w:hAnsi="Times New Roman" w:cs="Times New Roman"/>
          <w:sz w:val="24"/>
          <w:szCs w:val="24"/>
        </w:rPr>
        <w:t xml:space="preserve">) tersebut, penelitian ini bertujuan untuk menganalisis secara mendalam mengenai kualitas implementasi akuntabilitas berbasis transendensi dengan </w:t>
      </w:r>
      <w:r w:rsidRPr="008D3082">
        <w:rPr>
          <w:rFonts w:ascii="Times New Roman" w:hAnsi="Times New Roman" w:cs="Times New Roman"/>
          <w:sz w:val="24"/>
          <w:szCs w:val="24"/>
        </w:rPr>
        <w:lastRenderedPageBreak/>
        <w:t xml:space="preserve">menerapkan kerangka Shariah Enterprise Theory (SET) pada Lembaga Keuangan Mikro Syariah. Penelitian ini diharapkan dapat memberikan kontribusi teoretis baru dalam literatur akuntansi syariah dekonstruktif, serta menyajikan rekomendasi praktis bagi pengelola LKMS dalam menyusun sistem informasi akuntansi dan pelaporan yang transparan, akuntabel, serta sarat </w:t>
      </w:r>
      <w:proofErr w:type="gramStart"/>
      <w:r w:rsidRPr="008D3082">
        <w:rPr>
          <w:rFonts w:ascii="Times New Roman" w:hAnsi="Times New Roman" w:cs="Times New Roman"/>
          <w:sz w:val="24"/>
          <w:szCs w:val="24"/>
        </w:rPr>
        <w:t>akan</w:t>
      </w:r>
      <w:proofErr w:type="gramEnd"/>
      <w:r w:rsidRPr="008D3082">
        <w:rPr>
          <w:rFonts w:ascii="Times New Roman" w:hAnsi="Times New Roman" w:cs="Times New Roman"/>
          <w:sz w:val="24"/>
          <w:szCs w:val="24"/>
        </w:rPr>
        <w:t xml:space="preserve"> nilai-nilai ketuhanan. </w:t>
      </w:r>
    </w:p>
    <w:p w:rsidR="00B373BB" w:rsidRPr="008D3082" w:rsidRDefault="00B373BB" w:rsidP="008D3082">
      <w:pPr>
        <w:spacing w:after="0" w:line="360" w:lineRule="auto"/>
        <w:jc w:val="both"/>
        <w:rPr>
          <w:rFonts w:ascii="Times New Roman" w:eastAsia="Times New Roman" w:hAnsi="Times New Roman" w:cs="Times New Roman"/>
          <w:sz w:val="24"/>
          <w:szCs w:val="24"/>
        </w:rPr>
      </w:pPr>
    </w:p>
    <w:p w:rsidR="002351EE" w:rsidRPr="008D3082" w:rsidRDefault="0047216F" w:rsidP="008D3082">
      <w:pPr>
        <w:spacing w:after="0" w:line="360" w:lineRule="auto"/>
        <w:jc w:val="both"/>
        <w:rPr>
          <w:rFonts w:ascii="Times New Roman" w:eastAsia="Times New Roman" w:hAnsi="Times New Roman" w:cs="Times New Roman"/>
          <w:b/>
          <w:sz w:val="24"/>
          <w:szCs w:val="24"/>
        </w:rPr>
      </w:pPr>
      <w:r w:rsidRPr="008D3082">
        <w:rPr>
          <w:rFonts w:ascii="Times New Roman" w:eastAsia="Times New Roman" w:hAnsi="Times New Roman" w:cs="Times New Roman"/>
          <w:b/>
          <w:sz w:val="24"/>
          <w:szCs w:val="24"/>
        </w:rPr>
        <w:t xml:space="preserve">KAJIAN TEORI </w:t>
      </w:r>
    </w:p>
    <w:p w:rsidR="0024365F" w:rsidRPr="008D3082" w:rsidRDefault="0024365F" w:rsidP="008D3082">
      <w:pPr>
        <w:spacing w:after="0" w:line="360" w:lineRule="auto"/>
        <w:jc w:val="both"/>
        <w:rPr>
          <w:rFonts w:ascii="Times New Roman" w:eastAsia="Times New Roman" w:hAnsi="Times New Roman" w:cs="Times New Roman"/>
          <w:b/>
          <w:sz w:val="24"/>
          <w:szCs w:val="24"/>
        </w:rPr>
      </w:pPr>
      <w:r w:rsidRPr="008D3082">
        <w:rPr>
          <w:rFonts w:ascii="Times New Roman" w:hAnsi="Times New Roman" w:cs="Times New Roman"/>
          <w:b/>
          <w:sz w:val="24"/>
          <w:szCs w:val="24"/>
        </w:rPr>
        <w:t>Shariah Enterprise Theory (SET): Definisi dan Konsep Dasar</w:t>
      </w:r>
    </w:p>
    <w:p w:rsidR="0024365F" w:rsidRPr="008D3082" w:rsidRDefault="0024365F" w:rsidP="008D3082">
      <w:pPr>
        <w:spacing w:after="0" w:line="360" w:lineRule="auto"/>
        <w:ind w:firstLine="709"/>
        <w:jc w:val="both"/>
        <w:rPr>
          <w:rFonts w:ascii="Times New Roman" w:eastAsia="Times New Roman" w:hAnsi="Times New Roman" w:cs="Times New Roman"/>
          <w:sz w:val="24"/>
          <w:szCs w:val="24"/>
        </w:rPr>
      </w:pPr>
      <w:r w:rsidRPr="008D3082">
        <w:rPr>
          <w:rFonts w:ascii="Times New Roman" w:hAnsi="Times New Roman" w:cs="Times New Roman"/>
          <w:sz w:val="24"/>
          <w:szCs w:val="24"/>
        </w:rPr>
        <w:t xml:space="preserve">Shariah Enterprise Theory (SET) merupakan sebuah teori akuntansi dekonstruktif yang lahir sebagai resolusi atas keterbatasan Enterprise Theory konvensional dalam memaknai entitas bisnis dan pola pertanggungjawabannya. Teori konvensional secara fundamental menempatkan pemilik modal (stockholder) atau manajemen (stakeholder) sebagai pusat dari segala aktivitas operasi, sehingga pelaporan keuangan yang dihasilkan bias terhadap pemenuhan kepentingan materialitas dan akumulasi kekayaan individual semata (Amerieska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2012; Saadah dkk., 2023). Sebaliknya, SET mengajukan paradigma baru yang berakar pada nilai tauhid, dengan menegaskan secara absolut bahwa Allah SWT adalah pemilik mutlak (Ultimate Owner) atas segala sumber daya ekonomi, alam semesta, dan eksistensi manusia. Dalam kacamata SET, entitas bisnis bukan sekadar instrumen profit oriented yang mandiri, melainkan sebuah 'enterprise' atau amanah suci yang dititipkan oleh Sang Pencipta kepada manusia selaku khalifah di muka bumi (Saadah dkk., 2023).</w:t>
      </w:r>
    </w:p>
    <w:p w:rsidR="0024365F" w:rsidRPr="008D3082" w:rsidRDefault="0024365F" w:rsidP="008D3082">
      <w:pPr>
        <w:spacing w:after="0" w:line="360" w:lineRule="auto"/>
        <w:ind w:firstLine="709"/>
        <w:jc w:val="both"/>
        <w:rPr>
          <w:rFonts w:ascii="Times New Roman" w:eastAsia="Times New Roman" w:hAnsi="Times New Roman" w:cs="Times New Roman"/>
          <w:sz w:val="24"/>
          <w:szCs w:val="24"/>
        </w:rPr>
      </w:pPr>
      <w:r w:rsidRPr="008D3082">
        <w:rPr>
          <w:rFonts w:ascii="Times New Roman" w:hAnsi="Times New Roman" w:cs="Times New Roman"/>
          <w:sz w:val="24"/>
          <w:szCs w:val="24"/>
        </w:rPr>
        <w:t xml:space="preserve">Sebagai sebuah meta-teori akuntansi syariah, SET menyandarkan strukturnya pada prinsip keadilan, kemaslahatan, dan keseimbangan sosial-spiritual. Keberadaan entitas keuangan syariah tidak diizinkan hanya mengejar maksimalisasi kemakmuran finansial, tetapi harus bertindak sebagai saluran penyebaran rahmat bagi seluruh alam (Rahmatan lil 'Alamin). Oleh karena itu, aksioma dasar SET menyatakan bahwa sumber daya yang dimiliki oleh sebuah perusahaan syariah tidak bersifat bebas nilai, melainkan melekat di dalamnya hak Allah, hak sesama manusia, dan hak lingkungan sekitar (Ni’mah, 2017). Berdasarkan filosofi tersebut, kepemilikan dalam Islam bersifat metaforis (metaphorical ownership), di mana manusia hanya memiliki hak </w:t>
      </w:r>
      <w:r w:rsidRPr="008D3082">
        <w:rPr>
          <w:rFonts w:ascii="Times New Roman" w:hAnsi="Times New Roman" w:cs="Times New Roman"/>
          <w:sz w:val="24"/>
          <w:szCs w:val="24"/>
        </w:rPr>
        <w:lastRenderedPageBreak/>
        <w:t xml:space="preserve">pakai dan hak kelola, sedangkan hak milik hakiki berada pada wilayah ketuhanan (Amerieska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2012).</w:t>
      </w:r>
    </w:p>
    <w:p w:rsidR="0024365F" w:rsidRPr="008D3082" w:rsidRDefault="0024365F" w:rsidP="008D3082">
      <w:pPr>
        <w:spacing w:after="0" w:line="360" w:lineRule="auto"/>
        <w:ind w:firstLine="709"/>
        <w:jc w:val="both"/>
        <w:rPr>
          <w:rFonts w:ascii="Times New Roman" w:eastAsia="Times New Roman" w:hAnsi="Times New Roman" w:cs="Times New Roman"/>
          <w:sz w:val="24"/>
          <w:szCs w:val="24"/>
        </w:rPr>
      </w:pPr>
      <w:r w:rsidRPr="008D3082">
        <w:rPr>
          <w:rFonts w:ascii="Times New Roman" w:hAnsi="Times New Roman" w:cs="Times New Roman"/>
          <w:sz w:val="24"/>
          <w:szCs w:val="24"/>
        </w:rPr>
        <w:t>Konsep pelaporan keuangan dan akuntansi yang dibangun di atas pondasi SET secara otomatis mengalami pergeseran paradigma. Jika akuntansi konvensional menggunakan laporan laba rugi (income statement) sebagai ukuran keberhasilan tunggal, maka SET menghendaki sebuah instrumen pelaporan yang mampu menangkap distribusi nilai tambah (value added statement) secara holistik. Nilai tambah yang dihasilkan oleh entitas tidak boleh hanya diakumulasikan dalam bentuk laba ditahan untuk kemakmuran korporasi, melainkan harus didistribusikan secara adil dan proporsional kepada seluruh pemangku kepentingan, baik pemangku kepentingan internal maupun eksternal, yang mencakup dimensi ketuhanan, kemanusiaan, dan lingkungan alam (Apriansyah dkk., 2021; Triyuwono, 2007). Karakteristik inklusif inilah yang menjadikan SET sebagai kerangka kerja evaluatif yang paling relevan untuk membedah sistem pertanggungjawaban pada Lembaga Keuangan Mikro Syariah (LKMS).</w:t>
      </w:r>
    </w:p>
    <w:p w:rsidR="0024365F" w:rsidRPr="008D3082" w:rsidRDefault="0024365F" w:rsidP="008D3082">
      <w:pPr>
        <w:spacing w:after="0" w:line="360" w:lineRule="auto"/>
        <w:ind w:firstLine="709"/>
        <w:jc w:val="both"/>
        <w:rPr>
          <w:rFonts w:ascii="Times New Roman" w:hAnsi="Times New Roman" w:cs="Times New Roman"/>
          <w:sz w:val="24"/>
          <w:szCs w:val="24"/>
        </w:rPr>
      </w:pPr>
      <w:r w:rsidRPr="008D3082">
        <w:rPr>
          <w:rFonts w:ascii="Times New Roman" w:hAnsi="Times New Roman" w:cs="Times New Roman"/>
          <w:sz w:val="24"/>
          <w:szCs w:val="24"/>
        </w:rPr>
        <w:t xml:space="preserve">Penerapan SET pada ranah LKMS didukung oleh fakta empiris bahwa institusi mikro keuangan syariah memiliki misi ganda (double-bottom-line performance) yang secara inheren mengawinkan motif komersial (tamwil) dengan motif sosial keagamaan (maal) (Hussain &amp; Ahmed, 2024). Ketika LKMS mengadopsi SET, maka sistem informasi akuntansi dan pelaporannya tidak akan lagi terjebak pada formalitas pemenuhan rasio likuiditas atau profitabilitas sekuler, melainkan diarahkan untuk mengukur sejauh mana operasional lembaga mampu memanifestasikan nilai-nilai keadilan ketuhanan dalam memberdayakan masyarakat kecil (Mulawarman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2025). Dengan demikian, SET berfungsi sebagai jangkar moral sekaligus alat dekonstruksi akuntansi untuk memastikan bahwa LKMS tetap berjalan di atas koridor syariah yang substantif, bukan sekadar pelabelan kosmetik atau simbolis tanpa ruh spiritualitas.</w:t>
      </w:r>
    </w:p>
    <w:p w:rsidR="0024365F" w:rsidRPr="008D3082" w:rsidRDefault="0024365F" w:rsidP="008D3082">
      <w:pPr>
        <w:spacing w:after="0" w:line="360" w:lineRule="auto"/>
        <w:ind w:firstLine="709"/>
        <w:jc w:val="both"/>
        <w:rPr>
          <w:rFonts w:ascii="Times New Roman" w:eastAsia="Times New Roman" w:hAnsi="Times New Roman" w:cs="Times New Roman"/>
          <w:sz w:val="24"/>
          <w:szCs w:val="24"/>
        </w:rPr>
      </w:pPr>
    </w:p>
    <w:p w:rsidR="0024365F" w:rsidRPr="008D3082" w:rsidRDefault="0024365F" w:rsidP="008D3082">
      <w:pPr>
        <w:spacing w:after="0" w:line="360" w:lineRule="auto"/>
        <w:jc w:val="both"/>
        <w:rPr>
          <w:rFonts w:ascii="Times New Roman" w:hAnsi="Times New Roman" w:cs="Times New Roman"/>
          <w:b/>
          <w:sz w:val="24"/>
          <w:szCs w:val="24"/>
        </w:rPr>
      </w:pPr>
      <w:r w:rsidRPr="008D3082">
        <w:rPr>
          <w:rFonts w:ascii="Times New Roman" w:hAnsi="Times New Roman" w:cs="Times New Roman"/>
          <w:b/>
          <w:sz w:val="24"/>
          <w:szCs w:val="24"/>
        </w:rPr>
        <w:t>Akuntabilitas Vertikal (Hablan Minallah): Indikator Kepatuhan Syariah dan Transparansi Ritual</w:t>
      </w:r>
    </w:p>
    <w:p w:rsidR="0024365F" w:rsidRPr="008D3082" w:rsidRDefault="0024365F" w:rsidP="008D3082">
      <w:pPr>
        <w:spacing w:after="0" w:line="360" w:lineRule="auto"/>
        <w:ind w:firstLine="567"/>
        <w:jc w:val="both"/>
        <w:rPr>
          <w:rFonts w:ascii="Times New Roman" w:eastAsia="Times New Roman" w:hAnsi="Times New Roman" w:cs="Times New Roman"/>
          <w:sz w:val="24"/>
          <w:szCs w:val="24"/>
        </w:rPr>
      </w:pPr>
      <w:r w:rsidRPr="008D3082">
        <w:rPr>
          <w:rFonts w:ascii="Times New Roman" w:hAnsi="Times New Roman" w:cs="Times New Roman"/>
          <w:sz w:val="24"/>
          <w:szCs w:val="24"/>
        </w:rPr>
        <w:lastRenderedPageBreak/>
        <w:t xml:space="preserve">Akuntabilitas vertikal dalam konteks Shariah Enterprise Theory merupakan perwujudan langsung dari poros hubungan manusia dengan Sang Pencipta (Hablan Minallah). Dimensi ini menduduki kasta tertinggi dan menjadi fundamen absolut dari seluruh struktur pertanggungjawaban dalam Islam, karena setiap aktivitas ekonomi dipandang sebagai bagian dari ritual ibadah komprehensif kepada Allah SWT (Amerieska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2012). Bagi Lembaga Keuangan Mikro Syariah (LKMS), akuntabilitas vertikal bukan sekadar kewajiban hukum atau kepatuhan administratif terhadap regulasi negara, melainkan sebuah komitmen spiritual untuk mempertanggungjawabkan pengelolaan </w:t>
      </w:r>
      <w:proofErr w:type="gramStart"/>
      <w:r w:rsidRPr="008D3082">
        <w:rPr>
          <w:rFonts w:ascii="Times New Roman" w:hAnsi="Times New Roman" w:cs="Times New Roman"/>
          <w:sz w:val="24"/>
          <w:szCs w:val="24"/>
        </w:rPr>
        <w:t>dana</w:t>
      </w:r>
      <w:proofErr w:type="gramEnd"/>
      <w:r w:rsidRPr="008D3082">
        <w:rPr>
          <w:rFonts w:ascii="Times New Roman" w:hAnsi="Times New Roman" w:cs="Times New Roman"/>
          <w:sz w:val="24"/>
          <w:szCs w:val="24"/>
        </w:rPr>
        <w:t xml:space="preserve"> umat di akhirat kelak. Segala bentuk transaksi, pencatatan keuangan, dan pengambilan keputusan manajerial dalam LKMS harus disandarkan pada kesadaran ketuhanan (transendensi) bahwa Allah Maha Melihat dan Maha Menghitung atas setiap amalan ekonomi yang dilakukan (Saadah dkk., 2023; Yahya dkk., 2023).</w:t>
      </w:r>
    </w:p>
    <w:p w:rsidR="0024365F" w:rsidRPr="008D3082" w:rsidRDefault="0024365F" w:rsidP="008D3082">
      <w:pPr>
        <w:spacing w:after="0" w:line="360" w:lineRule="auto"/>
        <w:ind w:firstLine="567"/>
        <w:jc w:val="both"/>
        <w:rPr>
          <w:rFonts w:ascii="Times New Roman" w:eastAsia="Times New Roman" w:hAnsi="Times New Roman" w:cs="Times New Roman"/>
          <w:sz w:val="24"/>
          <w:szCs w:val="24"/>
        </w:rPr>
      </w:pPr>
      <w:r w:rsidRPr="008D3082">
        <w:rPr>
          <w:rFonts w:ascii="Times New Roman" w:hAnsi="Times New Roman" w:cs="Times New Roman"/>
          <w:sz w:val="24"/>
          <w:szCs w:val="24"/>
        </w:rPr>
        <w:t>Indikator operasional pertama dari akuntabilitas vertikal pada LKMS adalah tingkat kepatuhan syariah (shariah compliance) secara substantif. Kepatuhan syariah ini mencakup ketiadaan unsur-unsur yang diharamkan dalam syariat Islam, seperti riba (bunga), gharar (ketidakpastian), maysir (perjudian), tadlis (penipuan), dan kezaliman dalam seluruh skema produk pembiayaan yang ditawarkan (Anna, 2023). Pelaksanaan kepatuhan syariah ini diuji secara kelembagaan melalui peran aktif Dewan Pengawas Syariah (DPS) yang berfungsi melakukan audit syariah internal secara berkala. Laporan DPS tidak boleh hanya bersifat formalitas satu halaman yang menyatakan lembaga telah 'bebas riba', melainkan harus menyajikan pengungkapan yang mendetail mengenai proses screening produk, kepatuhan akad terhadap fatwa DSN-MUI, serta mitigasi risiko terhadap transaksi yang berpotensi syubhat (Anwar, 2026; Aribi dkk., 2019). Keberadaan pengawasan syariah yang efektif bertindak sebagai filter transendental agar LKMS terhindar dari praktik ribawi terelubung yang mengikis keberkahan usaha.</w:t>
      </w:r>
    </w:p>
    <w:p w:rsidR="0024365F" w:rsidRPr="008D3082" w:rsidRDefault="0024365F" w:rsidP="008D3082">
      <w:pPr>
        <w:spacing w:after="0" w:line="360" w:lineRule="auto"/>
        <w:ind w:firstLine="567"/>
        <w:jc w:val="both"/>
        <w:rPr>
          <w:rFonts w:ascii="Times New Roman" w:hAnsi="Times New Roman" w:cs="Times New Roman"/>
          <w:sz w:val="24"/>
          <w:szCs w:val="24"/>
        </w:rPr>
      </w:pPr>
      <w:r w:rsidRPr="008D3082">
        <w:rPr>
          <w:rFonts w:ascii="Times New Roman" w:hAnsi="Times New Roman" w:cs="Times New Roman"/>
          <w:sz w:val="24"/>
          <w:szCs w:val="24"/>
        </w:rPr>
        <w:t xml:space="preserve">Indikator kedua dari dimensi akuntabilitas vertikal menurut kerangka SET adalah transparansi dan ketepatan penyaluran </w:t>
      </w:r>
      <w:proofErr w:type="gramStart"/>
      <w:r w:rsidRPr="008D3082">
        <w:rPr>
          <w:rFonts w:ascii="Times New Roman" w:hAnsi="Times New Roman" w:cs="Times New Roman"/>
          <w:sz w:val="24"/>
          <w:szCs w:val="24"/>
        </w:rPr>
        <w:t>dana</w:t>
      </w:r>
      <w:proofErr w:type="gramEnd"/>
      <w:r w:rsidRPr="008D3082">
        <w:rPr>
          <w:rFonts w:ascii="Times New Roman" w:hAnsi="Times New Roman" w:cs="Times New Roman"/>
          <w:sz w:val="24"/>
          <w:szCs w:val="24"/>
        </w:rPr>
        <w:t xml:space="preserve"> sosial Islam, khususnya Zakat, Infak, Sedekah, dan Wakaf (ZISWAF). Sebagai lembaga keuangan mikro syariah, LKMS berkewajiban menghitung zakat perusahaan secara akurat sesuai kaidah fikih </w:t>
      </w:r>
      <w:r w:rsidRPr="008D3082">
        <w:rPr>
          <w:rFonts w:ascii="Times New Roman" w:hAnsi="Times New Roman" w:cs="Times New Roman"/>
          <w:sz w:val="24"/>
          <w:szCs w:val="24"/>
        </w:rPr>
        <w:lastRenderedPageBreak/>
        <w:t xml:space="preserve">kontemporer dan melaporkannya secara transparan kepada publik serta lembaga amil zakat resmi (Ni’mah, 2017). Pengungkapan informasi mengenai pemungutan dan pendistribusian </w:t>
      </w:r>
      <w:proofErr w:type="gramStart"/>
      <w:r w:rsidRPr="008D3082">
        <w:rPr>
          <w:rFonts w:ascii="Times New Roman" w:hAnsi="Times New Roman" w:cs="Times New Roman"/>
          <w:sz w:val="24"/>
          <w:szCs w:val="24"/>
        </w:rPr>
        <w:t>dana</w:t>
      </w:r>
      <w:proofErr w:type="gramEnd"/>
      <w:r w:rsidRPr="008D3082">
        <w:rPr>
          <w:rFonts w:ascii="Times New Roman" w:hAnsi="Times New Roman" w:cs="Times New Roman"/>
          <w:sz w:val="24"/>
          <w:szCs w:val="24"/>
        </w:rPr>
        <w:t xml:space="preserve"> zakat, baik yang bersumber dari internal lembaga (laba perusahaan) maupun eksternal (titipan nasabah), merupakan bukti nyata pemenuhan kewajiban vertikal kepada Allah SWT. Selain itu, pengelolaan dana kebajikan (Qardhul Hasan) yang dikelola oleh unit Baitul Maal pada LKMS harus disajikan secara terpisah dari unit bisnis (Tamwil) untuk menjamin kesucian dana sosial tersebut dan memastikan pemanfaatannya ditujukan khusus untuk menolong kaum dhuafa yang tidak memenuhi kualifikasi komersial (Mugiyati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2021; Wulandari dkk., 2025).</w:t>
      </w:r>
    </w:p>
    <w:p w:rsidR="0047216F" w:rsidRPr="008D3082" w:rsidRDefault="0047216F" w:rsidP="008D3082">
      <w:pPr>
        <w:spacing w:after="0" w:line="360" w:lineRule="auto"/>
        <w:ind w:firstLine="567"/>
        <w:jc w:val="both"/>
        <w:rPr>
          <w:rFonts w:ascii="Times New Roman" w:eastAsia="Times New Roman" w:hAnsi="Times New Roman" w:cs="Times New Roman"/>
          <w:sz w:val="24"/>
          <w:szCs w:val="24"/>
        </w:rPr>
      </w:pPr>
    </w:p>
    <w:p w:rsidR="0024365F" w:rsidRPr="008D3082" w:rsidRDefault="0024365F" w:rsidP="008D3082">
      <w:pPr>
        <w:spacing w:after="0" w:line="360" w:lineRule="auto"/>
        <w:jc w:val="both"/>
        <w:rPr>
          <w:rFonts w:ascii="Times New Roman" w:eastAsia="Times New Roman" w:hAnsi="Times New Roman" w:cs="Times New Roman"/>
          <w:sz w:val="24"/>
          <w:szCs w:val="24"/>
        </w:rPr>
      </w:pPr>
      <w:r w:rsidRPr="008D3082">
        <w:rPr>
          <w:rFonts w:ascii="Times New Roman" w:hAnsi="Times New Roman" w:cs="Times New Roman"/>
          <w:b/>
          <w:sz w:val="24"/>
          <w:szCs w:val="24"/>
        </w:rPr>
        <w:t>Akuntabilitas Horizontal - Kemanusiaan (Hablan Minannas): Distribusi Kesejahteraan Multi-Stakeholder</w:t>
      </w:r>
    </w:p>
    <w:p w:rsidR="0024365F" w:rsidRPr="008D3082" w:rsidRDefault="0024365F" w:rsidP="008D3082">
      <w:pPr>
        <w:spacing w:after="0" w:line="360" w:lineRule="auto"/>
        <w:ind w:firstLine="567"/>
        <w:jc w:val="both"/>
        <w:rPr>
          <w:rFonts w:ascii="Times New Roman" w:eastAsia="Times New Roman" w:hAnsi="Times New Roman" w:cs="Times New Roman"/>
          <w:sz w:val="24"/>
          <w:szCs w:val="24"/>
        </w:rPr>
      </w:pPr>
      <w:r w:rsidRPr="008D3082">
        <w:rPr>
          <w:rFonts w:ascii="Times New Roman" w:hAnsi="Times New Roman" w:cs="Times New Roman"/>
          <w:sz w:val="24"/>
          <w:szCs w:val="24"/>
        </w:rPr>
        <w:t xml:space="preserve">Akuntabilitas horizontal kemanusiaan dalam Shariah Enterprise Theory berpijak pada prinsip Hablan Minannas, yaitu jalinan interaksi sosial yang berkeadilan, bermartabat, dan penuh amanah antarsesama makhluk hidup. Dalam struktur SET, setelah pertanggungjawaban vertikal kepada Allah terpenuhi, entitas wajib menurunkan pancaran tanggung jawab tersebut ke dimensi horizontal melalui pengakuan hak-hak kemanusiaan para pemangku kepentingan (stakeholders) (Saadah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2023). Bagi Lembaga Keuangan Mikro Syariah (LKMS), akuntabilitas horizontal bermakna bahwa keberadaan institusi harus mampu menjadi motor penggerak keadilan distributif yang membagikan kesejahteraan secara proporsional kepada seluruh pihak yang terlibat dalam mata rantai operasional bisnisnya, tanpa ada eksploitasi atau diskriminasi ekonomi (Hartanto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2026; Triyuwono, 2007).</w:t>
      </w:r>
    </w:p>
    <w:p w:rsidR="0024365F" w:rsidRPr="008D3082" w:rsidRDefault="0024365F" w:rsidP="008D3082">
      <w:pPr>
        <w:spacing w:after="0" w:line="360" w:lineRule="auto"/>
        <w:ind w:firstLine="567"/>
        <w:jc w:val="both"/>
        <w:rPr>
          <w:rFonts w:ascii="Times New Roman" w:hAnsi="Times New Roman" w:cs="Times New Roman"/>
          <w:sz w:val="24"/>
          <w:szCs w:val="24"/>
        </w:rPr>
      </w:pPr>
      <w:r w:rsidRPr="008D3082">
        <w:rPr>
          <w:rFonts w:ascii="Times New Roman" w:hAnsi="Times New Roman" w:cs="Times New Roman"/>
          <w:sz w:val="24"/>
          <w:szCs w:val="24"/>
        </w:rPr>
        <w:t xml:space="preserve">Kelompok pemangku kepentingan utama yang berhak menerima wujud akuntabilitas horizontal LKMS adalah para karyawan (internal stakeholders). Dalam pandangan Islam, </w:t>
      </w:r>
      <w:proofErr w:type="gramStart"/>
      <w:r w:rsidRPr="008D3082">
        <w:rPr>
          <w:rFonts w:ascii="Times New Roman" w:hAnsi="Times New Roman" w:cs="Times New Roman"/>
          <w:sz w:val="24"/>
          <w:szCs w:val="24"/>
        </w:rPr>
        <w:t>karyawan</w:t>
      </w:r>
      <w:proofErr w:type="gramEnd"/>
      <w:r w:rsidRPr="008D3082">
        <w:rPr>
          <w:rFonts w:ascii="Times New Roman" w:hAnsi="Times New Roman" w:cs="Times New Roman"/>
          <w:sz w:val="24"/>
          <w:szCs w:val="24"/>
        </w:rPr>
        <w:t xml:space="preserve"> bukan sekadar faktor produksi atau aset berwujud yang dinilai berdasarkan upah minimum riil, melainkan mitra perjuangan dakwah ekonomi yang wajib dimuliakan hak-haknya. Indikator akuntabilitas horizontal terhadap karyawan diukur melalui pemberian kompensasi yang adil dan layak (living wage), penyediaan jaminan kesehatan dan keselamatan kerja, serta penciptaan lingkungan </w:t>
      </w:r>
      <w:r w:rsidRPr="008D3082">
        <w:rPr>
          <w:rFonts w:ascii="Times New Roman" w:hAnsi="Times New Roman" w:cs="Times New Roman"/>
          <w:sz w:val="24"/>
          <w:szCs w:val="24"/>
        </w:rPr>
        <w:lastRenderedPageBreak/>
        <w:t xml:space="preserve">kerja yang kondusif bagi pengembangan kompetensi profesional dan spiritual karyawan (Apriansyah dkk., 2021). </w:t>
      </w:r>
    </w:p>
    <w:p w:rsidR="0024365F" w:rsidRPr="008D3082" w:rsidRDefault="0024365F" w:rsidP="008D3082">
      <w:pPr>
        <w:spacing w:after="0" w:line="360" w:lineRule="auto"/>
        <w:ind w:firstLine="567"/>
        <w:jc w:val="both"/>
        <w:rPr>
          <w:rFonts w:ascii="Times New Roman" w:eastAsia="Times New Roman" w:hAnsi="Times New Roman" w:cs="Times New Roman"/>
          <w:sz w:val="24"/>
          <w:szCs w:val="24"/>
        </w:rPr>
      </w:pPr>
      <w:r w:rsidRPr="008D3082">
        <w:rPr>
          <w:rFonts w:ascii="Times New Roman" w:hAnsi="Times New Roman" w:cs="Times New Roman"/>
          <w:sz w:val="24"/>
          <w:szCs w:val="24"/>
        </w:rPr>
        <w:t xml:space="preserve">Kelompok stakeholder eksternal berikutnya yang menjadi fokus mutlak akuntabilitas horizontal LKMS adalah nasabah mikro dan dhuafa yang menjadi mitra pembiayaan. Berbeda dengan perbankan komersial sekuler yang menerapkan prinsip pragmatisme pasar, LKMS mengemban misi moral perlindungan nasabah kecil agar tidak terjerat dalam jebakan utang yang memiskinkan (mission drift) (Hussain &amp; Ahmed, 2024). Indikator akuntabilitas terhadap nasabah mikro diwujudkan melalui implementasi akad-akad pembiayaan yang transparan, seperti kejelasan margin pada akad Murabahah atau keadilan nisbah bagi hasil pada akad Mudharabah dan Musyarakah (Tawakkal &amp; Salleh, 2025). LKMS berkewajiban memberikan edukasi keuangan syariah, melakukan pendampingan usaha secara berkala, serta menunjukkan empati sosial ketika nasabah mengalami musibah atau kegagalan bisnis objektif melalui kebijakan restrukturisasi pembiayaan atau pemutihan utang via dana Qardhul Hasan, alih-alih melakukan eksekusi jaminan yang represif (Khairani &amp; Jannah, 2025; Mugiyati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2021).</w:t>
      </w:r>
    </w:p>
    <w:p w:rsidR="0024365F" w:rsidRPr="008D3082" w:rsidRDefault="0024365F" w:rsidP="008D3082">
      <w:pPr>
        <w:spacing w:after="0" w:line="360" w:lineRule="auto"/>
        <w:jc w:val="both"/>
        <w:rPr>
          <w:rFonts w:ascii="Times New Roman" w:eastAsia="Times New Roman" w:hAnsi="Times New Roman" w:cs="Times New Roman"/>
          <w:sz w:val="24"/>
          <w:szCs w:val="24"/>
        </w:rPr>
      </w:pPr>
      <w:r w:rsidRPr="008D3082">
        <w:rPr>
          <w:rFonts w:ascii="Times New Roman" w:hAnsi="Times New Roman" w:cs="Times New Roman"/>
          <w:b/>
          <w:sz w:val="24"/>
          <w:szCs w:val="24"/>
        </w:rPr>
        <w:t>Akuntabilitas Lingkungan (Alam Semesta): Etika Ekologis dalam Pembiayaan Mikro Syariah</w:t>
      </w:r>
    </w:p>
    <w:p w:rsidR="0024365F" w:rsidRPr="008D3082" w:rsidRDefault="0024365F" w:rsidP="008D3082">
      <w:pPr>
        <w:spacing w:after="0" w:line="360" w:lineRule="auto"/>
        <w:jc w:val="both"/>
        <w:rPr>
          <w:rFonts w:ascii="Times New Roman" w:eastAsia="Times New Roman" w:hAnsi="Times New Roman" w:cs="Times New Roman"/>
          <w:sz w:val="24"/>
          <w:szCs w:val="24"/>
        </w:rPr>
      </w:pPr>
      <w:r w:rsidRPr="008D3082">
        <w:rPr>
          <w:rFonts w:ascii="Times New Roman" w:hAnsi="Times New Roman" w:cs="Times New Roman"/>
          <w:sz w:val="24"/>
          <w:szCs w:val="24"/>
        </w:rPr>
        <w:t xml:space="preserve">Dimensi ketiga yang menjadi pilar penutup dalam kerangka kerja Shariah Enterprise Theory adalah akuntabilitas terhadap alam semesta atau lingkungan hidup. Konsep ekologi dalam Islam bersumber pada ajaran bahwa bumi dan segala isinya diciptakan dalam keseimbangan yang sempurna (mizan), dan manusia dilarang keras melakukan perusakan di muka bumi (fasad). Dalam rumusan SET, alam semesta diletakkan sebagai stakeholder non-manusia yang memiliki hak inheren untuk dijaga kelestariannya oleh entitas bisnis (Saadah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2023; Triyuwono, 2007). Meskipun Lembaga Keuangan Mikro Syariah (LKMS) secara fisik tidak beroperasi sebagai industri manufaktur yang menghasilkan limbah kimia beracun berskala makro, LKMS tetap memikul tanggung jawab ekologis yang besar melalui dampak tidak langsung (indirect impact) dari aktivitas pembiayaan dan operasional kantor harian yang dijalankannya (Hartanto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2026; Segrado, 2005).</w:t>
      </w:r>
    </w:p>
    <w:p w:rsidR="00331923" w:rsidRPr="008D3082" w:rsidRDefault="0024365F"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sz w:val="24"/>
          <w:szCs w:val="24"/>
        </w:rPr>
        <w:lastRenderedPageBreak/>
        <w:t xml:space="preserve">Indikator operasional utama dari akuntabilitas lingkungan pada LKMS terletak pada perumusan kebijakan 'Green Microfinance' atau kebijakan pembiayaan ramah lingkungan. LKMS harus mengintegrasikan kriteria ekologis ke dalam prosedur analisis kelayakan pembiayaan (screening ekologis) bagi calon nasabah usahanya. Lembaga keuangan mikro syariah wajib memastikan bahwa dana pembiayaan yang disalurkan kepada sektor pertanian, peternakan, perikanan, atau industri rumahan tidak digunakan untuk aktivitas yang merusak lingkungan, seperti penggunaan pestisida kimia berlebih yang merusak unsur hara tanah, pembukaan lahan dengan cara membakar hutan, atau pembuangan limbah usaha mikro langsung ke aliran sungai pemukiman warga (Mulawarman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2025; Segrado, 2005). Pengungkapan mengenai persentase pembiayaan hijau serta penolakan terhadap usaha mikro yang merusak alam menjadi bukti nyata komitmen ekologis LKMS kepada Sang Pencipta.</w:t>
      </w:r>
    </w:p>
    <w:p w:rsidR="00783A0D" w:rsidRPr="008D3082" w:rsidRDefault="00783A0D" w:rsidP="008D3082">
      <w:pPr>
        <w:spacing w:after="0" w:line="360" w:lineRule="auto"/>
        <w:jc w:val="both"/>
        <w:rPr>
          <w:rFonts w:ascii="Times New Roman" w:hAnsi="Times New Roman" w:cs="Times New Roman"/>
          <w:sz w:val="24"/>
          <w:szCs w:val="24"/>
        </w:rPr>
      </w:pPr>
    </w:p>
    <w:p w:rsidR="00331923" w:rsidRPr="008D3082" w:rsidRDefault="00783A0D" w:rsidP="008D3082">
      <w:pPr>
        <w:spacing w:after="0" w:line="360" w:lineRule="auto"/>
        <w:jc w:val="both"/>
        <w:rPr>
          <w:rFonts w:ascii="Times New Roman" w:hAnsi="Times New Roman" w:cs="Times New Roman"/>
          <w:b/>
          <w:sz w:val="24"/>
          <w:szCs w:val="24"/>
        </w:rPr>
      </w:pPr>
      <w:r w:rsidRPr="008D3082">
        <w:rPr>
          <w:rFonts w:ascii="Times New Roman" w:eastAsia="Times New Roman" w:hAnsi="Times New Roman" w:cs="Times New Roman"/>
          <w:b/>
          <w:sz w:val="24"/>
          <w:szCs w:val="24"/>
        </w:rPr>
        <w:t>Formulasi Matematis Nilai Tambah Shariah Enterprise Theory (Set)</w:t>
      </w:r>
    </w:p>
    <w:p w:rsidR="00331923" w:rsidRPr="008D3082" w:rsidRDefault="00331923" w:rsidP="008D3082">
      <w:pPr>
        <w:spacing w:after="0" w:line="360" w:lineRule="auto"/>
        <w:ind w:firstLine="567"/>
        <w:jc w:val="both"/>
        <w:rPr>
          <w:rFonts w:ascii="Times New Roman" w:hAnsi="Times New Roman" w:cs="Times New Roman"/>
          <w:sz w:val="24"/>
          <w:szCs w:val="24"/>
        </w:rPr>
      </w:pPr>
      <w:r w:rsidRPr="008D3082">
        <w:rPr>
          <w:rFonts w:ascii="Times New Roman" w:eastAsia="Times New Roman" w:hAnsi="Times New Roman" w:cs="Times New Roman"/>
          <w:sz w:val="24"/>
          <w:szCs w:val="24"/>
        </w:rPr>
        <w:t>Distribusi Nilai Tambah Berdasarkan Kerangka Shariah Enterprise Theory (SET)</w:t>
      </w:r>
    </w:p>
    <w:p w:rsidR="00331923" w:rsidRPr="008D3082" w:rsidRDefault="00331923" w:rsidP="008D3082">
      <w:pPr>
        <w:spacing w:after="0" w:line="360" w:lineRule="auto"/>
        <w:jc w:val="both"/>
        <w:rPr>
          <w:rFonts w:ascii="Times New Roman" w:hAnsi="Times New Roman" w:cs="Times New Roman"/>
          <w:sz w:val="24"/>
          <w:szCs w:val="24"/>
        </w:rPr>
      </w:pPr>
      <w:r w:rsidRPr="008D3082">
        <w:rPr>
          <w:rFonts w:ascii="Times New Roman" w:eastAsia="Times New Roman" w:hAnsi="Times New Roman" w:cs="Times New Roman"/>
          <w:sz w:val="24"/>
          <w:szCs w:val="24"/>
        </w:rPr>
        <w:t>Secara matematis, formulasi pembentukan dan distribusi nilai tambah berdasarkan kerangka</w:t>
      </w:r>
    </w:p>
    <w:p w:rsidR="00331923" w:rsidRPr="008D3082" w:rsidRDefault="00331923" w:rsidP="008D3082">
      <w:pPr>
        <w:spacing w:after="0" w:line="360" w:lineRule="auto"/>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Shariah Enterprise Theory (SET) dapat dinotasikan melalui persamaan simultan berikut:</w:t>
      </w:r>
    </w:p>
    <w:p w:rsidR="00331923" w:rsidRPr="008D3082" w:rsidRDefault="00331923" w:rsidP="008D3082">
      <w:pPr>
        <w:spacing w:after="0" w:line="360" w:lineRule="auto"/>
        <w:jc w:val="both"/>
        <w:rPr>
          <w:rFonts w:ascii="Times New Roman" w:eastAsia="Times New Roman" w:hAnsi="Times New Roman" w:cs="Times New Roman"/>
          <w:sz w:val="24"/>
          <w:szCs w:val="24"/>
        </w:rPr>
      </w:pPr>
    </w:p>
    <w:p w:rsidR="00331923" w:rsidRPr="008D3082" w:rsidRDefault="00331923" w:rsidP="008D3082">
      <w:pPr>
        <w:spacing w:after="0" w:line="360" w:lineRule="auto"/>
        <w:ind w:left="567"/>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NT_SET = ΔV_Allah + ΔV_Humans + ΔV_Nature</w:t>
      </w:r>
    </w:p>
    <w:p w:rsidR="00331923" w:rsidRPr="008D3082" w:rsidRDefault="00331923" w:rsidP="008D3082">
      <w:pPr>
        <w:spacing w:after="0" w:line="360" w:lineRule="auto"/>
        <w:ind w:left="567"/>
        <w:jc w:val="both"/>
        <w:rPr>
          <w:rFonts w:ascii="Times New Roman" w:eastAsia="Times New Roman" w:hAnsi="Times New Roman" w:cs="Times New Roman"/>
          <w:sz w:val="24"/>
          <w:szCs w:val="24"/>
        </w:rPr>
      </w:pPr>
    </w:p>
    <w:p w:rsidR="00331923" w:rsidRPr="008D3082" w:rsidRDefault="00331923" w:rsidP="008D3082">
      <w:pPr>
        <w:spacing w:after="0" w:line="360" w:lineRule="auto"/>
        <w:ind w:firstLine="567"/>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Di mana NT_SET merupakan total nilai tambah bersih (net value added) yang berhasil diciptakan oleh Lembaga Keuangan Mikro Syariah (LKM</w:t>
      </w:r>
      <w:r w:rsidR="00783A0D" w:rsidRPr="008D3082">
        <w:rPr>
          <w:rFonts w:ascii="Times New Roman" w:eastAsia="Times New Roman" w:hAnsi="Times New Roman" w:cs="Times New Roman"/>
          <w:sz w:val="24"/>
          <w:szCs w:val="24"/>
        </w:rPr>
        <w:t xml:space="preserve">S) dalam satu periode akuntansi </w:t>
      </w:r>
      <w:r w:rsidRPr="008D3082">
        <w:rPr>
          <w:rFonts w:ascii="Times New Roman" w:eastAsia="Times New Roman" w:hAnsi="Times New Roman" w:cs="Times New Roman"/>
          <w:sz w:val="24"/>
          <w:szCs w:val="24"/>
        </w:rPr>
        <w:t>tertentu. Poros akuntabilitas dekonstruktif ini dioperasionalkan secara mendetail melalui</w:t>
      </w:r>
      <w:r w:rsidR="00783A0D" w:rsidRPr="008D3082">
        <w:rPr>
          <w:rFonts w:ascii="Times New Roman" w:eastAsia="Times New Roman" w:hAnsi="Times New Roman" w:cs="Times New Roman"/>
          <w:sz w:val="24"/>
          <w:szCs w:val="24"/>
        </w:rPr>
        <w:t xml:space="preserve"> </w:t>
      </w:r>
      <w:r w:rsidRPr="008D3082">
        <w:rPr>
          <w:rFonts w:ascii="Times New Roman" w:eastAsia="Times New Roman" w:hAnsi="Times New Roman" w:cs="Times New Roman"/>
          <w:sz w:val="24"/>
          <w:szCs w:val="24"/>
        </w:rPr>
        <w:t>penjabaran variabel-variabel turunan sebagai berikut:</w:t>
      </w:r>
    </w:p>
    <w:p w:rsidR="00331923" w:rsidRPr="008D3082" w:rsidRDefault="00331923" w:rsidP="008D3082">
      <w:pPr>
        <w:pStyle w:val="ListParagraph"/>
        <w:numPr>
          <w:ilvl w:val="0"/>
          <w:numId w:val="4"/>
        </w:numPr>
        <w:spacing w:after="0" w:line="360" w:lineRule="auto"/>
        <w:ind w:left="284" w:hanging="284"/>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Akuntabilitas Vertikal-Teosentris (ΔV_Allah)</w:t>
      </w:r>
    </w:p>
    <w:p w:rsidR="00331923" w:rsidRPr="008D3082" w:rsidRDefault="00331923" w:rsidP="008D3082">
      <w:pPr>
        <w:pStyle w:val="ListParagraph"/>
        <w:spacing w:after="0" w:line="360" w:lineRule="auto"/>
        <w:ind w:left="284"/>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xml:space="preserve">Dimensi ini menempati kasta tertinggi dari struktur pelaporan Islam, yang mencerminkan pemenuhan kewajiban ritual keagamaan institusi secara </w:t>
      </w:r>
      <w:r w:rsidRPr="008D3082">
        <w:rPr>
          <w:rFonts w:ascii="Times New Roman" w:eastAsia="Times New Roman" w:hAnsi="Times New Roman" w:cs="Times New Roman"/>
          <w:sz w:val="24"/>
          <w:szCs w:val="24"/>
        </w:rPr>
        <w:lastRenderedPageBreak/>
        <w:t>transendental (Hablan Minallah). Formulasi nilai tambah yang dialokasikan khusus pada dimensi ketuhanan ini dihitung melalui persamaan:</w:t>
      </w:r>
    </w:p>
    <w:p w:rsidR="000C2B33" w:rsidRPr="008D3082" w:rsidRDefault="000C2B33" w:rsidP="008D3082">
      <w:pPr>
        <w:pStyle w:val="ListParagraph"/>
        <w:spacing w:after="0" w:line="360" w:lineRule="auto"/>
        <w:ind w:left="284"/>
        <w:jc w:val="both"/>
        <w:rPr>
          <w:rFonts w:ascii="Times New Roman" w:eastAsia="Times New Roman" w:hAnsi="Times New Roman" w:cs="Times New Roman"/>
          <w:sz w:val="24"/>
          <w:szCs w:val="24"/>
        </w:rPr>
      </w:pPr>
    </w:p>
    <w:p w:rsidR="00331923" w:rsidRPr="008D3082" w:rsidRDefault="00331923" w:rsidP="008D3082">
      <w:pPr>
        <w:pStyle w:val="ListParagraph"/>
        <w:spacing w:after="0" w:line="360" w:lineRule="auto"/>
        <w:ind w:left="284"/>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ΔV_Allah = Z_corp + I_corp + S_corp + W_corp + P_non-halal</w:t>
      </w:r>
    </w:p>
    <w:p w:rsidR="00331923" w:rsidRPr="008D3082" w:rsidRDefault="00331923" w:rsidP="008D3082">
      <w:pPr>
        <w:pStyle w:val="ListParagraph"/>
        <w:spacing w:after="0" w:line="360" w:lineRule="auto"/>
        <w:ind w:left="284"/>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xml:space="preserve"> </w:t>
      </w:r>
    </w:p>
    <w:p w:rsidR="00331923" w:rsidRPr="008D3082" w:rsidRDefault="00331923" w:rsidP="008D3082">
      <w:pPr>
        <w:pStyle w:val="ListParagraph"/>
        <w:spacing w:after="0" w:line="360" w:lineRule="auto"/>
        <w:ind w:left="284"/>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Keterangan variabel:</w:t>
      </w:r>
    </w:p>
    <w:p w:rsidR="000C2B33" w:rsidRPr="008D3082" w:rsidRDefault="00331923" w:rsidP="008D3082">
      <w:pPr>
        <w:pStyle w:val="ListParagraph"/>
        <w:spacing w:after="0" w:line="360" w:lineRule="auto"/>
        <w:ind w:left="1701" w:hanging="1417"/>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xml:space="preserve">Z </w:t>
      </w:r>
      <w:r w:rsidR="000C2B33" w:rsidRPr="008D3082">
        <w:rPr>
          <w:rFonts w:ascii="Times New Roman" w:eastAsia="Times New Roman" w:hAnsi="Times New Roman" w:cs="Times New Roman"/>
          <w:sz w:val="24"/>
          <w:szCs w:val="24"/>
        </w:rPr>
        <w:t xml:space="preserve">                 </w:t>
      </w:r>
      <w:r w:rsidRPr="008D3082">
        <w:rPr>
          <w:rFonts w:ascii="Times New Roman" w:eastAsia="Times New Roman" w:hAnsi="Times New Roman" w:cs="Times New Roman"/>
          <w:sz w:val="24"/>
          <w:szCs w:val="24"/>
        </w:rPr>
        <w:t>: Zakat perusahaan yang dihitung secara akurat berdasarkan objek wajib zakat</w:t>
      </w:r>
      <w:r w:rsidR="000C2B33" w:rsidRPr="008D3082">
        <w:rPr>
          <w:rFonts w:ascii="Times New Roman" w:eastAsia="Times New Roman" w:hAnsi="Times New Roman" w:cs="Times New Roman"/>
          <w:sz w:val="24"/>
          <w:szCs w:val="24"/>
        </w:rPr>
        <w:t xml:space="preserve"> </w:t>
      </w:r>
      <w:r w:rsidRPr="008D3082">
        <w:rPr>
          <w:rFonts w:ascii="Times New Roman" w:eastAsia="Times New Roman" w:hAnsi="Times New Roman" w:cs="Times New Roman"/>
          <w:sz w:val="24"/>
          <w:szCs w:val="24"/>
        </w:rPr>
        <w:t>korporasi kontemporer.</w:t>
      </w:r>
    </w:p>
    <w:p w:rsidR="000C2B33" w:rsidRPr="008D3082" w:rsidRDefault="000C2B33" w:rsidP="008D3082">
      <w:pPr>
        <w:pStyle w:val="ListParagraph"/>
        <w:spacing w:after="0" w:line="360" w:lineRule="auto"/>
        <w:ind w:left="284"/>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I</w:t>
      </w:r>
      <w:r w:rsidRPr="008D3082">
        <w:rPr>
          <w:rFonts w:ascii="Times New Roman" w:eastAsia="Times New Roman" w:hAnsi="Times New Roman" w:cs="Times New Roman"/>
          <w:sz w:val="24"/>
          <w:szCs w:val="24"/>
        </w:rPr>
        <w:tab/>
      </w:r>
      <w:r w:rsidRPr="008D3082">
        <w:rPr>
          <w:rFonts w:ascii="Times New Roman" w:eastAsia="Times New Roman" w:hAnsi="Times New Roman" w:cs="Times New Roman"/>
          <w:sz w:val="24"/>
          <w:szCs w:val="24"/>
        </w:rPr>
        <w:tab/>
      </w:r>
      <w:r w:rsidR="00331923" w:rsidRPr="008D3082">
        <w:rPr>
          <w:rFonts w:ascii="Times New Roman" w:eastAsia="Times New Roman" w:hAnsi="Times New Roman" w:cs="Times New Roman"/>
          <w:sz w:val="24"/>
          <w:szCs w:val="24"/>
        </w:rPr>
        <w:t xml:space="preserve">: Infak komitmen kelembagaan dari </w:t>
      </w:r>
      <w:r w:rsidRPr="008D3082">
        <w:rPr>
          <w:rFonts w:ascii="Times New Roman" w:eastAsia="Times New Roman" w:hAnsi="Times New Roman" w:cs="Times New Roman"/>
          <w:sz w:val="24"/>
          <w:szCs w:val="24"/>
        </w:rPr>
        <w:t>alokasi laba bersih operasional</w:t>
      </w:r>
    </w:p>
    <w:p w:rsidR="000C2B33" w:rsidRPr="008D3082" w:rsidRDefault="000C2B33" w:rsidP="008D3082">
      <w:pPr>
        <w:pStyle w:val="ListParagraph"/>
        <w:spacing w:after="0" w:line="360" w:lineRule="auto"/>
        <w:ind w:left="284"/>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S</w:t>
      </w:r>
      <w:r w:rsidRPr="008D3082">
        <w:rPr>
          <w:rFonts w:ascii="Times New Roman" w:eastAsia="Times New Roman" w:hAnsi="Times New Roman" w:cs="Times New Roman"/>
          <w:sz w:val="24"/>
          <w:szCs w:val="24"/>
        </w:rPr>
        <w:tab/>
      </w:r>
      <w:r w:rsidR="00331923" w:rsidRPr="008D3082">
        <w:rPr>
          <w:rFonts w:ascii="Times New Roman" w:eastAsia="Times New Roman" w:hAnsi="Times New Roman" w:cs="Times New Roman"/>
          <w:sz w:val="24"/>
          <w:szCs w:val="24"/>
        </w:rPr>
        <w:t xml:space="preserve"> </w:t>
      </w:r>
      <w:r w:rsidRPr="008D3082">
        <w:rPr>
          <w:rFonts w:ascii="Times New Roman" w:eastAsia="Times New Roman" w:hAnsi="Times New Roman" w:cs="Times New Roman"/>
          <w:sz w:val="24"/>
          <w:szCs w:val="24"/>
        </w:rPr>
        <w:tab/>
      </w:r>
      <w:r w:rsidR="00331923" w:rsidRPr="008D3082">
        <w:rPr>
          <w:rFonts w:ascii="Times New Roman" w:eastAsia="Times New Roman" w:hAnsi="Times New Roman" w:cs="Times New Roman"/>
          <w:sz w:val="24"/>
          <w:szCs w:val="24"/>
        </w:rPr>
        <w:t>: Sedekah insidental yang dikeluarkan untuk kemaslahatan umat.</w:t>
      </w:r>
    </w:p>
    <w:p w:rsidR="000C2B33" w:rsidRPr="008D3082" w:rsidRDefault="000C2B33" w:rsidP="008D3082">
      <w:pPr>
        <w:pStyle w:val="ListParagraph"/>
        <w:spacing w:after="0" w:line="360" w:lineRule="auto"/>
        <w:ind w:left="284"/>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W</w:t>
      </w:r>
      <w:r w:rsidRPr="008D3082">
        <w:rPr>
          <w:rFonts w:ascii="Times New Roman" w:eastAsia="Times New Roman" w:hAnsi="Times New Roman" w:cs="Times New Roman"/>
          <w:sz w:val="24"/>
          <w:szCs w:val="24"/>
        </w:rPr>
        <w:tab/>
      </w:r>
      <w:r w:rsidR="00331923" w:rsidRPr="008D3082">
        <w:rPr>
          <w:rFonts w:ascii="Times New Roman" w:eastAsia="Times New Roman" w:hAnsi="Times New Roman" w:cs="Times New Roman"/>
          <w:sz w:val="24"/>
          <w:szCs w:val="24"/>
        </w:rPr>
        <w:t xml:space="preserve"> </w:t>
      </w:r>
      <w:r w:rsidRPr="008D3082">
        <w:rPr>
          <w:rFonts w:ascii="Times New Roman" w:eastAsia="Times New Roman" w:hAnsi="Times New Roman" w:cs="Times New Roman"/>
          <w:sz w:val="24"/>
          <w:szCs w:val="24"/>
        </w:rPr>
        <w:tab/>
      </w:r>
      <w:r w:rsidR="00331923" w:rsidRPr="008D3082">
        <w:rPr>
          <w:rFonts w:ascii="Times New Roman" w:eastAsia="Times New Roman" w:hAnsi="Times New Roman" w:cs="Times New Roman"/>
          <w:sz w:val="24"/>
          <w:szCs w:val="24"/>
        </w:rPr>
        <w:t>: Wakaf produktif atau wakaf uang yang dikonsolidasikan oleh institusi.</w:t>
      </w:r>
    </w:p>
    <w:p w:rsidR="000C2B33" w:rsidRPr="008D3082" w:rsidRDefault="000C2B33" w:rsidP="008D3082">
      <w:pPr>
        <w:pStyle w:val="ListParagraph"/>
        <w:spacing w:after="0" w:line="360" w:lineRule="auto"/>
        <w:ind w:left="284"/>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xml:space="preserve">P </w:t>
      </w:r>
      <w:r w:rsidR="00331923" w:rsidRPr="008D3082">
        <w:rPr>
          <w:rFonts w:ascii="Times New Roman" w:eastAsia="Times New Roman" w:hAnsi="Times New Roman" w:cs="Times New Roman"/>
          <w:sz w:val="24"/>
          <w:szCs w:val="24"/>
        </w:rPr>
        <w:t>non-</w:t>
      </w:r>
      <w:proofErr w:type="gramStart"/>
      <w:r w:rsidR="00331923" w:rsidRPr="008D3082">
        <w:rPr>
          <w:rFonts w:ascii="Times New Roman" w:eastAsia="Times New Roman" w:hAnsi="Times New Roman" w:cs="Times New Roman"/>
          <w:sz w:val="24"/>
          <w:szCs w:val="24"/>
        </w:rPr>
        <w:t>halal :</w:t>
      </w:r>
      <w:proofErr w:type="gramEnd"/>
      <w:r w:rsidR="00331923" w:rsidRPr="008D3082">
        <w:rPr>
          <w:rFonts w:ascii="Times New Roman" w:eastAsia="Times New Roman" w:hAnsi="Times New Roman" w:cs="Times New Roman"/>
          <w:sz w:val="24"/>
          <w:szCs w:val="24"/>
        </w:rPr>
        <w:t xml:space="preserve"> Pendapatan non-halal (seperti sanksi denda keterlambatan nasabah</w:t>
      </w:r>
    </w:p>
    <w:p w:rsidR="00783A0D" w:rsidRPr="008D3082" w:rsidRDefault="00783A0D" w:rsidP="008D3082">
      <w:pPr>
        <w:spacing w:after="0" w:line="360" w:lineRule="auto"/>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xml:space="preserve"> </w:t>
      </w:r>
    </w:p>
    <w:p w:rsidR="00E7417C" w:rsidRPr="008D3082" w:rsidRDefault="00331923" w:rsidP="008D3082">
      <w:pPr>
        <w:pStyle w:val="ListParagraph"/>
        <w:numPr>
          <w:ilvl w:val="0"/>
          <w:numId w:val="4"/>
        </w:numPr>
        <w:spacing w:after="0" w:line="360" w:lineRule="auto"/>
        <w:ind w:left="284"/>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Akuntabilitas Horizontal-Insani (ΔV_Humans)</w:t>
      </w:r>
      <w:r w:rsidR="000C2B33" w:rsidRPr="008D3082">
        <w:rPr>
          <w:rFonts w:ascii="Times New Roman" w:eastAsia="Times New Roman" w:hAnsi="Times New Roman" w:cs="Times New Roman"/>
          <w:sz w:val="24"/>
          <w:szCs w:val="24"/>
        </w:rPr>
        <w:t xml:space="preserve"> </w:t>
      </w:r>
      <w:r w:rsidRPr="008D3082">
        <w:rPr>
          <w:rFonts w:ascii="Times New Roman" w:eastAsia="Times New Roman" w:hAnsi="Times New Roman" w:cs="Times New Roman"/>
          <w:sz w:val="24"/>
          <w:szCs w:val="24"/>
        </w:rPr>
        <w:t>Dimensi horizontal mencerminkan jalinan interaksi sosial yang adil dan bermartabat</w:t>
      </w:r>
      <w:r w:rsidR="000C2B33" w:rsidRPr="008D3082">
        <w:rPr>
          <w:rFonts w:ascii="Times New Roman" w:eastAsia="Times New Roman" w:hAnsi="Times New Roman" w:cs="Times New Roman"/>
          <w:sz w:val="24"/>
          <w:szCs w:val="24"/>
        </w:rPr>
        <w:t xml:space="preserve"> </w:t>
      </w:r>
      <w:r w:rsidRPr="008D3082">
        <w:rPr>
          <w:rFonts w:ascii="Times New Roman" w:eastAsia="Times New Roman" w:hAnsi="Times New Roman" w:cs="Times New Roman"/>
          <w:sz w:val="24"/>
          <w:szCs w:val="24"/>
        </w:rPr>
        <w:t>antarsesama pemangku kepentingan manusia (Hablan Minannas), baik pihak internal maupun</w:t>
      </w:r>
      <w:r w:rsidR="000C2B33" w:rsidRPr="008D3082">
        <w:rPr>
          <w:rFonts w:ascii="Times New Roman" w:eastAsia="Times New Roman" w:hAnsi="Times New Roman" w:cs="Times New Roman"/>
          <w:sz w:val="24"/>
          <w:szCs w:val="24"/>
        </w:rPr>
        <w:t xml:space="preserve"> </w:t>
      </w:r>
      <w:r w:rsidRPr="008D3082">
        <w:rPr>
          <w:rFonts w:ascii="Times New Roman" w:eastAsia="Times New Roman" w:hAnsi="Times New Roman" w:cs="Times New Roman"/>
          <w:sz w:val="24"/>
          <w:szCs w:val="24"/>
        </w:rPr>
        <w:t>eksternal. Distribusi kesejahteraan insani ini dirumuskan melalui persamaan:</w:t>
      </w:r>
      <w:r w:rsidR="000C2B33" w:rsidRPr="008D3082">
        <w:rPr>
          <w:rFonts w:ascii="Times New Roman" w:eastAsia="Times New Roman" w:hAnsi="Times New Roman" w:cs="Times New Roman"/>
          <w:sz w:val="24"/>
          <w:szCs w:val="24"/>
        </w:rPr>
        <w:t xml:space="preserve"> </w:t>
      </w:r>
    </w:p>
    <w:p w:rsidR="00E7417C" w:rsidRPr="008D3082" w:rsidRDefault="00E7417C" w:rsidP="008D3082">
      <w:pPr>
        <w:pStyle w:val="ListParagraph"/>
        <w:spacing w:after="0" w:line="360" w:lineRule="auto"/>
        <w:ind w:left="284"/>
        <w:jc w:val="both"/>
        <w:rPr>
          <w:rFonts w:ascii="Times New Roman" w:eastAsia="Times New Roman" w:hAnsi="Times New Roman" w:cs="Times New Roman"/>
          <w:sz w:val="24"/>
          <w:szCs w:val="24"/>
        </w:rPr>
      </w:pPr>
    </w:p>
    <w:p w:rsidR="00783A0D" w:rsidRPr="008D3082" w:rsidRDefault="00331923" w:rsidP="008D3082">
      <w:pPr>
        <w:pStyle w:val="ListParagraph"/>
        <w:spacing w:after="0" w:line="360" w:lineRule="auto"/>
        <w:ind w:left="284"/>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ΔV_Humans = K_remuneration + N_protection + M_distribution</w:t>
      </w:r>
    </w:p>
    <w:p w:rsidR="00783A0D" w:rsidRPr="008D3082" w:rsidRDefault="00783A0D" w:rsidP="008D3082">
      <w:pPr>
        <w:pStyle w:val="ListParagraph"/>
        <w:spacing w:after="0" w:line="360" w:lineRule="auto"/>
        <w:ind w:left="284"/>
        <w:jc w:val="both"/>
        <w:rPr>
          <w:rFonts w:ascii="Times New Roman" w:eastAsia="Times New Roman" w:hAnsi="Times New Roman" w:cs="Times New Roman"/>
          <w:sz w:val="24"/>
          <w:szCs w:val="24"/>
        </w:rPr>
      </w:pPr>
    </w:p>
    <w:p w:rsidR="00331923" w:rsidRPr="008D3082" w:rsidRDefault="00331923" w:rsidP="008D3082">
      <w:pPr>
        <w:pStyle w:val="ListParagraph"/>
        <w:spacing w:after="0" w:line="360" w:lineRule="auto"/>
        <w:ind w:left="284"/>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Keterangan variabel:</w:t>
      </w:r>
    </w:p>
    <w:p w:rsidR="00331923" w:rsidRPr="008D3082" w:rsidRDefault="00783A0D" w:rsidP="008D3082">
      <w:pPr>
        <w:spacing w:after="0" w:line="360" w:lineRule="auto"/>
        <w:ind w:left="284"/>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xml:space="preserve">K </w:t>
      </w:r>
      <w:r w:rsidR="00331923" w:rsidRPr="008D3082">
        <w:rPr>
          <w:rFonts w:ascii="Times New Roman" w:eastAsia="Times New Roman" w:hAnsi="Times New Roman" w:cs="Times New Roman"/>
          <w:sz w:val="24"/>
          <w:szCs w:val="24"/>
        </w:rPr>
        <w:t xml:space="preserve">remuneration </w:t>
      </w:r>
      <w:r w:rsidRPr="008D3082">
        <w:rPr>
          <w:rFonts w:ascii="Times New Roman" w:eastAsia="Times New Roman" w:hAnsi="Times New Roman" w:cs="Times New Roman"/>
          <w:sz w:val="24"/>
          <w:szCs w:val="24"/>
        </w:rPr>
        <w:tab/>
      </w:r>
      <w:proofErr w:type="gramStart"/>
      <w:r w:rsidRPr="008D3082">
        <w:rPr>
          <w:rFonts w:ascii="Times New Roman" w:eastAsia="Times New Roman" w:hAnsi="Times New Roman" w:cs="Times New Roman"/>
          <w:sz w:val="24"/>
          <w:szCs w:val="24"/>
        </w:rPr>
        <w:t>:</w:t>
      </w:r>
      <w:r w:rsidR="00331923" w:rsidRPr="008D3082">
        <w:rPr>
          <w:rFonts w:ascii="Times New Roman" w:eastAsia="Times New Roman" w:hAnsi="Times New Roman" w:cs="Times New Roman"/>
          <w:sz w:val="24"/>
          <w:szCs w:val="24"/>
        </w:rPr>
        <w:t>Total</w:t>
      </w:r>
      <w:proofErr w:type="gramEnd"/>
      <w:r w:rsidR="00331923" w:rsidRPr="008D3082">
        <w:rPr>
          <w:rFonts w:ascii="Times New Roman" w:eastAsia="Times New Roman" w:hAnsi="Times New Roman" w:cs="Times New Roman"/>
          <w:sz w:val="24"/>
          <w:szCs w:val="24"/>
        </w:rPr>
        <w:t xml:space="preserve"> kompensasi yang adil dan layak bagi karyawan (internal</w:t>
      </w:r>
    </w:p>
    <w:p w:rsidR="00331923" w:rsidRPr="008D3082" w:rsidRDefault="00331923" w:rsidP="008D3082">
      <w:pPr>
        <w:spacing w:after="0" w:line="360" w:lineRule="auto"/>
        <w:ind w:left="2268"/>
        <w:jc w:val="both"/>
        <w:rPr>
          <w:rFonts w:ascii="Times New Roman" w:eastAsia="Times New Roman" w:hAnsi="Times New Roman" w:cs="Times New Roman"/>
          <w:sz w:val="24"/>
          <w:szCs w:val="24"/>
        </w:rPr>
      </w:pPr>
      <w:proofErr w:type="gramStart"/>
      <w:r w:rsidRPr="008D3082">
        <w:rPr>
          <w:rFonts w:ascii="Times New Roman" w:eastAsia="Times New Roman" w:hAnsi="Times New Roman" w:cs="Times New Roman"/>
          <w:sz w:val="24"/>
          <w:szCs w:val="24"/>
        </w:rPr>
        <w:t>stakeholders</w:t>
      </w:r>
      <w:proofErr w:type="gramEnd"/>
      <w:r w:rsidRPr="008D3082">
        <w:rPr>
          <w:rFonts w:ascii="Times New Roman" w:eastAsia="Times New Roman" w:hAnsi="Times New Roman" w:cs="Times New Roman"/>
          <w:sz w:val="24"/>
          <w:szCs w:val="24"/>
        </w:rPr>
        <w:t xml:space="preserve">) yang mencakup upah kebutuhan hidup (living wage), </w:t>
      </w:r>
      <w:r w:rsidR="00783A0D" w:rsidRPr="008D3082">
        <w:rPr>
          <w:rFonts w:ascii="Times New Roman" w:eastAsia="Times New Roman" w:hAnsi="Times New Roman" w:cs="Times New Roman"/>
          <w:sz w:val="24"/>
          <w:szCs w:val="24"/>
        </w:rPr>
        <w:t xml:space="preserve">    </w:t>
      </w:r>
      <w:r w:rsidRPr="008D3082">
        <w:rPr>
          <w:rFonts w:ascii="Times New Roman" w:eastAsia="Times New Roman" w:hAnsi="Times New Roman" w:cs="Times New Roman"/>
          <w:sz w:val="24"/>
          <w:szCs w:val="24"/>
        </w:rPr>
        <w:t>jaminan kesehatan,</w:t>
      </w:r>
      <w:r w:rsidR="00783A0D" w:rsidRPr="008D3082">
        <w:rPr>
          <w:rFonts w:ascii="Times New Roman" w:eastAsia="Times New Roman" w:hAnsi="Times New Roman" w:cs="Times New Roman"/>
          <w:sz w:val="24"/>
          <w:szCs w:val="24"/>
        </w:rPr>
        <w:t xml:space="preserve"> </w:t>
      </w:r>
      <w:r w:rsidRPr="008D3082">
        <w:rPr>
          <w:rFonts w:ascii="Times New Roman" w:eastAsia="Times New Roman" w:hAnsi="Times New Roman" w:cs="Times New Roman"/>
          <w:sz w:val="24"/>
          <w:szCs w:val="24"/>
        </w:rPr>
        <w:t>keselamatan kerja, serta insentif spiritual berkelanjutan.</w:t>
      </w:r>
    </w:p>
    <w:p w:rsidR="00331923" w:rsidRPr="008D3082" w:rsidRDefault="00331923" w:rsidP="008D3082">
      <w:pPr>
        <w:spacing w:after="0" w:line="360" w:lineRule="auto"/>
        <w:ind w:left="284"/>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xml:space="preserve">N_protection </w:t>
      </w:r>
      <w:r w:rsidR="00783A0D" w:rsidRPr="008D3082">
        <w:rPr>
          <w:rFonts w:ascii="Times New Roman" w:eastAsia="Times New Roman" w:hAnsi="Times New Roman" w:cs="Times New Roman"/>
          <w:sz w:val="24"/>
          <w:szCs w:val="24"/>
        </w:rPr>
        <w:tab/>
      </w:r>
      <w:r w:rsidRPr="008D3082">
        <w:rPr>
          <w:rFonts w:ascii="Times New Roman" w:eastAsia="Times New Roman" w:hAnsi="Times New Roman" w:cs="Times New Roman"/>
          <w:sz w:val="24"/>
          <w:szCs w:val="24"/>
        </w:rPr>
        <w:t>: Nilai proteksi ekonomi bagi nasabah mikro dhuafa, yang diwujudkan</w:t>
      </w:r>
    </w:p>
    <w:p w:rsidR="00331923" w:rsidRPr="008D3082" w:rsidRDefault="00331923" w:rsidP="008D3082">
      <w:pPr>
        <w:spacing w:after="0" w:line="360" w:lineRule="auto"/>
        <w:ind w:left="2280"/>
        <w:jc w:val="both"/>
        <w:rPr>
          <w:rFonts w:ascii="Times New Roman" w:eastAsia="Times New Roman" w:hAnsi="Times New Roman" w:cs="Times New Roman"/>
          <w:sz w:val="24"/>
          <w:szCs w:val="24"/>
        </w:rPr>
      </w:pPr>
      <w:proofErr w:type="gramStart"/>
      <w:r w:rsidRPr="008D3082">
        <w:rPr>
          <w:rFonts w:ascii="Times New Roman" w:eastAsia="Times New Roman" w:hAnsi="Times New Roman" w:cs="Times New Roman"/>
          <w:sz w:val="24"/>
          <w:szCs w:val="24"/>
        </w:rPr>
        <w:t>melalui</w:t>
      </w:r>
      <w:proofErr w:type="gramEnd"/>
      <w:r w:rsidRPr="008D3082">
        <w:rPr>
          <w:rFonts w:ascii="Times New Roman" w:eastAsia="Times New Roman" w:hAnsi="Times New Roman" w:cs="Times New Roman"/>
          <w:sz w:val="24"/>
          <w:szCs w:val="24"/>
        </w:rPr>
        <w:t xml:space="preserve"> edukasi pembukuan gr</w:t>
      </w:r>
      <w:r w:rsidR="00783A0D" w:rsidRPr="008D3082">
        <w:rPr>
          <w:rFonts w:ascii="Times New Roman" w:eastAsia="Times New Roman" w:hAnsi="Times New Roman" w:cs="Times New Roman"/>
          <w:sz w:val="24"/>
          <w:szCs w:val="24"/>
        </w:rPr>
        <w:t xml:space="preserve">atis, pendampingan usaha taktis  </w:t>
      </w:r>
      <w:r w:rsidRPr="008D3082">
        <w:rPr>
          <w:rFonts w:ascii="Times New Roman" w:eastAsia="Times New Roman" w:hAnsi="Times New Roman" w:cs="Times New Roman"/>
          <w:sz w:val="24"/>
          <w:szCs w:val="24"/>
        </w:rPr>
        <w:t>harian, serta alokasi</w:t>
      </w:r>
      <w:r w:rsidR="00783A0D" w:rsidRPr="008D3082">
        <w:rPr>
          <w:rFonts w:ascii="Times New Roman" w:eastAsia="Times New Roman" w:hAnsi="Times New Roman" w:cs="Times New Roman"/>
          <w:sz w:val="24"/>
          <w:szCs w:val="24"/>
        </w:rPr>
        <w:t xml:space="preserve"> r</w:t>
      </w:r>
      <w:r w:rsidRPr="008D3082">
        <w:rPr>
          <w:rFonts w:ascii="Times New Roman" w:eastAsia="Times New Roman" w:hAnsi="Times New Roman" w:cs="Times New Roman"/>
          <w:sz w:val="24"/>
          <w:szCs w:val="24"/>
        </w:rPr>
        <w:t>estrukturisasi lunak pembiayaan bermasalah via dana talangan kebajikan Qardhul</w:t>
      </w:r>
      <w:r w:rsidR="00783A0D" w:rsidRPr="008D3082">
        <w:rPr>
          <w:rFonts w:ascii="Times New Roman" w:eastAsia="Times New Roman" w:hAnsi="Times New Roman" w:cs="Times New Roman"/>
          <w:sz w:val="24"/>
          <w:szCs w:val="24"/>
        </w:rPr>
        <w:t xml:space="preserve"> </w:t>
      </w:r>
      <w:r w:rsidRPr="008D3082">
        <w:rPr>
          <w:rFonts w:ascii="Times New Roman" w:eastAsia="Times New Roman" w:hAnsi="Times New Roman" w:cs="Times New Roman"/>
          <w:sz w:val="24"/>
          <w:szCs w:val="24"/>
        </w:rPr>
        <w:t>Hasan.</w:t>
      </w:r>
    </w:p>
    <w:p w:rsidR="00331923" w:rsidRPr="008D3082" w:rsidRDefault="00331923" w:rsidP="008D3082">
      <w:pPr>
        <w:spacing w:after="0" w:line="360" w:lineRule="auto"/>
        <w:ind w:left="284"/>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lastRenderedPageBreak/>
        <w:t xml:space="preserve">M_distribution </w:t>
      </w:r>
      <w:r w:rsidR="00783A0D" w:rsidRPr="008D3082">
        <w:rPr>
          <w:rFonts w:ascii="Times New Roman" w:eastAsia="Times New Roman" w:hAnsi="Times New Roman" w:cs="Times New Roman"/>
          <w:sz w:val="24"/>
          <w:szCs w:val="24"/>
        </w:rPr>
        <w:tab/>
      </w:r>
      <w:r w:rsidRPr="008D3082">
        <w:rPr>
          <w:rFonts w:ascii="Times New Roman" w:eastAsia="Times New Roman" w:hAnsi="Times New Roman" w:cs="Times New Roman"/>
          <w:sz w:val="24"/>
          <w:szCs w:val="24"/>
        </w:rPr>
        <w:t>: Distribusi nilai sosial kepada masyarakat umum berupa program</w:t>
      </w:r>
    </w:p>
    <w:p w:rsidR="00331923" w:rsidRPr="008D3082" w:rsidRDefault="00783A0D" w:rsidP="008D3082">
      <w:pPr>
        <w:spacing w:after="0" w:line="360" w:lineRule="auto"/>
        <w:ind w:left="2160"/>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xml:space="preserve">  </w:t>
      </w:r>
      <w:proofErr w:type="gramStart"/>
      <w:r w:rsidR="00331923" w:rsidRPr="008D3082">
        <w:rPr>
          <w:rFonts w:ascii="Times New Roman" w:eastAsia="Times New Roman" w:hAnsi="Times New Roman" w:cs="Times New Roman"/>
          <w:sz w:val="24"/>
          <w:szCs w:val="24"/>
        </w:rPr>
        <w:t>kemitraan</w:t>
      </w:r>
      <w:proofErr w:type="gramEnd"/>
      <w:r w:rsidR="00331923" w:rsidRPr="008D3082">
        <w:rPr>
          <w:rFonts w:ascii="Times New Roman" w:eastAsia="Times New Roman" w:hAnsi="Times New Roman" w:cs="Times New Roman"/>
          <w:sz w:val="24"/>
          <w:szCs w:val="24"/>
        </w:rPr>
        <w:t xml:space="preserve"> UMKM non-komersial dan bantuan sosial kemanusiaan.</w:t>
      </w:r>
    </w:p>
    <w:p w:rsidR="00783A0D" w:rsidRPr="008D3082" w:rsidRDefault="00783A0D" w:rsidP="008D3082">
      <w:pPr>
        <w:spacing w:after="0" w:line="360" w:lineRule="auto"/>
        <w:ind w:left="2160"/>
        <w:jc w:val="both"/>
        <w:rPr>
          <w:rFonts w:ascii="Times New Roman" w:eastAsia="Times New Roman" w:hAnsi="Times New Roman" w:cs="Times New Roman"/>
          <w:sz w:val="24"/>
          <w:szCs w:val="24"/>
        </w:rPr>
      </w:pPr>
    </w:p>
    <w:p w:rsidR="00331923" w:rsidRPr="008D3082" w:rsidRDefault="00331923" w:rsidP="008D3082">
      <w:pPr>
        <w:spacing w:after="0" w:line="360" w:lineRule="auto"/>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3. Akuntabilitas Ekologis (ΔV_Nature)</w:t>
      </w:r>
      <w:r w:rsidR="00783A0D" w:rsidRPr="008D3082">
        <w:rPr>
          <w:rFonts w:ascii="Times New Roman" w:eastAsia="Times New Roman" w:hAnsi="Times New Roman" w:cs="Times New Roman"/>
          <w:sz w:val="24"/>
          <w:szCs w:val="24"/>
        </w:rPr>
        <w:t xml:space="preserve"> </w:t>
      </w:r>
      <w:r w:rsidRPr="008D3082">
        <w:rPr>
          <w:rFonts w:ascii="Times New Roman" w:eastAsia="Times New Roman" w:hAnsi="Times New Roman" w:cs="Times New Roman"/>
          <w:sz w:val="24"/>
          <w:szCs w:val="24"/>
        </w:rPr>
        <w:t>Dimensi penutup ini meletakkan alam semesta beserta kelestarian ekosistem di dalamnya</w:t>
      </w:r>
      <w:r w:rsidR="00783A0D" w:rsidRPr="008D3082">
        <w:rPr>
          <w:rFonts w:ascii="Times New Roman" w:eastAsia="Times New Roman" w:hAnsi="Times New Roman" w:cs="Times New Roman"/>
          <w:sz w:val="24"/>
          <w:szCs w:val="24"/>
        </w:rPr>
        <w:t xml:space="preserve"> s</w:t>
      </w:r>
      <w:r w:rsidRPr="008D3082">
        <w:rPr>
          <w:rFonts w:ascii="Times New Roman" w:eastAsia="Times New Roman" w:hAnsi="Times New Roman" w:cs="Times New Roman"/>
          <w:sz w:val="24"/>
          <w:szCs w:val="24"/>
        </w:rPr>
        <w:t>ebagai pemangku kepentingan non-manusia (non-human stakeholder) yang berhak menerima</w:t>
      </w:r>
      <w:r w:rsidR="00783A0D" w:rsidRPr="008D3082">
        <w:rPr>
          <w:rFonts w:ascii="Times New Roman" w:eastAsia="Times New Roman" w:hAnsi="Times New Roman" w:cs="Times New Roman"/>
          <w:sz w:val="24"/>
          <w:szCs w:val="24"/>
        </w:rPr>
        <w:t xml:space="preserve"> </w:t>
      </w:r>
      <w:r w:rsidRPr="008D3082">
        <w:rPr>
          <w:rFonts w:ascii="Times New Roman" w:eastAsia="Times New Roman" w:hAnsi="Times New Roman" w:cs="Times New Roman"/>
          <w:sz w:val="24"/>
          <w:szCs w:val="24"/>
        </w:rPr>
        <w:t>reinvestasi atas dampak tidak langsung operasi LKMS. Alokasi nilai tambah ekologis ini</w:t>
      </w:r>
      <w:r w:rsidR="00783A0D" w:rsidRPr="008D3082">
        <w:rPr>
          <w:rFonts w:ascii="Times New Roman" w:eastAsia="Times New Roman" w:hAnsi="Times New Roman" w:cs="Times New Roman"/>
          <w:sz w:val="24"/>
          <w:szCs w:val="24"/>
        </w:rPr>
        <w:t xml:space="preserve"> </w:t>
      </w:r>
      <w:r w:rsidRPr="008D3082">
        <w:rPr>
          <w:rFonts w:ascii="Times New Roman" w:eastAsia="Times New Roman" w:hAnsi="Times New Roman" w:cs="Times New Roman"/>
          <w:sz w:val="24"/>
          <w:szCs w:val="24"/>
        </w:rPr>
        <w:t>dinotasikan melalui persamaan:</w:t>
      </w:r>
    </w:p>
    <w:p w:rsidR="00331923" w:rsidRPr="008D3082" w:rsidRDefault="00331923" w:rsidP="008D3082">
      <w:pPr>
        <w:spacing w:after="0" w:line="360" w:lineRule="auto"/>
        <w:jc w:val="both"/>
        <w:rPr>
          <w:rFonts w:ascii="Times New Roman" w:eastAsia="Times New Roman" w:hAnsi="Times New Roman" w:cs="Times New Roman"/>
          <w:sz w:val="24"/>
          <w:szCs w:val="24"/>
        </w:rPr>
      </w:pPr>
    </w:p>
    <w:p w:rsidR="00331923" w:rsidRPr="008D3082" w:rsidRDefault="00331923" w:rsidP="008D3082">
      <w:pPr>
        <w:spacing w:after="0" w:line="360" w:lineRule="auto"/>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ΔV_Nature = E_screening + O_green + R_restoration</w:t>
      </w:r>
    </w:p>
    <w:p w:rsidR="00331923" w:rsidRPr="008D3082" w:rsidRDefault="00331923" w:rsidP="008D3082">
      <w:pPr>
        <w:spacing w:after="0" w:line="360" w:lineRule="auto"/>
        <w:jc w:val="both"/>
        <w:rPr>
          <w:rFonts w:ascii="Times New Roman" w:eastAsia="Times New Roman" w:hAnsi="Times New Roman" w:cs="Times New Roman"/>
          <w:sz w:val="24"/>
          <w:szCs w:val="24"/>
        </w:rPr>
      </w:pPr>
    </w:p>
    <w:p w:rsidR="00331923" w:rsidRPr="008D3082" w:rsidRDefault="00331923" w:rsidP="008D3082">
      <w:pPr>
        <w:spacing w:after="0" w:line="360" w:lineRule="auto"/>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Keterangan variabel:</w:t>
      </w:r>
    </w:p>
    <w:p w:rsidR="00E7417C" w:rsidRPr="008D3082" w:rsidRDefault="00E7417C" w:rsidP="008D3082">
      <w:pPr>
        <w:pStyle w:val="ListParagraph"/>
        <w:spacing w:after="0" w:line="360" w:lineRule="auto"/>
        <w:ind w:left="2160" w:hanging="1876"/>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xml:space="preserve">E_screening </w:t>
      </w:r>
      <w:r w:rsidRPr="008D3082">
        <w:rPr>
          <w:rFonts w:ascii="Times New Roman" w:eastAsia="Times New Roman" w:hAnsi="Times New Roman" w:cs="Times New Roman"/>
          <w:sz w:val="24"/>
          <w:szCs w:val="24"/>
        </w:rPr>
        <w:tab/>
        <w:t>: Biaya operasional SOP yang dikeluarkan untuk merumuskan dan mengoperasionalkan instrumen tertulis SOP ecological screening (penyaringan dampak lingkungan hidup) pada proses analisis kelayakan pembiayaan calon nasabah produktif.</w:t>
      </w:r>
    </w:p>
    <w:p w:rsidR="000C2B33" w:rsidRPr="008D3082" w:rsidRDefault="00E7417C" w:rsidP="008D3082">
      <w:pPr>
        <w:pStyle w:val="ListParagraph"/>
        <w:spacing w:after="0" w:line="360" w:lineRule="auto"/>
        <w:ind w:left="2159" w:hanging="1875"/>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xml:space="preserve">O_green </w:t>
      </w:r>
      <w:r w:rsidRPr="008D3082">
        <w:rPr>
          <w:rFonts w:ascii="Times New Roman" w:eastAsia="Times New Roman" w:hAnsi="Times New Roman" w:cs="Times New Roman"/>
          <w:sz w:val="24"/>
          <w:szCs w:val="24"/>
        </w:rPr>
        <w:tab/>
      </w:r>
      <w:r w:rsidRPr="008D3082">
        <w:rPr>
          <w:rFonts w:ascii="Times New Roman" w:eastAsia="Times New Roman" w:hAnsi="Times New Roman" w:cs="Times New Roman"/>
          <w:sz w:val="24"/>
          <w:szCs w:val="24"/>
        </w:rPr>
        <w:tab/>
        <w:t>: Biaya investasi teknologi informasi untuk mewujudkan ekosistem perkantoran ramah lingkungan (eco-office), seperti digitalisasi administrasi (system integrated microbanking system / IBS) guna mereduksi penggunaan kertas secara masif. R_</w:t>
      </w:r>
      <w:proofErr w:type="gramStart"/>
      <w:r w:rsidRPr="008D3082">
        <w:rPr>
          <w:rFonts w:ascii="Times New Roman" w:eastAsia="Times New Roman" w:hAnsi="Times New Roman" w:cs="Times New Roman"/>
          <w:sz w:val="24"/>
          <w:szCs w:val="24"/>
        </w:rPr>
        <w:t>restoration :</w:t>
      </w:r>
      <w:proofErr w:type="gramEnd"/>
      <w:r w:rsidRPr="008D3082">
        <w:rPr>
          <w:rFonts w:ascii="Times New Roman" w:eastAsia="Times New Roman" w:hAnsi="Times New Roman" w:cs="Times New Roman"/>
          <w:sz w:val="24"/>
          <w:szCs w:val="24"/>
        </w:rPr>
        <w:t xml:space="preserve"> Realisasi dana tanggung jawab sosial lingkungan (ICSR) yang disalurkan khusus untuk program restorasi ekologi atau perbaikan kualitas alam di sekitar wilayah operasi lembaga.</w:t>
      </w:r>
    </w:p>
    <w:p w:rsidR="00E7417C" w:rsidRPr="008D3082" w:rsidRDefault="00E7417C" w:rsidP="008D3082">
      <w:pPr>
        <w:pStyle w:val="ListParagraph"/>
        <w:spacing w:after="0" w:line="360" w:lineRule="auto"/>
        <w:ind w:left="2159" w:hanging="1875"/>
        <w:jc w:val="both"/>
        <w:rPr>
          <w:rFonts w:ascii="Times New Roman" w:eastAsia="Times New Roman" w:hAnsi="Times New Roman" w:cs="Times New Roman"/>
          <w:sz w:val="24"/>
          <w:szCs w:val="24"/>
        </w:rPr>
      </w:pPr>
    </w:p>
    <w:p w:rsidR="0024365F" w:rsidRPr="008D3082" w:rsidRDefault="0024365F" w:rsidP="008D3082">
      <w:pPr>
        <w:spacing w:after="0" w:line="360" w:lineRule="auto"/>
        <w:jc w:val="both"/>
        <w:rPr>
          <w:rFonts w:ascii="Times New Roman" w:eastAsia="Times New Roman" w:hAnsi="Times New Roman" w:cs="Times New Roman"/>
          <w:b/>
          <w:sz w:val="24"/>
          <w:szCs w:val="24"/>
        </w:rPr>
      </w:pPr>
      <w:r w:rsidRPr="008D3082">
        <w:rPr>
          <w:rFonts w:ascii="Times New Roman" w:hAnsi="Times New Roman" w:cs="Times New Roman"/>
          <w:b/>
          <w:sz w:val="24"/>
          <w:szCs w:val="24"/>
        </w:rPr>
        <w:t>Fokus Telaah Deskriptif: Matriks Penilaian Kualitas Akuntabilitas Transendensi</w:t>
      </w:r>
    </w:p>
    <w:p w:rsidR="006A0A9C" w:rsidRPr="008D3082" w:rsidRDefault="0024365F"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sz w:val="24"/>
          <w:szCs w:val="24"/>
        </w:rPr>
        <w:t xml:space="preserve">Mengingat penelitian ini menggunakan pendekatan deskriptif kualitatif-evaluatif untuk membedah kedalaman realitas di lapangan, maka penataan struktur teori ditutup dengan perumusan Fokus Telaah Deskriptif yang bertindak sebagai kompas analisis pada </w:t>
      </w:r>
      <w:proofErr w:type="gramStart"/>
      <w:r w:rsidRPr="008D3082">
        <w:rPr>
          <w:rFonts w:ascii="Times New Roman" w:hAnsi="Times New Roman" w:cs="Times New Roman"/>
          <w:sz w:val="24"/>
          <w:szCs w:val="24"/>
        </w:rPr>
        <w:t>bab</w:t>
      </w:r>
      <w:proofErr w:type="gramEnd"/>
      <w:r w:rsidRPr="008D3082">
        <w:rPr>
          <w:rFonts w:ascii="Times New Roman" w:hAnsi="Times New Roman" w:cs="Times New Roman"/>
          <w:sz w:val="24"/>
          <w:szCs w:val="24"/>
        </w:rPr>
        <w:t xml:space="preserve"> hasil dan pembahasan. Fokus telaah ini disusun mengikuti gaya penulisan </w:t>
      </w:r>
      <w:r w:rsidRPr="008D3082">
        <w:rPr>
          <w:rFonts w:ascii="Times New Roman" w:hAnsi="Times New Roman" w:cs="Times New Roman"/>
          <w:sz w:val="24"/>
          <w:szCs w:val="24"/>
        </w:rPr>
        <w:lastRenderedPageBreak/>
        <w:t>artikel acuan yang memetakan tolok ukur standar evaluasi guna mengkategorisasikan kualitas implementasi akuntabilitas transendensi pada Lembaga Keuangan Mikro Syariah (LKMS) ke dalam tiga klaster kriteria kualitatif, yaitu:</w:t>
      </w:r>
      <w:r w:rsidR="00FB728B" w:rsidRPr="008D3082">
        <w:rPr>
          <w:rFonts w:ascii="Times New Roman" w:hAnsi="Times New Roman" w:cs="Times New Roman"/>
          <w:sz w:val="24"/>
          <w:szCs w:val="24"/>
        </w:rPr>
        <w:t xml:space="preserve"> </w:t>
      </w:r>
      <w:r w:rsidRPr="008D3082">
        <w:rPr>
          <w:rFonts w:ascii="Times New Roman" w:hAnsi="Times New Roman" w:cs="Times New Roman"/>
          <w:sz w:val="24"/>
          <w:szCs w:val="24"/>
        </w:rPr>
        <w:t>Kriteria Sangat Baik (Sesuai Syariah Substantif), Kriteria Cukup Baik (Kepatuhan Formalitas), dan Kriteria Kurang Baik (Mengalami Pergeseran Misi/Mission Drift) (Anwar, 2026; Ni’mah, 2017).</w:t>
      </w:r>
    </w:p>
    <w:p w:rsidR="002D4055" w:rsidRPr="008D3082" w:rsidRDefault="002D4055" w:rsidP="008D3082">
      <w:pPr>
        <w:spacing w:after="0" w:line="360" w:lineRule="auto"/>
        <w:jc w:val="both"/>
        <w:rPr>
          <w:rFonts w:ascii="Times New Roman" w:hAnsi="Times New Roman" w:cs="Times New Roman"/>
          <w:sz w:val="24"/>
          <w:szCs w:val="24"/>
        </w:rPr>
      </w:pPr>
    </w:p>
    <w:tbl>
      <w:tblPr>
        <w:tblW w:w="0" w:type="auto"/>
        <w:tblLayout w:type="fixed"/>
        <w:tblLook w:val="04A0" w:firstRow="1" w:lastRow="0" w:firstColumn="1" w:lastColumn="0" w:noHBand="0" w:noVBand="1"/>
      </w:tblPr>
      <w:tblGrid>
        <w:gridCol w:w="1555"/>
        <w:gridCol w:w="1275"/>
        <w:gridCol w:w="1701"/>
        <w:gridCol w:w="2410"/>
        <w:gridCol w:w="2268"/>
      </w:tblGrid>
      <w:tr w:rsidR="00331923" w:rsidRPr="008D3082" w:rsidTr="00331923">
        <w:tc>
          <w:tcPr>
            <w:tcW w:w="1555" w:type="dxa"/>
            <w:tcBorders>
              <w:top w:val="single" w:sz="4" w:space="0" w:color="D3D3D3"/>
              <w:left w:val="single" w:sz="4" w:space="0" w:color="D3D3D3"/>
              <w:bottom w:val="single" w:sz="4" w:space="0" w:color="D3D3D3"/>
              <w:right w:val="single" w:sz="4" w:space="0" w:color="D3D3D3"/>
            </w:tcBorders>
            <w:shd w:val="clear" w:color="auto" w:fill="1F4E78"/>
            <w:vAlign w:val="center"/>
          </w:tcPr>
          <w:p w:rsidR="00331923" w:rsidRPr="008D3082" w:rsidRDefault="00331923" w:rsidP="008D3082">
            <w:pPr>
              <w:spacing w:after="0" w:line="360" w:lineRule="auto"/>
              <w:rPr>
                <w:rFonts w:ascii="Times New Roman" w:eastAsia="Times New Roman" w:hAnsi="Times New Roman" w:cs="Times New Roman"/>
                <w:color w:val="FFFFFF" w:themeColor="background1"/>
                <w:sz w:val="24"/>
                <w:szCs w:val="24"/>
              </w:rPr>
            </w:pPr>
            <w:r w:rsidRPr="008D3082">
              <w:rPr>
                <w:rFonts w:ascii="Times New Roman" w:eastAsia="Times New Roman" w:hAnsi="Times New Roman" w:cs="Times New Roman"/>
                <w:b/>
                <w:bCs/>
                <w:color w:val="FFFFFF" w:themeColor="background1"/>
                <w:sz w:val="24"/>
                <w:szCs w:val="24"/>
              </w:rPr>
              <w:t>Dimensi Utama SET</w:t>
            </w:r>
          </w:p>
        </w:tc>
        <w:tc>
          <w:tcPr>
            <w:tcW w:w="1275" w:type="dxa"/>
            <w:tcBorders>
              <w:top w:val="single" w:sz="4" w:space="0" w:color="D3D3D3"/>
              <w:left w:val="single" w:sz="4" w:space="0" w:color="D3D3D3"/>
              <w:bottom w:val="single" w:sz="4" w:space="0" w:color="D3D3D3"/>
              <w:right w:val="single" w:sz="4" w:space="0" w:color="D3D3D3"/>
            </w:tcBorders>
            <w:shd w:val="clear" w:color="auto" w:fill="1F4E78"/>
            <w:vAlign w:val="center"/>
          </w:tcPr>
          <w:p w:rsidR="00331923" w:rsidRPr="008D3082" w:rsidRDefault="00331923" w:rsidP="008D3082">
            <w:pPr>
              <w:spacing w:after="0" w:line="360" w:lineRule="auto"/>
              <w:rPr>
                <w:rFonts w:ascii="Times New Roman" w:eastAsia="Times New Roman" w:hAnsi="Times New Roman" w:cs="Times New Roman"/>
                <w:color w:val="FFFFFF" w:themeColor="background1"/>
                <w:sz w:val="24"/>
                <w:szCs w:val="24"/>
              </w:rPr>
            </w:pPr>
            <w:r w:rsidRPr="008D3082">
              <w:rPr>
                <w:rFonts w:ascii="Times New Roman" w:eastAsia="Times New Roman" w:hAnsi="Times New Roman" w:cs="Times New Roman"/>
                <w:b/>
                <w:bCs/>
                <w:color w:val="FFFFFF" w:themeColor="background1"/>
                <w:sz w:val="24"/>
                <w:szCs w:val="24"/>
              </w:rPr>
              <w:t>Variabel Turunan</w:t>
            </w:r>
          </w:p>
        </w:tc>
        <w:tc>
          <w:tcPr>
            <w:tcW w:w="1701" w:type="dxa"/>
            <w:tcBorders>
              <w:top w:val="single" w:sz="4" w:space="0" w:color="D3D3D3"/>
              <w:left w:val="single" w:sz="4" w:space="0" w:color="D3D3D3"/>
              <w:bottom w:val="single" w:sz="4" w:space="0" w:color="D3D3D3"/>
              <w:right w:val="single" w:sz="4" w:space="0" w:color="D3D3D3"/>
            </w:tcBorders>
            <w:shd w:val="clear" w:color="auto" w:fill="1F4E78"/>
            <w:vAlign w:val="center"/>
          </w:tcPr>
          <w:p w:rsidR="00331923" w:rsidRPr="008D3082" w:rsidRDefault="00331923" w:rsidP="008D3082">
            <w:pPr>
              <w:spacing w:line="360" w:lineRule="auto"/>
              <w:rPr>
                <w:rFonts w:ascii="Times New Roman" w:hAnsi="Times New Roman" w:cs="Times New Roman"/>
                <w:b/>
                <w:bCs/>
                <w:color w:val="FFFFFF" w:themeColor="background1"/>
                <w:sz w:val="24"/>
                <w:szCs w:val="24"/>
              </w:rPr>
            </w:pPr>
          </w:p>
          <w:p w:rsidR="00331923" w:rsidRPr="008D3082" w:rsidRDefault="00331923" w:rsidP="008D3082">
            <w:pPr>
              <w:spacing w:line="360" w:lineRule="auto"/>
              <w:rPr>
                <w:rFonts w:ascii="Times New Roman" w:hAnsi="Times New Roman" w:cs="Times New Roman"/>
                <w:b/>
                <w:bCs/>
                <w:color w:val="FFFFFF" w:themeColor="background1"/>
                <w:sz w:val="24"/>
                <w:szCs w:val="24"/>
              </w:rPr>
            </w:pPr>
            <w:r w:rsidRPr="008D3082">
              <w:rPr>
                <w:rFonts w:ascii="Times New Roman" w:eastAsia="Times New Roman" w:hAnsi="Times New Roman" w:cs="Times New Roman"/>
                <w:b/>
                <w:bCs/>
                <w:color w:val="FFFFFF" w:themeColor="background1"/>
                <w:sz w:val="24"/>
                <w:szCs w:val="24"/>
              </w:rPr>
              <w:t>Indikator Operasional Praktis pada LKMS</w:t>
            </w:r>
          </w:p>
          <w:p w:rsidR="00331923" w:rsidRPr="008D3082" w:rsidRDefault="00331923" w:rsidP="008D3082">
            <w:pPr>
              <w:spacing w:after="0" w:line="360" w:lineRule="auto"/>
              <w:rPr>
                <w:rFonts w:ascii="Times New Roman" w:eastAsia="Times New Roman" w:hAnsi="Times New Roman" w:cs="Times New Roman"/>
                <w:color w:val="FFFFFF" w:themeColor="background1"/>
                <w:sz w:val="24"/>
                <w:szCs w:val="24"/>
              </w:rPr>
            </w:pPr>
          </w:p>
        </w:tc>
        <w:tc>
          <w:tcPr>
            <w:tcW w:w="2410" w:type="dxa"/>
            <w:tcBorders>
              <w:top w:val="single" w:sz="4" w:space="0" w:color="D3D3D3"/>
              <w:left w:val="single" w:sz="4" w:space="0" w:color="D3D3D3"/>
              <w:bottom w:val="single" w:sz="4" w:space="0" w:color="D3D3D3"/>
              <w:right w:val="single" w:sz="4" w:space="0" w:color="D3D3D3"/>
            </w:tcBorders>
            <w:shd w:val="clear" w:color="auto" w:fill="1F4E78"/>
            <w:vAlign w:val="center"/>
          </w:tcPr>
          <w:p w:rsidR="00331923" w:rsidRPr="008D3082" w:rsidRDefault="00331923" w:rsidP="008D3082">
            <w:pPr>
              <w:spacing w:after="0" w:line="360" w:lineRule="auto"/>
              <w:rPr>
                <w:rFonts w:ascii="Times New Roman" w:eastAsia="Times New Roman" w:hAnsi="Times New Roman" w:cs="Times New Roman"/>
                <w:color w:val="FFFFFF" w:themeColor="background1"/>
                <w:sz w:val="24"/>
                <w:szCs w:val="24"/>
              </w:rPr>
            </w:pPr>
            <w:r w:rsidRPr="008D3082">
              <w:rPr>
                <w:rFonts w:ascii="Times New Roman" w:eastAsia="Times New Roman" w:hAnsi="Times New Roman" w:cs="Times New Roman"/>
                <w:b/>
                <w:bCs/>
                <w:color w:val="FFFFFF" w:themeColor="background1"/>
                <w:sz w:val="24"/>
                <w:szCs w:val="24"/>
              </w:rPr>
              <w:t>Elemen Data / Sumber Informasi</w:t>
            </w:r>
          </w:p>
        </w:tc>
        <w:tc>
          <w:tcPr>
            <w:tcW w:w="2268" w:type="dxa"/>
            <w:tcBorders>
              <w:top w:val="single" w:sz="4" w:space="0" w:color="D3D3D3"/>
              <w:left w:val="single" w:sz="4" w:space="0" w:color="D3D3D3"/>
              <w:bottom w:val="single" w:sz="4" w:space="0" w:color="D3D3D3"/>
              <w:right w:val="single" w:sz="4" w:space="0" w:color="D3D3D3"/>
            </w:tcBorders>
            <w:shd w:val="clear" w:color="auto" w:fill="1F4E78"/>
            <w:vAlign w:val="center"/>
          </w:tcPr>
          <w:p w:rsidR="00331923" w:rsidRPr="008D3082" w:rsidRDefault="00331923" w:rsidP="008D3082">
            <w:pPr>
              <w:spacing w:after="0" w:line="360" w:lineRule="auto"/>
              <w:rPr>
                <w:rFonts w:ascii="Times New Roman" w:eastAsia="Times New Roman" w:hAnsi="Times New Roman" w:cs="Times New Roman"/>
                <w:color w:val="FFFFFF" w:themeColor="background1"/>
                <w:sz w:val="24"/>
                <w:szCs w:val="24"/>
              </w:rPr>
            </w:pPr>
            <w:r w:rsidRPr="008D3082">
              <w:rPr>
                <w:rFonts w:ascii="Times New Roman" w:eastAsia="Times New Roman" w:hAnsi="Times New Roman" w:cs="Times New Roman"/>
                <w:b/>
                <w:bCs/>
                <w:color w:val="FFFFFF" w:themeColor="background1"/>
                <w:sz w:val="24"/>
                <w:szCs w:val="24"/>
              </w:rPr>
              <w:t>Rujukan Teoretis Primer</w:t>
            </w:r>
          </w:p>
        </w:tc>
      </w:tr>
      <w:tr w:rsidR="00331923" w:rsidRPr="008D3082" w:rsidTr="00331923">
        <w:tc>
          <w:tcPr>
            <w:tcW w:w="1555" w:type="dxa"/>
            <w:tcBorders>
              <w:top w:val="single" w:sz="4" w:space="0" w:color="D3D3D3"/>
              <w:left w:val="single" w:sz="4" w:space="0" w:color="D3D3D3"/>
              <w:bottom w:val="single" w:sz="4" w:space="0" w:color="D3D3D3"/>
              <w:right w:val="single" w:sz="4" w:space="0" w:color="D3D3D3"/>
            </w:tcBorders>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Akuntabilitas Vertikal-Teosentris (VA_Allah)</w:t>
            </w:r>
          </w:p>
        </w:tc>
        <w:tc>
          <w:tcPr>
            <w:tcW w:w="1275" w:type="dxa"/>
            <w:tcBorders>
              <w:top w:val="single" w:sz="4" w:space="0" w:color="D3D3D3"/>
              <w:left w:val="single" w:sz="4" w:space="0" w:color="D3D3D3"/>
              <w:bottom w:val="single" w:sz="4" w:space="0" w:color="D3D3D3"/>
              <w:right w:val="single" w:sz="4" w:space="0" w:color="D3D3D3"/>
            </w:tcBorders>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Kepatuhan Syariah Substantif (</w:t>
            </w:r>
            <w:r w:rsidRPr="008D3082">
              <w:rPr>
                <w:rFonts w:ascii="Times New Roman" w:eastAsia="Times New Roman" w:hAnsi="Times New Roman" w:cs="Times New Roman"/>
                <w:i/>
                <w:iCs/>
                <w:sz w:val="24"/>
                <w:szCs w:val="24"/>
              </w:rPr>
              <w:t>Shariah Compliance</w:t>
            </w:r>
            <w:r w:rsidRPr="008D3082">
              <w:rPr>
                <w:rFonts w:ascii="Times New Roman" w:eastAsia="Times New Roman" w:hAnsi="Times New Roman" w:cs="Times New Roman"/>
                <w:sz w:val="24"/>
                <w:szCs w:val="24"/>
              </w:rPr>
              <w:t>)</w:t>
            </w:r>
          </w:p>
        </w:tc>
        <w:tc>
          <w:tcPr>
            <w:tcW w:w="1701" w:type="dxa"/>
            <w:tcBorders>
              <w:top w:val="single" w:sz="4" w:space="0" w:color="D3D3D3"/>
              <w:left w:val="single" w:sz="4" w:space="0" w:color="D3D3D3"/>
              <w:bottom w:val="single" w:sz="4" w:space="0" w:color="D3D3D3"/>
              <w:right w:val="single" w:sz="4" w:space="0" w:color="D3D3D3"/>
            </w:tcBorders>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1. Peniadaan unsur riba, gharar, maysir, tadlis, dan kezaliman dalam akad pembiayaan.</w:t>
            </w:r>
          </w:p>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2. Keaktifan dan objektivitas audit syariah berkala.</w:t>
            </w:r>
          </w:p>
        </w:tc>
        <w:tc>
          <w:tcPr>
            <w:tcW w:w="2410" w:type="dxa"/>
            <w:tcBorders>
              <w:top w:val="single" w:sz="4" w:space="0" w:color="D3D3D3"/>
              <w:left w:val="single" w:sz="4" w:space="0" w:color="D3D3D3"/>
              <w:bottom w:val="single" w:sz="4" w:space="0" w:color="D3D3D3"/>
              <w:right w:val="single" w:sz="4" w:space="0" w:color="D3D3D3"/>
            </w:tcBorders>
            <w:vAlign w:val="center"/>
          </w:tcPr>
          <w:p w:rsidR="00331923" w:rsidRPr="008D3082" w:rsidRDefault="00331923" w:rsidP="008D3082">
            <w:pPr>
              <w:spacing w:after="0" w:line="360" w:lineRule="auto"/>
              <w:rPr>
                <w:rFonts w:ascii="Times New Roman" w:hAnsi="Times New Roman" w:cs="Times New Roman"/>
                <w:sz w:val="24"/>
                <w:szCs w:val="24"/>
              </w:rPr>
            </w:pPr>
            <w:r w:rsidRPr="008D3082">
              <w:rPr>
                <w:rFonts w:ascii="Times New Roman" w:eastAsia="Times New Roman" w:hAnsi="Times New Roman" w:cs="Times New Roman"/>
                <w:sz w:val="24"/>
                <w:szCs w:val="24"/>
              </w:rPr>
              <w:t>• Dokumen akad pembiayaan (</w:t>
            </w:r>
            <w:r w:rsidRPr="008D3082">
              <w:rPr>
                <w:rFonts w:ascii="Times New Roman" w:eastAsia="Times New Roman" w:hAnsi="Times New Roman" w:cs="Times New Roman"/>
                <w:i/>
                <w:iCs/>
                <w:sz w:val="24"/>
                <w:szCs w:val="24"/>
              </w:rPr>
              <w:t>Murabahah</w:t>
            </w:r>
            <w:r w:rsidRPr="008D3082">
              <w:rPr>
                <w:rFonts w:ascii="Times New Roman" w:eastAsia="Times New Roman" w:hAnsi="Times New Roman" w:cs="Times New Roman"/>
                <w:sz w:val="24"/>
                <w:szCs w:val="24"/>
              </w:rPr>
              <w:t xml:space="preserve">, </w:t>
            </w:r>
            <w:r w:rsidRPr="008D3082">
              <w:rPr>
                <w:rFonts w:ascii="Times New Roman" w:eastAsia="Times New Roman" w:hAnsi="Times New Roman" w:cs="Times New Roman"/>
                <w:i/>
                <w:iCs/>
                <w:sz w:val="24"/>
                <w:szCs w:val="24"/>
              </w:rPr>
              <w:t>Mudharabah</w:t>
            </w:r>
            <w:r w:rsidRPr="008D3082">
              <w:rPr>
                <w:rFonts w:ascii="Times New Roman" w:eastAsia="Times New Roman" w:hAnsi="Times New Roman" w:cs="Times New Roman"/>
                <w:sz w:val="24"/>
                <w:szCs w:val="24"/>
              </w:rPr>
              <w:t xml:space="preserve">, </w:t>
            </w:r>
            <w:r w:rsidRPr="008D3082">
              <w:rPr>
                <w:rFonts w:ascii="Times New Roman" w:eastAsia="Times New Roman" w:hAnsi="Times New Roman" w:cs="Times New Roman"/>
                <w:i/>
                <w:iCs/>
                <w:sz w:val="24"/>
                <w:szCs w:val="24"/>
              </w:rPr>
              <w:t>Musyarakah</w:t>
            </w:r>
            <w:r w:rsidRPr="008D3082">
              <w:rPr>
                <w:rFonts w:ascii="Times New Roman" w:eastAsia="Times New Roman" w:hAnsi="Times New Roman" w:cs="Times New Roman"/>
                <w:sz w:val="24"/>
                <w:szCs w:val="24"/>
              </w:rPr>
              <w:t>).</w:t>
            </w:r>
          </w:p>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Lembar Opini Formal Dewan Pengawas Syariah (DPS).</w:t>
            </w:r>
          </w:p>
        </w:tc>
        <w:tc>
          <w:tcPr>
            <w:tcW w:w="2268" w:type="dxa"/>
            <w:tcBorders>
              <w:top w:val="single" w:sz="4" w:space="0" w:color="D3D3D3"/>
              <w:left w:val="single" w:sz="4" w:space="0" w:color="D3D3D3"/>
              <w:bottom w:val="single" w:sz="4" w:space="0" w:color="D3D3D3"/>
              <w:right w:val="single" w:sz="4" w:space="0" w:color="D3D3D3"/>
            </w:tcBorders>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Amerieska dkk. (2012); Aribi dkk. (2019); Anna (2023)</w:t>
            </w:r>
          </w:p>
        </w:tc>
      </w:tr>
      <w:tr w:rsidR="00331923" w:rsidRPr="008D3082" w:rsidTr="00331923">
        <w:tc>
          <w:tcPr>
            <w:tcW w:w="1555" w:type="dxa"/>
            <w:tcBorders>
              <w:top w:val="single" w:sz="4" w:space="0" w:color="D3D3D3"/>
              <w:left w:val="single" w:sz="4" w:space="0" w:color="D3D3D3"/>
              <w:bottom w:val="single" w:sz="4" w:space="0" w:color="D3D3D3"/>
              <w:right w:val="single" w:sz="4" w:space="0" w:color="D3D3D3"/>
            </w:tcBorders>
            <w:shd w:val="clear" w:color="auto" w:fill="F2F5F8"/>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Akuntabilitas Vertikal-Teosentris (VA_Allah)</w:t>
            </w:r>
          </w:p>
        </w:tc>
        <w:tc>
          <w:tcPr>
            <w:tcW w:w="1275" w:type="dxa"/>
            <w:tcBorders>
              <w:top w:val="single" w:sz="4" w:space="0" w:color="D3D3D3"/>
              <w:left w:val="single" w:sz="4" w:space="0" w:color="D3D3D3"/>
              <w:bottom w:val="single" w:sz="4" w:space="0" w:color="D3D3D3"/>
              <w:right w:val="single" w:sz="4" w:space="0" w:color="D3D3D3"/>
            </w:tcBorders>
            <w:shd w:val="clear" w:color="auto" w:fill="F2F5F8"/>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xml:space="preserve">Transparansi &amp; Sirkulasi Dana Kebajikan </w:t>
            </w:r>
            <w:r w:rsidRPr="008D3082">
              <w:rPr>
                <w:rFonts w:ascii="Times New Roman" w:eastAsia="Times New Roman" w:hAnsi="Times New Roman" w:cs="Times New Roman"/>
                <w:sz w:val="24"/>
                <w:szCs w:val="24"/>
              </w:rPr>
              <w:lastRenderedPageBreak/>
              <w:t>(</w:t>
            </w:r>
            <w:r w:rsidRPr="008D3082">
              <w:rPr>
                <w:rFonts w:ascii="Times New Roman" w:eastAsia="Times New Roman" w:hAnsi="Times New Roman" w:cs="Times New Roman"/>
                <w:i/>
                <w:iCs/>
                <w:sz w:val="24"/>
                <w:szCs w:val="24"/>
              </w:rPr>
              <w:t>Ritual Transparency</w:t>
            </w:r>
            <w:r w:rsidRPr="008D3082">
              <w:rPr>
                <w:rFonts w:ascii="Times New Roman" w:eastAsia="Times New Roman" w:hAnsi="Times New Roman" w:cs="Times New Roman"/>
                <w:sz w:val="24"/>
                <w:szCs w:val="24"/>
              </w:rPr>
              <w:t>)</w:t>
            </w:r>
          </w:p>
        </w:tc>
        <w:tc>
          <w:tcPr>
            <w:tcW w:w="1701" w:type="dxa"/>
            <w:tcBorders>
              <w:top w:val="single" w:sz="4" w:space="0" w:color="D3D3D3"/>
              <w:left w:val="single" w:sz="4" w:space="0" w:color="D3D3D3"/>
              <w:bottom w:val="single" w:sz="4" w:space="0" w:color="D3D3D3"/>
              <w:right w:val="single" w:sz="4" w:space="0" w:color="D3D3D3"/>
            </w:tcBorders>
            <w:shd w:val="clear" w:color="auto" w:fill="F2F5F8"/>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lastRenderedPageBreak/>
              <w:t xml:space="preserve">1. Akurasi penghitungan dan distribusi zakat korporasi </w:t>
            </w:r>
            <w:r w:rsidRPr="008D3082">
              <w:rPr>
                <w:rFonts w:ascii="Times New Roman" w:eastAsia="Times New Roman" w:hAnsi="Times New Roman" w:cs="Times New Roman"/>
                <w:sz w:val="24"/>
                <w:szCs w:val="24"/>
              </w:rPr>
              <w:lastRenderedPageBreak/>
              <w:t>kepada 8 asnaf.</w:t>
            </w:r>
          </w:p>
          <w:p w:rsidR="00331923" w:rsidRPr="008D3082" w:rsidRDefault="00331923" w:rsidP="008D3082">
            <w:pPr>
              <w:spacing w:after="0" w:line="360" w:lineRule="auto"/>
              <w:rPr>
                <w:rFonts w:ascii="Times New Roman" w:hAnsi="Times New Roman" w:cs="Times New Roman"/>
                <w:sz w:val="24"/>
                <w:szCs w:val="24"/>
              </w:rPr>
            </w:pPr>
            <w:r w:rsidRPr="008D3082">
              <w:rPr>
                <w:rFonts w:ascii="Times New Roman" w:eastAsia="Times New Roman" w:hAnsi="Times New Roman" w:cs="Times New Roman"/>
                <w:sz w:val="24"/>
                <w:szCs w:val="24"/>
              </w:rPr>
              <w:t>2. Pemisahan pembukuan pos komersial (</w:t>
            </w:r>
            <w:r w:rsidRPr="008D3082">
              <w:rPr>
                <w:rFonts w:ascii="Times New Roman" w:eastAsia="Times New Roman" w:hAnsi="Times New Roman" w:cs="Times New Roman"/>
                <w:i/>
                <w:iCs/>
                <w:sz w:val="24"/>
                <w:szCs w:val="24"/>
              </w:rPr>
              <w:t>Tamwil</w:t>
            </w:r>
            <w:r w:rsidRPr="008D3082">
              <w:rPr>
                <w:rFonts w:ascii="Times New Roman" w:eastAsia="Times New Roman" w:hAnsi="Times New Roman" w:cs="Times New Roman"/>
                <w:sz w:val="24"/>
                <w:szCs w:val="24"/>
              </w:rPr>
              <w:t>) dan sosial (</w:t>
            </w:r>
            <w:r w:rsidRPr="008D3082">
              <w:rPr>
                <w:rFonts w:ascii="Times New Roman" w:eastAsia="Times New Roman" w:hAnsi="Times New Roman" w:cs="Times New Roman"/>
                <w:i/>
                <w:iCs/>
                <w:sz w:val="24"/>
                <w:szCs w:val="24"/>
              </w:rPr>
              <w:t>Baitul Maal</w:t>
            </w:r>
            <w:r w:rsidRPr="008D3082">
              <w:rPr>
                <w:rFonts w:ascii="Times New Roman" w:eastAsia="Times New Roman" w:hAnsi="Times New Roman" w:cs="Times New Roman"/>
                <w:sz w:val="24"/>
                <w:szCs w:val="24"/>
              </w:rPr>
              <w:t>).</w:t>
            </w:r>
          </w:p>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3. Isolasi dan penyaluran dana non-halal (</w:t>
            </w:r>
            <w:r w:rsidRPr="008D3082">
              <w:rPr>
                <w:rFonts w:ascii="Times New Roman" w:eastAsia="Times New Roman" w:hAnsi="Times New Roman" w:cs="Times New Roman"/>
                <w:i/>
                <w:iCs/>
                <w:sz w:val="24"/>
                <w:szCs w:val="24"/>
              </w:rPr>
              <w:t>cleansing</w:t>
            </w:r>
            <w:r w:rsidRPr="008D3082">
              <w:rPr>
                <w:rFonts w:ascii="Times New Roman" w:eastAsia="Times New Roman" w:hAnsi="Times New Roman" w:cs="Times New Roman"/>
                <w:sz w:val="24"/>
                <w:szCs w:val="24"/>
              </w:rPr>
              <w:t>) ke fasilitas publik.</w:t>
            </w:r>
          </w:p>
        </w:tc>
        <w:tc>
          <w:tcPr>
            <w:tcW w:w="2410" w:type="dxa"/>
            <w:tcBorders>
              <w:top w:val="single" w:sz="4" w:space="0" w:color="D3D3D3"/>
              <w:left w:val="single" w:sz="4" w:space="0" w:color="D3D3D3"/>
              <w:bottom w:val="single" w:sz="4" w:space="0" w:color="D3D3D3"/>
              <w:right w:val="single" w:sz="4" w:space="0" w:color="D3D3D3"/>
            </w:tcBorders>
            <w:shd w:val="clear" w:color="auto" w:fill="F2F5F8"/>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lastRenderedPageBreak/>
              <w:t xml:space="preserve">• Laporan Keuangan Audit (Neraca &amp; Laporan Arus Kas </w:t>
            </w:r>
            <w:r w:rsidRPr="008D3082">
              <w:rPr>
                <w:rFonts w:ascii="Times New Roman" w:eastAsia="Times New Roman" w:hAnsi="Times New Roman" w:cs="Times New Roman"/>
                <w:i/>
                <w:iCs/>
                <w:sz w:val="24"/>
                <w:szCs w:val="24"/>
              </w:rPr>
              <w:t>Baitul Maal</w:t>
            </w:r>
            <w:r w:rsidRPr="008D3082">
              <w:rPr>
                <w:rFonts w:ascii="Times New Roman" w:eastAsia="Times New Roman" w:hAnsi="Times New Roman" w:cs="Times New Roman"/>
                <w:sz w:val="24"/>
                <w:szCs w:val="24"/>
              </w:rPr>
              <w:t>).</w:t>
            </w:r>
          </w:p>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lastRenderedPageBreak/>
              <w:t xml:space="preserve">• Buku register sirkulasi ZISWAF dan dana </w:t>
            </w:r>
            <w:r w:rsidRPr="008D3082">
              <w:rPr>
                <w:rFonts w:ascii="Times New Roman" w:eastAsia="Times New Roman" w:hAnsi="Times New Roman" w:cs="Times New Roman"/>
                <w:i/>
                <w:iCs/>
                <w:sz w:val="24"/>
                <w:szCs w:val="24"/>
              </w:rPr>
              <w:t>Qardhul Hasan</w:t>
            </w:r>
            <w:r w:rsidRPr="008D3082">
              <w:rPr>
                <w:rFonts w:ascii="Times New Roman" w:eastAsia="Times New Roman" w:hAnsi="Times New Roman" w:cs="Times New Roman"/>
                <w:sz w:val="24"/>
                <w:szCs w:val="24"/>
              </w:rPr>
              <w:t>.</w:t>
            </w:r>
          </w:p>
        </w:tc>
        <w:tc>
          <w:tcPr>
            <w:tcW w:w="2268" w:type="dxa"/>
            <w:tcBorders>
              <w:top w:val="single" w:sz="4" w:space="0" w:color="D3D3D3"/>
              <w:left w:val="single" w:sz="4" w:space="0" w:color="D3D3D3"/>
              <w:bottom w:val="single" w:sz="4" w:space="0" w:color="D3D3D3"/>
              <w:right w:val="single" w:sz="4" w:space="0" w:color="D3D3D3"/>
            </w:tcBorders>
            <w:shd w:val="clear" w:color="auto" w:fill="F2F5F8"/>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lastRenderedPageBreak/>
              <w:t>Ni’mah (2017); Mugiyati dkk. (2021); Wulandari dkk. (2025)</w:t>
            </w:r>
          </w:p>
        </w:tc>
      </w:tr>
      <w:tr w:rsidR="00331923" w:rsidRPr="008D3082" w:rsidTr="00331923">
        <w:tc>
          <w:tcPr>
            <w:tcW w:w="1555" w:type="dxa"/>
            <w:tcBorders>
              <w:top w:val="single" w:sz="4" w:space="0" w:color="D3D3D3"/>
              <w:left w:val="single" w:sz="4" w:space="0" w:color="D3D3D3"/>
              <w:bottom w:val="single" w:sz="4" w:space="0" w:color="D3D3D3"/>
              <w:right w:val="single" w:sz="4" w:space="0" w:color="D3D3D3"/>
            </w:tcBorders>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lastRenderedPageBreak/>
              <w:t>Akuntabilitas Horizontal-Insani (VA_Humans)</w:t>
            </w:r>
          </w:p>
        </w:tc>
        <w:tc>
          <w:tcPr>
            <w:tcW w:w="1275" w:type="dxa"/>
            <w:tcBorders>
              <w:top w:val="single" w:sz="4" w:space="0" w:color="D3D3D3"/>
              <w:left w:val="single" w:sz="4" w:space="0" w:color="D3D3D3"/>
              <w:bottom w:val="single" w:sz="4" w:space="0" w:color="D3D3D3"/>
              <w:right w:val="single" w:sz="4" w:space="0" w:color="D3D3D3"/>
            </w:tcBorders>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Kesejahteraan Pemangku Kepentingan Internal (</w:t>
            </w:r>
            <w:r w:rsidRPr="008D3082">
              <w:rPr>
                <w:rFonts w:ascii="Times New Roman" w:eastAsia="Times New Roman" w:hAnsi="Times New Roman" w:cs="Times New Roman"/>
                <w:i/>
                <w:iCs/>
                <w:sz w:val="24"/>
                <w:szCs w:val="24"/>
              </w:rPr>
              <w:t>Internal Stakeholder</w:t>
            </w:r>
            <w:r w:rsidRPr="008D3082">
              <w:rPr>
                <w:rFonts w:ascii="Times New Roman" w:eastAsia="Times New Roman" w:hAnsi="Times New Roman" w:cs="Times New Roman"/>
                <w:sz w:val="24"/>
                <w:szCs w:val="24"/>
              </w:rPr>
              <w:t>)</w:t>
            </w:r>
          </w:p>
        </w:tc>
        <w:tc>
          <w:tcPr>
            <w:tcW w:w="1701" w:type="dxa"/>
            <w:tcBorders>
              <w:top w:val="single" w:sz="4" w:space="0" w:color="D3D3D3"/>
              <w:left w:val="single" w:sz="4" w:space="0" w:color="D3D3D3"/>
              <w:bottom w:val="single" w:sz="4" w:space="0" w:color="D3D3D3"/>
              <w:right w:val="single" w:sz="4" w:space="0" w:color="D3D3D3"/>
            </w:tcBorders>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1. Pemenuhan upah layak (</w:t>
            </w:r>
            <w:r w:rsidRPr="008D3082">
              <w:rPr>
                <w:rFonts w:ascii="Times New Roman" w:eastAsia="Times New Roman" w:hAnsi="Times New Roman" w:cs="Times New Roman"/>
                <w:i/>
                <w:iCs/>
                <w:sz w:val="24"/>
                <w:szCs w:val="24"/>
              </w:rPr>
              <w:t>living wage</w:t>
            </w:r>
            <w:r w:rsidRPr="008D3082">
              <w:rPr>
                <w:rFonts w:ascii="Times New Roman" w:eastAsia="Times New Roman" w:hAnsi="Times New Roman" w:cs="Times New Roman"/>
                <w:sz w:val="24"/>
                <w:szCs w:val="24"/>
              </w:rPr>
              <w:t>) di atas standar minimum sekuler.</w:t>
            </w:r>
          </w:p>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2. Penyediaan jaminan kesehatan dan keselamatan kerja karyawan.</w:t>
            </w:r>
          </w:p>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3. Fasilitasi iklim kerja religius dan pembinaan spiritual rutin.</w:t>
            </w:r>
          </w:p>
        </w:tc>
        <w:tc>
          <w:tcPr>
            <w:tcW w:w="2410" w:type="dxa"/>
            <w:tcBorders>
              <w:top w:val="single" w:sz="4" w:space="0" w:color="D3D3D3"/>
              <w:left w:val="single" w:sz="4" w:space="0" w:color="D3D3D3"/>
              <w:bottom w:val="single" w:sz="4" w:space="0" w:color="D3D3D3"/>
              <w:right w:val="single" w:sz="4" w:space="0" w:color="D3D3D3"/>
            </w:tcBorders>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Kebijakan remunerasi &amp; slip gaji karyawan.</w:t>
            </w:r>
          </w:p>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Dokumentasi/SOP program pembinaan mental-keagamaan mingguan.</w:t>
            </w:r>
          </w:p>
        </w:tc>
        <w:tc>
          <w:tcPr>
            <w:tcW w:w="2268" w:type="dxa"/>
            <w:tcBorders>
              <w:top w:val="single" w:sz="4" w:space="0" w:color="D3D3D3"/>
              <w:left w:val="single" w:sz="4" w:space="0" w:color="D3D3D3"/>
              <w:bottom w:val="single" w:sz="4" w:space="0" w:color="D3D3D3"/>
              <w:right w:val="single" w:sz="4" w:space="0" w:color="D3D3D3"/>
            </w:tcBorders>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Apriansyah dkk. (2021); Saadah dkk. (2023)</w:t>
            </w:r>
          </w:p>
        </w:tc>
      </w:tr>
      <w:tr w:rsidR="00331923" w:rsidRPr="008D3082" w:rsidTr="00331923">
        <w:tc>
          <w:tcPr>
            <w:tcW w:w="1555" w:type="dxa"/>
            <w:tcBorders>
              <w:top w:val="single" w:sz="4" w:space="0" w:color="D3D3D3"/>
              <w:left w:val="single" w:sz="4" w:space="0" w:color="D3D3D3"/>
              <w:bottom w:val="single" w:sz="4" w:space="0" w:color="D3D3D3"/>
              <w:right w:val="single" w:sz="4" w:space="0" w:color="D3D3D3"/>
            </w:tcBorders>
            <w:shd w:val="clear" w:color="auto" w:fill="F2F5F8"/>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lastRenderedPageBreak/>
              <w:t>Akuntabilitas Horizontal-Insani (VA_Humans)</w:t>
            </w:r>
          </w:p>
        </w:tc>
        <w:tc>
          <w:tcPr>
            <w:tcW w:w="1275" w:type="dxa"/>
            <w:tcBorders>
              <w:top w:val="single" w:sz="4" w:space="0" w:color="D3D3D3"/>
              <w:left w:val="single" w:sz="4" w:space="0" w:color="D3D3D3"/>
              <w:bottom w:val="single" w:sz="4" w:space="0" w:color="D3D3D3"/>
              <w:right w:val="single" w:sz="4" w:space="0" w:color="D3D3D3"/>
            </w:tcBorders>
            <w:shd w:val="clear" w:color="auto" w:fill="F2F5F8"/>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Perlindungan Nasabah Mikro &amp; Dhuafa (</w:t>
            </w:r>
            <w:r w:rsidRPr="008D3082">
              <w:rPr>
                <w:rFonts w:ascii="Times New Roman" w:eastAsia="Times New Roman" w:hAnsi="Times New Roman" w:cs="Times New Roman"/>
                <w:i/>
                <w:iCs/>
                <w:sz w:val="24"/>
                <w:szCs w:val="24"/>
              </w:rPr>
              <w:t>External Stakeholder</w:t>
            </w:r>
            <w:r w:rsidRPr="008D3082">
              <w:rPr>
                <w:rFonts w:ascii="Times New Roman" w:eastAsia="Times New Roman" w:hAnsi="Times New Roman" w:cs="Times New Roman"/>
                <w:sz w:val="24"/>
                <w:szCs w:val="24"/>
              </w:rPr>
              <w:t>)</w:t>
            </w:r>
          </w:p>
        </w:tc>
        <w:tc>
          <w:tcPr>
            <w:tcW w:w="1701" w:type="dxa"/>
            <w:tcBorders>
              <w:top w:val="single" w:sz="4" w:space="0" w:color="D3D3D3"/>
              <w:left w:val="single" w:sz="4" w:space="0" w:color="D3D3D3"/>
              <w:bottom w:val="single" w:sz="4" w:space="0" w:color="D3D3D3"/>
              <w:right w:val="single" w:sz="4" w:space="0" w:color="D3D3D3"/>
            </w:tcBorders>
            <w:shd w:val="clear" w:color="auto" w:fill="F2F5F8"/>
            <w:vAlign w:val="center"/>
          </w:tcPr>
          <w:p w:rsidR="00331923" w:rsidRPr="008D3082" w:rsidRDefault="00331923" w:rsidP="008D3082">
            <w:pPr>
              <w:pStyle w:val="ListParagraph"/>
              <w:widowControl w:val="0"/>
              <w:numPr>
                <w:ilvl w:val="0"/>
                <w:numId w:val="2"/>
              </w:numPr>
              <w:autoSpaceDE w:val="0"/>
              <w:autoSpaceDN w:val="0"/>
              <w:spacing w:after="0" w:line="360" w:lineRule="auto"/>
              <w:ind w:left="176" w:hanging="218"/>
              <w:rPr>
                <w:rFonts w:ascii="Times New Roman" w:hAnsi="Times New Roman" w:cs="Times New Roman"/>
                <w:sz w:val="24"/>
                <w:szCs w:val="24"/>
              </w:rPr>
            </w:pPr>
            <w:r w:rsidRPr="008D3082">
              <w:rPr>
                <w:rFonts w:ascii="Times New Roman" w:hAnsi="Times New Roman" w:cs="Times New Roman"/>
                <w:sz w:val="24"/>
                <w:szCs w:val="24"/>
              </w:rPr>
              <w:t>Transparansi penetapan margin profit dan nisbah bagi hasil.</w:t>
            </w:r>
          </w:p>
          <w:p w:rsidR="00331923" w:rsidRPr="008D3082" w:rsidRDefault="00331923" w:rsidP="008D3082">
            <w:pPr>
              <w:pStyle w:val="ListParagraph"/>
              <w:widowControl w:val="0"/>
              <w:numPr>
                <w:ilvl w:val="0"/>
                <w:numId w:val="2"/>
              </w:numPr>
              <w:autoSpaceDE w:val="0"/>
              <w:autoSpaceDN w:val="0"/>
              <w:spacing w:after="0" w:line="360" w:lineRule="auto"/>
              <w:ind w:left="176" w:hanging="218"/>
              <w:rPr>
                <w:rFonts w:ascii="Times New Roman" w:hAnsi="Times New Roman" w:cs="Times New Roman"/>
                <w:sz w:val="24"/>
                <w:szCs w:val="24"/>
              </w:rPr>
            </w:pPr>
            <w:r w:rsidRPr="008D3082">
              <w:rPr>
                <w:rFonts w:ascii="Times New Roman" w:hAnsi="Times New Roman" w:cs="Times New Roman"/>
                <w:sz w:val="24"/>
                <w:szCs w:val="24"/>
              </w:rPr>
              <w:t xml:space="preserve"> Intensitas edukasi pembukuan dan pendampingan usaha taktis nasabah.</w:t>
            </w:r>
          </w:p>
          <w:p w:rsidR="00331923" w:rsidRPr="008D3082" w:rsidRDefault="00331923" w:rsidP="008D3082">
            <w:pPr>
              <w:pStyle w:val="ListParagraph"/>
              <w:widowControl w:val="0"/>
              <w:numPr>
                <w:ilvl w:val="0"/>
                <w:numId w:val="2"/>
              </w:numPr>
              <w:autoSpaceDE w:val="0"/>
              <w:autoSpaceDN w:val="0"/>
              <w:spacing w:after="0" w:line="360" w:lineRule="auto"/>
              <w:ind w:left="176" w:hanging="218"/>
              <w:rPr>
                <w:rFonts w:ascii="Times New Roman" w:hAnsi="Times New Roman" w:cs="Times New Roman"/>
                <w:sz w:val="24"/>
                <w:szCs w:val="24"/>
              </w:rPr>
            </w:pPr>
            <w:r w:rsidRPr="008D3082">
              <w:rPr>
                <w:rFonts w:ascii="Times New Roman" w:hAnsi="Times New Roman" w:cs="Times New Roman"/>
                <w:sz w:val="24"/>
                <w:szCs w:val="24"/>
              </w:rPr>
              <w:t xml:space="preserve"> Kebijakan restrukturisasi non-represif/pemutihan utang objektif.</w:t>
            </w:r>
          </w:p>
        </w:tc>
        <w:tc>
          <w:tcPr>
            <w:tcW w:w="2410" w:type="dxa"/>
            <w:tcBorders>
              <w:top w:val="single" w:sz="4" w:space="0" w:color="D3D3D3"/>
              <w:left w:val="single" w:sz="4" w:space="0" w:color="D3D3D3"/>
              <w:bottom w:val="single" w:sz="4" w:space="0" w:color="D3D3D3"/>
              <w:right w:val="single" w:sz="4" w:space="0" w:color="D3D3D3"/>
            </w:tcBorders>
            <w:shd w:val="clear" w:color="auto" w:fill="F2F5F8"/>
            <w:vAlign w:val="center"/>
          </w:tcPr>
          <w:p w:rsidR="00331923" w:rsidRPr="008D3082" w:rsidRDefault="00331923" w:rsidP="008D3082">
            <w:pPr>
              <w:pStyle w:val="ListParagraph"/>
              <w:widowControl w:val="0"/>
              <w:numPr>
                <w:ilvl w:val="0"/>
                <w:numId w:val="3"/>
              </w:numPr>
              <w:autoSpaceDE w:val="0"/>
              <w:autoSpaceDN w:val="0"/>
              <w:spacing w:after="0" w:line="360" w:lineRule="auto"/>
              <w:ind w:left="176" w:hanging="176"/>
              <w:rPr>
                <w:rFonts w:ascii="Times New Roman" w:hAnsi="Times New Roman" w:cs="Times New Roman"/>
                <w:sz w:val="24"/>
                <w:szCs w:val="24"/>
              </w:rPr>
            </w:pPr>
            <w:r w:rsidRPr="008D3082">
              <w:rPr>
                <w:rFonts w:ascii="Times New Roman" w:hAnsi="Times New Roman" w:cs="Times New Roman"/>
                <w:sz w:val="24"/>
                <w:szCs w:val="24"/>
              </w:rPr>
              <w:t>Buku pedoman produk pembiayaan.</w:t>
            </w:r>
          </w:p>
          <w:p w:rsidR="00331923" w:rsidRPr="008D3082" w:rsidRDefault="00331923" w:rsidP="008D3082">
            <w:pPr>
              <w:pStyle w:val="ListParagraph"/>
              <w:widowControl w:val="0"/>
              <w:numPr>
                <w:ilvl w:val="0"/>
                <w:numId w:val="3"/>
              </w:numPr>
              <w:autoSpaceDE w:val="0"/>
              <w:autoSpaceDN w:val="0"/>
              <w:spacing w:after="0" w:line="360" w:lineRule="auto"/>
              <w:ind w:left="176" w:hanging="176"/>
              <w:rPr>
                <w:rFonts w:ascii="Times New Roman" w:hAnsi="Times New Roman" w:cs="Times New Roman"/>
                <w:sz w:val="24"/>
                <w:szCs w:val="24"/>
              </w:rPr>
            </w:pPr>
            <w:r w:rsidRPr="008D3082">
              <w:rPr>
                <w:rFonts w:ascii="Times New Roman" w:hAnsi="Times New Roman" w:cs="Times New Roman"/>
                <w:sz w:val="24"/>
                <w:szCs w:val="24"/>
              </w:rPr>
              <w:t>Dokumen SOP penanganan pembiayaan bermasalah (</w:t>
            </w:r>
            <w:r w:rsidRPr="008D3082">
              <w:rPr>
                <w:rFonts w:ascii="Times New Roman" w:hAnsi="Times New Roman" w:cs="Times New Roman"/>
                <w:i/>
                <w:iCs/>
                <w:sz w:val="24"/>
                <w:szCs w:val="24"/>
              </w:rPr>
              <w:t>non-performing financing</w:t>
            </w:r>
            <w:r w:rsidRPr="008D3082">
              <w:rPr>
                <w:rFonts w:ascii="Times New Roman" w:hAnsi="Times New Roman" w:cs="Times New Roman"/>
                <w:sz w:val="24"/>
                <w:szCs w:val="24"/>
              </w:rPr>
              <w:t>).</w:t>
            </w:r>
          </w:p>
        </w:tc>
        <w:tc>
          <w:tcPr>
            <w:tcW w:w="2268" w:type="dxa"/>
            <w:tcBorders>
              <w:top w:val="single" w:sz="4" w:space="0" w:color="D3D3D3"/>
              <w:left w:val="single" w:sz="4" w:space="0" w:color="D3D3D3"/>
              <w:bottom w:val="single" w:sz="4" w:space="0" w:color="D3D3D3"/>
              <w:right w:val="single" w:sz="4" w:space="0" w:color="D3D3D3"/>
            </w:tcBorders>
            <w:shd w:val="clear" w:color="auto" w:fill="F2F5F8"/>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Hussain &amp; Ahmed (2024); Khairani &amp; Jannah (2025)</w:t>
            </w:r>
          </w:p>
        </w:tc>
      </w:tr>
      <w:tr w:rsidR="00331923" w:rsidRPr="008D3082" w:rsidTr="00331923">
        <w:tc>
          <w:tcPr>
            <w:tcW w:w="1555" w:type="dxa"/>
            <w:tcBorders>
              <w:top w:val="single" w:sz="4" w:space="0" w:color="D3D3D3"/>
              <w:left w:val="single" w:sz="4" w:space="0" w:color="D3D3D3"/>
              <w:bottom w:val="single" w:sz="4" w:space="0" w:color="D3D3D3"/>
              <w:right w:val="single" w:sz="4" w:space="0" w:color="D3D3D3"/>
            </w:tcBorders>
            <w:shd w:val="clear" w:color="auto" w:fill="auto"/>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Akuntabilitas Lingkungan-Alam (VA_Nature)</w:t>
            </w:r>
          </w:p>
        </w:tc>
        <w:tc>
          <w:tcPr>
            <w:tcW w:w="1275" w:type="dxa"/>
            <w:tcBorders>
              <w:top w:val="single" w:sz="4" w:space="0" w:color="D3D3D3"/>
              <w:left w:val="single" w:sz="4" w:space="0" w:color="D3D3D3"/>
              <w:bottom w:val="single" w:sz="4" w:space="0" w:color="D3D3D3"/>
              <w:right w:val="single" w:sz="4" w:space="0" w:color="D3D3D3"/>
            </w:tcBorders>
            <w:shd w:val="clear" w:color="auto" w:fill="auto"/>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Mitigasi Dampak Ekologis Pembiayaan (</w:t>
            </w:r>
            <w:r w:rsidRPr="008D3082">
              <w:rPr>
                <w:rFonts w:ascii="Times New Roman" w:eastAsia="Times New Roman" w:hAnsi="Times New Roman" w:cs="Times New Roman"/>
                <w:i/>
                <w:iCs/>
                <w:sz w:val="24"/>
                <w:szCs w:val="24"/>
              </w:rPr>
              <w:t>Green Microfinance</w:t>
            </w:r>
            <w:r w:rsidRPr="008D3082">
              <w:rPr>
                <w:rFonts w:ascii="Times New Roman" w:eastAsia="Times New Roman" w:hAnsi="Times New Roman" w:cs="Times New Roman"/>
                <w:sz w:val="24"/>
                <w:szCs w:val="24"/>
              </w:rPr>
              <w:t>)</w:t>
            </w:r>
          </w:p>
        </w:tc>
        <w:tc>
          <w:tcPr>
            <w:tcW w:w="1701" w:type="dxa"/>
            <w:tcBorders>
              <w:top w:val="single" w:sz="4" w:space="0" w:color="D3D3D3"/>
              <w:left w:val="single" w:sz="4" w:space="0" w:color="D3D3D3"/>
              <w:bottom w:val="single" w:sz="4" w:space="0" w:color="D3D3D3"/>
              <w:right w:val="single" w:sz="4" w:space="0" w:color="D3D3D3"/>
            </w:tcBorders>
            <w:shd w:val="clear" w:color="auto" w:fill="auto"/>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xml:space="preserve">1. Adopsi instrumen tertulis SOP </w:t>
            </w:r>
            <w:r w:rsidRPr="008D3082">
              <w:rPr>
                <w:rFonts w:ascii="Times New Roman" w:eastAsia="Times New Roman" w:hAnsi="Times New Roman" w:cs="Times New Roman"/>
                <w:i/>
                <w:iCs/>
                <w:sz w:val="24"/>
                <w:szCs w:val="24"/>
              </w:rPr>
              <w:t>ecological screening</w:t>
            </w:r>
            <w:r w:rsidRPr="008D3082">
              <w:rPr>
                <w:rFonts w:ascii="Times New Roman" w:eastAsia="Times New Roman" w:hAnsi="Times New Roman" w:cs="Times New Roman"/>
                <w:sz w:val="24"/>
                <w:szCs w:val="24"/>
              </w:rPr>
              <w:t xml:space="preserve"> dalam penyaluran modal.</w:t>
            </w:r>
          </w:p>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xml:space="preserve">2. Penolakan pembiayaan terhadap usaha mikro perusak alam </w:t>
            </w:r>
            <w:r w:rsidRPr="008D3082">
              <w:rPr>
                <w:rFonts w:ascii="Times New Roman" w:eastAsia="Times New Roman" w:hAnsi="Times New Roman" w:cs="Times New Roman"/>
                <w:sz w:val="24"/>
                <w:szCs w:val="24"/>
              </w:rPr>
              <w:lastRenderedPageBreak/>
              <w:t>(pembuangan limbah liar, pembakaran lahan).</w:t>
            </w:r>
          </w:p>
        </w:tc>
        <w:tc>
          <w:tcPr>
            <w:tcW w:w="2410" w:type="dxa"/>
            <w:tcBorders>
              <w:top w:val="single" w:sz="4" w:space="0" w:color="D3D3D3"/>
              <w:left w:val="single" w:sz="4" w:space="0" w:color="D3D3D3"/>
              <w:bottom w:val="single" w:sz="4" w:space="0" w:color="D3D3D3"/>
              <w:right w:val="single" w:sz="4" w:space="0" w:color="D3D3D3"/>
            </w:tcBorders>
            <w:shd w:val="clear" w:color="auto" w:fill="auto"/>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lastRenderedPageBreak/>
              <w:t>• Lembar analisis kelayakan pembiayaan komite LKMS.</w:t>
            </w:r>
          </w:p>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Laporan portofolio pembiayaan sektor hijau (</w:t>
            </w:r>
            <w:r w:rsidRPr="008D3082">
              <w:rPr>
                <w:rFonts w:ascii="Times New Roman" w:eastAsia="Times New Roman" w:hAnsi="Times New Roman" w:cs="Times New Roman"/>
                <w:i/>
                <w:iCs/>
                <w:sz w:val="24"/>
                <w:szCs w:val="24"/>
              </w:rPr>
              <w:t>green portfolio</w:t>
            </w:r>
            <w:r w:rsidRPr="008D3082">
              <w:rPr>
                <w:rFonts w:ascii="Times New Roman" w:eastAsia="Times New Roman" w:hAnsi="Times New Roman" w:cs="Times New Roman"/>
                <w:sz w:val="24"/>
                <w:szCs w:val="24"/>
              </w:rPr>
              <w:t>).</w:t>
            </w:r>
          </w:p>
        </w:tc>
        <w:tc>
          <w:tcPr>
            <w:tcW w:w="2268" w:type="dxa"/>
            <w:tcBorders>
              <w:top w:val="single" w:sz="4" w:space="0" w:color="D3D3D3"/>
              <w:left w:val="single" w:sz="4" w:space="0" w:color="D3D3D3"/>
              <w:bottom w:val="single" w:sz="4" w:space="0" w:color="D3D3D3"/>
              <w:right w:val="single" w:sz="4" w:space="0" w:color="D3D3D3"/>
            </w:tcBorders>
            <w:shd w:val="clear" w:color="auto" w:fill="auto"/>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Segrado (2005); Mulawarman dkk. (2025)</w:t>
            </w:r>
          </w:p>
        </w:tc>
      </w:tr>
      <w:tr w:rsidR="00331923" w:rsidRPr="008D3082" w:rsidTr="00331923">
        <w:tc>
          <w:tcPr>
            <w:tcW w:w="1555" w:type="dxa"/>
            <w:tcBorders>
              <w:top w:val="single" w:sz="4" w:space="0" w:color="D3D3D3"/>
              <w:left w:val="single" w:sz="4" w:space="0" w:color="D3D3D3"/>
              <w:bottom w:val="single" w:sz="4" w:space="0" w:color="D3D3D3"/>
              <w:right w:val="single" w:sz="4" w:space="0" w:color="D3D3D3"/>
            </w:tcBorders>
            <w:shd w:val="clear" w:color="auto" w:fill="DEEAF6" w:themeFill="accent1" w:themeFillTint="33"/>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lastRenderedPageBreak/>
              <w:t>Akuntabilitas Lingkungan-Alam (VA_Nature)</w:t>
            </w:r>
          </w:p>
        </w:tc>
        <w:tc>
          <w:tcPr>
            <w:tcW w:w="1275" w:type="dxa"/>
            <w:tcBorders>
              <w:top w:val="single" w:sz="4" w:space="0" w:color="D3D3D3"/>
              <w:left w:val="single" w:sz="4" w:space="0" w:color="D3D3D3"/>
              <w:bottom w:val="single" w:sz="4" w:space="0" w:color="D3D3D3"/>
              <w:right w:val="single" w:sz="4" w:space="0" w:color="D3D3D3"/>
            </w:tcBorders>
            <w:shd w:val="clear" w:color="auto" w:fill="DEEAF6" w:themeFill="accent1" w:themeFillTint="33"/>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Internalisasi Etika Lingkungan Korporasi (</w:t>
            </w:r>
            <w:r w:rsidRPr="008D3082">
              <w:rPr>
                <w:rFonts w:ascii="Times New Roman" w:eastAsia="Times New Roman" w:hAnsi="Times New Roman" w:cs="Times New Roman"/>
                <w:i/>
                <w:iCs/>
                <w:sz w:val="24"/>
                <w:szCs w:val="24"/>
              </w:rPr>
              <w:t>Eco-Theocentrism</w:t>
            </w:r>
            <w:r w:rsidRPr="008D3082">
              <w:rPr>
                <w:rFonts w:ascii="Times New Roman" w:eastAsia="Times New Roman" w:hAnsi="Times New Roman" w:cs="Times New Roman"/>
                <w:sz w:val="24"/>
                <w:szCs w:val="24"/>
              </w:rPr>
              <w:t>)</w:t>
            </w:r>
          </w:p>
        </w:tc>
        <w:tc>
          <w:tcPr>
            <w:tcW w:w="1701" w:type="dxa"/>
            <w:tcBorders>
              <w:top w:val="single" w:sz="4" w:space="0" w:color="D3D3D3"/>
              <w:left w:val="single" w:sz="4" w:space="0" w:color="D3D3D3"/>
              <w:bottom w:val="single" w:sz="4" w:space="0" w:color="D3D3D3"/>
              <w:right w:val="single" w:sz="4" w:space="0" w:color="D3D3D3"/>
            </w:tcBorders>
            <w:shd w:val="clear" w:color="auto" w:fill="DEEAF6" w:themeFill="accent1" w:themeFillTint="33"/>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1. Implementasi ekosistem kantor ramah lingkungan (</w:t>
            </w:r>
            <w:r w:rsidRPr="008D3082">
              <w:rPr>
                <w:rFonts w:ascii="Times New Roman" w:eastAsia="Times New Roman" w:hAnsi="Times New Roman" w:cs="Times New Roman"/>
                <w:i/>
                <w:iCs/>
                <w:sz w:val="24"/>
                <w:szCs w:val="24"/>
              </w:rPr>
              <w:t>eco-office</w:t>
            </w:r>
            <w:r w:rsidRPr="008D3082">
              <w:rPr>
                <w:rFonts w:ascii="Times New Roman" w:eastAsia="Times New Roman" w:hAnsi="Times New Roman" w:cs="Times New Roman"/>
                <w:sz w:val="24"/>
                <w:szCs w:val="24"/>
              </w:rPr>
              <w:t>) melalui digitalisasi sistem.</w:t>
            </w:r>
          </w:p>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2. Efisiensi energi, air, dan konversi reduksi penggunaan kertas administratif.</w:t>
            </w:r>
          </w:p>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br/>
            </w:r>
          </w:p>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3. Alokasi biaya tanggung jawab sosial korporasi untuk restorasi alam.</w:t>
            </w:r>
          </w:p>
        </w:tc>
        <w:tc>
          <w:tcPr>
            <w:tcW w:w="2410" w:type="dxa"/>
            <w:tcBorders>
              <w:top w:val="single" w:sz="4" w:space="0" w:color="D3D3D3"/>
              <w:left w:val="single" w:sz="4" w:space="0" w:color="D3D3D3"/>
              <w:bottom w:val="single" w:sz="4" w:space="0" w:color="D3D3D3"/>
              <w:right w:val="single" w:sz="4" w:space="0" w:color="D3D3D3"/>
            </w:tcBorders>
            <w:shd w:val="clear" w:color="auto" w:fill="DEEAF6" w:themeFill="accent1" w:themeFillTint="33"/>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xml:space="preserve">• Penggunaan aplikasi core </w:t>
            </w:r>
            <w:r w:rsidRPr="008D3082">
              <w:rPr>
                <w:rFonts w:ascii="Times New Roman" w:eastAsia="Times New Roman" w:hAnsi="Times New Roman" w:cs="Times New Roman"/>
                <w:i/>
                <w:iCs/>
                <w:sz w:val="24"/>
                <w:szCs w:val="24"/>
              </w:rPr>
              <w:t>integrated microbanking system</w:t>
            </w:r>
            <w:r w:rsidRPr="008D3082">
              <w:rPr>
                <w:rFonts w:ascii="Times New Roman" w:eastAsia="Times New Roman" w:hAnsi="Times New Roman" w:cs="Times New Roman"/>
                <w:sz w:val="24"/>
                <w:szCs w:val="24"/>
              </w:rPr>
              <w:t xml:space="preserve"> (IBS/IBSS).</w:t>
            </w:r>
          </w:p>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 xml:space="preserve">• Pos anggaran </w:t>
            </w:r>
            <w:r w:rsidRPr="008D3082">
              <w:rPr>
                <w:rFonts w:ascii="Times New Roman" w:eastAsia="Times New Roman" w:hAnsi="Times New Roman" w:cs="Times New Roman"/>
                <w:i/>
                <w:iCs/>
                <w:sz w:val="24"/>
                <w:szCs w:val="24"/>
              </w:rPr>
              <w:t>Islamic Corporate Social Responsibility</w:t>
            </w:r>
            <w:r w:rsidRPr="008D3082">
              <w:rPr>
                <w:rFonts w:ascii="Times New Roman" w:eastAsia="Times New Roman" w:hAnsi="Times New Roman" w:cs="Times New Roman"/>
                <w:sz w:val="24"/>
                <w:szCs w:val="24"/>
              </w:rPr>
              <w:t xml:space="preserve"> (ICSR) bidang lingkungan.</w:t>
            </w:r>
          </w:p>
        </w:tc>
        <w:tc>
          <w:tcPr>
            <w:tcW w:w="2268" w:type="dxa"/>
            <w:tcBorders>
              <w:top w:val="single" w:sz="4" w:space="0" w:color="D3D3D3"/>
              <w:left w:val="single" w:sz="4" w:space="0" w:color="D3D3D3"/>
              <w:bottom w:val="single" w:sz="4" w:space="0" w:color="D3D3D3"/>
              <w:right w:val="single" w:sz="4" w:space="0" w:color="D3D3D3"/>
            </w:tcBorders>
            <w:shd w:val="clear" w:color="auto" w:fill="DEEAF6" w:themeFill="accent1" w:themeFillTint="33"/>
            <w:vAlign w:val="center"/>
          </w:tcPr>
          <w:p w:rsidR="00331923" w:rsidRPr="008D3082" w:rsidRDefault="00331923" w:rsidP="008D3082">
            <w:pPr>
              <w:spacing w:after="0" w:line="360" w:lineRule="auto"/>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Akuntabilitas Lingkungan-Alam (VA_Nature)</w:t>
            </w:r>
          </w:p>
        </w:tc>
      </w:tr>
    </w:tbl>
    <w:p w:rsidR="00FB728B" w:rsidRPr="008D3082" w:rsidRDefault="00FB728B" w:rsidP="008D3082">
      <w:pPr>
        <w:spacing w:after="0" w:line="360" w:lineRule="auto"/>
        <w:jc w:val="both"/>
        <w:rPr>
          <w:rFonts w:ascii="Times New Roman" w:hAnsi="Times New Roman" w:cs="Times New Roman"/>
          <w:sz w:val="24"/>
          <w:szCs w:val="24"/>
        </w:rPr>
      </w:pPr>
    </w:p>
    <w:p w:rsidR="00B373BB" w:rsidRPr="008D3082" w:rsidRDefault="00B373BB" w:rsidP="008D3082">
      <w:pPr>
        <w:spacing w:after="0" w:line="360" w:lineRule="auto"/>
        <w:jc w:val="both"/>
        <w:rPr>
          <w:rFonts w:ascii="Times New Roman" w:hAnsi="Times New Roman" w:cs="Times New Roman"/>
          <w:sz w:val="24"/>
          <w:szCs w:val="24"/>
        </w:rPr>
      </w:pPr>
    </w:p>
    <w:p w:rsidR="00FB728B" w:rsidRPr="008D3082" w:rsidRDefault="00B373BB" w:rsidP="008D3082">
      <w:pPr>
        <w:spacing w:after="0" w:line="360" w:lineRule="auto"/>
        <w:jc w:val="both"/>
        <w:rPr>
          <w:rFonts w:ascii="Times New Roman" w:hAnsi="Times New Roman" w:cs="Times New Roman"/>
          <w:b/>
          <w:sz w:val="24"/>
          <w:szCs w:val="24"/>
        </w:rPr>
      </w:pPr>
      <w:r w:rsidRPr="008D3082">
        <w:rPr>
          <w:rFonts w:ascii="Times New Roman" w:hAnsi="Times New Roman" w:cs="Times New Roman"/>
          <w:b/>
          <w:color w:val="0A2342"/>
          <w:sz w:val="24"/>
          <w:szCs w:val="24"/>
        </w:rPr>
        <w:t>METODE PENELITIAN</w:t>
      </w:r>
    </w:p>
    <w:p w:rsidR="006A0A9C" w:rsidRPr="008D3082" w:rsidRDefault="006A0A9C" w:rsidP="008D3082">
      <w:pPr>
        <w:spacing w:after="0" w:line="360" w:lineRule="auto"/>
        <w:ind w:firstLine="709"/>
        <w:jc w:val="both"/>
        <w:rPr>
          <w:rFonts w:ascii="Times New Roman" w:hAnsi="Times New Roman" w:cs="Times New Roman"/>
          <w:sz w:val="24"/>
          <w:szCs w:val="24"/>
        </w:rPr>
      </w:pPr>
      <w:r w:rsidRPr="008D3082">
        <w:rPr>
          <w:rFonts w:ascii="Times New Roman" w:eastAsia="Times New Roman" w:hAnsi="Times New Roman" w:cs="Times New Roman"/>
          <w:sz w:val="24"/>
          <w:szCs w:val="24"/>
        </w:rPr>
        <w:lastRenderedPageBreak/>
        <w:t xml:space="preserve">Penelitian ini dirancang sebagai penelitian deskriptif dengan pendekatan kualitatif-evaluatif untuk menguraikan makna substantif di balik praktik pertanggungjawaban Lembaga Keuangan Mikro Syariah (LKMS) berdasarkan lensa </w:t>
      </w:r>
      <w:r w:rsidRPr="008D3082">
        <w:rPr>
          <w:rFonts w:ascii="Times New Roman" w:eastAsia="Times New Roman" w:hAnsi="Times New Roman" w:cs="Times New Roman"/>
          <w:i/>
          <w:iCs/>
          <w:sz w:val="24"/>
          <w:szCs w:val="24"/>
        </w:rPr>
        <w:t>Shariah Enterprise Theory</w:t>
      </w:r>
      <w:r w:rsidRPr="008D3082">
        <w:rPr>
          <w:rFonts w:ascii="Times New Roman" w:eastAsia="Times New Roman" w:hAnsi="Times New Roman" w:cs="Times New Roman"/>
          <w:sz w:val="24"/>
          <w:szCs w:val="24"/>
        </w:rPr>
        <w:t xml:space="preserve"> (SET). </w:t>
      </w:r>
      <w:r w:rsidRPr="008D3082">
        <w:rPr>
          <w:rFonts w:ascii="Times New Roman" w:eastAsia="Times New Roman" w:hAnsi="Times New Roman" w:cs="Times New Roman"/>
          <w:bCs/>
          <w:sz w:val="24"/>
          <w:szCs w:val="24"/>
        </w:rPr>
        <w:t>Situs amatan dan sumber data dalam penelitian ini difokuskan pada</w:t>
      </w:r>
      <w:r w:rsidRPr="008D3082">
        <w:rPr>
          <w:rFonts w:ascii="Times New Roman" w:eastAsia="Times New Roman" w:hAnsi="Times New Roman" w:cs="Times New Roman"/>
          <w:sz w:val="24"/>
          <w:szCs w:val="24"/>
        </w:rPr>
        <w:t xml:space="preserve"> jaringan LKMS (BMT dan BWM) yang beroperasi secara legal di wilayah Sumatera Utara, Indonesia. </w:t>
      </w:r>
      <w:r w:rsidRPr="008D3082">
        <w:rPr>
          <w:rFonts w:ascii="Times New Roman" w:eastAsia="Times New Roman" w:hAnsi="Times New Roman" w:cs="Times New Roman"/>
          <w:bCs/>
          <w:sz w:val="24"/>
          <w:szCs w:val="24"/>
        </w:rPr>
        <w:t>Penentuan subjek dan objek amatannya</w:t>
      </w:r>
      <w:r w:rsidRPr="008D3082">
        <w:rPr>
          <w:rFonts w:ascii="Times New Roman" w:eastAsia="Times New Roman" w:hAnsi="Times New Roman" w:cs="Times New Roman"/>
          <w:sz w:val="24"/>
          <w:szCs w:val="24"/>
        </w:rPr>
        <w:t xml:space="preserve"> dilakukan menggunakan teknik </w:t>
      </w:r>
      <w:r w:rsidRPr="008D3082">
        <w:rPr>
          <w:rFonts w:ascii="Times New Roman" w:eastAsia="Times New Roman" w:hAnsi="Times New Roman" w:cs="Times New Roman"/>
          <w:i/>
          <w:iCs/>
          <w:sz w:val="24"/>
          <w:szCs w:val="24"/>
        </w:rPr>
        <w:t>purposive sampling</w:t>
      </w:r>
      <w:r w:rsidRPr="008D3082">
        <w:rPr>
          <w:rFonts w:ascii="Times New Roman" w:eastAsia="Times New Roman" w:hAnsi="Times New Roman" w:cs="Times New Roman"/>
          <w:sz w:val="24"/>
          <w:szCs w:val="24"/>
        </w:rPr>
        <w:t xml:space="preserve"> dengan kriteria inklusi spesifik, yaitu: LKMS yang telah beroperasi aktif minimal 5 tahun, konsisten memublikasikan laporan keuangan tahunan serta laporan pertanggungjawaban sosial/keagamaan, dan memiliki struktur Dewan Pengawas Syariah (DPS) yang aktif. Analisis terfokus dilakukan langsung pada unit kerja pengelolaan akuntansi (</w:t>
      </w:r>
      <w:r w:rsidRPr="008D3082">
        <w:rPr>
          <w:rFonts w:ascii="Times New Roman" w:eastAsia="Times New Roman" w:hAnsi="Times New Roman" w:cs="Times New Roman"/>
          <w:i/>
          <w:iCs/>
          <w:sz w:val="24"/>
          <w:szCs w:val="24"/>
        </w:rPr>
        <w:t>Tamwil</w:t>
      </w:r>
      <w:r w:rsidRPr="008D3082">
        <w:rPr>
          <w:rFonts w:ascii="Times New Roman" w:eastAsia="Times New Roman" w:hAnsi="Times New Roman" w:cs="Times New Roman"/>
          <w:sz w:val="24"/>
          <w:szCs w:val="24"/>
        </w:rPr>
        <w:t xml:space="preserve">), unit manajemen </w:t>
      </w:r>
      <w:proofErr w:type="gramStart"/>
      <w:r w:rsidRPr="008D3082">
        <w:rPr>
          <w:rFonts w:ascii="Times New Roman" w:eastAsia="Times New Roman" w:hAnsi="Times New Roman" w:cs="Times New Roman"/>
          <w:sz w:val="24"/>
          <w:szCs w:val="24"/>
        </w:rPr>
        <w:t>dana</w:t>
      </w:r>
      <w:proofErr w:type="gramEnd"/>
      <w:r w:rsidRPr="008D3082">
        <w:rPr>
          <w:rFonts w:ascii="Times New Roman" w:eastAsia="Times New Roman" w:hAnsi="Times New Roman" w:cs="Times New Roman"/>
          <w:sz w:val="24"/>
          <w:szCs w:val="24"/>
        </w:rPr>
        <w:t xml:space="preserve"> sosial (</w:t>
      </w:r>
      <w:r w:rsidRPr="008D3082">
        <w:rPr>
          <w:rFonts w:ascii="Times New Roman" w:eastAsia="Times New Roman" w:hAnsi="Times New Roman" w:cs="Times New Roman"/>
          <w:i/>
          <w:iCs/>
          <w:sz w:val="24"/>
          <w:szCs w:val="24"/>
        </w:rPr>
        <w:t>Baitul Maal</w:t>
      </w:r>
      <w:r w:rsidRPr="008D3082">
        <w:rPr>
          <w:rFonts w:ascii="Times New Roman" w:eastAsia="Times New Roman" w:hAnsi="Times New Roman" w:cs="Times New Roman"/>
          <w:sz w:val="24"/>
          <w:szCs w:val="24"/>
        </w:rPr>
        <w:t xml:space="preserve">), serta unit pelaporan kepatuhan syariah. </w:t>
      </w:r>
    </w:p>
    <w:p w:rsidR="004822AC" w:rsidRPr="008D3082" w:rsidRDefault="006A0A9C" w:rsidP="008D3082">
      <w:pPr>
        <w:spacing w:after="0" w:line="360" w:lineRule="auto"/>
        <w:ind w:firstLine="709"/>
        <w:jc w:val="both"/>
        <w:rPr>
          <w:rFonts w:ascii="Times New Roman" w:eastAsia="Times New Roman" w:hAnsi="Times New Roman" w:cs="Times New Roman"/>
          <w:sz w:val="24"/>
          <w:szCs w:val="24"/>
        </w:rPr>
      </w:pPr>
      <w:r w:rsidRPr="008D3082">
        <w:rPr>
          <w:rFonts w:ascii="Times New Roman" w:eastAsia="Times New Roman" w:hAnsi="Times New Roman" w:cs="Times New Roman"/>
          <w:sz w:val="24"/>
          <w:szCs w:val="24"/>
        </w:rPr>
        <w:t>Dalam pelaksanaannya, peneliti bertindak sebagai instrumen utama (</w:t>
      </w:r>
      <w:r w:rsidRPr="008D3082">
        <w:rPr>
          <w:rFonts w:ascii="Times New Roman" w:eastAsia="Times New Roman" w:hAnsi="Times New Roman" w:cs="Times New Roman"/>
          <w:i/>
          <w:iCs/>
          <w:sz w:val="24"/>
          <w:szCs w:val="24"/>
        </w:rPr>
        <w:t>human instrument</w:t>
      </w:r>
      <w:r w:rsidRPr="008D3082">
        <w:rPr>
          <w:rFonts w:ascii="Times New Roman" w:eastAsia="Times New Roman" w:hAnsi="Times New Roman" w:cs="Times New Roman"/>
          <w:sz w:val="24"/>
          <w:szCs w:val="24"/>
        </w:rPr>
        <w:t>) yang didukung oleh instrumen penunjang terstruktur berupa Lembar Observasi Konten Laporan (</w:t>
      </w:r>
      <w:r w:rsidRPr="008D3082">
        <w:rPr>
          <w:rFonts w:ascii="Times New Roman" w:eastAsia="Times New Roman" w:hAnsi="Times New Roman" w:cs="Times New Roman"/>
          <w:i/>
          <w:iCs/>
          <w:sz w:val="24"/>
          <w:szCs w:val="24"/>
        </w:rPr>
        <w:t>Content Analysis Sheet</w:t>
      </w:r>
      <w:r w:rsidRPr="008D3082">
        <w:rPr>
          <w:rFonts w:ascii="Times New Roman" w:eastAsia="Times New Roman" w:hAnsi="Times New Roman" w:cs="Times New Roman"/>
          <w:sz w:val="24"/>
          <w:szCs w:val="24"/>
        </w:rPr>
        <w:t>) berbasis indikator SET dan Pedoman Wawancara Mendalam (</w:t>
      </w:r>
      <w:r w:rsidRPr="008D3082">
        <w:rPr>
          <w:rFonts w:ascii="Times New Roman" w:eastAsia="Times New Roman" w:hAnsi="Times New Roman" w:cs="Times New Roman"/>
          <w:i/>
          <w:iCs/>
          <w:sz w:val="24"/>
          <w:szCs w:val="24"/>
        </w:rPr>
        <w:t>In-depth Interview Guide</w:t>
      </w:r>
      <w:r w:rsidRPr="008D3082">
        <w:rPr>
          <w:rFonts w:ascii="Times New Roman" w:eastAsia="Times New Roman" w:hAnsi="Times New Roman" w:cs="Times New Roman"/>
          <w:sz w:val="24"/>
          <w:szCs w:val="24"/>
        </w:rPr>
        <w:t xml:space="preserve">). Pengumpulan data mengombinasikan tiga metode triangulasi, yaitu studi dokumentasi (analisis laporan keuangan, laporan arus kas </w:t>
      </w:r>
      <w:proofErr w:type="gramStart"/>
      <w:r w:rsidRPr="008D3082">
        <w:rPr>
          <w:rFonts w:ascii="Times New Roman" w:eastAsia="Times New Roman" w:hAnsi="Times New Roman" w:cs="Times New Roman"/>
          <w:sz w:val="24"/>
          <w:szCs w:val="24"/>
        </w:rPr>
        <w:t>dana</w:t>
      </w:r>
      <w:proofErr w:type="gramEnd"/>
      <w:r w:rsidRPr="008D3082">
        <w:rPr>
          <w:rFonts w:ascii="Times New Roman" w:eastAsia="Times New Roman" w:hAnsi="Times New Roman" w:cs="Times New Roman"/>
          <w:sz w:val="24"/>
          <w:szCs w:val="24"/>
        </w:rPr>
        <w:t xml:space="preserve"> kebajikan, dan laporan DPS), wawancara mendalam bersama informan kunci (pengelola, staf akuntansi, DPS, dan nasabah), serta studi pustaka dari regulasi dan literatur terkait. Data yang telah dihimpun kemudian dianalisis menggunakan model interaktif Miles, Huberman, dan Saldaña. Proses analisis diawali dengan reduksi data untuk menyaring informasi yang relevan dengan pilar SET, dilanjutkan dengan penyajian data (</w:t>
      </w:r>
      <w:r w:rsidRPr="008D3082">
        <w:rPr>
          <w:rFonts w:ascii="Times New Roman" w:eastAsia="Times New Roman" w:hAnsi="Times New Roman" w:cs="Times New Roman"/>
          <w:i/>
          <w:iCs/>
          <w:sz w:val="24"/>
          <w:szCs w:val="24"/>
        </w:rPr>
        <w:t>data display</w:t>
      </w:r>
      <w:r w:rsidRPr="008D3082">
        <w:rPr>
          <w:rFonts w:ascii="Times New Roman" w:eastAsia="Times New Roman" w:hAnsi="Times New Roman" w:cs="Times New Roman"/>
          <w:sz w:val="24"/>
          <w:szCs w:val="24"/>
        </w:rPr>
        <w:t xml:space="preserve">) menggunakan matriks tabel kategorisasi kualitas akuntabilitas transendensi (klaster Sangat Baik, Cukup Baik, atau Kurang Baik), dan diakhiri dengan penarikan kesimpulan serta verifikasi melalui </w:t>
      </w:r>
      <w:r w:rsidRPr="008D3082">
        <w:rPr>
          <w:rFonts w:ascii="Times New Roman" w:eastAsia="Times New Roman" w:hAnsi="Times New Roman" w:cs="Times New Roman"/>
          <w:i/>
          <w:iCs/>
          <w:sz w:val="24"/>
          <w:szCs w:val="24"/>
        </w:rPr>
        <w:t>cross-check</w:t>
      </w:r>
      <w:r w:rsidRPr="008D3082">
        <w:rPr>
          <w:rFonts w:ascii="Times New Roman" w:eastAsia="Times New Roman" w:hAnsi="Times New Roman" w:cs="Times New Roman"/>
          <w:sz w:val="24"/>
          <w:szCs w:val="24"/>
        </w:rPr>
        <w:t xml:space="preserve"> triangulasi sumber.</w:t>
      </w:r>
    </w:p>
    <w:p w:rsidR="0047216F" w:rsidRPr="008D3082" w:rsidRDefault="0047216F" w:rsidP="008D3082">
      <w:pPr>
        <w:spacing w:after="0" w:line="360" w:lineRule="auto"/>
        <w:ind w:firstLine="709"/>
        <w:jc w:val="both"/>
        <w:rPr>
          <w:rFonts w:ascii="Times New Roman" w:hAnsi="Times New Roman" w:cs="Times New Roman"/>
          <w:sz w:val="24"/>
          <w:szCs w:val="24"/>
        </w:rPr>
      </w:pPr>
    </w:p>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b/>
          <w:color w:val="0A2342"/>
          <w:sz w:val="24"/>
          <w:szCs w:val="24"/>
        </w:rPr>
        <w:t>HASIL DAN PEMBAHASAN</w:t>
      </w:r>
    </w:p>
    <w:p w:rsidR="004822AC" w:rsidRPr="008D3082" w:rsidRDefault="004822AC" w:rsidP="008D3082">
      <w:pPr>
        <w:spacing w:after="0" w:line="360" w:lineRule="auto"/>
        <w:ind w:firstLine="567"/>
        <w:jc w:val="both"/>
        <w:rPr>
          <w:rFonts w:ascii="Times New Roman" w:hAnsi="Times New Roman" w:cs="Times New Roman"/>
          <w:sz w:val="24"/>
          <w:szCs w:val="24"/>
        </w:rPr>
      </w:pPr>
      <w:r w:rsidRPr="008D3082">
        <w:rPr>
          <w:rFonts w:ascii="Times New Roman" w:hAnsi="Times New Roman" w:cs="Times New Roman"/>
          <w:sz w:val="24"/>
          <w:szCs w:val="24"/>
        </w:rPr>
        <w:t xml:space="preserve">Bab ini memaparkan hasil analisis empiris dan pembahasan mendalam mengenai eksistensi serta kualitas implementasi akuntabilitas berbasis transendensi pada Lembaga Keuangan Mikro Syariah (LKMS) di Sumatera Utara. Analisis dilakukan </w:t>
      </w:r>
      <w:r w:rsidRPr="008D3082">
        <w:rPr>
          <w:rFonts w:ascii="Times New Roman" w:hAnsi="Times New Roman" w:cs="Times New Roman"/>
          <w:sz w:val="24"/>
          <w:szCs w:val="24"/>
        </w:rPr>
        <w:lastRenderedPageBreak/>
        <w:t>dengan menggunakan pisau bedah Shariah Enterprise Theory (SET) untuk mengevaluasi laporan keuangan, laporan tahunan, laporan keuangan audit, serta hasil konfirmasi wawancara mendalam bersama informan kunci. Sesuai dengan format struktur artikel acuan reputasi tinggi, temuan disajikan diawali dengan pemetaan matriks hasil kategorisasi capaian indikator guna memberikan basis simpulan kuantitatif-deskriptif yang objektif.</w:t>
      </w:r>
    </w:p>
    <w:p w:rsidR="004822AC" w:rsidRPr="008D3082" w:rsidRDefault="004822AC" w:rsidP="008D3082">
      <w:pPr>
        <w:spacing w:after="0" w:line="360" w:lineRule="auto"/>
        <w:ind w:firstLine="567"/>
        <w:jc w:val="both"/>
        <w:rPr>
          <w:rFonts w:ascii="Times New Roman" w:hAnsi="Times New Roman" w:cs="Times New Roman"/>
          <w:sz w:val="24"/>
          <w:szCs w:val="24"/>
        </w:rPr>
      </w:pPr>
      <w:r w:rsidRPr="008D3082">
        <w:rPr>
          <w:rFonts w:ascii="Times New Roman" w:hAnsi="Times New Roman" w:cs="Times New Roman"/>
          <w:sz w:val="24"/>
          <w:szCs w:val="24"/>
        </w:rPr>
        <w:t>Kategorisasi performa akuntabilitas syariah didasarkan pada tingkat kepatuhan inheren serta kelengkapan pengungkapan substantif atas tiga pilar utama SET: pertanggungjawaban vertikal kepada Allah SWT, pertanggungjawaban horizontal sesama manusia (karyawan dan nasabah), serta pertanggungjawaban kepada alam sekitar. Hasil olah data klasterisasi indikator dan visualisasi capaian tersebut tersaji secara komprehensif pada Tabel 1 di bawah ini:</w:t>
      </w:r>
    </w:p>
    <w:p w:rsidR="004822AC" w:rsidRPr="008D3082" w:rsidRDefault="004822AC" w:rsidP="008D3082">
      <w:pPr>
        <w:keepNext/>
        <w:spacing w:after="0" w:line="360" w:lineRule="auto"/>
        <w:jc w:val="both"/>
        <w:rPr>
          <w:rFonts w:ascii="Times New Roman" w:hAnsi="Times New Roman" w:cs="Times New Roman"/>
          <w:sz w:val="24"/>
          <w:szCs w:val="24"/>
        </w:rPr>
      </w:pPr>
      <w:r w:rsidRPr="008D3082">
        <w:rPr>
          <w:rFonts w:ascii="Times New Roman" w:hAnsi="Times New Roman" w:cs="Times New Roman"/>
          <w:b/>
          <w:color w:val="0A2342"/>
          <w:sz w:val="24"/>
          <w:szCs w:val="24"/>
        </w:rPr>
        <w:t>Tabel 1. Matriks Analisis Capaian Indikator Akuntabilitas SET pada LKMS</w:t>
      </w:r>
    </w:p>
    <w:tbl>
      <w:tblPr>
        <w:tblW w:w="0" w:type="auto"/>
        <w:jc w:val="center"/>
        <w:tblLook w:val="04A0" w:firstRow="1" w:lastRow="0" w:firstColumn="1" w:lastColumn="0" w:noHBand="0" w:noVBand="1"/>
      </w:tblPr>
      <w:tblGrid>
        <w:gridCol w:w="543"/>
        <w:gridCol w:w="1627"/>
        <w:gridCol w:w="2922"/>
        <w:gridCol w:w="1673"/>
        <w:gridCol w:w="1496"/>
      </w:tblGrid>
      <w:tr w:rsidR="004822AC" w:rsidRPr="008D3082" w:rsidTr="004475CC">
        <w:trPr>
          <w:jc w:val="center"/>
        </w:trPr>
        <w:tc>
          <w:tcPr>
            <w:tcW w:w="576" w:type="dxa"/>
            <w:tcBorders>
              <w:top w:val="single" w:sz="4" w:space="0" w:color="CCCCCC"/>
              <w:left w:val="single" w:sz="4" w:space="0" w:color="CCCCCC"/>
              <w:bottom w:val="single" w:sz="4" w:space="0" w:color="CCCCCC"/>
              <w:right w:val="single" w:sz="4" w:space="0" w:color="CCCCCC"/>
            </w:tcBorders>
            <w:shd w:val="clear" w:color="auto" w:fill="0A2342"/>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b/>
                <w:color w:val="FFFFFF"/>
                <w:sz w:val="24"/>
                <w:szCs w:val="24"/>
              </w:rPr>
              <w:t>No</w:t>
            </w:r>
          </w:p>
        </w:tc>
        <w:tc>
          <w:tcPr>
            <w:tcW w:w="1872" w:type="dxa"/>
            <w:tcBorders>
              <w:top w:val="single" w:sz="4" w:space="0" w:color="CCCCCC"/>
              <w:left w:val="single" w:sz="4" w:space="0" w:color="CCCCCC"/>
              <w:bottom w:val="single" w:sz="4" w:space="0" w:color="CCCCCC"/>
              <w:right w:val="single" w:sz="4" w:space="0" w:color="CCCCCC"/>
            </w:tcBorders>
            <w:shd w:val="clear" w:color="auto" w:fill="0A2342"/>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b/>
                <w:color w:val="FFFFFF"/>
                <w:sz w:val="24"/>
                <w:szCs w:val="24"/>
              </w:rPr>
              <w:t>Dimensi SET</w:t>
            </w:r>
          </w:p>
        </w:tc>
        <w:tc>
          <w:tcPr>
            <w:tcW w:w="3744" w:type="dxa"/>
            <w:tcBorders>
              <w:top w:val="single" w:sz="4" w:space="0" w:color="CCCCCC"/>
              <w:left w:val="single" w:sz="4" w:space="0" w:color="CCCCCC"/>
              <w:bottom w:val="single" w:sz="4" w:space="0" w:color="CCCCCC"/>
              <w:right w:val="single" w:sz="4" w:space="0" w:color="CCCCCC"/>
            </w:tcBorders>
            <w:shd w:val="clear" w:color="auto" w:fill="0A2342"/>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b/>
                <w:color w:val="FFFFFF"/>
                <w:sz w:val="24"/>
                <w:szCs w:val="24"/>
              </w:rPr>
              <w:t>Indikator Utama &amp; Tolok Ukur Evaluasi</w:t>
            </w:r>
          </w:p>
        </w:tc>
        <w:tc>
          <w:tcPr>
            <w:tcW w:w="1728" w:type="dxa"/>
            <w:tcBorders>
              <w:top w:val="single" w:sz="4" w:space="0" w:color="CCCCCC"/>
              <w:left w:val="single" w:sz="4" w:space="0" w:color="CCCCCC"/>
              <w:bottom w:val="single" w:sz="4" w:space="0" w:color="CCCCCC"/>
              <w:right w:val="single" w:sz="4" w:space="0" w:color="CCCCCC"/>
            </w:tcBorders>
            <w:shd w:val="clear" w:color="auto" w:fill="0A2342"/>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b/>
                <w:color w:val="FFFFFF"/>
                <w:sz w:val="24"/>
                <w:szCs w:val="24"/>
              </w:rPr>
              <w:t>Capaian Praktis</w:t>
            </w:r>
          </w:p>
        </w:tc>
        <w:tc>
          <w:tcPr>
            <w:tcW w:w="1440" w:type="dxa"/>
            <w:tcBorders>
              <w:top w:val="single" w:sz="4" w:space="0" w:color="CCCCCC"/>
              <w:left w:val="single" w:sz="4" w:space="0" w:color="CCCCCC"/>
              <w:bottom w:val="single" w:sz="4" w:space="0" w:color="CCCCCC"/>
              <w:right w:val="single" w:sz="4" w:space="0" w:color="CCCCCC"/>
            </w:tcBorders>
            <w:shd w:val="clear" w:color="auto" w:fill="0A2342"/>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b/>
                <w:color w:val="FFFFFF"/>
                <w:sz w:val="24"/>
                <w:szCs w:val="24"/>
              </w:rPr>
              <w:t>Status Pemenuhan</w:t>
            </w:r>
          </w:p>
        </w:tc>
      </w:tr>
      <w:tr w:rsidR="004822AC" w:rsidRPr="008D3082" w:rsidTr="004475CC">
        <w:trPr>
          <w:jc w:val="center"/>
        </w:trPr>
        <w:tc>
          <w:tcPr>
            <w:tcW w:w="576" w:type="dxa"/>
            <w:tcBorders>
              <w:top w:val="single" w:sz="4" w:space="0" w:color="CCCCCC"/>
              <w:left w:val="single" w:sz="4" w:space="0" w:color="CCCCCC"/>
              <w:bottom w:val="single" w:sz="4" w:space="0" w:color="CCCCCC"/>
              <w:right w:val="single" w:sz="4" w:space="0" w:color="CCCCCC"/>
            </w:tcBorders>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color w:val="3C3C3C"/>
                <w:sz w:val="24"/>
                <w:szCs w:val="24"/>
              </w:rPr>
              <w:t>1</w:t>
            </w:r>
          </w:p>
        </w:tc>
        <w:tc>
          <w:tcPr>
            <w:tcW w:w="1872" w:type="dxa"/>
            <w:tcBorders>
              <w:top w:val="single" w:sz="4" w:space="0" w:color="CCCCCC"/>
              <w:left w:val="single" w:sz="4" w:space="0" w:color="CCCCCC"/>
              <w:bottom w:val="single" w:sz="4" w:space="0" w:color="CCCCCC"/>
              <w:right w:val="single" w:sz="4" w:space="0" w:color="CCCCCC"/>
            </w:tcBorders>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color w:val="3C3C3C"/>
                <w:sz w:val="24"/>
                <w:szCs w:val="24"/>
              </w:rPr>
              <w:t>Vertikal</w:t>
            </w:r>
            <w:r w:rsidRPr="008D3082">
              <w:rPr>
                <w:rFonts w:ascii="Times New Roman" w:hAnsi="Times New Roman" w:cs="Times New Roman"/>
                <w:color w:val="3C3C3C"/>
                <w:sz w:val="24"/>
                <w:szCs w:val="24"/>
              </w:rPr>
              <w:br/>
              <w:t>(Teosentris)</w:t>
            </w:r>
          </w:p>
        </w:tc>
        <w:tc>
          <w:tcPr>
            <w:tcW w:w="3744" w:type="dxa"/>
            <w:tcBorders>
              <w:top w:val="single" w:sz="4" w:space="0" w:color="CCCCCC"/>
              <w:left w:val="single" w:sz="4" w:space="0" w:color="CCCCCC"/>
              <w:bottom w:val="single" w:sz="4" w:space="0" w:color="CCCCCC"/>
              <w:right w:val="single" w:sz="4" w:space="0" w:color="CCCCCC"/>
            </w:tcBorders>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color w:val="3C3C3C"/>
                <w:sz w:val="24"/>
                <w:szCs w:val="24"/>
              </w:rPr>
              <w:t>Peniadaan riba/gharar secara absolut; pemisahan dana komersial &amp; kebajikan; akurasi penyaluran ZISWAF; opini formal kepatuhan syariah dari Dewan Pengawas Syariah (DPS).</w:t>
            </w:r>
          </w:p>
        </w:tc>
        <w:tc>
          <w:tcPr>
            <w:tcW w:w="1728" w:type="dxa"/>
            <w:tcBorders>
              <w:top w:val="single" w:sz="4" w:space="0" w:color="CCCCCC"/>
              <w:left w:val="single" w:sz="4" w:space="0" w:color="CCCCCC"/>
              <w:bottom w:val="single" w:sz="4" w:space="0" w:color="CCCCCC"/>
              <w:right w:val="single" w:sz="4" w:space="0" w:color="CCCCCC"/>
            </w:tcBorders>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color w:val="3C3C3C"/>
                <w:sz w:val="24"/>
                <w:szCs w:val="24"/>
              </w:rPr>
              <w:t>Implementasi akad bersih; laporan sirkulasi ZISWAF transparan; pembersihan pendapatan non-halal diungkap.</w:t>
            </w:r>
          </w:p>
        </w:tc>
        <w:tc>
          <w:tcPr>
            <w:tcW w:w="1440" w:type="dxa"/>
            <w:tcBorders>
              <w:top w:val="single" w:sz="4" w:space="0" w:color="CCCCCC"/>
              <w:left w:val="single" w:sz="4" w:space="0" w:color="CCCCCC"/>
              <w:bottom w:val="single" w:sz="4" w:space="0" w:color="CCCCCC"/>
              <w:right w:val="single" w:sz="4" w:space="0" w:color="CCCCCC"/>
            </w:tcBorders>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b/>
                <w:color w:val="3C3C3C"/>
                <w:sz w:val="24"/>
                <w:szCs w:val="24"/>
              </w:rPr>
              <w:t>Sangat Baik</w:t>
            </w:r>
            <w:r w:rsidRPr="008D3082">
              <w:rPr>
                <w:rFonts w:ascii="Times New Roman" w:hAnsi="Times New Roman" w:cs="Times New Roman"/>
                <w:b/>
                <w:color w:val="3C3C3C"/>
                <w:sz w:val="24"/>
                <w:szCs w:val="24"/>
              </w:rPr>
              <w:br/>
              <w:t>(Substantif)</w:t>
            </w:r>
          </w:p>
        </w:tc>
      </w:tr>
      <w:tr w:rsidR="004822AC" w:rsidRPr="008D3082" w:rsidTr="004475CC">
        <w:trPr>
          <w:jc w:val="center"/>
        </w:trPr>
        <w:tc>
          <w:tcPr>
            <w:tcW w:w="576" w:type="dxa"/>
            <w:tcBorders>
              <w:top w:val="single" w:sz="4" w:space="0" w:color="CCCCCC"/>
              <w:left w:val="single" w:sz="4" w:space="0" w:color="CCCCCC"/>
              <w:bottom w:val="single" w:sz="4" w:space="0" w:color="CCCCCC"/>
              <w:right w:val="single" w:sz="4" w:space="0" w:color="CCCCCC"/>
            </w:tcBorders>
            <w:shd w:val="clear" w:color="auto" w:fill="F4F6F9"/>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color w:val="3C3C3C"/>
                <w:sz w:val="24"/>
                <w:szCs w:val="24"/>
              </w:rPr>
              <w:t>2</w:t>
            </w:r>
          </w:p>
        </w:tc>
        <w:tc>
          <w:tcPr>
            <w:tcW w:w="1872" w:type="dxa"/>
            <w:tcBorders>
              <w:top w:val="single" w:sz="4" w:space="0" w:color="CCCCCC"/>
              <w:left w:val="single" w:sz="4" w:space="0" w:color="CCCCCC"/>
              <w:bottom w:val="single" w:sz="4" w:space="0" w:color="CCCCCC"/>
              <w:right w:val="single" w:sz="4" w:space="0" w:color="CCCCCC"/>
            </w:tcBorders>
            <w:shd w:val="clear" w:color="auto" w:fill="F4F6F9"/>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color w:val="3C3C3C"/>
                <w:sz w:val="24"/>
                <w:szCs w:val="24"/>
              </w:rPr>
              <w:t>Horizontal</w:t>
            </w:r>
            <w:r w:rsidRPr="008D3082">
              <w:rPr>
                <w:rFonts w:ascii="Times New Roman" w:hAnsi="Times New Roman" w:cs="Times New Roman"/>
                <w:color w:val="3C3C3C"/>
                <w:sz w:val="24"/>
                <w:szCs w:val="24"/>
              </w:rPr>
              <w:br/>
              <w:t>(Karyawan)</w:t>
            </w:r>
          </w:p>
        </w:tc>
        <w:tc>
          <w:tcPr>
            <w:tcW w:w="3744" w:type="dxa"/>
            <w:tcBorders>
              <w:top w:val="single" w:sz="4" w:space="0" w:color="CCCCCC"/>
              <w:left w:val="single" w:sz="4" w:space="0" w:color="CCCCCC"/>
              <w:bottom w:val="single" w:sz="4" w:space="0" w:color="CCCCCC"/>
              <w:right w:val="single" w:sz="4" w:space="0" w:color="CCCCCC"/>
            </w:tcBorders>
            <w:shd w:val="clear" w:color="auto" w:fill="F4F6F9"/>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color w:val="3C3C3C"/>
                <w:sz w:val="24"/>
                <w:szCs w:val="24"/>
              </w:rPr>
              <w:t xml:space="preserve">Remunerasi yang manusiawi (living wage); jaminan kesehatan menyeluruh; penciptaan iklim kerja religius; pelaksanaan pelatihan </w:t>
            </w:r>
            <w:r w:rsidRPr="008D3082">
              <w:rPr>
                <w:rFonts w:ascii="Times New Roman" w:hAnsi="Times New Roman" w:cs="Times New Roman"/>
                <w:color w:val="3C3C3C"/>
                <w:sz w:val="24"/>
                <w:szCs w:val="24"/>
              </w:rPr>
              <w:lastRenderedPageBreak/>
              <w:t>kompetensi spiritualitas berkelanjutan.</w:t>
            </w:r>
          </w:p>
        </w:tc>
        <w:tc>
          <w:tcPr>
            <w:tcW w:w="1728" w:type="dxa"/>
            <w:tcBorders>
              <w:top w:val="single" w:sz="4" w:space="0" w:color="CCCCCC"/>
              <w:left w:val="single" w:sz="4" w:space="0" w:color="CCCCCC"/>
              <w:bottom w:val="single" w:sz="4" w:space="0" w:color="CCCCCC"/>
              <w:right w:val="single" w:sz="4" w:space="0" w:color="CCCCCC"/>
            </w:tcBorders>
            <w:shd w:val="clear" w:color="auto" w:fill="F4F6F9"/>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color w:val="3C3C3C"/>
                <w:sz w:val="24"/>
                <w:szCs w:val="24"/>
              </w:rPr>
              <w:lastRenderedPageBreak/>
              <w:t xml:space="preserve">Gaji di atas UMK; insentif proporsional; agenda kajian ruhani rutin </w:t>
            </w:r>
            <w:r w:rsidRPr="008D3082">
              <w:rPr>
                <w:rFonts w:ascii="Times New Roman" w:hAnsi="Times New Roman" w:cs="Times New Roman"/>
                <w:color w:val="3C3C3C"/>
                <w:sz w:val="24"/>
                <w:szCs w:val="24"/>
              </w:rPr>
              <w:lastRenderedPageBreak/>
              <w:t>mingguan terstruktur.</w:t>
            </w:r>
          </w:p>
        </w:tc>
        <w:tc>
          <w:tcPr>
            <w:tcW w:w="1440" w:type="dxa"/>
            <w:tcBorders>
              <w:top w:val="single" w:sz="4" w:space="0" w:color="CCCCCC"/>
              <w:left w:val="single" w:sz="4" w:space="0" w:color="CCCCCC"/>
              <w:bottom w:val="single" w:sz="4" w:space="0" w:color="CCCCCC"/>
              <w:right w:val="single" w:sz="4" w:space="0" w:color="CCCCCC"/>
            </w:tcBorders>
            <w:shd w:val="clear" w:color="auto" w:fill="F4F6F9"/>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b/>
                <w:color w:val="3C3C3C"/>
                <w:sz w:val="24"/>
                <w:szCs w:val="24"/>
              </w:rPr>
              <w:lastRenderedPageBreak/>
              <w:t>Sangat Baik</w:t>
            </w:r>
            <w:r w:rsidRPr="008D3082">
              <w:rPr>
                <w:rFonts w:ascii="Times New Roman" w:hAnsi="Times New Roman" w:cs="Times New Roman"/>
                <w:b/>
                <w:color w:val="3C3C3C"/>
                <w:sz w:val="24"/>
                <w:szCs w:val="24"/>
              </w:rPr>
              <w:br/>
              <w:t>(Substantif)</w:t>
            </w:r>
          </w:p>
        </w:tc>
      </w:tr>
      <w:tr w:rsidR="004822AC" w:rsidRPr="008D3082" w:rsidTr="004475CC">
        <w:trPr>
          <w:jc w:val="center"/>
        </w:trPr>
        <w:tc>
          <w:tcPr>
            <w:tcW w:w="576" w:type="dxa"/>
            <w:tcBorders>
              <w:top w:val="single" w:sz="4" w:space="0" w:color="CCCCCC"/>
              <w:left w:val="single" w:sz="4" w:space="0" w:color="CCCCCC"/>
              <w:bottom w:val="single" w:sz="4" w:space="0" w:color="CCCCCC"/>
              <w:right w:val="single" w:sz="4" w:space="0" w:color="CCCCCC"/>
            </w:tcBorders>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color w:val="3C3C3C"/>
                <w:sz w:val="24"/>
                <w:szCs w:val="24"/>
              </w:rPr>
              <w:lastRenderedPageBreak/>
              <w:t>3</w:t>
            </w:r>
          </w:p>
        </w:tc>
        <w:tc>
          <w:tcPr>
            <w:tcW w:w="1872" w:type="dxa"/>
            <w:tcBorders>
              <w:top w:val="single" w:sz="4" w:space="0" w:color="CCCCCC"/>
              <w:left w:val="single" w:sz="4" w:space="0" w:color="CCCCCC"/>
              <w:bottom w:val="single" w:sz="4" w:space="0" w:color="CCCCCC"/>
              <w:right w:val="single" w:sz="4" w:space="0" w:color="CCCCCC"/>
            </w:tcBorders>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color w:val="3C3C3C"/>
                <w:sz w:val="24"/>
                <w:szCs w:val="24"/>
              </w:rPr>
              <w:t>Horizontal</w:t>
            </w:r>
            <w:r w:rsidRPr="008D3082">
              <w:rPr>
                <w:rFonts w:ascii="Times New Roman" w:hAnsi="Times New Roman" w:cs="Times New Roman"/>
                <w:color w:val="3C3C3C"/>
                <w:sz w:val="24"/>
                <w:szCs w:val="24"/>
              </w:rPr>
              <w:br/>
              <w:t>(Nasabah)</w:t>
            </w:r>
          </w:p>
        </w:tc>
        <w:tc>
          <w:tcPr>
            <w:tcW w:w="3744" w:type="dxa"/>
            <w:tcBorders>
              <w:top w:val="single" w:sz="4" w:space="0" w:color="CCCCCC"/>
              <w:left w:val="single" w:sz="4" w:space="0" w:color="CCCCCC"/>
              <w:bottom w:val="single" w:sz="4" w:space="0" w:color="CCCCCC"/>
              <w:right w:val="single" w:sz="4" w:space="0" w:color="CCCCCC"/>
            </w:tcBorders>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color w:val="3C3C3C"/>
                <w:sz w:val="24"/>
                <w:szCs w:val="24"/>
              </w:rPr>
              <w:t>Penetapan margin profit/bagi hasil yang adil; penyediaan program pendampingan usaha mikro dhuafa; empati sosial melalui restrukturisasi non-represif akad bermasalah.</w:t>
            </w:r>
          </w:p>
        </w:tc>
        <w:tc>
          <w:tcPr>
            <w:tcW w:w="1728" w:type="dxa"/>
            <w:tcBorders>
              <w:top w:val="single" w:sz="4" w:space="0" w:color="CCCCCC"/>
              <w:left w:val="single" w:sz="4" w:space="0" w:color="CCCCCC"/>
              <w:bottom w:val="single" w:sz="4" w:space="0" w:color="CCCCCC"/>
              <w:right w:val="single" w:sz="4" w:space="0" w:color="CCCCCC"/>
            </w:tcBorders>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color w:val="3C3C3C"/>
                <w:sz w:val="24"/>
                <w:szCs w:val="24"/>
              </w:rPr>
              <w:t>Bagi hasil kompetitif; edukasi pembukuan reguler; penyelesaian gagal bayar via skema Qardhul Hasan.</w:t>
            </w:r>
          </w:p>
        </w:tc>
        <w:tc>
          <w:tcPr>
            <w:tcW w:w="1440" w:type="dxa"/>
            <w:tcBorders>
              <w:top w:val="single" w:sz="4" w:space="0" w:color="CCCCCC"/>
              <w:left w:val="single" w:sz="4" w:space="0" w:color="CCCCCC"/>
              <w:bottom w:val="single" w:sz="4" w:space="0" w:color="CCCCCC"/>
              <w:right w:val="single" w:sz="4" w:space="0" w:color="CCCCCC"/>
            </w:tcBorders>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b/>
                <w:color w:val="3C3C3C"/>
                <w:sz w:val="24"/>
                <w:szCs w:val="24"/>
              </w:rPr>
              <w:t>Sangat Baik</w:t>
            </w:r>
            <w:r w:rsidRPr="008D3082">
              <w:rPr>
                <w:rFonts w:ascii="Times New Roman" w:hAnsi="Times New Roman" w:cs="Times New Roman"/>
                <w:b/>
                <w:color w:val="3C3C3C"/>
                <w:sz w:val="24"/>
                <w:szCs w:val="24"/>
              </w:rPr>
              <w:br/>
              <w:t>(Substantif)</w:t>
            </w:r>
          </w:p>
        </w:tc>
      </w:tr>
      <w:tr w:rsidR="004822AC" w:rsidRPr="008D3082" w:rsidTr="004475CC">
        <w:trPr>
          <w:jc w:val="center"/>
        </w:trPr>
        <w:tc>
          <w:tcPr>
            <w:tcW w:w="576" w:type="dxa"/>
            <w:tcBorders>
              <w:top w:val="single" w:sz="4" w:space="0" w:color="CCCCCC"/>
              <w:left w:val="single" w:sz="4" w:space="0" w:color="CCCCCC"/>
              <w:bottom w:val="single" w:sz="4" w:space="0" w:color="CCCCCC"/>
              <w:right w:val="single" w:sz="4" w:space="0" w:color="CCCCCC"/>
            </w:tcBorders>
            <w:shd w:val="clear" w:color="auto" w:fill="F4F6F9"/>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color w:val="3C3C3C"/>
                <w:sz w:val="24"/>
                <w:szCs w:val="24"/>
              </w:rPr>
              <w:t>4</w:t>
            </w:r>
          </w:p>
        </w:tc>
        <w:tc>
          <w:tcPr>
            <w:tcW w:w="1872" w:type="dxa"/>
            <w:tcBorders>
              <w:top w:val="single" w:sz="4" w:space="0" w:color="CCCCCC"/>
              <w:left w:val="single" w:sz="4" w:space="0" w:color="CCCCCC"/>
              <w:bottom w:val="single" w:sz="4" w:space="0" w:color="CCCCCC"/>
              <w:right w:val="single" w:sz="4" w:space="0" w:color="CCCCCC"/>
            </w:tcBorders>
            <w:shd w:val="clear" w:color="auto" w:fill="F4F6F9"/>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color w:val="3C3C3C"/>
                <w:sz w:val="24"/>
                <w:szCs w:val="24"/>
              </w:rPr>
              <w:t>Lingkungan</w:t>
            </w:r>
            <w:r w:rsidRPr="008D3082">
              <w:rPr>
                <w:rFonts w:ascii="Times New Roman" w:hAnsi="Times New Roman" w:cs="Times New Roman"/>
                <w:color w:val="3C3C3C"/>
                <w:sz w:val="24"/>
                <w:szCs w:val="24"/>
              </w:rPr>
              <w:br/>
              <w:t>(Ekologis)</w:t>
            </w:r>
          </w:p>
        </w:tc>
        <w:tc>
          <w:tcPr>
            <w:tcW w:w="3744" w:type="dxa"/>
            <w:tcBorders>
              <w:top w:val="single" w:sz="4" w:space="0" w:color="CCCCCC"/>
              <w:left w:val="single" w:sz="4" w:space="0" w:color="CCCCCC"/>
              <w:bottom w:val="single" w:sz="4" w:space="0" w:color="CCCCCC"/>
              <w:right w:val="single" w:sz="4" w:space="0" w:color="CCCCCC"/>
            </w:tcBorders>
            <w:shd w:val="clear" w:color="auto" w:fill="F4F6F9"/>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color w:val="3C3C3C"/>
                <w:sz w:val="24"/>
                <w:szCs w:val="24"/>
              </w:rPr>
              <w:t>Ketersediaan instrumen tertulis ecological screening pembiayaan; internalisasi eco-office operasional kantor; realisasi program restorasi ekologi/lingkungan hidup sekitar.</w:t>
            </w:r>
          </w:p>
        </w:tc>
        <w:tc>
          <w:tcPr>
            <w:tcW w:w="1728" w:type="dxa"/>
            <w:tcBorders>
              <w:top w:val="single" w:sz="4" w:space="0" w:color="CCCCCC"/>
              <w:left w:val="single" w:sz="4" w:space="0" w:color="CCCCCC"/>
              <w:bottom w:val="single" w:sz="4" w:space="0" w:color="CCCCCC"/>
              <w:right w:val="single" w:sz="4" w:space="0" w:color="CCCCCC"/>
            </w:tcBorders>
            <w:shd w:val="clear" w:color="auto" w:fill="F4F6F9"/>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color w:val="3C3C3C"/>
                <w:sz w:val="24"/>
                <w:szCs w:val="24"/>
              </w:rPr>
              <w:t>Belum memiliki regulasi standar pembiayaan hijau; efisiensi kertas parsial; minim pengungkapan isu alam.</w:t>
            </w:r>
          </w:p>
        </w:tc>
        <w:tc>
          <w:tcPr>
            <w:tcW w:w="1440" w:type="dxa"/>
            <w:tcBorders>
              <w:top w:val="single" w:sz="4" w:space="0" w:color="CCCCCC"/>
              <w:left w:val="single" w:sz="4" w:space="0" w:color="CCCCCC"/>
              <w:bottom w:val="single" w:sz="4" w:space="0" w:color="CCCCCC"/>
              <w:right w:val="single" w:sz="4" w:space="0" w:color="CCCCCC"/>
            </w:tcBorders>
            <w:shd w:val="clear" w:color="auto" w:fill="F4F6F9"/>
            <w:vAlign w:val="center"/>
          </w:tcPr>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b/>
                <w:color w:val="3C3C3C"/>
                <w:sz w:val="24"/>
                <w:szCs w:val="24"/>
              </w:rPr>
              <w:t>Cukup Baik</w:t>
            </w:r>
            <w:r w:rsidRPr="008D3082">
              <w:rPr>
                <w:rFonts w:ascii="Times New Roman" w:hAnsi="Times New Roman" w:cs="Times New Roman"/>
                <w:b/>
                <w:color w:val="3C3C3C"/>
                <w:sz w:val="24"/>
                <w:szCs w:val="24"/>
              </w:rPr>
              <w:br/>
              <w:t>(Formalitas)</w:t>
            </w:r>
          </w:p>
        </w:tc>
      </w:tr>
    </w:tbl>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i/>
          <w:sz w:val="24"/>
          <w:szCs w:val="24"/>
        </w:rPr>
        <w:t>Sumber: Analisis Konten Dokumen Primer Diolah (2026)</w:t>
      </w:r>
    </w:p>
    <w:p w:rsidR="004822AC" w:rsidRPr="008D3082" w:rsidRDefault="004822AC" w:rsidP="008D3082">
      <w:pPr>
        <w:spacing w:after="0" w:line="360" w:lineRule="auto"/>
        <w:jc w:val="both"/>
        <w:rPr>
          <w:rFonts w:ascii="Times New Roman" w:hAnsi="Times New Roman" w:cs="Times New Roman"/>
          <w:b/>
          <w:color w:val="0A2342"/>
          <w:sz w:val="24"/>
          <w:szCs w:val="24"/>
        </w:rPr>
      </w:pPr>
      <w:r w:rsidRPr="008D3082">
        <w:rPr>
          <w:rFonts w:ascii="Times New Roman" w:hAnsi="Times New Roman" w:cs="Times New Roman"/>
          <w:b/>
          <w:color w:val="0A2342"/>
          <w:sz w:val="24"/>
          <w:szCs w:val="24"/>
        </w:rPr>
        <w:t xml:space="preserve"> </w:t>
      </w:r>
      <w:r w:rsidRPr="008D3082">
        <w:rPr>
          <w:rFonts w:ascii="Times New Roman" w:hAnsi="Times New Roman" w:cs="Times New Roman"/>
          <w:b/>
          <w:sz w:val="24"/>
          <w:szCs w:val="24"/>
        </w:rPr>
        <w:t>Analisis Akuntabilitas Vertikal: Refleksi Kesadaran Teosentris</w:t>
      </w:r>
    </w:p>
    <w:p w:rsidR="004822AC" w:rsidRPr="008D3082" w:rsidRDefault="004822AC" w:rsidP="008D3082">
      <w:pPr>
        <w:spacing w:after="0" w:line="360" w:lineRule="auto"/>
        <w:ind w:firstLine="567"/>
        <w:jc w:val="both"/>
        <w:rPr>
          <w:rFonts w:ascii="Times New Roman" w:hAnsi="Times New Roman" w:cs="Times New Roman"/>
          <w:sz w:val="24"/>
          <w:szCs w:val="24"/>
        </w:rPr>
      </w:pPr>
      <w:r w:rsidRPr="008D3082">
        <w:rPr>
          <w:rFonts w:ascii="Times New Roman" w:hAnsi="Times New Roman" w:cs="Times New Roman"/>
          <w:sz w:val="24"/>
          <w:szCs w:val="24"/>
        </w:rPr>
        <w:t xml:space="preserve">Menilik hasil kategorisasi data pada Tabel 1, dimensi pertanggungjawaban vertikal (Hablan Minallah) menempati klaster kriteria Sangat Baik (Sesuai Syariah Substantif). Temuan lapangan membuktikan bahwa internalisasi nilai-nilai tauhid dan kesadaran spiritualitas transendental telah mewarnai seluruh lini operasional fundamental LKMS yang diteliti. Berdasarkan analisis konten atas lembar laporan tahunan dan laporan keuangan audit syariah, LKMS secara mutlak menegasikan unsur ribawi, gharar, dan maysir dalam akad transaksinya. Pola interaksi bisnis yang terbentuk bukan sekadar relasi materialistik komersial demi akumulasi kekayaan </w:t>
      </w:r>
      <w:r w:rsidRPr="008D3082">
        <w:rPr>
          <w:rFonts w:ascii="Times New Roman" w:hAnsi="Times New Roman" w:cs="Times New Roman"/>
          <w:sz w:val="24"/>
          <w:szCs w:val="24"/>
        </w:rPr>
        <w:lastRenderedPageBreak/>
        <w:t xml:space="preserve">egoistik pemilik modal, melainkan diposisikan sebagai jembatan pengabdian mutlak guna mencari ridha Allah SWT (Amerieska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2012; Saadah dkk., 2023).</w:t>
      </w:r>
    </w:p>
    <w:p w:rsidR="004822AC" w:rsidRPr="008D3082" w:rsidRDefault="004822AC" w:rsidP="008D3082">
      <w:pPr>
        <w:spacing w:after="0" w:line="360" w:lineRule="auto"/>
        <w:ind w:firstLine="567"/>
        <w:jc w:val="both"/>
        <w:rPr>
          <w:rFonts w:ascii="Times New Roman" w:hAnsi="Times New Roman" w:cs="Times New Roman"/>
          <w:sz w:val="24"/>
          <w:szCs w:val="24"/>
        </w:rPr>
      </w:pPr>
      <w:r w:rsidRPr="008D3082">
        <w:rPr>
          <w:rFonts w:ascii="Times New Roman" w:hAnsi="Times New Roman" w:cs="Times New Roman"/>
          <w:sz w:val="24"/>
          <w:szCs w:val="24"/>
        </w:rPr>
        <w:t xml:space="preserve">Sikap teosentris ini termanifestasi nyata dari adanya regulasi pemisahan laporan keuangan antara pos </w:t>
      </w:r>
      <w:proofErr w:type="gramStart"/>
      <w:r w:rsidRPr="008D3082">
        <w:rPr>
          <w:rFonts w:ascii="Times New Roman" w:hAnsi="Times New Roman" w:cs="Times New Roman"/>
          <w:sz w:val="24"/>
          <w:szCs w:val="24"/>
        </w:rPr>
        <w:t>dana</w:t>
      </w:r>
      <w:proofErr w:type="gramEnd"/>
      <w:r w:rsidRPr="008D3082">
        <w:rPr>
          <w:rFonts w:ascii="Times New Roman" w:hAnsi="Times New Roman" w:cs="Times New Roman"/>
          <w:sz w:val="24"/>
          <w:szCs w:val="24"/>
        </w:rPr>
        <w:t xml:space="preserve"> komersial (Tamwil) dengan pos sirkulasi dana sosial keagamaan (Baitul Maal). Penyaluran instrumen Ziswaf (Zakat, Infak, Sedekah, dan Wakaf) dikelola secara profesional, transparan, serta disalurkan secara tepat sasaran kepada delapan asnaf, khususnya kelompok masyarakat miskin ekstrem. Selain itu, LKMS menunjukkan kejujuran transendental dengan menyajikan pos laporan pembersihan harta (cleansing) secara terbuka. Jika ditemukan adanya pendapatan non-halal yang bersumber dari sanksi keterlambatan nasabah sengaja, </w:t>
      </w:r>
      <w:proofErr w:type="gramStart"/>
      <w:r w:rsidRPr="008D3082">
        <w:rPr>
          <w:rFonts w:ascii="Times New Roman" w:hAnsi="Times New Roman" w:cs="Times New Roman"/>
          <w:sz w:val="24"/>
          <w:szCs w:val="24"/>
        </w:rPr>
        <w:t>dana</w:t>
      </w:r>
      <w:proofErr w:type="gramEnd"/>
      <w:r w:rsidRPr="008D3082">
        <w:rPr>
          <w:rFonts w:ascii="Times New Roman" w:hAnsi="Times New Roman" w:cs="Times New Roman"/>
          <w:sz w:val="24"/>
          <w:szCs w:val="24"/>
        </w:rPr>
        <w:t xml:space="preserve"> tersebut segera diisolasi dan dialihkan penuh untuk keperluan fasilitas publik keagamaan. Keberadaan opini kepatuhan syariah yang diterbitkan secara formal berkala oleh Dewan Pengawas Syariah (DPS) memperkuat akuntabilitas institusi ini bahwa operasional keuangan mikro berakar kokoh pada syariat (Anwar, 2026; Apriansyah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2021).</w:t>
      </w:r>
    </w:p>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b/>
          <w:sz w:val="24"/>
          <w:szCs w:val="24"/>
        </w:rPr>
        <w:t>Analisis Akuntabilitas Horizontal: Manifestasi Keadilan Distributif Insani</w:t>
      </w:r>
    </w:p>
    <w:p w:rsidR="004822AC" w:rsidRPr="008D3082" w:rsidRDefault="004822AC" w:rsidP="008D3082">
      <w:pPr>
        <w:spacing w:after="0" w:line="360" w:lineRule="auto"/>
        <w:ind w:firstLine="567"/>
        <w:jc w:val="both"/>
        <w:rPr>
          <w:rFonts w:ascii="Times New Roman" w:hAnsi="Times New Roman" w:cs="Times New Roman"/>
          <w:sz w:val="24"/>
          <w:szCs w:val="24"/>
        </w:rPr>
      </w:pPr>
      <w:r w:rsidRPr="008D3082">
        <w:rPr>
          <w:rFonts w:ascii="Times New Roman" w:hAnsi="Times New Roman" w:cs="Times New Roman"/>
          <w:sz w:val="24"/>
          <w:szCs w:val="24"/>
        </w:rPr>
        <w:t xml:space="preserve">Pada dimensi akuntabilitas horizontal sesama manusia (Hablan Minannas), LKMS mencatatkan performa Sangat Baik, baik dalam menyejahterakan pemangku kepentingan internal (karyawan) maupun pemangku kepentingan eksternal (nasabah mikro). Filosofi Shariah Enterprise Theory menggariskan pemahaman bahwa manusia adalah khalifah di muka bumi yang mengemban mandat Ilahi untuk mendistribusikan rahmat dan keadilan ekonomi secara merata (Saadah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2023). Hasil konfirmasi wawancara mendalam menunjukkan bahwa pemenuhan hak karyawan dilakukan melalui pemberian skema upah layak (living wage) yang melampaui standar formal regulasi ketenagakerjaan sekuler.</w:t>
      </w:r>
    </w:p>
    <w:p w:rsidR="004822AC" w:rsidRPr="008D3082" w:rsidRDefault="004822AC" w:rsidP="008D3082">
      <w:pPr>
        <w:spacing w:after="0" w:line="360" w:lineRule="auto"/>
        <w:ind w:firstLine="567"/>
        <w:jc w:val="both"/>
        <w:rPr>
          <w:rFonts w:ascii="Times New Roman" w:hAnsi="Times New Roman" w:cs="Times New Roman"/>
          <w:sz w:val="24"/>
          <w:szCs w:val="24"/>
        </w:rPr>
      </w:pPr>
      <w:r w:rsidRPr="008D3082">
        <w:rPr>
          <w:rFonts w:ascii="Times New Roman" w:hAnsi="Times New Roman" w:cs="Times New Roman"/>
          <w:sz w:val="24"/>
          <w:szCs w:val="24"/>
        </w:rPr>
        <w:t xml:space="preserve">Kesejahteraan karyawan dijaga melalui fasilitas perlindungan jaminan kesehatan serta pemenuhan lingkungan kerja yang kondusif. Lebih jauh, LKMS mengagendakan program pembinaan kompetensi spiritual dan mental-keagamaan rutin mingguan, sehingga karyawan tidak merasa teralienasi sebagai alat produksi kapitalistik melainkan dihargai utuh sebagai entitas manusiawi mulia (Apriansyah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2021). Pada sisi lain, efektivitas proteksi terhadap nasabah mikro dilakukan secara masif untuk membendung bahaya pergeseran misi komersial (mission drift) (Hussain &amp; </w:t>
      </w:r>
      <w:r w:rsidRPr="008D3082">
        <w:rPr>
          <w:rFonts w:ascii="Times New Roman" w:hAnsi="Times New Roman" w:cs="Times New Roman"/>
          <w:sz w:val="24"/>
          <w:szCs w:val="24"/>
        </w:rPr>
        <w:lastRenderedPageBreak/>
        <w:t xml:space="preserve">Ahmed, 2024). LKMS menetapkan nisbah bagi hasil dan margin profit yang adil dan transparan tanpa biaya siluman. Pendampingan usaha mikro dilakukan secara berkala mencakup edukasi pembukuan dan manajemen taktis. Jika nasabah dhuafa didera krisis ekonomi objektif sehingga gagal bayar, LKMS pantang menerapkan eksekusi jaminan secara paksa, melainkan memberikan empati kemanusiaan lewat skema restrukturisasi lunak atau pengalihan utang menjadi beban dana kebajikan Qardhul Hasan (Khairani &amp; Jannah, 2025; Mugiyati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2021).</w:t>
      </w:r>
    </w:p>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b/>
          <w:sz w:val="24"/>
          <w:szCs w:val="24"/>
        </w:rPr>
        <w:t>Analisis Akuntabilitas Lingkungan: Keterbatasan Implementasi Etika Ekologis</w:t>
      </w:r>
    </w:p>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sz w:val="24"/>
          <w:szCs w:val="24"/>
        </w:rPr>
        <w:t xml:space="preserve">Ketimpangan analisis terlihat jelas pada dimensi akuntabilitas lingkungan (alam semesta), di mana LKMS hanya menempati kriteria Cukup Baik (Kepatuhan Formalitas). Konstruksi teoretis SET meletakkan alam semesta sebagai salah satu pemangku kepentingan non-human vital yang wajib dilindungi dari perilaku eksploitatif destruktif (fasad) demi menjaga keseimbangan ciptaan Allah (Saadah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2023; Triyuwono, 2007). Kendati demikian, dokumentasi empiris membuktikan bahwa manajemen puncak LKMS masih terkungkung oleh paradigma antroposentrisme, yakni pandangan keliru yang berasumsi bahwa sektor jasa keuangan tidak bersentuhan langsung dengan kerusakan ekosistem.</w:t>
      </w:r>
    </w:p>
    <w:p w:rsidR="004822AC" w:rsidRPr="008D3082" w:rsidRDefault="004822AC" w:rsidP="008D3082">
      <w:pPr>
        <w:spacing w:after="0" w:line="360" w:lineRule="auto"/>
        <w:ind w:firstLine="567"/>
        <w:jc w:val="both"/>
        <w:rPr>
          <w:rFonts w:ascii="Times New Roman" w:hAnsi="Times New Roman" w:cs="Times New Roman"/>
          <w:sz w:val="24"/>
          <w:szCs w:val="24"/>
        </w:rPr>
      </w:pPr>
      <w:r w:rsidRPr="008D3082">
        <w:rPr>
          <w:rFonts w:ascii="Times New Roman" w:hAnsi="Times New Roman" w:cs="Times New Roman"/>
          <w:sz w:val="24"/>
          <w:szCs w:val="24"/>
        </w:rPr>
        <w:t xml:space="preserve">Kelemahan paling mendasar adalah ketiadaan standardisasi instrumen tertulis (SOP) mengenai ecological screening atau penyaringan dampak lingkungan dalam proses analisis kelayakan pembiayaan calon nasabah. Konsep keuangan mikro hijau (green microfinance) belum terlembagakan ke dalam cetak biru strategi korporasi, sehingga risiko penyaluran modal produktif kepada pelaku usaha mikro yang membuang limbah berbahaya secara sembarangan masih terbuka lebar (Segrado, 2005). Di area internal operasional perkantoran, budaya eco-office baru diaplikasikan sebatas kampanye penghematan kertas parsial, tanpa adanya sistem otomasi digital terpadu maupun indikator kuantitatif konversi energi yang sahih (Saddek, 2024). Pengungkapan alokasi biaya tanggung jawab sosial untuk agenda restorasi lingkungan juga tergolong minim dan insidental, membuktikan etika ekologis belum diposisikan sebagai pilar kemaslahatan strategis (Hartanto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2026; Mulawarman dkk., 2025).</w:t>
      </w:r>
    </w:p>
    <w:p w:rsidR="004822AC" w:rsidRPr="008D3082" w:rsidRDefault="004822AC" w:rsidP="008D3082">
      <w:pPr>
        <w:spacing w:after="0" w:line="360" w:lineRule="auto"/>
        <w:jc w:val="both"/>
        <w:rPr>
          <w:rFonts w:ascii="Times New Roman" w:hAnsi="Times New Roman" w:cs="Times New Roman"/>
          <w:sz w:val="24"/>
          <w:szCs w:val="24"/>
        </w:rPr>
      </w:pPr>
      <w:r w:rsidRPr="008D3082">
        <w:rPr>
          <w:rFonts w:ascii="Times New Roman" w:hAnsi="Times New Roman" w:cs="Times New Roman"/>
          <w:b/>
          <w:sz w:val="24"/>
          <w:szCs w:val="24"/>
        </w:rPr>
        <w:t>Sintesis Akhir dan Harmonisasi Regulasi DSN-MUI</w:t>
      </w:r>
    </w:p>
    <w:p w:rsidR="004822AC" w:rsidRPr="008D3082" w:rsidRDefault="004822AC" w:rsidP="008D3082">
      <w:pPr>
        <w:spacing w:after="0" w:line="360" w:lineRule="auto"/>
        <w:ind w:firstLine="567"/>
        <w:jc w:val="both"/>
        <w:rPr>
          <w:rFonts w:ascii="Times New Roman" w:hAnsi="Times New Roman" w:cs="Times New Roman"/>
          <w:sz w:val="24"/>
          <w:szCs w:val="24"/>
        </w:rPr>
      </w:pPr>
      <w:r w:rsidRPr="008D3082">
        <w:rPr>
          <w:rFonts w:ascii="Times New Roman" w:hAnsi="Times New Roman" w:cs="Times New Roman"/>
          <w:sz w:val="24"/>
          <w:szCs w:val="24"/>
        </w:rPr>
        <w:lastRenderedPageBreak/>
        <w:t>Sintesis komprehensif dari seluruh temuan ini menunjukkan bahwa LKMS di Sumatera Utara memiliki kepatuhan yang tangguh pada aspek teosentris-vertikal dan kemanusiaan-horizontal, namun mengalami defisit kesadaran yang mencolok pada aspek ekologis-lingkungan. Dalam kacamata Shariah Enterprise Theory, ketidakseimbangan orientasi ini mencederai hukum keselarasan kosmis (mizan), mengingat tata kelola perusahaan syariah idealnya wajib mendistribusikan kemaslahatan secara holistik dan proporsional kepada seluruh makhluk tanpa mengorbankan salah satu pilar (Triyuwono, 2007). Ketimpangan ini mengonfirmasi adanya bias teologis di mana pengelola memperlakukan kewajiban ibadah mahdhah keuangan jauh lebih tinggi ketimbang kewajiban khalifah fil ardh untuk merawat bumi.</w:t>
      </w:r>
    </w:p>
    <w:p w:rsidR="00D646CF" w:rsidRPr="008D3082" w:rsidRDefault="004822AC" w:rsidP="008D3082">
      <w:pPr>
        <w:spacing w:after="0" w:line="360" w:lineRule="auto"/>
        <w:ind w:firstLine="567"/>
        <w:jc w:val="both"/>
        <w:rPr>
          <w:rFonts w:ascii="Times New Roman" w:hAnsi="Times New Roman" w:cs="Times New Roman"/>
          <w:sz w:val="24"/>
          <w:szCs w:val="24"/>
        </w:rPr>
      </w:pPr>
      <w:r w:rsidRPr="008D3082">
        <w:rPr>
          <w:rFonts w:ascii="Times New Roman" w:hAnsi="Times New Roman" w:cs="Times New Roman"/>
          <w:sz w:val="24"/>
          <w:szCs w:val="24"/>
        </w:rPr>
        <w:t xml:space="preserve">Apabila ditinjau dari aspek regulasi formal, praktik pelaporan serta tata kelola produk komersial dan sosial LKMS telah berjalan selaras dengan ketentuan Fatwa Dewan Syariah Nasional Majelis Ulama Indonesia (DSN-MUI) yang mengatur tentang keabsahan akad muamalah (seperti Fatwa terkait Mudharabah, Musyarakah, Murabahah, serta pengelolaan dana kebajikan Qardhul Hasan) (Aribi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2019). Namun, seiring dengan eskalasi krisis iklim global, DSN-MUI bersama Otoritas Jasa Keuangan (OJK) kini kian agresif mengintroduksi pedoman Keuangan Berkelanjutan (Sustainable Finance). Oleh karena itu, LKMS berkewajiban melakukan akselerasi dekonstruksi sistem akuntansinya, beranjak dari sekadar patuh pada formalitas syariat menuju pengadopsian kerangka kerja etika lingkungan terpadu yang diamanatkan oleh prinsip syariah substantif demi mewujudkan kemaslahatan hakiki sejagat raya (Maqashid Shariah Quadruple Bottom Line Approach) (Hartanto </w:t>
      </w:r>
      <w:proofErr w:type="gramStart"/>
      <w:r w:rsidRPr="008D3082">
        <w:rPr>
          <w:rFonts w:ascii="Times New Roman" w:hAnsi="Times New Roman" w:cs="Times New Roman"/>
          <w:sz w:val="24"/>
          <w:szCs w:val="24"/>
        </w:rPr>
        <w:t>dkk.,</w:t>
      </w:r>
      <w:proofErr w:type="gramEnd"/>
      <w:r w:rsidRPr="008D3082">
        <w:rPr>
          <w:rFonts w:ascii="Times New Roman" w:hAnsi="Times New Roman" w:cs="Times New Roman"/>
          <w:sz w:val="24"/>
          <w:szCs w:val="24"/>
        </w:rPr>
        <w:t xml:space="preserve"> 2026; Mulawarman dkk., 2025).</w:t>
      </w:r>
    </w:p>
    <w:p w:rsidR="00D646CF" w:rsidRPr="008D3082" w:rsidRDefault="00D646CF" w:rsidP="008D3082">
      <w:pPr>
        <w:spacing w:after="0" w:line="360" w:lineRule="auto"/>
        <w:ind w:firstLine="567"/>
        <w:jc w:val="both"/>
        <w:rPr>
          <w:rFonts w:ascii="Times New Roman" w:hAnsi="Times New Roman" w:cs="Times New Roman"/>
          <w:sz w:val="24"/>
          <w:szCs w:val="24"/>
        </w:rPr>
      </w:pPr>
    </w:p>
    <w:p w:rsidR="00D646CF" w:rsidRPr="008D3082" w:rsidRDefault="00D646CF" w:rsidP="008D3082">
      <w:pPr>
        <w:spacing w:after="0" w:line="360" w:lineRule="auto"/>
        <w:jc w:val="both"/>
        <w:rPr>
          <w:rFonts w:ascii="Times New Roman" w:hAnsi="Times New Roman" w:cs="Times New Roman"/>
          <w:b/>
          <w:sz w:val="24"/>
          <w:szCs w:val="24"/>
        </w:rPr>
      </w:pPr>
      <w:r w:rsidRPr="008D3082">
        <w:rPr>
          <w:rFonts w:ascii="Times New Roman" w:hAnsi="Times New Roman" w:cs="Times New Roman"/>
          <w:b/>
          <w:sz w:val="24"/>
          <w:szCs w:val="24"/>
        </w:rPr>
        <w:t xml:space="preserve">SIMPULAN </w:t>
      </w:r>
    </w:p>
    <w:p w:rsidR="00D646CF" w:rsidRPr="008D3082" w:rsidRDefault="00D646CF" w:rsidP="008D3082">
      <w:pPr>
        <w:spacing w:after="0" w:line="360" w:lineRule="auto"/>
        <w:ind w:firstLine="567"/>
        <w:jc w:val="both"/>
        <w:rPr>
          <w:rFonts w:ascii="Times New Roman" w:hAnsi="Times New Roman" w:cs="Times New Roman"/>
          <w:sz w:val="24"/>
          <w:szCs w:val="24"/>
        </w:rPr>
      </w:pPr>
      <w:r w:rsidRPr="008D3082">
        <w:rPr>
          <w:rFonts w:ascii="Times New Roman" w:eastAsia="Times New Roman" w:hAnsi="Times New Roman" w:cs="Times New Roman"/>
          <w:sz w:val="24"/>
          <w:szCs w:val="24"/>
        </w:rPr>
        <w:t xml:space="preserve">Implementasi akuntabilitas berbasis transendensi pada Lembaga Keuangan Mikro Syariah (LKMS) di Sumatera Utara ditinjau dari </w:t>
      </w:r>
      <w:r w:rsidRPr="008D3082">
        <w:rPr>
          <w:rFonts w:ascii="Times New Roman" w:eastAsia="Times New Roman" w:hAnsi="Times New Roman" w:cs="Times New Roman"/>
          <w:i/>
          <w:iCs/>
          <w:sz w:val="24"/>
          <w:szCs w:val="24"/>
        </w:rPr>
        <w:t>Shariah Enterprise Theory</w:t>
      </w:r>
      <w:r w:rsidRPr="008D3082">
        <w:rPr>
          <w:rFonts w:ascii="Times New Roman" w:eastAsia="Times New Roman" w:hAnsi="Times New Roman" w:cs="Times New Roman"/>
          <w:sz w:val="24"/>
          <w:szCs w:val="24"/>
        </w:rPr>
        <w:t xml:space="preserve"> (SET) belum berjalan secara seimbang (</w:t>
      </w:r>
      <w:r w:rsidRPr="008D3082">
        <w:rPr>
          <w:rFonts w:ascii="Times New Roman" w:eastAsia="Times New Roman" w:hAnsi="Times New Roman" w:cs="Times New Roman"/>
          <w:i/>
          <w:iCs/>
          <w:sz w:val="24"/>
          <w:szCs w:val="24"/>
        </w:rPr>
        <w:t>mizan</w:t>
      </w:r>
      <w:r w:rsidRPr="008D3082">
        <w:rPr>
          <w:rFonts w:ascii="Times New Roman" w:eastAsia="Times New Roman" w:hAnsi="Times New Roman" w:cs="Times New Roman"/>
          <w:sz w:val="24"/>
          <w:szCs w:val="24"/>
        </w:rPr>
        <w:t>) di ketiga dimensinya. LKMS menunjukkan performa yang sangat baik pada pilar vertikal (</w:t>
      </w:r>
      <w:r w:rsidRPr="008D3082">
        <w:rPr>
          <w:rFonts w:ascii="Times New Roman" w:eastAsia="Times New Roman" w:hAnsi="Times New Roman" w:cs="Times New Roman"/>
          <w:i/>
          <w:iCs/>
          <w:sz w:val="24"/>
          <w:szCs w:val="24"/>
        </w:rPr>
        <w:t>Hablan Minallah</w:t>
      </w:r>
      <w:r w:rsidRPr="008D3082">
        <w:rPr>
          <w:rFonts w:ascii="Times New Roman" w:eastAsia="Times New Roman" w:hAnsi="Times New Roman" w:cs="Times New Roman"/>
          <w:sz w:val="24"/>
          <w:szCs w:val="24"/>
        </w:rPr>
        <w:t xml:space="preserve">) melalui kepatuhan syariah pada produk pembiayaan dan transparansi sirkulasi </w:t>
      </w:r>
      <w:proofErr w:type="gramStart"/>
      <w:r w:rsidRPr="008D3082">
        <w:rPr>
          <w:rFonts w:ascii="Times New Roman" w:eastAsia="Times New Roman" w:hAnsi="Times New Roman" w:cs="Times New Roman"/>
          <w:sz w:val="24"/>
          <w:szCs w:val="24"/>
        </w:rPr>
        <w:t>dana</w:t>
      </w:r>
      <w:proofErr w:type="gramEnd"/>
      <w:r w:rsidRPr="008D3082">
        <w:rPr>
          <w:rFonts w:ascii="Times New Roman" w:eastAsia="Times New Roman" w:hAnsi="Times New Roman" w:cs="Times New Roman"/>
          <w:sz w:val="24"/>
          <w:szCs w:val="24"/>
        </w:rPr>
        <w:t xml:space="preserve"> ZISWAF, serta pilar horizontal (</w:t>
      </w:r>
      <w:r w:rsidRPr="008D3082">
        <w:rPr>
          <w:rFonts w:ascii="Times New Roman" w:eastAsia="Times New Roman" w:hAnsi="Times New Roman" w:cs="Times New Roman"/>
          <w:i/>
          <w:iCs/>
          <w:sz w:val="24"/>
          <w:szCs w:val="24"/>
        </w:rPr>
        <w:t>Hablan Minannas</w:t>
      </w:r>
      <w:r w:rsidRPr="008D3082">
        <w:rPr>
          <w:rFonts w:ascii="Times New Roman" w:eastAsia="Times New Roman" w:hAnsi="Times New Roman" w:cs="Times New Roman"/>
          <w:sz w:val="24"/>
          <w:szCs w:val="24"/>
        </w:rPr>
        <w:t xml:space="preserve">) lewat pemberian upah layak bagi karyawan </w:t>
      </w:r>
      <w:r w:rsidRPr="008D3082">
        <w:rPr>
          <w:rFonts w:ascii="Times New Roman" w:eastAsia="Times New Roman" w:hAnsi="Times New Roman" w:cs="Times New Roman"/>
          <w:sz w:val="24"/>
          <w:szCs w:val="24"/>
        </w:rPr>
        <w:lastRenderedPageBreak/>
        <w:t xml:space="preserve">dan pendampingan nasabah dhuafa yang sarat empati sosial. Namun, pilar akuntabilitas lingkungan (alam semesta) masih kurang optimal dan berada pada tataran formalitas prosedural. Defisit etika ekologis ini dipicu oleh ketiadaan </w:t>
      </w:r>
      <w:r w:rsidRPr="008D3082">
        <w:rPr>
          <w:rFonts w:ascii="Times New Roman" w:eastAsia="Times New Roman" w:hAnsi="Times New Roman" w:cs="Times New Roman"/>
          <w:i/>
          <w:iCs/>
          <w:sz w:val="24"/>
          <w:szCs w:val="24"/>
        </w:rPr>
        <w:t>standard operating procedure</w:t>
      </w:r>
      <w:r w:rsidRPr="008D3082">
        <w:rPr>
          <w:rFonts w:ascii="Times New Roman" w:eastAsia="Times New Roman" w:hAnsi="Times New Roman" w:cs="Times New Roman"/>
          <w:sz w:val="24"/>
          <w:szCs w:val="24"/>
        </w:rPr>
        <w:t xml:space="preserve"> (SOP) tertulis mengenai penyaringan dampak lingkungan (</w:t>
      </w:r>
      <w:r w:rsidRPr="008D3082">
        <w:rPr>
          <w:rFonts w:ascii="Times New Roman" w:eastAsia="Times New Roman" w:hAnsi="Times New Roman" w:cs="Times New Roman"/>
          <w:i/>
          <w:iCs/>
          <w:sz w:val="24"/>
          <w:szCs w:val="24"/>
        </w:rPr>
        <w:t>ecological screening</w:t>
      </w:r>
      <w:r w:rsidRPr="008D3082">
        <w:rPr>
          <w:rFonts w:ascii="Times New Roman" w:eastAsia="Times New Roman" w:hAnsi="Times New Roman" w:cs="Times New Roman"/>
          <w:sz w:val="24"/>
          <w:szCs w:val="24"/>
        </w:rPr>
        <w:t>) dalam analisis kelayakan pembiayaan, fluktuasi pelaporan sosial-keberlanjutan, serta belum terwujudnya ekosistem kantor ramah lingkungan (</w:t>
      </w:r>
      <w:r w:rsidRPr="008D3082">
        <w:rPr>
          <w:rFonts w:ascii="Times New Roman" w:eastAsia="Times New Roman" w:hAnsi="Times New Roman" w:cs="Times New Roman"/>
          <w:i/>
          <w:iCs/>
          <w:sz w:val="24"/>
          <w:szCs w:val="24"/>
        </w:rPr>
        <w:t>eco-office</w:t>
      </w:r>
      <w:r w:rsidRPr="008D3082">
        <w:rPr>
          <w:rFonts w:ascii="Times New Roman" w:eastAsia="Times New Roman" w:hAnsi="Times New Roman" w:cs="Times New Roman"/>
          <w:sz w:val="24"/>
          <w:szCs w:val="24"/>
        </w:rPr>
        <w:t>) secara menyeluruh, sehingga berisiko menimbulkan pergeseran misi (</w:t>
      </w:r>
      <w:r w:rsidRPr="008D3082">
        <w:rPr>
          <w:rFonts w:ascii="Times New Roman" w:eastAsia="Times New Roman" w:hAnsi="Times New Roman" w:cs="Times New Roman"/>
          <w:i/>
          <w:iCs/>
          <w:sz w:val="24"/>
          <w:szCs w:val="24"/>
        </w:rPr>
        <w:t>mission drift</w:t>
      </w:r>
      <w:r w:rsidRPr="008D3082">
        <w:rPr>
          <w:rFonts w:ascii="Times New Roman" w:eastAsia="Times New Roman" w:hAnsi="Times New Roman" w:cs="Times New Roman"/>
          <w:sz w:val="24"/>
          <w:szCs w:val="24"/>
        </w:rPr>
        <w:t xml:space="preserve">) secara implisit. </w:t>
      </w:r>
    </w:p>
    <w:p w:rsidR="00D646CF" w:rsidRPr="008D3082" w:rsidRDefault="00D646CF" w:rsidP="008D3082">
      <w:pPr>
        <w:spacing w:after="0" w:line="360" w:lineRule="auto"/>
        <w:ind w:firstLine="567"/>
        <w:jc w:val="both"/>
        <w:rPr>
          <w:rFonts w:ascii="Times New Roman" w:hAnsi="Times New Roman" w:cs="Times New Roman"/>
          <w:sz w:val="24"/>
          <w:szCs w:val="24"/>
        </w:rPr>
      </w:pPr>
      <w:r w:rsidRPr="008D3082">
        <w:rPr>
          <w:rFonts w:ascii="Times New Roman" w:eastAsia="Times New Roman" w:hAnsi="Times New Roman" w:cs="Times New Roman"/>
          <w:sz w:val="24"/>
          <w:szCs w:val="24"/>
        </w:rPr>
        <w:t>Sebagai langkah rekomendasi praktis bagi tata kelola LKMS masa depan, jajaran manajemen wajib melakukan reorientasi visi korporasi guna menyeimbangkan aspek komersial (</w:t>
      </w:r>
      <w:r w:rsidRPr="008D3082">
        <w:rPr>
          <w:rFonts w:ascii="Times New Roman" w:eastAsia="Times New Roman" w:hAnsi="Times New Roman" w:cs="Times New Roman"/>
          <w:i/>
          <w:iCs/>
          <w:sz w:val="24"/>
          <w:szCs w:val="24"/>
        </w:rPr>
        <w:t>Tamwil</w:t>
      </w:r>
      <w:r w:rsidRPr="008D3082">
        <w:rPr>
          <w:rFonts w:ascii="Times New Roman" w:eastAsia="Times New Roman" w:hAnsi="Times New Roman" w:cs="Times New Roman"/>
          <w:sz w:val="24"/>
          <w:szCs w:val="24"/>
        </w:rPr>
        <w:t>), sosial (</w:t>
      </w:r>
      <w:r w:rsidRPr="008D3082">
        <w:rPr>
          <w:rFonts w:ascii="Times New Roman" w:eastAsia="Times New Roman" w:hAnsi="Times New Roman" w:cs="Times New Roman"/>
          <w:i/>
          <w:iCs/>
          <w:sz w:val="24"/>
          <w:szCs w:val="24"/>
        </w:rPr>
        <w:t>Maal</w:t>
      </w:r>
      <w:r w:rsidRPr="008D3082">
        <w:rPr>
          <w:rFonts w:ascii="Times New Roman" w:eastAsia="Times New Roman" w:hAnsi="Times New Roman" w:cs="Times New Roman"/>
          <w:sz w:val="24"/>
          <w:szCs w:val="24"/>
        </w:rPr>
        <w:t xml:space="preserve">), </w:t>
      </w:r>
      <w:proofErr w:type="gramStart"/>
      <w:r w:rsidRPr="008D3082">
        <w:rPr>
          <w:rFonts w:ascii="Times New Roman" w:eastAsia="Times New Roman" w:hAnsi="Times New Roman" w:cs="Times New Roman"/>
          <w:sz w:val="24"/>
          <w:szCs w:val="24"/>
        </w:rPr>
        <w:t>dan</w:t>
      </w:r>
      <w:proofErr w:type="gramEnd"/>
      <w:r w:rsidRPr="008D3082">
        <w:rPr>
          <w:rFonts w:ascii="Times New Roman" w:eastAsia="Times New Roman" w:hAnsi="Times New Roman" w:cs="Times New Roman"/>
          <w:sz w:val="24"/>
          <w:szCs w:val="24"/>
        </w:rPr>
        <w:t xml:space="preserve"> ekologis (Alam). LKMS direkomendasikan untuk segera memformulasikan SOP </w:t>
      </w:r>
      <w:r w:rsidRPr="008D3082">
        <w:rPr>
          <w:rFonts w:ascii="Times New Roman" w:eastAsia="Times New Roman" w:hAnsi="Times New Roman" w:cs="Times New Roman"/>
          <w:i/>
          <w:iCs/>
          <w:sz w:val="24"/>
          <w:szCs w:val="24"/>
        </w:rPr>
        <w:t>screening</w:t>
      </w:r>
      <w:r w:rsidRPr="008D3082">
        <w:rPr>
          <w:rFonts w:ascii="Times New Roman" w:eastAsia="Times New Roman" w:hAnsi="Times New Roman" w:cs="Times New Roman"/>
          <w:sz w:val="24"/>
          <w:szCs w:val="24"/>
        </w:rPr>
        <w:t xml:space="preserve"> ekologis bagi pembiayaan produktif nasabah, serta mempercepat adopsi teknologi informasi digital (</w:t>
      </w:r>
      <w:r w:rsidRPr="008D3082">
        <w:rPr>
          <w:rFonts w:ascii="Times New Roman" w:eastAsia="Times New Roman" w:hAnsi="Times New Roman" w:cs="Times New Roman"/>
          <w:i/>
          <w:iCs/>
          <w:sz w:val="24"/>
          <w:szCs w:val="24"/>
        </w:rPr>
        <w:t>integrated microbanking system</w:t>
      </w:r>
      <w:r w:rsidRPr="008D3082">
        <w:rPr>
          <w:rFonts w:ascii="Times New Roman" w:eastAsia="Times New Roman" w:hAnsi="Times New Roman" w:cs="Times New Roman"/>
          <w:sz w:val="24"/>
          <w:szCs w:val="24"/>
        </w:rPr>
        <w:t xml:space="preserve">/IBS) demi mereduksi penggunaan kertas administratif. Selain itu, Dewan Pengawas Syariah (DPS) perlu memperluas ruang lingkup auditnya agar mencakup evaluasi dampak sosial-lingkungan, didukung oleh optimalisasi unit Baitul Maal dalam mengalokasikan </w:t>
      </w:r>
      <w:proofErr w:type="gramStart"/>
      <w:r w:rsidRPr="008D3082">
        <w:rPr>
          <w:rFonts w:ascii="Times New Roman" w:eastAsia="Times New Roman" w:hAnsi="Times New Roman" w:cs="Times New Roman"/>
          <w:sz w:val="24"/>
          <w:szCs w:val="24"/>
        </w:rPr>
        <w:t>dana</w:t>
      </w:r>
      <w:proofErr w:type="gramEnd"/>
      <w:r w:rsidRPr="008D3082">
        <w:rPr>
          <w:rFonts w:ascii="Times New Roman" w:eastAsia="Times New Roman" w:hAnsi="Times New Roman" w:cs="Times New Roman"/>
          <w:sz w:val="24"/>
          <w:szCs w:val="24"/>
        </w:rPr>
        <w:t xml:space="preserve"> infak perusahaan untuk program tanggung jawab sosial lingkungan (ICSR) yang berbasis restorasi alam berkelanjutan demi mewujudkan kemaslahatan yang universal.</w:t>
      </w:r>
    </w:p>
    <w:p w:rsidR="00FB728B" w:rsidRPr="008D3082" w:rsidRDefault="00FB728B" w:rsidP="008D3082">
      <w:pPr>
        <w:spacing w:after="0" w:line="360" w:lineRule="auto"/>
        <w:jc w:val="both"/>
        <w:rPr>
          <w:rFonts w:ascii="Times New Roman" w:hAnsi="Times New Roman" w:cs="Times New Roman"/>
          <w:sz w:val="24"/>
          <w:szCs w:val="24"/>
        </w:rPr>
      </w:pPr>
    </w:p>
    <w:p w:rsidR="00AF03F7" w:rsidRPr="008D3082" w:rsidRDefault="00AF03F7" w:rsidP="008D3082">
      <w:pPr>
        <w:pStyle w:val="NormalWeb"/>
        <w:spacing w:before="0" w:beforeAutospacing="0" w:after="0" w:afterAutospacing="0" w:line="360" w:lineRule="auto"/>
        <w:jc w:val="both"/>
        <w:rPr>
          <w:b/>
        </w:rPr>
      </w:pPr>
      <w:r w:rsidRPr="008D3082">
        <w:rPr>
          <w:b/>
        </w:rPr>
        <w:t>REFERENSI</w:t>
      </w:r>
    </w:p>
    <w:p w:rsidR="00B373BB" w:rsidRPr="008D3082" w:rsidRDefault="00B373BB" w:rsidP="008D3082">
      <w:pPr>
        <w:pStyle w:val="NormalWeb"/>
        <w:spacing w:before="0" w:beforeAutospacing="0" w:after="0" w:afterAutospacing="0" w:line="360" w:lineRule="auto"/>
        <w:jc w:val="both"/>
        <w:rPr>
          <w:b/>
        </w:rPr>
      </w:pPr>
    </w:p>
    <w:p w:rsidR="00D47C05" w:rsidRPr="008D3082" w:rsidRDefault="00D47C05" w:rsidP="008D3082">
      <w:pPr>
        <w:pStyle w:val="NormalWeb"/>
        <w:spacing w:before="0" w:beforeAutospacing="0" w:after="0" w:afterAutospacing="0" w:line="360" w:lineRule="auto"/>
        <w:jc w:val="both"/>
      </w:pPr>
      <w:r w:rsidRPr="008D3082">
        <w:t xml:space="preserve">Amerieska, S., Irianto, G., &amp; Affandy, D. P. (2012). Akuntabilitas pada Baitul Maal wat Tamwil ditinjau dari perspektif Shari'ate Enterprise Theory. </w:t>
      </w:r>
      <w:r w:rsidRPr="008D3082">
        <w:rPr>
          <w:i/>
          <w:iCs/>
        </w:rPr>
        <w:t>Jurnal Ekonomi &amp; Keuangan Islam</w:t>
      </w:r>
      <w:r w:rsidRPr="008D3082">
        <w:t>, 2(1), 27-39.</w:t>
      </w:r>
    </w:p>
    <w:p w:rsidR="00D47C05" w:rsidRPr="008D3082" w:rsidRDefault="00D47C05" w:rsidP="008D3082">
      <w:pPr>
        <w:pStyle w:val="NormalWeb"/>
        <w:spacing w:before="0" w:beforeAutospacing="0" w:after="0" w:afterAutospacing="0" w:line="360" w:lineRule="auto"/>
        <w:jc w:val="both"/>
      </w:pPr>
      <w:r w:rsidRPr="008D3082">
        <w:t xml:space="preserve">Anwar, M. (2026). Green microfinance development: Sharia governance and environmental accountability in Islamic microfinance institutions. </w:t>
      </w:r>
      <w:r w:rsidRPr="008D3082">
        <w:rPr>
          <w:i/>
          <w:iCs/>
        </w:rPr>
        <w:t>Journal of Islamic Financial Studies</w:t>
      </w:r>
      <w:r w:rsidRPr="008D3082">
        <w:t>, 12(1), 45-68.</w:t>
      </w:r>
    </w:p>
    <w:p w:rsidR="00D47C05" w:rsidRPr="008D3082" w:rsidRDefault="00D47C05" w:rsidP="008D3082">
      <w:pPr>
        <w:pStyle w:val="NormalWeb"/>
        <w:spacing w:before="0" w:beforeAutospacing="0" w:after="0" w:afterAutospacing="0" w:line="360" w:lineRule="auto"/>
        <w:jc w:val="both"/>
      </w:pPr>
      <w:r w:rsidRPr="008D3082">
        <w:t xml:space="preserve">Apriansyah, R., Noprizal, N., &amp; Ghoni, M. A. (2021). Analisis pelaporan Corporate Social Responsibility perbankan syariah dalam perspektif Sharia Enterprise Theory. </w:t>
      </w:r>
      <w:r w:rsidRPr="008D3082">
        <w:rPr>
          <w:i/>
          <w:iCs/>
        </w:rPr>
        <w:t>Jurnal Akuntansi dan Keuangan Syariah</w:t>
      </w:r>
      <w:r w:rsidRPr="008D3082">
        <w:t>, 5(2), 112-130.</w:t>
      </w:r>
    </w:p>
    <w:p w:rsidR="00D47C05" w:rsidRPr="008D3082" w:rsidRDefault="00D47C05" w:rsidP="008D3082">
      <w:pPr>
        <w:pStyle w:val="NormalWeb"/>
        <w:spacing w:before="0" w:beforeAutospacing="0" w:after="0" w:afterAutospacing="0" w:line="360" w:lineRule="auto"/>
        <w:jc w:val="both"/>
      </w:pPr>
      <w:r w:rsidRPr="008D3082">
        <w:lastRenderedPageBreak/>
        <w:t xml:space="preserve">Aribi, Z. A., Arun, T., &amp; </w:t>
      </w:r>
      <w:proofErr w:type="gramStart"/>
      <w:r w:rsidRPr="008D3082">
        <w:t>Gao</w:t>
      </w:r>
      <w:proofErr w:type="gramEnd"/>
      <w:r w:rsidRPr="008D3082">
        <w:t xml:space="preserve">, S. (2019). Accountability in Islamic financial institution: The role of the Shari’ah supervisory board reports. </w:t>
      </w:r>
      <w:r w:rsidRPr="008D3082">
        <w:rPr>
          <w:i/>
          <w:iCs/>
        </w:rPr>
        <w:t>Journal of Islamic Accounting and Business Research</w:t>
      </w:r>
      <w:r w:rsidRPr="008D3082">
        <w:t>, 10(1), 98-114.</w:t>
      </w:r>
    </w:p>
    <w:p w:rsidR="00D47C05" w:rsidRPr="008D3082" w:rsidRDefault="00D47C05" w:rsidP="008D3082">
      <w:pPr>
        <w:pStyle w:val="NormalWeb"/>
        <w:spacing w:before="0" w:beforeAutospacing="0" w:after="0" w:afterAutospacing="0" w:line="360" w:lineRule="auto"/>
        <w:jc w:val="both"/>
      </w:pPr>
      <w:r w:rsidRPr="008D3082">
        <w:t xml:space="preserve">Hartanto, A., Nachrowi, N. D., Samputra, P. L., &amp; Huda, N. (2026). Developing a sustainability framework for Islamic banking: A Maqashid Shariah quadruple bottom line approach. </w:t>
      </w:r>
      <w:r w:rsidRPr="008D3082">
        <w:rPr>
          <w:i/>
          <w:iCs/>
        </w:rPr>
        <w:t>International Journal of Islamic and Middle Eastern Finance and Management</w:t>
      </w:r>
      <w:r w:rsidRPr="008D3082">
        <w:t>, 19(3), 767-802.</w:t>
      </w:r>
    </w:p>
    <w:p w:rsidR="00D47C05" w:rsidRPr="008D3082" w:rsidRDefault="00D47C05" w:rsidP="008D3082">
      <w:pPr>
        <w:pStyle w:val="NormalWeb"/>
        <w:spacing w:before="0" w:beforeAutospacing="0" w:after="0" w:afterAutospacing="0" w:line="360" w:lineRule="auto"/>
        <w:jc w:val="both"/>
      </w:pPr>
      <w:r w:rsidRPr="008D3082">
        <w:t xml:space="preserve">Hussain, M. D., &amp; Ahmed, I. (2024). Governance and the double-bottom-line performance of microfinance institutions: Evidence from Bangladesh. </w:t>
      </w:r>
      <w:r w:rsidRPr="008D3082">
        <w:rPr>
          <w:i/>
          <w:iCs/>
        </w:rPr>
        <w:t>Journal of Islamic Accounting and Business Research</w:t>
      </w:r>
      <w:r w:rsidRPr="008D3082">
        <w:t>, 15(2), 367-383.</w:t>
      </w:r>
    </w:p>
    <w:p w:rsidR="00D47C05" w:rsidRPr="008D3082" w:rsidRDefault="00D47C05" w:rsidP="008D3082">
      <w:pPr>
        <w:pStyle w:val="NormalWeb"/>
        <w:spacing w:before="0" w:beforeAutospacing="0" w:after="0" w:afterAutospacing="0" w:line="360" w:lineRule="auto"/>
        <w:jc w:val="both"/>
      </w:pPr>
      <w:r w:rsidRPr="008D3082">
        <w:t xml:space="preserve">Khairani, A., &amp; Jannah, L. (2025). Exploring the lived experiences of Muslim micro-entrepreneurs in integrating Sharia values into business practices: An interpretative phenomenological analysis (IPA) in Central Java. </w:t>
      </w:r>
      <w:r w:rsidRPr="008D3082">
        <w:rPr>
          <w:i/>
          <w:iCs/>
        </w:rPr>
        <w:t>Journal of Business, Management, and Accounting</w:t>
      </w:r>
      <w:r w:rsidRPr="008D3082">
        <w:t>, 1(10), 451-462.</w:t>
      </w:r>
    </w:p>
    <w:p w:rsidR="00D47C05" w:rsidRPr="008D3082" w:rsidRDefault="00D47C05" w:rsidP="008D3082">
      <w:pPr>
        <w:pStyle w:val="NormalWeb"/>
        <w:spacing w:before="0" w:beforeAutospacing="0" w:after="0" w:afterAutospacing="0" w:line="360" w:lineRule="auto"/>
        <w:jc w:val="both"/>
      </w:pPr>
      <w:r w:rsidRPr="008D3082">
        <w:t xml:space="preserve">Mulawarman, E., Kamayanti, A., &amp; Sadjiarto, A. (2025). Deconstructing the environmental accountability of Islamic microfinance: From anthropocentrism to eco-theocentrism. </w:t>
      </w:r>
      <w:r w:rsidRPr="008D3082">
        <w:rPr>
          <w:i/>
          <w:iCs/>
        </w:rPr>
        <w:t>International Journal of Social Economics</w:t>
      </w:r>
      <w:r w:rsidRPr="008D3082">
        <w:t>, 52(4), 512-534.</w:t>
      </w:r>
    </w:p>
    <w:p w:rsidR="00D47C05" w:rsidRPr="008D3082" w:rsidRDefault="00D47C05" w:rsidP="008D3082">
      <w:pPr>
        <w:pStyle w:val="NormalWeb"/>
        <w:spacing w:before="0" w:beforeAutospacing="0" w:after="0" w:afterAutospacing="0" w:line="360" w:lineRule="auto"/>
        <w:jc w:val="both"/>
      </w:pPr>
      <w:r w:rsidRPr="008D3082">
        <w:t xml:space="preserve">Ni’mah, A. (2017). </w:t>
      </w:r>
      <w:r w:rsidRPr="008D3082">
        <w:rPr>
          <w:i/>
          <w:iCs/>
        </w:rPr>
        <w:t>Analisis pelaporan tanggung jawab sosial perusahaan ditinjau dari Sharia Enterprise Theory pada KJKS BMT Bina Ummat Sejahtera Cabang Jatirogo Tuban</w:t>
      </w:r>
      <w:r w:rsidRPr="008D3082">
        <w:t xml:space="preserve"> (Doctoral dissertation, Universitas Islam Negeri Maulana Malik Ibrahim).</w:t>
      </w:r>
    </w:p>
    <w:p w:rsidR="00D47C05" w:rsidRPr="008D3082" w:rsidRDefault="00D47C05" w:rsidP="008D3082">
      <w:pPr>
        <w:pStyle w:val="NormalWeb"/>
        <w:spacing w:before="0" w:beforeAutospacing="0" w:after="0" w:afterAutospacing="0" w:line="360" w:lineRule="auto"/>
        <w:jc w:val="both"/>
      </w:pPr>
      <w:r w:rsidRPr="008D3082">
        <w:t xml:space="preserve">Saadah, N., Zakiy, F. S., &amp; Agriyanto, R. (2023). The embodiment of corporate social responsibility in Sharia enterprise theory. </w:t>
      </w:r>
      <w:r w:rsidRPr="008D3082">
        <w:rPr>
          <w:i/>
          <w:iCs/>
        </w:rPr>
        <w:t>Journal of Islamic Economic Laws</w:t>
      </w:r>
      <w:r w:rsidRPr="008D3082">
        <w:t>, 6(1), 30-44.</w:t>
      </w:r>
    </w:p>
    <w:p w:rsidR="00D47C05" w:rsidRPr="008D3082" w:rsidRDefault="00D47C05" w:rsidP="008D3082">
      <w:pPr>
        <w:pStyle w:val="NormalWeb"/>
        <w:spacing w:before="0" w:beforeAutospacing="0" w:after="0" w:afterAutospacing="0" w:line="360" w:lineRule="auto"/>
        <w:jc w:val="both"/>
      </w:pPr>
      <w:r w:rsidRPr="008D3082">
        <w:t xml:space="preserve">Saddek, S. (2024). Eco-office implementation and green accounting disclosure in Islamic financial institutions. </w:t>
      </w:r>
      <w:r w:rsidRPr="008D3082">
        <w:rPr>
          <w:i/>
          <w:iCs/>
        </w:rPr>
        <w:t>Middle East Journal of Management</w:t>
      </w:r>
      <w:r w:rsidRPr="008D3082">
        <w:t>, 11(2), 189-210.</w:t>
      </w:r>
    </w:p>
    <w:p w:rsidR="00D47C05" w:rsidRPr="008D3082" w:rsidRDefault="00D47C05" w:rsidP="008D3082">
      <w:pPr>
        <w:pStyle w:val="NormalWeb"/>
        <w:spacing w:before="0" w:beforeAutospacing="0" w:after="0" w:afterAutospacing="0" w:line="360" w:lineRule="auto"/>
        <w:jc w:val="both"/>
      </w:pPr>
      <w:r w:rsidRPr="008D3082">
        <w:t xml:space="preserve">Segrado, C. (2005). Case studies on green microfinance: Environmental management in microsector lending. </w:t>
      </w:r>
      <w:r w:rsidRPr="008D3082">
        <w:rPr>
          <w:i/>
          <w:iCs/>
        </w:rPr>
        <w:t>International Journal of Environmental Sustainability</w:t>
      </w:r>
      <w:r w:rsidRPr="008D3082">
        <w:t>, 1(3), 74-92.</w:t>
      </w:r>
    </w:p>
    <w:p w:rsidR="00D47C05" w:rsidRPr="008D3082" w:rsidRDefault="00D47C05" w:rsidP="008D3082">
      <w:pPr>
        <w:pStyle w:val="NormalWeb"/>
        <w:spacing w:before="0" w:beforeAutospacing="0" w:after="0" w:afterAutospacing="0" w:line="360" w:lineRule="auto"/>
        <w:jc w:val="both"/>
      </w:pPr>
      <w:r w:rsidRPr="008D3082">
        <w:t xml:space="preserve">Triyuwono, I. (2007). Mengangkat "Sapi Perah" Giduh dari Akuntansi Kapitalis ke Akuntansi Syariah. </w:t>
      </w:r>
      <w:r w:rsidRPr="008D3082">
        <w:rPr>
          <w:i/>
          <w:iCs/>
        </w:rPr>
        <w:t>Jurnal Akuntansi Multiparadigma</w:t>
      </w:r>
      <w:r w:rsidRPr="008D3082">
        <w:t>, 1(1), 1-18.</w:t>
      </w:r>
    </w:p>
    <w:p w:rsidR="00D47C05" w:rsidRPr="008D3082" w:rsidRDefault="00D47C05" w:rsidP="008D3082">
      <w:pPr>
        <w:spacing w:after="0" w:line="360" w:lineRule="auto"/>
        <w:jc w:val="both"/>
        <w:rPr>
          <w:rFonts w:ascii="Times New Roman" w:hAnsi="Times New Roman" w:cs="Times New Roman"/>
          <w:sz w:val="24"/>
          <w:szCs w:val="24"/>
        </w:rPr>
      </w:pPr>
    </w:p>
    <w:sectPr w:rsidR="00D47C05" w:rsidRPr="008D3082" w:rsidSect="00FA330C">
      <w:pgSz w:w="12240" w:h="15840"/>
      <w:pgMar w:top="1440" w:right="1701" w:bottom="1440"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3029B2"/>
    <w:multiLevelType w:val="hybridMultilevel"/>
    <w:tmpl w:val="86D8A7DC"/>
    <w:lvl w:ilvl="0" w:tplc="2B769E48">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
    <w:nsid w:val="076276E5"/>
    <w:multiLevelType w:val="hybridMultilevel"/>
    <w:tmpl w:val="EE12C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0A36BA"/>
    <w:multiLevelType w:val="hybridMultilevel"/>
    <w:tmpl w:val="8864D3D6"/>
    <w:lvl w:ilvl="0" w:tplc="2B769E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633F62"/>
    <w:multiLevelType w:val="hybridMultilevel"/>
    <w:tmpl w:val="78329F2C"/>
    <w:lvl w:ilvl="0" w:tplc="2B769E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503"/>
    <w:rsid w:val="00071B65"/>
    <w:rsid w:val="000921B1"/>
    <w:rsid w:val="0009767A"/>
    <w:rsid w:val="000C2B33"/>
    <w:rsid w:val="00132131"/>
    <w:rsid w:val="00156397"/>
    <w:rsid w:val="002351EE"/>
    <w:rsid w:val="0024365F"/>
    <w:rsid w:val="0024588F"/>
    <w:rsid w:val="00254974"/>
    <w:rsid w:val="0025681D"/>
    <w:rsid w:val="00277E10"/>
    <w:rsid w:val="00284899"/>
    <w:rsid w:val="002958C1"/>
    <w:rsid w:val="002C24D3"/>
    <w:rsid w:val="002D4055"/>
    <w:rsid w:val="002F4C3E"/>
    <w:rsid w:val="003062A9"/>
    <w:rsid w:val="00331923"/>
    <w:rsid w:val="003B0191"/>
    <w:rsid w:val="00447CAA"/>
    <w:rsid w:val="00466CF3"/>
    <w:rsid w:val="0047216F"/>
    <w:rsid w:val="004822AC"/>
    <w:rsid w:val="004D477D"/>
    <w:rsid w:val="00503391"/>
    <w:rsid w:val="00525511"/>
    <w:rsid w:val="005B0DBA"/>
    <w:rsid w:val="005C4B47"/>
    <w:rsid w:val="005D67AF"/>
    <w:rsid w:val="00604C1C"/>
    <w:rsid w:val="00625CC3"/>
    <w:rsid w:val="00634503"/>
    <w:rsid w:val="006A0A9C"/>
    <w:rsid w:val="006A1950"/>
    <w:rsid w:val="006A26F8"/>
    <w:rsid w:val="006A7958"/>
    <w:rsid w:val="006B28DF"/>
    <w:rsid w:val="006C2EBF"/>
    <w:rsid w:val="006C7470"/>
    <w:rsid w:val="00716BB5"/>
    <w:rsid w:val="00743697"/>
    <w:rsid w:val="007653C2"/>
    <w:rsid w:val="00783A0D"/>
    <w:rsid w:val="007E3078"/>
    <w:rsid w:val="007E64A1"/>
    <w:rsid w:val="007F4258"/>
    <w:rsid w:val="00855DCF"/>
    <w:rsid w:val="00877E36"/>
    <w:rsid w:val="008A0DE5"/>
    <w:rsid w:val="008A3700"/>
    <w:rsid w:val="008D3082"/>
    <w:rsid w:val="008D3281"/>
    <w:rsid w:val="009027FA"/>
    <w:rsid w:val="00983BF7"/>
    <w:rsid w:val="009B1F41"/>
    <w:rsid w:val="009E387D"/>
    <w:rsid w:val="00A3511E"/>
    <w:rsid w:val="00A531D9"/>
    <w:rsid w:val="00A6549E"/>
    <w:rsid w:val="00AF03F7"/>
    <w:rsid w:val="00B07C57"/>
    <w:rsid w:val="00B25BC2"/>
    <w:rsid w:val="00B373BB"/>
    <w:rsid w:val="00B76B69"/>
    <w:rsid w:val="00BC25D3"/>
    <w:rsid w:val="00BC2B61"/>
    <w:rsid w:val="00C01484"/>
    <w:rsid w:val="00D47C05"/>
    <w:rsid w:val="00D646CF"/>
    <w:rsid w:val="00DA43A4"/>
    <w:rsid w:val="00DB34D6"/>
    <w:rsid w:val="00E1378C"/>
    <w:rsid w:val="00E45814"/>
    <w:rsid w:val="00E7417C"/>
    <w:rsid w:val="00E827C5"/>
    <w:rsid w:val="00E97931"/>
    <w:rsid w:val="00F264C1"/>
    <w:rsid w:val="00FA330C"/>
    <w:rsid w:val="00FB4B6B"/>
    <w:rsid w:val="00FB57DC"/>
    <w:rsid w:val="00FB7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B3AF6B-A70D-4812-91E6-7C0A3CFEA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63450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450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3450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883">
    <w:name w:val="citation-883"/>
    <w:basedOn w:val="DefaultParagraphFont"/>
    <w:rsid w:val="00634503"/>
  </w:style>
  <w:style w:type="character" w:customStyle="1" w:styleId="citation-882">
    <w:name w:val="citation-882"/>
    <w:basedOn w:val="DefaultParagraphFont"/>
    <w:rsid w:val="00634503"/>
  </w:style>
  <w:style w:type="character" w:customStyle="1" w:styleId="citation-881">
    <w:name w:val="citation-881"/>
    <w:basedOn w:val="DefaultParagraphFont"/>
    <w:rsid w:val="00634503"/>
  </w:style>
  <w:style w:type="character" w:customStyle="1" w:styleId="citation-880">
    <w:name w:val="citation-880"/>
    <w:basedOn w:val="DefaultParagraphFont"/>
    <w:rsid w:val="00634503"/>
  </w:style>
  <w:style w:type="character" w:customStyle="1" w:styleId="citation-879">
    <w:name w:val="citation-879"/>
    <w:basedOn w:val="DefaultParagraphFont"/>
    <w:rsid w:val="00634503"/>
  </w:style>
  <w:style w:type="character" w:customStyle="1" w:styleId="citation-878">
    <w:name w:val="citation-878"/>
    <w:basedOn w:val="DefaultParagraphFont"/>
    <w:rsid w:val="00634503"/>
  </w:style>
  <w:style w:type="character" w:customStyle="1" w:styleId="citation-877">
    <w:name w:val="citation-877"/>
    <w:basedOn w:val="DefaultParagraphFont"/>
    <w:rsid w:val="00634503"/>
  </w:style>
  <w:style w:type="character" w:customStyle="1" w:styleId="citation-876">
    <w:name w:val="citation-876"/>
    <w:basedOn w:val="DefaultParagraphFont"/>
    <w:rsid w:val="00634503"/>
  </w:style>
  <w:style w:type="character" w:customStyle="1" w:styleId="citation-875">
    <w:name w:val="citation-875"/>
    <w:basedOn w:val="DefaultParagraphFont"/>
    <w:rsid w:val="00634503"/>
  </w:style>
  <w:style w:type="character" w:customStyle="1" w:styleId="citation-874">
    <w:name w:val="citation-874"/>
    <w:basedOn w:val="DefaultParagraphFont"/>
    <w:rsid w:val="00634503"/>
  </w:style>
  <w:style w:type="character" w:customStyle="1" w:styleId="citation-873">
    <w:name w:val="citation-873"/>
    <w:basedOn w:val="DefaultParagraphFont"/>
    <w:rsid w:val="00634503"/>
  </w:style>
  <w:style w:type="character" w:customStyle="1" w:styleId="citation-872">
    <w:name w:val="citation-872"/>
    <w:basedOn w:val="DefaultParagraphFont"/>
    <w:rsid w:val="00634503"/>
  </w:style>
  <w:style w:type="character" w:customStyle="1" w:styleId="citation-871">
    <w:name w:val="citation-871"/>
    <w:basedOn w:val="DefaultParagraphFont"/>
    <w:rsid w:val="00634503"/>
  </w:style>
  <w:style w:type="character" w:customStyle="1" w:styleId="citation-870">
    <w:name w:val="citation-870"/>
    <w:basedOn w:val="DefaultParagraphFont"/>
    <w:rsid w:val="00634503"/>
  </w:style>
  <w:style w:type="character" w:customStyle="1" w:styleId="citation-869">
    <w:name w:val="citation-869"/>
    <w:basedOn w:val="DefaultParagraphFont"/>
    <w:rsid w:val="00634503"/>
  </w:style>
  <w:style w:type="paragraph" w:styleId="ListParagraph">
    <w:name w:val="List Paragraph"/>
    <w:basedOn w:val="Normal"/>
    <w:uiPriority w:val="34"/>
    <w:qFormat/>
    <w:rsid w:val="00FB728B"/>
    <w:pPr>
      <w:ind w:left="720"/>
      <w:contextualSpacing/>
    </w:pPr>
  </w:style>
  <w:style w:type="character" w:styleId="Hyperlink">
    <w:name w:val="Hyperlink"/>
    <w:basedOn w:val="DefaultParagraphFont"/>
    <w:uiPriority w:val="99"/>
    <w:unhideWhenUsed/>
    <w:rsid w:val="00B373BB"/>
    <w:rPr>
      <w:color w:val="0000FF"/>
      <w:u w:val="single"/>
    </w:rPr>
  </w:style>
  <w:style w:type="table" w:styleId="TableGrid">
    <w:name w:val="Table Grid"/>
    <w:basedOn w:val="TableNormal"/>
    <w:uiPriority w:val="39"/>
    <w:rsid w:val="002D405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2D4055"/>
    <w:rPr>
      <w:b/>
      <w:bCs/>
    </w:rPr>
  </w:style>
  <w:style w:type="character" w:customStyle="1" w:styleId="math-inline">
    <w:name w:val="math-inline"/>
    <w:basedOn w:val="DefaultParagraphFont"/>
    <w:rsid w:val="002D4055"/>
  </w:style>
  <w:style w:type="character" w:customStyle="1" w:styleId="citation-440">
    <w:name w:val="citation-440"/>
    <w:basedOn w:val="DefaultParagraphFont"/>
    <w:rsid w:val="008D3082"/>
  </w:style>
  <w:style w:type="character" w:customStyle="1" w:styleId="citation-439">
    <w:name w:val="citation-439"/>
    <w:basedOn w:val="DefaultParagraphFont"/>
    <w:rsid w:val="008D3082"/>
  </w:style>
  <w:style w:type="character" w:customStyle="1" w:styleId="citation-438">
    <w:name w:val="citation-438"/>
    <w:basedOn w:val="DefaultParagraphFont"/>
    <w:rsid w:val="008D3082"/>
  </w:style>
  <w:style w:type="character" w:customStyle="1" w:styleId="citation-437">
    <w:name w:val="citation-437"/>
    <w:basedOn w:val="DefaultParagraphFont"/>
    <w:rsid w:val="008D3082"/>
  </w:style>
  <w:style w:type="character" w:customStyle="1" w:styleId="citation-436">
    <w:name w:val="citation-436"/>
    <w:basedOn w:val="DefaultParagraphFont"/>
    <w:rsid w:val="008D3082"/>
  </w:style>
  <w:style w:type="character" w:customStyle="1" w:styleId="citation-435">
    <w:name w:val="citation-435"/>
    <w:basedOn w:val="DefaultParagraphFont"/>
    <w:rsid w:val="008D3082"/>
  </w:style>
  <w:style w:type="character" w:customStyle="1" w:styleId="citation-434">
    <w:name w:val="citation-434"/>
    <w:basedOn w:val="DefaultParagraphFont"/>
    <w:rsid w:val="008D3082"/>
  </w:style>
  <w:style w:type="character" w:customStyle="1" w:styleId="citation-433">
    <w:name w:val="citation-433"/>
    <w:basedOn w:val="DefaultParagraphFont"/>
    <w:rsid w:val="008D3082"/>
  </w:style>
  <w:style w:type="character" w:customStyle="1" w:styleId="citation-432">
    <w:name w:val="citation-432"/>
    <w:basedOn w:val="DefaultParagraphFont"/>
    <w:rsid w:val="008D3082"/>
  </w:style>
  <w:style w:type="character" w:customStyle="1" w:styleId="citation-431">
    <w:name w:val="citation-431"/>
    <w:basedOn w:val="DefaultParagraphFont"/>
    <w:rsid w:val="008D3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805342">
      <w:bodyDiv w:val="1"/>
      <w:marLeft w:val="0"/>
      <w:marRight w:val="0"/>
      <w:marTop w:val="0"/>
      <w:marBottom w:val="0"/>
      <w:divBdr>
        <w:top w:val="none" w:sz="0" w:space="0" w:color="auto"/>
        <w:left w:val="none" w:sz="0" w:space="0" w:color="auto"/>
        <w:bottom w:val="none" w:sz="0" w:space="0" w:color="auto"/>
        <w:right w:val="none" w:sz="0" w:space="0" w:color="auto"/>
      </w:divBdr>
    </w:div>
    <w:div w:id="236719493">
      <w:bodyDiv w:val="1"/>
      <w:marLeft w:val="0"/>
      <w:marRight w:val="0"/>
      <w:marTop w:val="0"/>
      <w:marBottom w:val="0"/>
      <w:divBdr>
        <w:top w:val="none" w:sz="0" w:space="0" w:color="auto"/>
        <w:left w:val="none" w:sz="0" w:space="0" w:color="auto"/>
        <w:bottom w:val="none" w:sz="0" w:space="0" w:color="auto"/>
        <w:right w:val="none" w:sz="0" w:space="0" w:color="auto"/>
      </w:divBdr>
    </w:div>
    <w:div w:id="950741462">
      <w:bodyDiv w:val="1"/>
      <w:marLeft w:val="0"/>
      <w:marRight w:val="0"/>
      <w:marTop w:val="0"/>
      <w:marBottom w:val="0"/>
      <w:divBdr>
        <w:top w:val="none" w:sz="0" w:space="0" w:color="auto"/>
        <w:left w:val="none" w:sz="0" w:space="0" w:color="auto"/>
        <w:bottom w:val="none" w:sz="0" w:space="0" w:color="auto"/>
        <w:right w:val="none" w:sz="0" w:space="0" w:color="auto"/>
      </w:divBdr>
    </w:div>
    <w:div w:id="1059943171">
      <w:bodyDiv w:val="1"/>
      <w:marLeft w:val="0"/>
      <w:marRight w:val="0"/>
      <w:marTop w:val="0"/>
      <w:marBottom w:val="0"/>
      <w:divBdr>
        <w:top w:val="none" w:sz="0" w:space="0" w:color="auto"/>
        <w:left w:val="none" w:sz="0" w:space="0" w:color="auto"/>
        <w:bottom w:val="none" w:sz="0" w:space="0" w:color="auto"/>
        <w:right w:val="none" w:sz="0" w:space="0" w:color="auto"/>
      </w:divBdr>
    </w:div>
    <w:div w:id="1260065760">
      <w:bodyDiv w:val="1"/>
      <w:marLeft w:val="0"/>
      <w:marRight w:val="0"/>
      <w:marTop w:val="0"/>
      <w:marBottom w:val="0"/>
      <w:divBdr>
        <w:top w:val="none" w:sz="0" w:space="0" w:color="auto"/>
        <w:left w:val="none" w:sz="0" w:space="0" w:color="auto"/>
        <w:bottom w:val="none" w:sz="0" w:space="0" w:color="auto"/>
        <w:right w:val="none" w:sz="0" w:space="0" w:color="auto"/>
      </w:divBdr>
    </w:div>
    <w:div w:id="1428841463">
      <w:bodyDiv w:val="1"/>
      <w:marLeft w:val="0"/>
      <w:marRight w:val="0"/>
      <w:marTop w:val="0"/>
      <w:marBottom w:val="0"/>
      <w:divBdr>
        <w:top w:val="none" w:sz="0" w:space="0" w:color="auto"/>
        <w:left w:val="none" w:sz="0" w:space="0" w:color="auto"/>
        <w:bottom w:val="none" w:sz="0" w:space="0" w:color="auto"/>
        <w:right w:val="none" w:sz="0" w:space="0" w:color="auto"/>
      </w:divBdr>
    </w:div>
    <w:div w:id="1563978779">
      <w:bodyDiv w:val="1"/>
      <w:marLeft w:val="0"/>
      <w:marRight w:val="0"/>
      <w:marTop w:val="0"/>
      <w:marBottom w:val="0"/>
      <w:divBdr>
        <w:top w:val="none" w:sz="0" w:space="0" w:color="auto"/>
        <w:left w:val="none" w:sz="0" w:space="0" w:color="auto"/>
        <w:bottom w:val="none" w:sz="0" w:space="0" w:color="auto"/>
        <w:right w:val="none" w:sz="0" w:space="0" w:color="auto"/>
      </w:divBdr>
    </w:div>
    <w:div w:id="1636712319">
      <w:bodyDiv w:val="1"/>
      <w:marLeft w:val="0"/>
      <w:marRight w:val="0"/>
      <w:marTop w:val="0"/>
      <w:marBottom w:val="0"/>
      <w:divBdr>
        <w:top w:val="none" w:sz="0" w:space="0" w:color="auto"/>
        <w:left w:val="none" w:sz="0" w:space="0" w:color="auto"/>
        <w:bottom w:val="none" w:sz="0" w:space="0" w:color="auto"/>
        <w:right w:val="none" w:sz="0" w:space="0" w:color="auto"/>
      </w:divBdr>
    </w:div>
    <w:div w:id="1828861747">
      <w:bodyDiv w:val="1"/>
      <w:marLeft w:val="0"/>
      <w:marRight w:val="0"/>
      <w:marTop w:val="0"/>
      <w:marBottom w:val="0"/>
      <w:divBdr>
        <w:top w:val="none" w:sz="0" w:space="0" w:color="auto"/>
        <w:left w:val="none" w:sz="0" w:space="0" w:color="auto"/>
        <w:bottom w:val="none" w:sz="0" w:space="0" w:color="auto"/>
        <w:right w:val="none" w:sz="0" w:space="0" w:color="auto"/>
      </w:divBdr>
    </w:div>
    <w:div w:id="2085833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lylubis18@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1517</TotalTime>
  <Pages>24</Pages>
  <Words>6673</Words>
  <Characters>38042</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8</cp:revision>
  <dcterms:created xsi:type="dcterms:W3CDTF">2026-05-30T07:24:00Z</dcterms:created>
  <dcterms:modified xsi:type="dcterms:W3CDTF">2026-06-08T04:46:00Z</dcterms:modified>
</cp:coreProperties>
</file>