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DA5D5" w14:textId="77777777" w:rsidR="00031ABD" w:rsidRPr="00657DFC" w:rsidRDefault="00031ABD" w:rsidP="00031ABD">
      <w:pPr>
        <w:jc w:val="center"/>
        <w:rPr>
          <w:rFonts w:ascii="Cambria Math" w:hAnsi="Cambria Math"/>
          <w:b/>
          <w:bCs/>
          <w:sz w:val="32"/>
          <w:szCs w:val="32"/>
        </w:rPr>
      </w:pPr>
      <w:r w:rsidRPr="00657DFC">
        <w:rPr>
          <w:rFonts w:ascii="Cambria Math" w:hAnsi="Cambria Math"/>
          <w:b/>
          <w:bCs/>
          <w:sz w:val="32"/>
          <w:szCs w:val="32"/>
        </w:rPr>
        <w:t>Optimization of Transportation Infrastructure Networks as a Disaster Risk Mitigation Effort in the Sepaku Semoi Dam Emergency Action Plan</w:t>
      </w:r>
    </w:p>
    <w:p w14:paraId="24BFCF65" w14:textId="77777777" w:rsidR="00031ABD" w:rsidRPr="00657DFC" w:rsidRDefault="00031ABD" w:rsidP="00031ABD">
      <w:pPr>
        <w:spacing w:after="0"/>
        <w:jc w:val="center"/>
        <w:rPr>
          <w:rFonts w:ascii="Cambria Math" w:hAnsi="Cambria Math" w:cs="Times New Roman"/>
          <w:b/>
          <w:bCs/>
        </w:rPr>
      </w:pPr>
      <w:r w:rsidRPr="00657DFC">
        <w:rPr>
          <w:rFonts w:ascii="Cambria Math" w:hAnsi="Cambria Math" w:cs="Times New Roman"/>
          <w:b/>
          <w:bCs/>
        </w:rPr>
        <w:t>Zony Yulfadli ¹, Friska Putri ²</w:t>
      </w:r>
    </w:p>
    <w:p w14:paraId="6D84288F" w14:textId="77777777" w:rsidR="00031ABD" w:rsidRPr="00657DFC" w:rsidRDefault="00031ABD" w:rsidP="00031ABD">
      <w:pPr>
        <w:spacing w:after="0"/>
        <w:jc w:val="center"/>
        <w:rPr>
          <w:rFonts w:ascii="Cambria Math" w:hAnsi="Cambria Math" w:cs="Times New Roman"/>
          <w:bCs/>
        </w:rPr>
      </w:pPr>
      <w:r w:rsidRPr="00657DFC">
        <w:rPr>
          <w:rFonts w:ascii="Cambria Math" w:hAnsi="Cambria Math" w:cs="Times New Roman"/>
          <w:bCs/>
        </w:rPr>
        <w:t>Lecturer of Civil Engineering Study Program, Faculty of Engineering,</w:t>
      </w:r>
    </w:p>
    <w:p w14:paraId="0214F21C" w14:textId="77777777" w:rsidR="00031ABD" w:rsidRPr="00657DFC" w:rsidRDefault="00031ABD" w:rsidP="00031ABD">
      <w:pPr>
        <w:spacing w:after="0"/>
        <w:jc w:val="center"/>
        <w:rPr>
          <w:rFonts w:ascii="Cambria Math" w:hAnsi="Cambria Math" w:cs="Times New Roman"/>
          <w:bCs/>
        </w:rPr>
      </w:pPr>
      <w:r w:rsidRPr="00657DFC">
        <w:rPr>
          <w:rFonts w:ascii="Cambria Math" w:hAnsi="Cambria Math" w:cs="Times New Roman"/>
          <w:bCs/>
        </w:rPr>
        <w:t>University of Samarinda, August 17, 1945</w:t>
      </w:r>
    </w:p>
    <w:p w14:paraId="7898CEE5" w14:textId="77777777" w:rsidR="00031ABD" w:rsidRPr="00657DFC" w:rsidRDefault="00031ABD" w:rsidP="00031ABD">
      <w:pPr>
        <w:spacing w:after="0"/>
        <w:jc w:val="center"/>
        <w:rPr>
          <w:rFonts w:ascii="Cambria Math" w:hAnsi="Cambria Math" w:cs="Times New Roman"/>
        </w:rPr>
      </w:pPr>
      <w:r w:rsidRPr="00657DFC">
        <w:rPr>
          <w:rFonts w:ascii="Cambria Math" w:hAnsi="Cambria Math" w:cs="Times New Roman"/>
        </w:rPr>
        <w:t xml:space="preserve">Corresponding Author : </w:t>
      </w:r>
      <w:hyperlink r:id="rId6" w:history="1">
        <w:r w:rsidRPr="00657DFC">
          <w:rPr>
            <w:rStyle w:val="Hyperlink"/>
            <w:rFonts w:ascii="Cambria Math" w:hAnsi="Cambria Math" w:cs="Times New Roman"/>
          </w:rPr>
          <w:t>zony@untag-smd.ac.id</w:t>
        </w:r>
      </w:hyperlink>
    </w:p>
    <w:p w14:paraId="19462646" w14:textId="77777777" w:rsidR="00031ABD" w:rsidRPr="00657DFC" w:rsidRDefault="00031ABD" w:rsidP="00031ABD">
      <w:pPr>
        <w:spacing w:after="0"/>
        <w:jc w:val="center"/>
        <w:rPr>
          <w:rFonts w:ascii="Cambria Math" w:hAnsi="Cambria Math" w:cs="Times New Roman"/>
        </w:rPr>
      </w:pPr>
    </w:p>
    <w:p w14:paraId="33371862" w14:textId="77777777" w:rsidR="00031ABD" w:rsidRPr="00657DFC" w:rsidRDefault="00031ABD" w:rsidP="00031ABD">
      <w:pPr>
        <w:jc w:val="both"/>
        <w:rPr>
          <w:rFonts w:ascii="Cambria Math" w:hAnsi="Cambria Math"/>
        </w:rPr>
      </w:pPr>
      <w:r w:rsidRPr="00657DFC">
        <w:rPr>
          <w:rFonts w:ascii="Cambria Math" w:hAnsi="Cambria Math"/>
          <w:b/>
          <w:bCs/>
        </w:rPr>
        <w:t>Abstract</w:t>
      </w:r>
      <w:r w:rsidRPr="00657DFC">
        <w:rPr>
          <w:rFonts w:ascii="Cambria Math" w:hAnsi="Cambria Math"/>
        </w:rPr>
        <w:t xml:space="preserve"> </w:t>
      </w:r>
    </w:p>
    <w:p w14:paraId="63AF2FFB" w14:textId="77777777" w:rsidR="00031ABD" w:rsidRPr="00657DFC" w:rsidRDefault="00031ABD" w:rsidP="00031ABD">
      <w:pPr>
        <w:jc w:val="both"/>
        <w:rPr>
          <w:rFonts w:ascii="Cambria Math" w:hAnsi="Cambria Math"/>
        </w:rPr>
      </w:pPr>
      <w:r w:rsidRPr="00657DFC">
        <w:rPr>
          <w:rFonts w:ascii="Cambria Math" w:hAnsi="Cambria Math"/>
        </w:rPr>
        <w:t>This study aims to optimize the transportation infrastructure network as part of the disaster risk mitigation strategy in the Sepaku Semoi Dam Emergency Action Plan (EAP). In the context of potential dam failure, reliable transportation access is crucial to support rapid and effective evacuation and emergency response. This study uses the Analytical Hierarchy Process (AHP) approach to evaluate and prioritize transportation routes based on three main criteria: accessibility, road capacity, and physical infrastructure resilience. Data were obtained through a direct survey of 80 respondents, including local stakeholders such as the Regional Disaster Management Agency (BPBD), the Public Works Agency, and community leaders in the affected area. The analysis results indicate that the Sepaku–Petung Main Road is the most prioritized evacuation route with the highest AHP score (0.41). These findings provide a strong scientific basis for the development of evacuation strategies in the EAP document and serve as a reference for planned road infrastructure improvement and maintenance. This study is expected to serve as an applicable reference in dam EAP planning in other areas with comparable geographic and social conditions.</w:t>
      </w:r>
    </w:p>
    <w:p w14:paraId="52D09BDB" w14:textId="77777777" w:rsidR="00031ABD" w:rsidRPr="00657DFC" w:rsidRDefault="00031ABD" w:rsidP="00031ABD">
      <w:pPr>
        <w:jc w:val="both"/>
        <w:rPr>
          <w:rFonts w:ascii="Cambria Math" w:hAnsi="Cambria Math"/>
        </w:rPr>
      </w:pPr>
      <w:r w:rsidRPr="00657DFC">
        <w:rPr>
          <w:rFonts w:ascii="Cambria Math" w:hAnsi="Cambria Math"/>
          <w:b/>
          <w:bCs/>
        </w:rPr>
        <w:t xml:space="preserve">Keywords: </w:t>
      </w:r>
      <w:r w:rsidRPr="00657DFC">
        <w:rPr>
          <w:rFonts w:ascii="Cambria Math" w:hAnsi="Cambria Math"/>
        </w:rPr>
        <w:t>transportation infrastructure, RTD, AHP, Sepaku Semoi, evacuation routes, disaster mitigation</w:t>
      </w:r>
    </w:p>
    <w:p w14:paraId="27F7FB13" w14:textId="77777777" w:rsidR="00031ABD" w:rsidRPr="00657DFC" w:rsidRDefault="00031ABD" w:rsidP="00031ABD">
      <w:pPr>
        <w:pStyle w:val="ListParagraph"/>
        <w:numPr>
          <w:ilvl w:val="0"/>
          <w:numId w:val="10"/>
        </w:numPr>
        <w:tabs>
          <w:tab w:val="left" w:pos="426"/>
        </w:tabs>
        <w:ind w:hanging="578"/>
        <w:jc w:val="both"/>
        <w:rPr>
          <w:rFonts w:ascii="Cambria Math" w:hAnsi="Cambria Math"/>
          <w:b/>
          <w:bCs/>
        </w:rPr>
      </w:pPr>
      <w:r w:rsidRPr="00657DFC">
        <w:rPr>
          <w:rFonts w:ascii="Cambria Math" w:hAnsi="Cambria Math"/>
          <w:b/>
          <w:bCs/>
        </w:rPr>
        <w:t>Introduction</w:t>
      </w:r>
    </w:p>
    <w:p w14:paraId="06C13642" w14:textId="53179A71" w:rsidR="00C04C4B" w:rsidRPr="00C04C4B" w:rsidRDefault="00C04C4B" w:rsidP="00096E2B">
      <w:pPr>
        <w:spacing w:before="100" w:beforeAutospacing="1" w:after="100" w:afterAutospacing="1" w:line="276" w:lineRule="auto"/>
        <w:ind w:left="142" w:firstLine="578"/>
        <w:jc w:val="both"/>
        <w:rPr>
          <w:rFonts w:ascii="Times New Roman" w:eastAsia="Times New Roman" w:hAnsi="Times New Roman" w:cs="Times New Roman"/>
          <w:kern w:val="0"/>
          <w14:ligatures w14:val="none"/>
        </w:rPr>
      </w:pPr>
      <w:r w:rsidRPr="00C04C4B">
        <w:rPr>
          <w:rFonts w:ascii="Times New Roman" w:eastAsia="Times New Roman" w:hAnsi="Times New Roman" w:cs="Times New Roman"/>
          <w:kern w:val="0"/>
          <w14:ligatures w14:val="none"/>
        </w:rPr>
        <w:t xml:space="preserve">Transportation infrastructure plays a crucial role in disaster management systems, particularly in supporting the rapid and accurate evacuation of residents and distribution of logistics. The quality, condition, and connectivity of the road network significantly determine the effectiveness of emergency response and contribute to reducing the risk of loss of life and economic loss </w:t>
      </w:r>
      <w:r w:rsidR="00526EDF">
        <w:rPr>
          <w:rFonts w:ascii="Times New Roman" w:eastAsia="Times New Roman" w:hAnsi="Times New Roman" w:cs="Times New Roman"/>
          <w:kern w:val="0"/>
          <w14:ligatures w14:val="none"/>
        </w:rPr>
        <w:fldChar w:fldCharType="begin" w:fldLock="1"/>
      </w:r>
      <w:r w:rsidR="00D10537">
        <w:rPr>
          <w:rFonts w:ascii="Times New Roman" w:eastAsia="Times New Roman" w:hAnsi="Times New Roman" w:cs="Times New Roman"/>
          <w:kern w:val="0"/>
          <w14:ligatures w14:val="none"/>
        </w:rPr>
        <w:instrText>ADDIN CSL_CITATION {"citationItems":[{"id":"ITEM-1","itemData":{"DOI":"10.1016/j.scs.2020.102653","ISSN":"22106707","abstract":"In this paper we proposed a new platform based on data processing suitable for urban square design optimization. The re-design of square in cities is important to make the urban squares livable especially for cities with high population density. Innovative solutions about green space design, computer vision and environmental sensing have been implemented, observing experimentally the influence of the public space on people's behaviour. Furthermore, the platform processes data about weather condition, objects detected by image processing algorithms, environmental pollution and occupancy patterns to perform correlation analysis. A Convolutional Neural Network (CNN) has been used to predict people occupancy over time, basing on a weather dataset. The platform implements a Decision Support System (DSS) aimed to read the data, and provide guidelines for urban square design optimization. The DSS is constructed by data modeling, data mining and multiple correspondence analysis (MCA) tools tailored on the specific case of study. Experimental observations provide insights for a self-adaptive urban square design. Multiple correspondence analysis best fits qualitative and quantitative data obtained from sensors, and highlights people's behaviour in the urban square in correlation with different variables. After a complete overview of factors which can influence the livability of a square and economical/social models are presented different results about citizen behaviour interpretation in function of weather data and attitudes. The proposed framework can be potentially applied for a generic urban square.","author":[{"dropping-particle":"","family":"Massaro","given":"Alessandro","non-dropping-particle":"","parse-names":false,"suffix":""},{"dropping-particle":"","family":"Birardi","given":"Giuseppe","non-dropping-particle":"","parse-names":false,"suffix":""},{"dropping-particle":"","family":"Manca","given":"Fabio","non-dropping-particle":"","parse-names":false,"suffix":""},{"dropping-particle":"","family":"Marin","given":"Claudia","non-dropping-particle":"","parse-names":false,"suffix":""},{"dropping-particle":"","family":"Birardi","given":"Vitangelo","non-dropping-particle":"","parse-names":false,"suffix":""},{"dropping-particle":"","family":"Giannone","given":"Daniele","non-dropping-particle":"","parse-names":false,"suffix":""},{"dropping-particle":"","family":"Galiano","given":"Angelo Maurizio","non-dropping-particle":"","parse-names":false,"suffix":""}],"container-title":"Sustainable Cities and Society","id":"ITEM-1","issued":{"date-parts":[["2021"]]},"page":"102653","publisher":"Elsevier B.V.","title":"Innovative DSS for intelligent monitoring and urban square design approaches: A case of study","type":"article-journal","volume":"65"},"uris":["http://www.mendeley.com/documents/?uuid=31448d21-033b-4ca9-8f24-3b97fab3bacf"]}],"mendeley":{"formattedCitation":"[1]","plainTextFormattedCitation":"[1]","previouslyFormattedCitation":"[1]"},"properties":{"noteIndex":0},"schema":"https://github.com/citation-style-language/schema/raw/master/csl-citation.json"}</w:instrText>
      </w:r>
      <w:r w:rsidR="00526EDF">
        <w:rPr>
          <w:rFonts w:ascii="Times New Roman" w:eastAsia="Times New Roman" w:hAnsi="Times New Roman" w:cs="Times New Roman"/>
          <w:kern w:val="0"/>
          <w14:ligatures w14:val="none"/>
        </w:rPr>
        <w:fldChar w:fldCharType="separate"/>
      </w:r>
      <w:r w:rsidR="00526EDF" w:rsidRPr="00526EDF">
        <w:rPr>
          <w:rFonts w:ascii="Times New Roman" w:eastAsia="Times New Roman" w:hAnsi="Times New Roman" w:cs="Times New Roman"/>
          <w:noProof/>
          <w:kern w:val="0"/>
          <w14:ligatures w14:val="none"/>
        </w:rPr>
        <w:t xml:space="preserve">[1] </w:t>
      </w:r>
      <w:r w:rsidR="00526EDF">
        <w:rPr>
          <w:rFonts w:ascii="Times New Roman" w:eastAsia="Times New Roman" w:hAnsi="Times New Roman" w:cs="Times New Roman"/>
          <w:kern w:val="0"/>
          <w14:ligatures w14:val="none"/>
        </w:rPr>
        <w:fldChar w:fldCharType="end"/>
      </w:r>
      <w:r w:rsidRPr="00C04C4B">
        <w:rPr>
          <w:rFonts w:ascii="Times New Roman" w:eastAsia="Times New Roman" w:hAnsi="Times New Roman" w:cs="Times New Roman"/>
          <w:kern w:val="0"/>
          <w14:ligatures w14:val="none"/>
        </w:rPr>
        <w:t xml:space="preserve">. In Indonesia, large dams such as Sepaku Semoi not only serve as raw water supplies and flood control facilities, but also pose a high risk of collapse or uncontrolled water release </w:t>
      </w:r>
      <w:r w:rsidR="00D10537">
        <w:rPr>
          <w:rFonts w:ascii="Times New Roman" w:eastAsia="Times New Roman" w:hAnsi="Times New Roman" w:cs="Times New Roman"/>
          <w:kern w:val="0"/>
          <w14:ligatures w14:val="none"/>
        </w:rPr>
        <w:fldChar w:fldCharType="begin" w:fldLock="1"/>
      </w:r>
      <w:r w:rsidR="00D10537">
        <w:rPr>
          <w:rFonts w:ascii="Times New Roman" w:eastAsia="Times New Roman" w:hAnsi="Times New Roman" w:cs="Times New Roman"/>
          <w:kern w:val="0"/>
          <w14:ligatures w14:val="none"/>
        </w:rPr>
        <w:instrText>ADDIN CSL_CITATION {"citationItems":[{"id":"ITEM-1","itemData":{"abstract":"… However, it is too early to judge whether these government actions can sufficiently address the related environmental issues. The capital relocation is still in its early stages. As the …","author":[{"dropping-particle":"","family":"Endo","given":"K","non-dropping-particle":"","parse-names":false,"suffix":""},{"dropping-particle":"","family":"Taira","given":"Y","non-dropping-particle":"","parse-names":false,"suffix":""},{"dropping-particle":"","family":"Yamaguchi","given":"N","non-dropping-particle":"","parse-names":false,"suffix":""}],"id":"ITEM-1","issue":"12","issued":{"date-parts":[["2025"]]},"title":"The relocation of the capital of Indonesia under the Jokowi administration: Issues and government responses","type":"article-journal"},"uris":["http://www.mendeley.com/documents/?uuid=c85f8644-a408-4691-b36c-6ac7e61bf1dc"]}],"mendeley":{"formattedCitation":"[2]","plainTextFormattedCitation":"[2]","previouslyFormattedCitation":"[2]"},"properties":{"noteIndex":0},"schema":"https://github.com/citation-style-language/schema/raw/master/csl-citation.json"}</w:instrText>
      </w:r>
      <w:r w:rsidR="00D10537">
        <w:rPr>
          <w:rFonts w:ascii="Times New Roman" w:eastAsia="Times New Roman" w:hAnsi="Times New Roman" w:cs="Times New Roman"/>
          <w:kern w:val="0"/>
          <w14:ligatures w14:val="none"/>
        </w:rPr>
        <w:fldChar w:fldCharType="separate"/>
      </w:r>
      <w:r w:rsidR="00D10537" w:rsidRPr="00D10537">
        <w:rPr>
          <w:rFonts w:ascii="Times New Roman" w:eastAsia="Times New Roman" w:hAnsi="Times New Roman" w:cs="Times New Roman"/>
          <w:noProof/>
          <w:kern w:val="0"/>
          <w14:ligatures w14:val="none"/>
        </w:rPr>
        <w:t>[2].</w:t>
      </w:r>
      <w:r w:rsidR="00D10537">
        <w:rPr>
          <w:rFonts w:ascii="Times New Roman" w:eastAsia="Times New Roman" w:hAnsi="Times New Roman" w:cs="Times New Roman"/>
          <w:kern w:val="0"/>
          <w14:ligatures w14:val="none"/>
        </w:rPr>
        <w:fldChar w:fldCharType="end"/>
      </w:r>
    </w:p>
    <w:p w14:paraId="2C3535CD" w14:textId="2B7D4CC0" w:rsidR="00C04C4B" w:rsidRPr="00C04C4B" w:rsidRDefault="00C04C4B" w:rsidP="00C04C4B">
      <w:pPr>
        <w:spacing w:before="100" w:beforeAutospacing="1" w:after="100" w:afterAutospacing="1" w:line="276" w:lineRule="auto"/>
        <w:jc w:val="both"/>
        <w:rPr>
          <w:rFonts w:ascii="Times New Roman" w:eastAsia="Times New Roman" w:hAnsi="Times New Roman" w:cs="Times New Roman"/>
          <w:kern w:val="0"/>
          <w14:ligatures w14:val="none"/>
        </w:rPr>
      </w:pPr>
      <w:r w:rsidRPr="00C04C4B">
        <w:rPr>
          <w:rFonts w:ascii="Times New Roman" w:eastAsia="Times New Roman" w:hAnsi="Times New Roman" w:cs="Times New Roman"/>
          <w:kern w:val="0"/>
          <w14:ligatures w14:val="none"/>
        </w:rPr>
        <w:t xml:space="preserve">The Sepaku Semoi Dam, located in East Kalimantan, is part of the National Strategic Project (PSN) and supports the infrastructure of the Indonesian National Capital City (IKN). According to Minister of Public Works and Public Housing Regulation No. 27/PRT/M/2015, the preparation of an Emergency Action Plan (RTD) is mandatory, including the arrangement of evacuation routes for vulnerable downstream communities. However, previous studies have shown that most road networks around dams in Indonesia have not been specifically designed for evacuation purposes, making them vulnerable to congestion, damage, or even being cut off during disasters. </w:t>
      </w:r>
      <w:r w:rsidR="00D10537">
        <w:rPr>
          <w:rFonts w:ascii="Times New Roman" w:eastAsia="Times New Roman" w:hAnsi="Times New Roman" w:cs="Times New Roman"/>
          <w:kern w:val="0"/>
          <w14:ligatures w14:val="none"/>
        </w:rPr>
        <w:fldChar w:fldCharType="begin" w:fldLock="1"/>
      </w:r>
      <w:r w:rsidR="00D10537">
        <w:rPr>
          <w:rFonts w:ascii="Times New Roman" w:eastAsia="Times New Roman" w:hAnsi="Times New Roman" w:cs="Times New Roman"/>
          <w:kern w:val="0"/>
          <w14:ligatures w14:val="none"/>
        </w:rPr>
        <w:instrText>ADDIN CSL_CITATION {"citationItems":[{"id":"ITEM-1","itemData":{"DOI":"10.1016/j.jreng.2021.12.002","ISSN":"20970498","abstract":"The major contemporary in road pavement engineering is related to the creation of green and sustainable in- frastructures, e.g., reduction of environmental impacts, increase in traffic safety, and transportation efficiency, etc. This review presents the recent trends in research and the technical solutions developed so far to address these challenges. After the analysis of research status in the past decades, a novel technology system of eco-friendly pavements is proposed considering two solutions, materials modification and structure improvement. The con- struction of an eco-friendly pavement can be achieved thanks to several different technologies ensuring perme- able, noise-reducing, self-luminous, and exhaust-decomposing properties as well as apporting lower heat absorbing and enhanced anti-/de-icing characteristics. A systematic review of these technologies is presented pivoting on four main aspects: technical principle, material and structural composition, performance evaluation, and engineering application. The current trend in road engineering is combining the pavement infrastructure with various eco-friendly functions, e.g., water permeability, noise reduction, low heat absorption, exhaust gas decomposition, and anti-/de-icing. Finally, the review lists the drawbacks of the existing technologies, including high cost, single function, etc., and depicts the future developing direction and architecture of the next generation of eco-friendly pavements in which the road infrastructure should have more environmentally friendly functions than","author":[{"dropping-particle":"","family":"Sha","given":"Aimin","non-dropping-particle":"","parse-names":false,"suffix":""},{"dropping-particle":"","family":"Liu","given":"Zhuangzhuang","non-dropping-particle":"","parse-names":false,"suffix":""},{"dropping-particle":"","family":"Jiang","given":"Wei","non-dropping-particle":"","parse-names":false,"suffix":""},{"dropping-particle":"","family":"Qi","given":"Lin","non-dropping-particle":"","parse-names":false,"suffix":""},{"dropping-particle":"","family":"Hu","given":"Liqun","non-dropping-particle":"","parse-names":false,"suffix":""},{"dropping-particle":"","family":"Jiao","given":"Wenxiu","non-dropping-particle":"","parse-names":false,"suffix":""},{"dropping-particle":"","family":"Barbieri","given":"Diego Maria","non-dropping-particle":"","parse-names":false,"suffix":""}],"container-title":"Journal of Road Engineering","id":"ITEM-1","issue":"December","issued":{"date-parts":[["2021"]]},"page":"1-42","publisher":"The Authors","title":"Advances and development trends in eco-friendly pavements","type":"article-journal","volume":"1"},"uris":["http://www.mendeley.com/documents/?uuid=97892189-0a03-494d-bb35-9cbcc520d0d9"]}],"mendeley":{"formattedCitation":"[3]","plainTextFormattedCitation":"[3]","previouslyFormattedCitation":"[3]"},"properties":{"noteIndex":0},"schema":"https://github.com/citation-style-language/schema/raw/master/csl-citation.json"}</w:instrText>
      </w:r>
      <w:r w:rsidR="00D10537">
        <w:rPr>
          <w:rFonts w:ascii="Times New Roman" w:eastAsia="Times New Roman" w:hAnsi="Times New Roman" w:cs="Times New Roman"/>
          <w:kern w:val="0"/>
          <w14:ligatures w14:val="none"/>
        </w:rPr>
        <w:fldChar w:fldCharType="separate"/>
      </w:r>
      <w:r w:rsidR="00D10537" w:rsidRPr="00D10537">
        <w:rPr>
          <w:rFonts w:ascii="Times New Roman" w:eastAsia="Times New Roman" w:hAnsi="Times New Roman" w:cs="Times New Roman"/>
          <w:noProof/>
          <w:kern w:val="0"/>
          <w14:ligatures w14:val="none"/>
        </w:rPr>
        <w:t>[3]</w:t>
      </w:r>
      <w:r w:rsidR="00D10537">
        <w:rPr>
          <w:rFonts w:ascii="Times New Roman" w:eastAsia="Times New Roman" w:hAnsi="Times New Roman" w:cs="Times New Roman"/>
          <w:kern w:val="0"/>
          <w14:ligatures w14:val="none"/>
        </w:rPr>
        <w:fldChar w:fldCharType="end"/>
      </w:r>
    </w:p>
    <w:p w14:paraId="105DCAD9" w14:textId="7177D7FE" w:rsidR="00C04C4B" w:rsidRPr="009A41B9" w:rsidRDefault="00C04C4B" w:rsidP="005A5599">
      <w:pPr>
        <w:spacing w:before="100" w:beforeAutospacing="1" w:after="100" w:afterAutospacing="1" w:line="276" w:lineRule="auto"/>
        <w:ind w:firstLine="720"/>
        <w:jc w:val="both"/>
        <w:rPr>
          <w:rFonts w:ascii="Times New Roman" w:eastAsia="Times New Roman" w:hAnsi="Times New Roman" w:cs="Times New Roman"/>
          <w:kern w:val="0"/>
          <w14:ligatures w14:val="none"/>
        </w:rPr>
      </w:pPr>
      <w:r w:rsidRPr="00C04C4B">
        <w:rPr>
          <w:rFonts w:ascii="Times New Roman" w:eastAsia="Times New Roman" w:hAnsi="Times New Roman" w:cs="Times New Roman"/>
          <w:kern w:val="0"/>
          <w14:ligatures w14:val="none"/>
        </w:rPr>
        <w:lastRenderedPageBreak/>
        <w:t xml:space="preserve">Therefore, this study uses </w:t>
      </w:r>
      <w:r w:rsidRPr="009A41B9">
        <w:rPr>
          <w:rFonts w:ascii="Times New Roman" w:eastAsia="Times New Roman" w:hAnsi="Times New Roman" w:cs="Times New Roman"/>
          <w:kern w:val="0"/>
          <w14:ligatures w14:val="none"/>
        </w:rPr>
        <w:t>the Analytical Hierarchy Process (AHP) method as a multi-criteria approach in evaluating the four main evacuation routes in the RTD document (A1–A4) based on physical conditions, accessibility, and distance to the evacuation assembly point. In addition, this study also recommends two additional routes, namely Route A5 (Sepaku Lama–Tengin Baru–Karang Jinawi) and Route A6 (Gunung Intan–Sukaraja–Giri Mukti–Petung), to reach unserved settlements and strengthen connectivity between routes.</w:t>
      </w:r>
    </w:p>
    <w:p w14:paraId="361527E5" w14:textId="1218CC1D" w:rsidR="00031ABD" w:rsidRPr="00BB0BEE" w:rsidRDefault="00C04C4B" w:rsidP="005A5599">
      <w:pPr>
        <w:spacing w:before="100" w:beforeAutospacing="1" w:after="100" w:afterAutospacing="1" w:line="276" w:lineRule="auto"/>
        <w:ind w:firstLine="720"/>
        <w:jc w:val="both"/>
        <w:rPr>
          <w:rFonts w:ascii="Times New Roman" w:eastAsia="Times New Roman" w:hAnsi="Times New Roman" w:cs="Times New Roman"/>
          <w:kern w:val="0"/>
          <w14:ligatures w14:val="none"/>
        </w:rPr>
      </w:pPr>
      <w:r w:rsidRPr="00C04C4B">
        <w:rPr>
          <w:rFonts w:ascii="Times New Roman" w:eastAsia="Times New Roman" w:hAnsi="Times New Roman" w:cs="Times New Roman"/>
          <w:kern w:val="0"/>
          <w14:ligatures w14:val="none"/>
        </w:rPr>
        <w:t xml:space="preserve">The strength of this study lies in the integration of the quantitative AHP approach with field survey data and spatial analysis of the affected area. This approach allows for more objective and responsive decision-making to local conditions, unlike previous studies that were more descriptive or based on general assumptions </w:t>
      </w:r>
      <w:r w:rsidR="00D10537">
        <w:rPr>
          <w:rFonts w:ascii="Times New Roman" w:eastAsia="Times New Roman" w:hAnsi="Times New Roman" w:cs="Times New Roman"/>
          <w:kern w:val="0"/>
          <w14:ligatures w14:val="none"/>
        </w:rPr>
        <w:fldChar w:fldCharType="begin" w:fldLock="1"/>
      </w:r>
      <w:r w:rsidR="005A5599">
        <w:rPr>
          <w:rFonts w:ascii="Times New Roman" w:eastAsia="Times New Roman" w:hAnsi="Times New Roman" w:cs="Times New Roman"/>
          <w:kern w:val="0"/>
          <w14:ligatures w14:val="none"/>
        </w:rPr>
        <w:instrText>ADDIN CSL_CITATION {"citationItems":[{"id":"ITEM-1","itemData":{"DOI":"10.1108/JMTM-03-2014-0020","ISSN":"1741038X","abstract":"Purpose - The purpose of this paper is to identify attributes of knowledge management (KM) for large and small manufacturing companies in United Arab Emirates (UAE) and to propose a process to evaluate the competitive priorities of these companies. Design/methodology/approach - This research is designed by composing multi criteria decision making of KM attributes in order to identify competitive priorities of large and small manufacturing companies to achieve better customer focus. To deal with this complexity of multi criteria decisionmaking process, Analytical Hierarchical Process (AHP) method has been used in this research. Findings - Results show that large manufacturing companies are putting more emphasis on \"Know- Why\" knowledge attribute in all four competitive priorities for achieving customer focus. While, small size manufacturing companies put higher weight on \"Know-What\" knowledge attribute by focussing on two competitive priorities (flexibility and quality). Research limitations/implications - Results are derived from a limited number of empirical data only in one country, therefore these cannot be generalized. Future research with larger samples of small and large manufacturing firms from other countries is needed. Practical implications - To be competitive, manufacturing companies must reshuffle their production strategies to allow them to play a role in global knowledge-intensive market. Therefore, they must incorporate knowledge attributes as a way to achieve higher levels of performance. Originality/value - This study is among the first and most exhaustive ones carried out in the small and large size firms operating in the manufacturing sector of UAE. It provides a systematic approach to identify the operational competencies and knowledge attributes being followed by large and small manufacturing companies.","author":[{"dropping-particle":"","family":"Hussain","given":"Matloub","non-dropping-particle":"","parse-names":false,"suffix":""},{"dropping-particle":"","family":"Ajmal","given":"Mian M.","non-dropping-particle":"","parse-names":false,"suffix":""},{"dropping-particle":"","family":"Khan","given":"Mehmood","non-dropping-particle":"","parse-names":false,"suffix":""},{"dropping-particle":"","family":"Saber","given":"Hussein","non-dropping-particle":"","parse-names":false,"suffix":""}],"container-title":"Journal of Manufacturing Technology Management","id":"ITEM-1","issue":"6","issued":{"date-parts":[["2015"]]},"page":"791-806","title":"Competitive priorities and knowledge management: An empirical investigation of manufacturing companies in UAE","type":"article-journal","volume":"26"},"uris":["http://www.mendeley.com/documents/?uuid=164012cf-018d-4b12-a8f0-aa8a842b550f"]}],"mendeley":{"formattedCitation":"[4]","plainTextFormattedCitation":"[4]","previouslyFormattedCitation":"[4]"},"properties":{"noteIndex":0},"schema":"https://github.com/citation-style-language/schema/raw/master/csl-citation.json"}</w:instrText>
      </w:r>
      <w:r w:rsidR="00D10537">
        <w:rPr>
          <w:rFonts w:ascii="Times New Roman" w:eastAsia="Times New Roman" w:hAnsi="Times New Roman" w:cs="Times New Roman"/>
          <w:kern w:val="0"/>
          <w14:ligatures w14:val="none"/>
        </w:rPr>
        <w:fldChar w:fldCharType="separate"/>
      </w:r>
      <w:r w:rsidR="00D10537" w:rsidRPr="00D10537">
        <w:rPr>
          <w:rFonts w:ascii="Times New Roman" w:eastAsia="Times New Roman" w:hAnsi="Times New Roman" w:cs="Times New Roman"/>
          <w:noProof/>
          <w:kern w:val="0"/>
          <w14:ligatures w14:val="none"/>
        </w:rPr>
        <w:t xml:space="preserve">[4] </w:t>
      </w:r>
      <w:r w:rsidR="00D10537">
        <w:rPr>
          <w:rFonts w:ascii="Times New Roman" w:eastAsia="Times New Roman" w:hAnsi="Times New Roman" w:cs="Times New Roman"/>
          <w:kern w:val="0"/>
          <w14:ligatures w14:val="none"/>
        </w:rPr>
        <w:fldChar w:fldCharType="end"/>
      </w:r>
      <w:r w:rsidR="005A5599">
        <w:rPr>
          <w:rFonts w:ascii="Times New Roman" w:eastAsia="Times New Roman" w:hAnsi="Times New Roman" w:cs="Times New Roman"/>
          <w:kern w:val="0"/>
          <w14:ligatures w14:val="none"/>
        </w:rPr>
        <w:t xml:space="preserve">. In addition, the integration of the AHP method in the context of disaster evacuation has also proven effective in various international studies </w:t>
      </w:r>
      <w:r w:rsidR="005A5599">
        <w:rPr>
          <w:rFonts w:ascii="Times New Roman" w:eastAsia="Times New Roman" w:hAnsi="Times New Roman" w:cs="Times New Roman"/>
          <w:kern w:val="0"/>
          <w14:ligatures w14:val="none"/>
        </w:rPr>
        <w:fldChar w:fldCharType="begin" w:fldLock="1"/>
      </w:r>
      <w:r w:rsidR="005A5599">
        <w:rPr>
          <w:rFonts w:ascii="Times New Roman" w:eastAsia="Times New Roman" w:hAnsi="Times New Roman" w:cs="Times New Roman"/>
          <w:kern w:val="0"/>
          <w14:ligatures w14:val="none"/>
        </w:rPr>
        <w:instrText>ADDIN CSL_CITATION {"citationItems":[{"id":"ITEM-1","itemData":{"DOI":"10.52939/ijg.v21i4.4091","ISSN":"26730014","abstract":"This paper presents a comprehensive review of the application of the Analytical Hierarchy Process (AHP) in site suitability analysis, with a particular focus on disaster-prone areas such as flood and landslide zones. AHP, a multi-criteria decision analysis (MCDA) method, has been widely employed in spatial planning to evaluate and prioritize alternative sites based on a range of environmental, socio-economic, and regulatory criteria. Its strength lies in its structured hierarchical framework, the ability to incorporate both quantitative data and qualitative expert judgment, and its integration with Geographic Information Systems (GIS). The review systematically analyzes methodological approaches across numerous studies, highlighting best practices in criteria selection, pairwise comparison, consistency evaluation, and final suitability mapping. Key findings indicate that slope, lithology, and land use/land cover (LULC) are the most frequently prioritized factors in landslide susceptibility mapping, while flood susceptibility analysis consistently emphasizes rainfall intensity, proximity to rivers, and drainage density. This paper also explores sub-criteria weighting techniques such as straight ranking, reciprocal ranking, exponential ranking, and rank order centroid (ROC), evaluating their practicality in enhancing decision-making. A significant contribution of this review is its comparative synthesis of 20 landslide and 20 flood susceptibility studies across various global contexts. The results underscore the importance of context-specific criteria selection while advocating for standardized methodologies to enhance transparency and comparability. Despite its widespread use, AHP is not without limitations. Issues such as subjectivity in pairwise comparisons, sensitivity to inconsistencies, and methodological variability across studies may affect the robustness of results. The paper concludes with actionable recommendations to improve the consistency, reliability, and adaptability of AHP-based site suitability assessments, particularly in high-risk areas. This review thus serves as a valuable resource for researchers and practitioners aiming to leverage AHP for evidence-based and sustainable spatial decision-making.","author":[{"dropping-particle":"","family":"Thammaboribal","given":"P.","non-dropping-particle":"","parse-names":false,"suffix":""},{"dropping-particle":"","family":"Tripathi","given":"N. K.","non-dropping-particle":"","parse-names":false,"suffix":""},{"dropping-particle":"","family":"Lipiloet","given":"S.","non-dropping-particle":"","parse-names":false,"suffix":""}],"container-title":"International Journal of Geoinformatics","id":"ITEM-1","issue":"4","issued":{"date-parts":[["2025"]]},"page":"177-196","title":"Using of Analytical Hierarchy Process (AHP) in Disaster Management: A Review of Flooding and Landslide Susceptibility Mapping","type":"article-journal","volume":"21"},"uris":["http://www.mendeley.com/documents/?uuid=dfcbc245-697a-46d7-b7ea-2d632c5a46cf"]}],"mendeley":{"formattedCitation":"[5]","plainTextFormattedCitation":"[5]","previouslyFormattedCitation":"[5]"},"properties":{"noteIndex":0},"schema":"https://github.com/citation-style-language/schema/raw/master/csl-citation.json"}</w:instrText>
      </w:r>
      <w:r w:rsidR="005A5599">
        <w:rPr>
          <w:rFonts w:ascii="Times New Roman" w:eastAsia="Times New Roman" w:hAnsi="Times New Roman" w:cs="Times New Roman"/>
          <w:kern w:val="0"/>
          <w14:ligatures w14:val="none"/>
        </w:rPr>
        <w:fldChar w:fldCharType="separate"/>
      </w:r>
      <w:r w:rsidR="005A5599" w:rsidRPr="005A5599">
        <w:rPr>
          <w:rFonts w:ascii="Times New Roman" w:eastAsia="Times New Roman" w:hAnsi="Times New Roman" w:cs="Times New Roman"/>
          <w:noProof/>
          <w:kern w:val="0"/>
          <w14:ligatures w14:val="none"/>
        </w:rPr>
        <w:t xml:space="preserve">[5] </w:t>
      </w:r>
      <w:r w:rsidR="005A5599">
        <w:rPr>
          <w:rFonts w:ascii="Times New Roman" w:eastAsia="Times New Roman" w:hAnsi="Times New Roman" w:cs="Times New Roman"/>
          <w:kern w:val="0"/>
          <w14:ligatures w14:val="none"/>
        </w:rPr>
        <w:fldChar w:fldCharType="end"/>
      </w:r>
      <w:r w:rsidRPr="00C04C4B">
        <w:rPr>
          <w:rFonts w:ascii="Times New Roman" w:eastAsia="Times New Roman" w:hAnsi="Times New Roman" w:cs="Times New Roman"/>
          <w:kern w:val="0"/>
          <w14:ligatures w14:val="none"/>
        </w:rPr>
        <w:t>, which show that this method is able to capture the complexity of decision-making based on multiple criteria and spatial data. Thus, the results of this study are expected to strengthen the evacuation system in the Sepaku Semoi Dam RTD and increase the preparedness capacity of local governments for potential dam disasters.</w:t>
      </w:r>
    </w:p>
    <w:p w14:paraId="64A84518" w14:textId="77777777" w:rsidR="00031ABD" w:rsidRPr="00657DFC" w:rsidRDefault="00031ABD" w:rsidP="00031ABD">
      <w:pPr>
        <w:pStyle w:val="ListParagraph"/>
        <w:jc w:val="both"/>
        <w:rPr>
          <w:rFonts w:ascii="Cambria Math" w:hAnsi="Cambria Math"/>
          <w:b/>
          <w:bCs/>
        </w:rPr>
      </w:pPr>
    </w:p>
    <w:p w14:paraId="266F9FCF" w14:textId="77777777" w:rsidR="00031ABD" w:rsidRPr="00657DFC" w:rsidRDefault="00031ABD" w:rsidP="00031ABD">
      <w:pPr>
        <w:pStyle w:val="ListParagraph"/>
        <w:widowControl w:val="0"/>
        <w:numPr>
          <w:ilvl w:val="0"/>
          <w:numId w:val="10"/>
        </w:numPr>
        <w:tabs>
          <w:tab w:val="left" w:pos="234"/>
        </w:tabs>
        <w:autoSpaceDE w:val="0"/>
        <w:autoSpaceDN w:val="0"/>
        <w:spacing w:before="239" w:after="0" w:line="240" w:lineRule="auto"/>
        <w:ind w:left="567" w:hanging="578"/>
        <w:rPr>
          <w:rFonts w:ascii="Cambria Math" w:hAnsi="Cambria Math"/>
          <w:b/>
          <w:bCs/>
        </w:rPr>
      </w:pPr>
      <w:r w:rsidRPr="00657DFC">
        <w:rPr>
          <w:rFonts w:ascii="Cambria Math" w:hAnsi="Cambria Math"/>
          <w:b/>
          <w:bCs/>
        </w:rPr>
        <w:t>Methodology</w:t>
      </w:r>
      <w:r w:rsidRPr="00657DFC">
        <w:rPr>
          <w:rFonts w:ascii="Cambria Math" w:hAnsi="Cambria Math"/>
          <w:b/>
          <w:bCs/>
          <w:spacing w:val="-4"/>
        </w:rPr>
        <w:t xml:space="preserve"> </w:t>
      </w:r>
      <w:r w:rsidRPr="00657DFC">
        <w:rPr>
          <w:rFonts w:ascii="Cambria Math" w:hAnsi="Cambria Math"/>
          <w:b/>
          <w:bCs/>
          <w:spacing w:val="-2"/>
        </w:rPr>
        <w:t>Study</w:t>
      </w:r>
    </w:p>
    <w:p w14:paraId="235285DE" w14:textId="77777777" w:rsidR="00031ABD" w:rsidRPr="00657DFC" w:rsidRDefault="00031ABD" w:rsidP="00031ABD">
      <w:pPr>
        <w:pStyle w:val="ListParagraph"/>
        <w:widowControl w:val="0"/>
        <w:numPr>
          <w:ilvl w:val="1"/>
          <w:numId w:val="10"/>
        </w:numPr>
        <w:tabs>
          <w:tab w:val="left" w:pos="366"/>
        </w:tabs>
        <w:autoSpaceDE w:val="0"/>
        <w:autoSpaceDN w:val="0"/>
        <w:spacing w:before="204" w:after="0" w:line="240" w:lineRule="auto"/>
        <w:ind w:left="366" w:hanging="366"/>
        <w:contextualSpacing w:val="0"/>
        <w:rPr>
          <w:rFonts w:ascii="Cambria Math" w:hAnsi="Cambria Math"/>
          <w:b/>
          <w:bCs/>
        </w:rPr>
      </w:pPr>
      <w:r w:rsidRPr="00657DFC">
        <w:rPr>
          <w:rFonts w:ascii="Cambria Math" w:hAnsi="Cambria Math"/>
          <w:b/>
          <w:bCs/>
        </w:rPr>
        <w:t>Analytical</w:t>
      </w:r>
      <w:r w:rsidRPr="00657DFC">
        <w:rPr>
          <w:rFonts w:ascii="Cambria Math" w:hAnsi="Cambria Math"/>
          <w:b/>
          <w:bCs/>
          <w:spacing w:val="-11"/>
        </w:rPr>
        <w:t xml:space="preserve"> </w:t>
      </w:r>
      <w:r w:rsidRPr="00657DFC">
        <w:rPr>
          <w:rFonts w:ascii="Cambria Math" w:hAnsi="Cambria Math"/>
          <w:b/>
          <w:bCs/>
        </w:rPr>
        <w:t>Hierarchy</w:t>
      </w:r>
      <w:r w:rsidRPr="00657DFC">
        <w:rPr>
          <w:rFonts w:ascii="Cambria Math" w:hAnsi="Cambria Math"/>
          <w:b/>
          <w:bCs/>
          <w:spacing w:val="-11"/>
        </w:rPr>
        <w:t xml:space="preserve"> </w:t>
      </w:r>
      <w:r w:rsidRPr="00657DFC">
        <w:rPr>
          <w:rFonts w:ascii="Cambria Math" w:hAnsi="Cambria Math"/>
          <w:b/>
          <w:bCs/>
        </w:rPr>
        <w:t>Process</w:t>
      </w:r>
      <w:r w:rsidRPr="00657DFC">
        <w:rPr>
          <w:rFonts w:ascii="Cambria Math" w:hAnsi="Cambria Math"/>
          <w:b/>
          <w:bCs/>
          <w:spacing w:val="-10"/>
        </w:rPr>
        <w:t xml:space="preserve"> </w:t>
      </w:r>
      <w:r w:rsidRPr="00657DFC">
        <w:rPr>
          <w:rFonts w:ascii="Cambria Math" w:hAnsi="Cambria Math"/>
          <w:b/>
          <w:bCs/>
          <w:spacing w:val="-4"/>
        </w:rPr>
        <w:t>(AHP)</w:t>
      </w:r>
    </w:p>
    <w:p w14:paraId="2FE65BEF" w14:textId="77777777" w:rsidR="00031ABD" w:rsidRPr="00657DFC" w:rsidRDefault="00031ABD" w:rsidP="00031ABD">
      <w:pPr>
        <w:pStyle w:val="BodyText"/>
        <w:spacing w:before="1" w:line="278" w:lineRule="auto"/>
        <w:ind w:left="236" w:right="356"/>
      </w:pPr>
    </w:p>
    <w:p w14:paraId="3361A1D6" w14:textId="07E72517" w:rsidR="00031ABD" w:rsidRPr="00657DFC" w:rsidRDefault="00031ABD" w:rsidP="00031ABD">
      <w:pPr>
        <w:pStyle w:val="BodyText"/>
        <w:spacing w:line="278" w:lineRule="auto"/>
        <w:ind w:right="356" w:firstLine="426"/>
        <w:jc w:val="both"/>
        <w:sectPr w:rsidR="00031ABD" w:rsidRPr="00657DFC" w:rsidSect="00C04C4B">
          <w:pgSz w:w="11907" w:h="16840" w:code="9"/>
          <w:pgMar w:top="1401" w:right="1077" w:bottom="278" w:left="1440" w:header="720" w:footer="720" w:gutter="0"/>
          <w:cols w:space="720"/>
        </w:sectPr>
      </w:pPr>
      <w:r w:rsidRPr="00657DFC">
        <w:t xml:space="preserve">The Analytical Hierarchy Process (AHP) was developed in the early 1970s by Thomas L. Saaty </w:t>
      </w:r>
      <w:r w:rsidR="005A5599">
        <w:fldChar w:fldCharType="begin" w:fldLock="1"/>
      </w:r>
      <w:r w:rsidR="00096E2B">
        <w:instrText>ADDIN CSL_CITATION {"citationItems":[{"id":"ITEM-1","itemData":{"DOI":"10.1504/ijssci.2008.017590","ISSN":"10263098","abstract":"In this paper, an introduction is given to the decision-making theory, the Analytic Hierarchy Process (AHP). In the AHP, a decision hierarchy is constructed with a goal, criteria and alternatives. The criteria are pairwise compared for their importance with respect to the goal to derive a scale of relative importance and the alternatives are pairwise compared with respect to each criterion to derive relative scales. The relative scales are synthesized using a weighting and adding process to show which is the best alternative. Judgment is used to make the pairwise comparisons. Data can also be used directly in the pairwise comparisons if there is no need to assess or interpret the value represented by the numbers. This process works well for intangibles with no existing scales of measurement. Even when measurement scales and data using these scales exist, it is often advantageous to use judgment to interpret it. Two concepts integral to the AHP, measurement and consistency, are explained. Finally, the ideas and the method are illustrated through an example.","author":[{"dropping-particle":"","family":"Saaty","given":"T. L.","non-dropping-particle":"","parse-names":false,"suffix":""}],"container-title":"Scientia Iranica","id":"ITEM-1","issue":"3","issued":{"date-parts":[["2002"]]},"page":"215-229","title":"Decision making with the Analytic Hierarchy Process","type":"article-journal","volume":"9"},"uris":["http://www.mendeley.com/documents/?uuid=4db69d5c-296a-4088-92b7-6ccbce74aeaf"]}],"mendeley":{"formattedCitation":"[6]","plainTextFormattedCitation":"[6]","previouslyFormattedCitation":"[6]"},"properties":{"noteIndex":0},"schema":"https://github.com/citation-style-language/schema/raw/master/csl-citation.json"}</w:instrText>
      </w:r>
      <w:r w:rsidR="005A5599">
        <w:fldChar w:fldCharType="separate"/>
      </w:r>
      <w:r w:rsidR="005A5599" w:rsidRPr="005A5599">
        <w:rPr>
          <w:noProof/>
        </w:rPr>
        <w:t xml:space="preserve">[6] </w:t>
      </w:r>
      <w:r w:rsidR="005A5599">
        <w:fldChar w:fldCharType="end"/>
      </w:r>
      <w:r w:rsidR="005A5599">
        <w:fldChar w:fldCharType="begin" w:fldLock="1"/>
      </w:r>
      <w:r w:rsidR="00096E2B">
        <w:instrText>ADDIN CSL_CITATION {"citationItems":[{"id":"ITEM-1","itemData":{"DOI":"10.6010/geoinformatics.23.159","ISSN":"0388-502X","abstract":"Routing calculation has an important role to play in emergency responses and decisions. For example, it can help ambulances to take one patient to the hospital as fast as possible. This paper presents the implementation of an alternative method to calculate the travel-time of the route, according to the location of an accident and the situation at the destination point. The minimum travel-time from the accident point to the nearest hospital is calculated and some others parameters are taken into account such as the availability of beds in the targeted hospital and the patient’s state. The method is based on an adaptation of the pgRouting algorithm with an analytical hierarchy process (AHP) for the Emergency Route Decision Planning (ERDP). First, a weighted travel-time model was built based on a minimum time-consumption criteria, with the consideration of three impedance factors that are influencing the ERDP. Then, AHP was used to calculate priority weights of the impedance factors and taken into account for every parameter which is related to the travel-time consumption. Further, a new and improved routing algorithm was implemented using and extending pgRouting to obtain the weighted travel-time according to the situation of the destination point. The integration of AHP and pgRouting constitutes a powerful tool for analysing both road conditions and the conditions at the destination point. It can be used for evacuation planning after natural disasters.","author":[{"dropping-particle":"","family":"CHOOSUMRONG","given":"Sittichai","non-dropping-particle":"","parse-names":false,"suffix":""},{"dropping-particle":"","family":"RAGHAVAN","given":"Venkatesh","non-dropping-particle":"","parse-names":false,"suffix":""},{"dropping-particle":"","family":"BOZON","given":"Nicolas","non-dropping-particle":"","parse-names":false,"suffix":""}],"container-title":"Geoinformatics","id":"ITEM-1","issue":"4","issued":{"date-parts":[["2012"]]},"page":"159-167","title":"Multi-Criteria Emergency Route Planning Based on Analytical Hierarchy Process and pgRouting","type":"article-journal","volume":"23"},"uris":["http://www.mendeley.com/documents/?uuid=13df9026-34b5-40c6-9344-aad4afbd7295"]}],"mendeley":{"formattedCitation":"[7]","plainTextFormattedCitation":"[7]","previouslyFormattedCitation":"[7]"},"properties":{"noteIndex":0},"schema":"https://github.com/citation-style-language/schema/raw/master/csl-citation.json"}</w:instrText>
      </w:r>
      <w:r w:rsidR="005A5599">
        <w:fldChar w:fldCharType="separate"/>
      </w:r>
      <w:r w:rsidR="005A5599" w:rsidRPr="005A5599">
        <w:rPr>
          <w:noProof/>
        </w:rPr>
        <w:t xml:space="preserve">[7] </w:t>
      </w:r>
      <w:r w:rsidR="005A5599">
        <w:fldChar w:fldCharType="end"/>
      </w:r>
      <w:r w:rsidRPr="00657DFC">
        <w:t xml:space="preserve">a mathematician affiliated with the University of Pittsburgh. AHP stands out for its ability to collect data from one or more experts using the pairwise comparison method, creating a </w:t>
      </w:r>
      <w:r w:rsidRPr="00657DFC">
        <w:rPr>
          <w:spacing w:val="-2"/>
        </w:rPr>
        <w:t>structured comparison hierarchy that</w:t>
      </w:r>
      <w:r w:rsidRPr="00657DFC">
        <w:rPr>
          <w:spacing w:val="-3"/>
        </w:rPr>
        <w:t xml:space="preserve"> </w:t>
      </w:r>
      <w:r w:rsidRPr="00657DFC">
        <w:rPr>
          <w:spacing w:val="-2"/>
        </w:rPr>
        <w:t>includes criteria and sub-criteria in</w:t>
      </w:r>
      <w:r w:rsidRPr="00657DFC">
        <w:rPr>
          <w:spacing w:val="-3"/>
        </w:rPr>
        <w:t xml:space="preserve"> </w:t>
      </w:r>
      <w:r w:rsidRPr="00657DFC">
        <w:rPr>
          <w:spacing w:val="-2"/>
        </w:rPr>
        <w:t>between various</w:t>
      </w:r>
      <w:r w:rsidRPr="00657DFC">
        <w:rPr>
          <w:spacing w:val="-3"/>
        </w:rPr>
        <w:t xml:space="preserve"> </w:t>
      </w:r>
      <w:r w:rsidRPr="00657DFC">
        <w:rPr>
          <w:spacing w:val="-2"/>
        </w:rPr>
        <w:t xml:space="preserve">choices, </w:t>
      </w:r>
      <w:r w:rsidRPr="00657DFC">
        <w:t>assigning priority vectors to each set of items being assessed, and collecting local preferences influenced by subcriteria and criteria at all levels of the hierarchy to</w:t>
      </w:r>
      <w:r w:rsidRPr="00657DFC">
        <w:rPr>
          <w:spacing w:val="17"/>
        </w:rPr>
        <w:t xml:space="preserve"> </w:t>
      </w:r>
      <w:r w:rsidRPr="00657DFC">
        <w:t>set</w:t>
      </w:r>
      <w:r w:rsidRPr="00657DFC">
        <w:rPr>
          <w:spacing w:val="18"/>
        </w:rPr>
        <w:t xml:space="preserve"> </w:t>
      </w:r>
      <w:r w:rsidRPr="00657DFC">
        <w:t>priority</w:t>
      </w:r>
      <w:r w:rsidRPr="00657DFC">
        <w:rPr>
          <w:spacing w:val="19"/>
        </w:rPr>
        <w:t xml:space="preserve"> </w:t>
      </w:r>
      <w:r w:rsidRPr="00657DFC">
        <w:t>overall</w:t>
      </w:r>
      <w:r w:rsidRPr="00657DFC">
        <w:rPr>
          <w:spacing w:val="19"/>
        </w:rPr>
        <w:t xml:space="preserve"> </w:t>
      </w:r>
      <w:r w:rsidRPr="00657DFC">
        <w:t>in</w:t>
      </w:r>
      <w:r w:rsidRPr="00657DFC">
        <w:rPr>
          <w:spacing w:val="19"/>
        </w:rPr>
        <w:t xml:space="preserve"> </w:t>
      </w:r>
      <w:r w:rsidRPr="00657DFC">
        <w:t>all</w:t>
      </w:r>
      <w:r w:rsidRPr="00657DFC">
        <w:rPr>
          <w:spacing w:val="19"/>
        </w:rPr>
        <w:t xml:space="preserve"> </w:t>
      </w:r>
      <w:r w:rsidRPr="00657DFC">
        <w:t>choice.</w:t>
      </w:r>
      <w:r w:rsidRPr="00657DFC">
        <w:rPr>
          <w:spacing w:val="20"/>
        </w:rPr>
        <w:t xml:space="preserve"> </w:t>
      </w:r>
      <w:r w:rsidRPr="00657DFC">
        <w:t>Saaty</w:t>
      </w:r>
      <w:r w:rsidRPr="00657DFC">
        <w:rPr>
          <w:spacing w:val="19"/>
        </w:rPr>
        <w:t xml:space="preserve"> </w:t>
      </w:r>
      <w:r w:rsidRPr="00657DFC">
        <w:t>(2008)</w:t>
      </w:r>
      <w:r w:rsidRPr="00657DFC">
        <w:rPr>
          <w:spacing w:val="23"/>
        </w:rPr>
        <w:t xml:space="preserve"> </w:t>
      </w:r>
      <w:r w:rsidRPr="00657DFC">
        <w:t>take notes</w:t>
      </w:r>
      <w:r w:rsidRPr="00657DFC">
        <w:rPr>
          <w:spacing w:val="20"/>
        </w:rPr>
        <w:t xml:space="preserve"> </w:t>
      </w:r>
      <w:r w:rsidRPr="00657DFC">
        <w:rPr>
          <w:spacing w:val="-2"/>
        </w:rPr>
        <w:t xml:space="preserve">that </w:t>
      </w:r>
      <w:r w:rsidRPr="00657DFC">
        <w:t>research</w:t>
      </w:r>
      <w:r w:rsidRPr="00657DFC">
        <w:rPr>
          <w:spacing w:val="-5"/>
        </w:rPr>
        <w:t xml:space="preserve"> </w:t>
      </w:r>
      <w:r w:rsidRPr="00657DFC">
        <w:t>Which</w:t>
      </w:r>
      <w:r w:rsidRPr="00657DFC">
        <w:rPr>
          <w:spacing w:val="-7"/>
        </w:rPr>
        <w:t xml:space="preserve"> </w:t>
      </w:r>
      <w:r w:rsidRPr="00657DFC">
        <w:t>apply</w:t>
      </w:r>
      <w:r w:rsidRPr="00657DFC">
        <w:rPr>
          <w:spacing w:val="-6"/>
        </w:rPr>
        <w:t xml:space="preserve"> </w:t>
      </w:r>
      <w:r w:rsidRPr="00657DFC">
        <w:t>approach</w:t>
      </w:r>
      <w:r w:rsidRPr="00657DFC">
        <w:rPr>
          <w:spacing w:val="-6"/>
        </w:rPr>
        <w:t xml:space="preserve"> </w:t>
      </w:r>
      <w:r w:rsidRPr="00657DFC">
        <w:t>AHP</w:t>
      </w:r>
      <w:r w:rsidRPr="00657DFC">
        <w:rPr>
          <w:spacing w:val="-6"/>
        </w:rPr>
        <w:t xml:space="preserve"> </w:t>
      </w:r>
      <w:r w:rsidRPr="00657DFC">
        <w:t>No</w:t>
      </w:r>
      <w:r w:rsidRPr="00657DFC">
        <w:rPr>
          <w:spacing w:val="-5"/>
        </w:rPr>
        <w:t xml:space="preserve"> </w:t>
      </w:r>
      <w:r w:rsidRPr="00657DFC">
        <w:t>need</w:t>
      </w:r>
      <w:r w:rsidRPr="00657DFC">
        <w:rPr>
          <w:spacing w:val="-6"/>
        </w:rPr>
        <w:t xml:space="preserve"> </w:t>
      </w:r>
      <w:r w:rsidRPr="00657DFC">
        <w:t>a group</w:t>
      </w:r>
      <w:r w:rsidRPr="00657DFC">
        <w:rPr>
          <w:spacing w:val="-7"/>
        </w:rPr>
        <w:t xml:space="preserve"> </w:t>
      </w:r>
      <w:r w:rsidRPr="00657DFC">
        <w:t>big</w:t>
      </w:r>
      <w:r w:rsidRPr="00657DFC">
        <w:rPr>
          <w:spacing w:val="-5"/>
        </w:rPr>
        <w:t xml:space="preserve"> </w:t>
      </w:r>
      <w:r w:rsidRPr="00657DFC">
        <w:t>participants but focuses on key individuals who have expertise and are very important. In this study, the AHP method is used to determine the ranking to select the best location for a bonded logistics center, by relying on the insights and experiences of various</w:t>
      </w:r>
      <w:r w:rsidRPr="00657DFC">
        <w:rPr>
          <w:spacing w:val="-12"/>
        </w:rPr>
        <w:t xml:space="preserve"> </w:t>
      </w:r>
      <w:r w:rsidRPr="00657DFC">
        <w:t>specialist</w:t>
      </w:r>
      <w:r w:rsidRPr="00657DFC">
        <w:rPr>
          <w:spacing w:val="-11"/>
        </w:rPr>
        <w:t xml:space="preserve"> </w:t>
      </w:r>
      <w:r w:rsidRPr="00657DFC">
        <w:t>industry.</w:t>
      </w:r>
      <w:r w:rsidRPr="00657DFC">
        <w:rPr>
          <w:spacing w:val="-11"/>
        </w:rPr>
        <w:t xml:space="preserve"> </w:t>
      </w:r>
      <w:r w:rsidRPr="00657DFC">
        <w:t>AHP</w:t>
      </w:r>
      <w:r w:rsidRPr="00657DFC">
        <w:rPr>
          <w:spacing w:val="-12"/>
        </w:rPr>
        <w:t xml:space="preserve"> </w:t>
      </w:r>
      <w:r w:rsidRPr="00657DFC">
        <w:t>chosen</w:t>
      </w:r>
      <w:r w:rsidRPr="00657DFC">
        <w:rPr>
          <w:spacing w:val="-12"/>
        </w:rPr>
        <w:t xml:space="preserve"> </w:t>
      </w:r>
      <w:r w:rsidRPr="00657DFC">
        <w:t>Because</w:t>
      </w:r>
      <w:r w:rsidRPr="00657DFC">
        <w:rPr>
          <w:spacing w:val="-11"/>
        </w:rPr>
        <w:t xml:space="preserve"> </w:t>
      </w:r>
      <w:r w:rsidRPr="00657DFC">
        <w:t>method</w:t>
      </w:r>
      <w:r w:rsidRPr="00657DFC">
        <w:rPr>
          <w:spacing w:val="-11"/>
        </w:rPr>
        <w:t xml:space="preserve"> </w:t>
      </w:r>
      <w:r w:rsidRPr="00657DFC">
        <w:t>This</w:t>
      </w:r>
      <w:r w:rsidRPr="00657DFC">
        <w:rPr>
          <w:spacing w:val="-13"/>
        </w:rPr>
        <w:t xml:space="preserve"> </w:t>
      </w:r>
      <w:r w:rsidRPr="00657DFC">
        <w:t>in a way</w:t>
      </w:r>
      <w:r w:rsidRPr="00657DFC">
        <w:rPr>
          <w:spacing w:val="-11"/>
        </w:rPr>
        <w:t xml:space="preserve"> </w:t>
      </w:r>
      <w:r w:rsidRPr="00657DFC">
        <w:t>effective</w:t>
      </w:r>
      <w:r w:rsidRPr="00657DFC">
        <w:rPr>
          <w:spacing w:val="-13"/>
        </w:rPr>
        <w:t xml:space="preserve"> </w:t>
      </w:r>
      <w:r w:rsidRPr="00657DFC">
        <w:t>measure</w:t>
      </w:r>
      <w:r w:rsidRPr="00657DFC">
        <w:rPr>
          <w:spacing w:val="-11"/>
        </w:rPr>
        <w:t xml:space="preserve"> </w:t>
      </w:r>
      <w:r w:rsidRPr="00657DFC">
        <w:t xml:space="preserve">Qualitative information by evaluating abstract factors, which are important because they cannot be measured directly using fixed scales, but can only be assessed through </w:t>
      </w:r>
      <w:r w:rsidRPr="00657DFC">
        <w:rPr>
          <w:spacing w:val="-2"/>
        </w:rPr>
        <w:t xml:space="preserve">qualitative methods. </w:t>
      </w:r>
      <w:r w:rsidRPr="00657DFC">
        <w:t>This study applies the Analytical Hierarchy approach.</w:t>
      </w:r>
    </w:p>
    <w:p w14:paraId="438A698E" w14:textId="5659653B" w:rsidR="00031ABD" w:rsidRPr="00657DFC" w:rsidRDefault="00031ABD" w:rsidP="00031ABD">
      <w:pPr>
        <w:pStyle w:val="BodyText"/>
        <w:spacing w:before="158" w:line="278" w:lineRule="auto"/>
        <w:ind w:left="236" w:right="364"/>
        <w:jc w:val="both"/>
      </w:pPr>
      <w:r w:rsidRPr="00657DFC">
        <w:lastRenderedPageBreak/>
        <w:t>Process (AHP) for analysis. The steps in the AHP method consist of</w:t>
      </w:r>
      <w:r w:rsidR="00096E2B">
        <w:t xml:space="preserve"> </w:t>
      </w:r>
      <w:r w:rsidR="00096E2B">
        <w:fldChar w:fldCharType="begin" w:fldLock="1"/>
      </w:r>
      <w:r w:rsidR="00096E2B">
        <w:instrText>ADDIN CSL_CITATION {"citationItems":[{"id":"ITEM-1","itemData":{"DOI":"10.1504/ijssci.2008.017590","ISSN":"10263098","abstract":"In this paper, an introduction is given to the decision-making theory, the Analytic Hierarchy Process (AHP). In the AHP, a decision hierarchy is constructed with a goal, criteria and alternatives. The criteria are pairwise compared for their importance with respect to the goal to derive a scale of relative importance and the alternatives are pairwise compared with respect to each criterion to derive relative scales. The relative scales are synthesized using a weighting and adding process to show which is the best alternative. Judgment is used to make the pairwise comparisons. Data can also be used directly in the pairwise comparisons if there is no need to assess or interpret the value represented by the numbers. This process works well for intangibles with no existing scales of measurement. Even when measurement scales and data using these scales exist, it is often advantageous to use judgment to interpret it. Two concepts integral to the AHP, measurement and consistency, are explained. Finally, the ideas and the method are illustrated through an example.","author":[{"dropping-particle":"","family":"Saaty","given":"T. L.","non-dropping-particle":"","parse-names":false,"suffix":""}],"container-title":"Scientia Iranica","id":"ITEM-1","issue":"3","issued":{"date-parts":[["2002"]]},"page":"215-229","title":"Decision making with the Analytic Hierarchy Process","type":"article-journal","volume":"9"},"uris":["http://www.mendeley.com/documents/?uuid=4db69d5c-296a-4088-92b7-6ccbce74aeaf"]}],"mendeley":{"formattedCitation":"[6]","plainTextFormattedCitation":"[6]","previouslyFormattedCitation":"[6]"},"properties":{"noteIndex":0},"schema":"https://github.com/citation-style-language/schema/raw/master/csl-citation.json"}</w:instrText>
      </w:r>
      <w:r w:rsidR="00096E2B">
        <w:fldChar w:fldCharType="separate"/>
      </w:r>
      <w:r w:rsidR="00096E2B" w:rsidRPr="00096E2B">
        <w:rPr>
          <w:noProof/>
        </w:rPr>
        <w:t xml:space="preserve">[6] </w:t>
      </w:r>
      <w:r w:rsidR="00096E2B">
        <w:fldChar w:fldCharType="end"/>
      </w:r>
      <w:r w:rsidRPr="00657DFC">
        <w:t>:</w:t>
      </w:r>
    </w:p>
    <w:p w14:paraId="30004C1F" w14:textId="77777777" w:rsidR="00031ABD" w:rsidRPr="00657DFC" w:rsidRDefault="00031ABD" w:rsidP="00031ABD">
      <w:pPr>
        <w:pStyle w:val="ListParagraph"/>
        <w:jc w:val="both"/>
        <w:rPr>
          <w:rFonts w:ascii="Cambria Math" w:hAnsi="Cambria Math"/>
          <w:b/>
          <w:bCs/>
        </w:rPr>
      </w:pPr>
    </w:p>
    <w:p w14:paraId="16750B72" w14:textId="77777777" w:rsidR="00031ABD" w:rsidRPr="00657DFC" w:rsidRDefault="00031ABD" w:rsidP="00031ABD">
      <w:pPr>
        <w:pStyle w:val="ListParagraph"/>
        <w:numPr>
          <w:ilvl w:val="0"/>
          <w:numId w:val="5"/>
        </w:numPr>
        <w:jc w:val="both"/>
        <w:rPr>
          <w:rFonts w:ascii="Cambria Math" w:hAnsi="Cambria Math"/>
        </w:rPr>
      </w:pPr>
      <w:r w:rsidRPr="00657DFC">
        <w:rPr>
          <w:rFonts w:ascii="Cambria Math" w:hAnsi="Cambria Math"/>
        </w:rPr>
        <w:t>Identifying the problem and clarifying the desired outcome. This first stage focuses on explicitly defining the problem requiring resolution and establishing the solution's objectives. This stage lays the foundation for the entire process by clarifying what needs to be achieved.</w:t>
      </w:r>
    </w:p>
    <w:p w14:paraId="2344C126" w14:textId="77777777" w:rsidR="00031ABD" w:rsidRPr="00657DFC" w:rsidRDefault="00031ABD" w:rsidP="00031ABD">
      <w:pPr>
        <w:pStyle w:val="ListParagraph"/>
        <w:numPr>
          <w:ilvl w:val="0"/>
          <w:numId w:val="5"/>
        </w:numPr>
        <w:jc w:val="both"/>
        <w:rPr>
          <w:rFonts w:ascii="Cambria Math" w:hAnsi="Cambria Math"/>
        </w:rPr>
      </w:pPr>
      <w:r w:rsidRPr="00657DFC">
        <w:rPr>
          <w:rFonts w:ascii="Cambria Math" w:hAnsi="Cambria Math"/>
        </w:rPr>
        <w:t>Develop a hierarchical framework that begins with the overarching objective, followed by the criteria, and finally, the alternatives at the lowest criterion level. At this stage, a hierarchy is formed with the overarching objective at the top. Below this objective, the various criteria that influence the decision are listed, and at the bottom, the potential alternatives are placed. This organization helps to systematically manage the decision-making process. 3. Formulate a pairwise comparison matrix that outlines the relative impact or contribution of each element in relation to the criteria above it. In this section, a matrix is created to evaluate each element against the other elements in pairs, reflecting how much contribution or influence each element has on the criteria at the next level. This process clarifies the relative importance of each element.</w:t>
      </w:r>
    </w:p>
    <w:p w14:paraId="1FB29324" w14:textId="77777777" w:rsidR="00031ABD" w:rsidRPr="00657DFC" w:rsidRDefault="00031ABD" w:rsidP="00031ABD">
      <w:pPr>
        <w:pStyle w:val="ListParagraph"/>
        <w:numPr>
          <w:ilvl w:val="0"/>
          <w:numId w:val="5"/>
        </w:numPr>
        <w:jc w:val="both"/>
        <w:rPr>
          <w:rFonts w:ascii="Cambria Math" w:hAnsi="Cambria Math"/>
        </w:rPr>
      </w:pPr>
      <w:r w:rsidRPr="00657DFC">
        <w:rPr>
          <w:rFonts w:ascii="Cambria Math" w:hAnsi="Cambria Math"/>
        </w:rPr>
        <w:t>Standardize data by dividing the value of each element in a pairwise comparison matrix by the sum of each column. Normalization means adjusting the values in a pairwise comparison matrix to allow for comparisons on a uniform scale. This is achieved by dividing the value of each element by the total of its column, ensuring that the comparisons are logical and relevant.</w:t>
      </w:r>
    </w:p>
    <w:p w14:paraId="20C398BB" w14:textId="77777777" w:rsidR="00031ABD" w:rsidRPr="00657DFC" w:rsidRDefault="00031ABD" w:rsidP="00031ABD">
      <w:pPr>
        <w:pStyle w:val="ListParagraph"/>
        <w:numPr>
          <w:ilvl w:val="0"/>
          <w:numId w:val="5"/>
        </w:numPr>
        <w:jc w:val="both"/>
        <w:rPr>
          <w:rFonts w:ascii="Cambria Math" w:hAnsi="Cambria Math"/>
        </w:rPr>
      </w:pPr>
      <w:r w:rsidRPr="00657DFC">
        <w:rPr>
          <w:rFonts w:ascii="Cambria Math" w:hAnsi="Cambria Math"/>
        </w:rPr>
        <w:t>Calculate eigenvalues and assess their consistency; if inconsistencies occur, repeat data collection. Eigenvalues are calculated to determine the priority ranking of each element. A consistency check is performed to ensure that the comparisons made in the pairwise matrix are logical. A high consistency ratio indicates potential unreliability in the assessment, which requires repeating the data collection process.</w:t>
      </w:r>
    </w:p>
    <w:p w14:paraId="0AC710CF" w14:textId="77777777" w:rsidR="00031ABD" w:rsidRPr="00657DFC" w:rsidRDefault="00031ABD" w:rsidP="00031ABD">
      <w:pPr>
        <w:pStyle w:val="ListParagraph"/>
        <w:numPr>
          <w:ilvl w:val="0"/>
          <w:numId w:val="5"/>
        </w:numPr>
        <w:jc w:val="both"/>
        <w:rPr>
          <w:rFonts w:ascii="Cambria Math" w:hAnsi="Cambria Math"/>
        </w:rPr>
      </w:pPr>
      <w:r w:rsidRPr="00657DFC">
        <w:rPr>
          <w:rFonts w:ascii="Cambria Math" w:hAnsi="Cambria Math"/>
        </w:rPr>
        <w:t>Carry out steps 3 through 5 for each level of the hierarchy.</w:t>
      </w:r>
    </w:p>
    <w:p w14:paraId="11DC84A2" w14:textId="77777777" w:rsidR="00031ABD" w:rsidRPr="00657DFC" w:rsidRDefault="00031ABD" w:rsidP="00031ABD">
      <w:pPr>
        <w:pStyle w:val="ListParagraph"/>
        <w:numPr>
          <w:ilvl w:val="0"/>
          <w:numId w:val="5"/>
        </w:numPr>
        <w:jc w:val="both"/>
        <w:rPr>
          <w:rFonts w:ascii="Cambria Math" w:hAnsi="Cambria Math"/>
        </w:rPr>
      </w:pPr>
      <w:r w:rsidRPr="00657DFC">
        <w:rPr>
          <w:rFonts w:ascii="Cambria Math" w:hAnsi="Cambria Math"/>
        </w:rPr>
        <w:t>Determine the eigenvectors for each pairwise comparison matrix. Eigenvectors indicate the relative weight or significance of elements in the matrix. Eigenvectors are derived from the eigenvalues and provide a ranking based on element importance.</w:t>
      </w:r>
    </w:p>
    <w:p w14:paraId="53D8ED81" w14:textId="77777777" w:rsidR="00031ABD" w:rsidRPr="00657DFC" w:rsidRDefault="00031ABD" w:rsidP="00031ABD">
      <w:pPr>
        <w:pStyle w:val="ListParagraph"/>
        <w:numPr>
          <w:ilvl w:val="0"/>
          <w:numId w:val="5"/>
        </w:numPr>
        <w:jc w:val="both"/>
        <w:rPr>
          <w:rFonts w:ascii="Cambria Math" w:hAnsi="Cambria Math"/>
        </w:rPr>
      </w:pPr>
      <w:r w:rsidRPr="00657DFC">
        <w:rPr>
          <w:rFonts w:ascii="Cambria Math" w:hAnsi="Cambria Math"/>
        </w:rPr>
        <w:t>Verify hierarchy consistency. If the value exceeds 10%, the assessment value is reconsidered. The final step requires extensive consistency checks across the hierarchy. A consistency ratio greater than 10% indicates potential inconsistencies in the assessment, requiring a re-evaluation of the value to ensure the reliability of the decision-making process.</w:t>
      </w:r>
    </w:p>
    <w:p w14:paraId="441C3F9C" w14:textId="77777777" w:rsidR="00031ABD" w:rsidRPr="00657DFC" w:rsidRDefault="00031ABD" w:rsidP="00031ABD">
      <w:pPr>
        <w:jc w:val="both"/>
        <w:rPr>
          <w:rFonts w:ascii="Cambria Math" w:hAnsi="Cambria Math"/>
        </w:rPr>
      </w:pPr>
      <w:r w:rsidRPr="00657DFC">
        <w:rPr>
          <w:rFonts w:ascii="Cambria Math" w:hAnsi="Cambria Math"/>
          <w:b/>
          <w:bCs/>
        </w:rPr>
        <w:t>2.1 Research Location and Object</w:t>
      </w:r>
      <w:r w:rsidRPr="00657DFC">
        <w:rPr>
          <w:rFonts w:ascii="Cambria Math" w:hAnsi="Cambria Math"/>
        </w:rPr>
        <w:t xml:space="preserve"> </w:t>
      </w:r>
    </w:p>
    <w:p w14:paraId="0AC12409" w14:textId="77777777" w:rsidR="00031ABD" w:rsidRPr="00657DFC" w:rsidRDefault="00031ABD" w:rsidP="00031ABD">
      <w:pPr>
        <w:ind w:firstLine="720"/>
        <w:jc w:val="both"/>
        <w:rPr>
          <w:rFonts w:ascii="Cambria Math" w:hAnsi="Cambria Math"/>
        </w:rPr>
      </w:pPr>
      <w:r w:rsidRPr="00657DFC">
        <w:rPr>
          <w:rFonts w:ascii="Cambria Math" w:hAnsi="Cambria Math"/>
        </w:rPr>
        <w:t xml:space="preserve">The study was conducted in the area surrounding the Sepaku Semoi Dam, Sepaku District, North Penajam Paser Regency, East Kalimantan Province. The focus of the study </w:t>
      </w:r>
      <w:r w:rsidRPr="00657DFC">
        <w:rPr>
          <w:rFonts w:ascii="Cambria Math" w:hAnsi="Cambria Math"/>
        </w:rPr>
        <w:lastRenderedPageBreak/>
        <w:t>was the main and alternative road networks located within the potential inundation zone, based on HEC-RAS simulation results.</w:t>
      </w:r>
    </w:p>
    <w:p w14:paraId="2E901103" w14:textId="77777777" w:rsidR="00031ABD" w:rsidRPr="00657DFC" w:rsidRDefault="00031ABD" w:rsidP="00031ABD">
      <w:pPr>
        <w:spacing w:after="0"/>
        <w:rPr>
          <w:rFonts w:ascii="Cambria Math" w:hAnsi="Cambria Math"/>
        </w:rPr>
      </w:pPr>
    </w:p>
    <w:p w14:paraId="67E96C37" w14:textId="4D224543" w:rsidR="00031ABD" w:rsidRPr="00657DFC" w:rsidRDefault="009008DB" w:rsidP="00031ABD">
      <w:pPr>
        <w:spacing w:after="0" w:line="240" w:lineRule="auto"/>
        <w:rPr>
          <w:rFonts w:ascii="Cambria Math" w:hAnsi="Cambria Math"/>
          <w:b/>
          <w:bCs/>
          <w:sz w:val="20"/>
          <w:szCs w:val="20"/>
        </w:rPr>
      </w:pPr>
      <w:r>
        <w:rPr>
          <w:rFonts w:ascii="Cambria Math" w:hAnsi="Cambria Math"/>
          <w:b/>
          <w:bCs/>
          <w:sz w:val="20"/>
          <w:szCs w:val="20"/>
        </w:rPr>
        <w:t xml:space="preserve">                                                                                                                 </w:t>
      </w:r>
    </w:p>
    <w:p w14:paraId="00E968CE" w14:textId="2D032F2F" w:rsidR="00031ABD" w:rsidRPr="00657DFC" w:rsidRDefault="00031ABD" w:rsidP="00031ABD">
      <w:pPr>
        <w:spacing w:after="0" w:line="240" w:lineRule="auto"/>
        <w:rPr>
          <w:rFonts w:ascii="Cambria Math" w:hAnsi="Cambria Math"/>
          <w:b/>
          <w:bCs/>
          <w:sz w:val="20"/>
          <w:szCs w:val="20"/>
        </w:rPr>
      </w:pPr>
      <w:r w:rsidRPr="00657DFC">
        <w:rPr>
          <w:rFonts w:ascii="Cambria Math" w:hAnsi="Cambria Math"/>
          <w:b/>
          <w:bCs/>
          <w:noProof/>
        </w:rPr>
        <w:drawing>
          <wp:anchor distT="0" distB="0" distL="114300" distR="114300" simplePos="0" relativeHeight="251658240" behindDoc="0" locked="0" layoutInCell="1" allowOverlap="1" wp14:anchorId="08F015ED" wp14:editId="3A60846F">
            <wp:simplePos x="0" y="0"/>
            <wp:positionH relativeFrom="column">
              <wp:posOffset>-130175</wp:posOffset>
            </wp:positionH>
            <wp:positionV relativeFrom="paragraph">
              <wp:posOffset>238760</wp:posOffset>
            </wp:positionV>
            <wp:extent cx="2623559" cy="2091578"/>
            <wp:effectExtent l="0" t="0" r="5715" b="4445"/>
            <wp:wrapNone/>
            <wp:docPr id="3244812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481285" name="Picture 32448128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3559" cy="2091578"/>
                    </a:xfrm>
                    <a:prstGeom prst="rect">
                      <a:avLst/>
                    </a:prstGeom>
                  </pic:spPr>
                </pic:pic>
              </a:graphicData>
            </a:graphic>
            <wp14:sizeRelH relativeFrom="page">
              <wp14:pctWidth>0</wp14:pctWidth>
            </wp14:sizeRelH>
            <wp14:sizeRelV relativeFrom="page">
              <wp14:pctHeight>0</wp14:pctHeight>
            </wp14:sizeRelV>
          </wp:anchor>
        </w:drawing>
      </w:r>
      <w:r w:rsidRPr="00657DFC">
        <w:rPr>
          <w:rFonts w:ascii="Cambria Math" w:hAnsi="Cambria Math"/>
          <w:b/>
          <w:bCs/>
          <w:sz w:val="20"/>
          <w:szCs w:val="20"/>
        </w:rPr>
        <w:t>Figure 1. Location Map of the Sepaku-Semoi Dam</w:t>
      </w:r>
      <w:r w:rsidR="009008DB">
        <w:rPr>
          <w:rFonts w:ascii="Cambria Math" w:hAnsi="Cambria Math"/>
          <w:b/>
          <w:bCs/>
          <w:sz w:val="20"/>
          <w:szCs w:val="20"/>
        </w:rPr>
        <w:t xml:space="preserve">                         </w:t>
      </w:r>
      <w:r w:rsidR="009008DB" w:rsidRPr="00657DFC">
        <w:rPr>
          <w:rFonts w:ascii="Cambria Math" w:hAnsi="Cambria Math"/>
          <w:b/>
          <w:bCs/>
          <w:sz w:val="20"/>
          <w:szCs w:val="20"/>
        </w:rPr>
        <w:t>Figure 2. Map of Flood-Affected Areas</w:t>
      </w:r>
    </w:p>
    <w:p w14:paraId="15664CC1" w14:textId="77777777" w:rsidR="00031ABD" w:rsidRPr="00657DFC" w:rsidRDefault="00031ABD" w:rsidP="00031ABD">
      <w:pPr>
        <w:spacing w:after="0"/>
        <w:jc w:val="center"/>
        <w:rPr>
          <w:rFonts w:ascii="Cambria Math" w:hAnsi="Cambria Math"/>
          <w:b/>
          <w:bCs/>
        </w:rPr>
      </w:pPr>
      <w:r w:rsidRPr="00657DFC">
        <w:rPr>
          <w:rFonts w:ascii="Cambria Math" w:hAnsi="Cambria Math"/>
          <w:noProof/>
        </w:rPr>
        <w:drawing>
          <wp:anchor distT="0" distB="0" distL="114300" distR="114300" simplePos="0" relativeHeight="251659264" behindDoc="0" locked="0" layoutInCell="1" allowOverlap="1" wp14:anchorId="12D25114" wp14:editId="23C57230">
            <wp:simplePos x="0" y="0"/>
            <wp:positionH relativeFrom="column">
              <wp:posOffset>2877014</wp:posOffset>
            </wp:positionH>
            <wp:positionV relativeFrom="paragraph">
              <wp:posOffset>61037</wp:posOffset>
            </wp:positionV>
            <wp:extent cx="2957755" cy="2091055"/>
            <wp:effectExtent l="0" t="0" r="0" b="4445"/>
            <wp:wrapNone/>
            <wp:docPr id="80060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9438" cy="2092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9B3826" w14:textId="77777777" w:rsidR="00031ABD" w:rsidRPr="00657DFC" w:rsidRDefault="00031ABD" w:rsidP="00031ABD">
      <w:pPr>
        <w:spacing w:after="0"/>
        <w:jc w:val="center"/>
        <w:rPr>
          <w:rFonts w:ascii="Cambria Math" w:hAnsi="Cambria Math"/>
          <w:b/>
          <w:bCs/>
        </w:rPr>
      </w:pPr>
    </w:p>
    <w:p w14:paraId="2DC5B2FB" w14:textId="77777777" w:rsidR="00031ABD" w:rsidRPr="00657DFC" w:rsidRDefault="00031ABD" w:rsidP="00031ABD">
      <w:pPr>
        <w:spacing w:after="0"/>
        <w:jc w:val="center"/>
        <w:rPr>
          <w:rFonts w:ascii="Cambria Math" w:hAnsi="Cambria Math"/>
          <w:b/>
          <w:bCs/>
          <w:sz w:val="20"/>
          <w:szCs w:val="20"/>
        </w:rPr>
      </w:pPr>
    </w:p>
    <w:p w14:paraId="1470069D" w14:textId="77777777" w:rsidR="00031ABD" w:rsidRPr="00657DFC" w:rsidRDefault="00031ABD" w:rsidP="00031ABD">
      <w:pPr>
        <w:spacing w:after="0"/>
        <w:jc w:val="center"/>
        <w:rPr>
          <w:rFonts w:ascii="Cambria Math" w:hAnsi="Cambria Math"/>
          <w:b/>
          <w:bCs/>
        </w:rPr>
      </w:pPr>
    </w:p>
    <w:p w14:paraId="28BA7271" w14:textId="77777777" w:rsidR="00031ABD" w:rsidRPr="00657DFC" w:rsidRDefault="00031ABD" w:rsidP="00031ABD">
      <w:pPr>
        <w:spacing w:after="0"/>
        <w:jc w:val="center"/>
        <w:rPr>
          <w:rFonts w:ascii="Cambria Math" w:hAnsi="Cambria Math"/>
          <w:b/>
          <w:bCs/>
        </w:rPr>
      </w:pPr>
    </w:p>
    <w:p w14:paraId="13C51A21" w14:textId="77777777" w:rsidR="00031ABD" w:rsidRPr="00657DFC" w:rsidRDefault="00031ABD" w:rsidP="00031ABD">
      <w:pPr>
        <w:spacing w:after="0"/>
        <w:jc w:val="center"/>
        <w:rPr>
          <w:rFonts w:ascii="Cambria Math" w:hAnsi="Cambria Math"/>
          <w:b/>
          <w:bCs/>
        </w:rPr>
      </w:pPr>
      <w:r w:rsidRPr="00657DFC">
        <w:rPr>
          <w:rFonts w:ascii="Cambria Math" w:hAnsi="Cambria Math"/>
          <w:noProof/>
        </w:rPr>
        <mc:AlternateContent>
          <mc:Choice Requires="wps">
            <w:drawing>
              <wp:anchor distT="0" distB="0" distL="114300" distR="114300" simplePos="0" relativeHeight="251661312" behindDoc="0" locked="0" layoutInCell="1" allowOverlap="1" wp14:anchorId="402C0E37" wp14:editId="526BCAE6">
                <wp:simplePos x="0" y="0"/>
                <wp:positionH relativeFrom="column">
                  <wp:posOffset>587481</wp:posOffset>
                </wp:positionH>
                <wp:positionV relativeFrom="paragraph">
                  <wp:posOffset>146830</wp:posOffset>
                </wp:positionV>
                <wp:extent cx="1176454" cy="237640"/>
                <wp:effectExtent l="0" t="0" r="24130" b="10160"/>
                <wp:wrapNone/>
                <wp:docPr id="301329130" name="Text Box 1"/>
                <wp:cNvGraphicFramePr/>
                <a:graphic xmlns:a="http://schemas.openxmlformats.org/drawingml/2006/main">
                  <a:graphicData uri="http://schemas.microsoft.com/office/word/2010/wordprocessingShape">
                    <wps:wsp>
                      <wps:cNvSpPr txBox="1"/>
                      <wps:spPr>
                        <a:xfrm>
                          <a:off x="0" y="0"/>
                          <a:ext cx="1176454" cy="23764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E908CA9" w14:textId="77777777" w:rsidR="00031ABD" w:rsidRPr="00032237" w:rsidRDefault="00031ABD" w:rsidP="00031ABD">
                            <w:pPr>
                              <w:jc w:val="center"/>
                              <w:rPr>
                                <w:rFonts w:cstheme="minorHAnsi"/>
                                <w:b/>
                                <w:noProof/>
                                <w:color w:val="B90000"/>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32237">
                              <w:rPr>
                                <w:rFonts w:cstheme="minorHAnsi"/>
                                <w:b/>
                                <w:noProof/>
                                <w:color w:val="B90000"/>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Bendungan Sepaku</w:t>
                            </w:r>
                          </w:p>
                          <w:p w14:paraId="5A70F992" w14:textId="77777777" w:rsidR="00031ABD" w:rsidRDefault="00031ABD" w:rsidP="00031A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2C0E37" id="_x0000_t202" coordsize="21600,21600" o:spt="202" path="m,l,21600r21600,l21600,xe">
                <v:stroke joinstyle="miter"/>
                <v:path gradientshapeok="t" o:connecttype="rect"/>
              </v:shapetype>
              <v:shape id="Text Box 1" o:spid="_x0000_s1026" type="#_x0000_t202" style="position:absolute;left:0;text-align:left;margin-left:46.25pt;margin-top:11.55pt;width:92.65pt;height:1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" fillcolor="white [3201]" strokecolor="#ed7d31 [3205]" strokeweight="1pt">
                <v:textbox>
                  <w:txbxContent>
                    <w:p w14:paraId="0E908CA9" w14:textId="77777777" w:rsidR="00031ABD" w:rsidRPr="00032237" w:rsidRDefault="00031ABD" w:rsidP="00031ABD">
                      <w:pPr>
                        <w:jc w:val="center"/>
                        <w:rPr>
                          <w:rFonts w:cstheme="minorHAnsi"/>
                          <w:b/>
                          <w:noProof/>
                          <w:color w:val="B90000"/>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32237">
                        <w:rPr>
                          <w:rFonts w:cstheme="minorHAnsi"/>
                          <w:b/>
                          <w:noProof/>
                          <w:color w:val="B90000"/>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Bendungan Sepaku</w:t>
                      </w:r>
                    </w:p>
                    <w:p w14:paraId="5A70F992" w14:textId="77777777" w:rsidR="00031ABD" w:rsidRDefault="00031ABD" w:rsidP="00031ABD"/>
                  </w:txbxContent>
                </v:textbox>
              </v:shape>
            </w:pict>
          </mc:Fallback>
        </mc:AlternateContent>
      </w:r>
      <w:r w:rsidRPr="00657DFC">
        <w:rPr>
          <w:rFonts w:ascii="Cambria Math" w:hAnsi="Cambria Math"/>
          <w:b/>
          <w:bCs/>
          <w:noProof/>
        </w:rPr>
        <mc:AlternateContent>
          <mc:Choice Requires="wps">
            <w:drawing>
              <wp:anchor distT="0" distB="0" distL="114300" distR="114300" simplePos="0" relativeHeight="251660288" behindDoc="0" locked="0" layoutInCell="1" allowOverlap="1" wp14:anchorId="6AD4097F" wp14:editId="68BA6970">
                <wp:simplePos x="0" y="0"/>
                <wp:positionH relativeFrom="column">
                  <wp:posOffset>338155</wp:posOffset>
                </wp:positionH>
                <wp:positionV relativeFrom="paragraph">
                  <wp:posOffset>188355</wp:posOffset>
                </wp:positionV>
                <wp:extent cx="203093" cy="139065"/>
                <wp:effectExtent l="19050" t="19050" r="26035" b="32385"/>
                <wp:wrapNone/>
                <wp:docPr id="1318356752" name="Arrow: Right 10"/>
                <wp:cNvGraphicFramePr/>
                <a:graphic xmlns:a="http://schemas.openxmlformats.org/drawingml/2006/main">
                  <a:graphicData uri="http://schemas.microsoft.com/office/word/2010/wordprocessingShape">
                    <wps:wsp>
                      <wps:cNvSpPr/>
                      <wps:spPr>
                        <a:xfrm rot="10800000">
                          <a:off x="0" y="0"/>
                          <a:ext cx="203093" cy="139065"/>
                        </a:xfrm>
                        <a:prstGeom prst="rightArrow">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6B5E0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26" type="#_x0000_t13" style="position:absolute;margin-left:26.65pt;margin-top:14.85pt;width:16pt;height:10.95pt;rotation:18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" adj="14205" fillcolor="yellow" strokecolor="#09101d [484]" strokeweight="1pt"/>
            </w:pict>
          </mc:Fallback>
        </mc:AlternateContent>
      </w:r>
    </w:p>
    <w:p w14:paraId="0B88213F" w14:textId="77777777" w:rsidR="00031ABD" w:rsidRPr="00657DFC" w:rsidRDefault="00031ABD" w:rsidP="00031ABD">
      <w:pPr>
        <w:spacing w:after="0"/>
        <w:jc w:val="center"/>
        <w:rPr>
          <w:rFonts w:ascii="Cambria Math" w:hAnsi="Cambria Math"/>
          <w:b/>
          <w:bCs/>
        </w:rPr>
      </w:pPr>
    </w:p>
    <w:p w14:paraId="00702108" w14:textId="77777777" w:rsidR="00031ABD" w:rsidRPr="00657DFC" w:rsidRDefault="00031ABD" w:rsidP="00031ABD">
      <w:pPr>
        <w:spacing w:after="0"/>
        <w:jc w:val="center"/>
        <w:rPr>
          <w:rFonts w:ascii="Cambria Math" w:hAnsi="Cambria Math"/>
          <w:b/>
          <w:bCs/>
        </w:rPr>
      </w:pPr>
    </w:p>
    <w:p w14:paraId="68AFCF09" w14:textId="77777777" w:rsidR="00031ABD" w:rsidRPr="00657DFC" w:rsidRDefault="00031ABD" w:rsidP="00031ABD">
      <w:pPr>
        <w:jc w:val="both"/>
        <w:rPr>
          <w:rFonts w:ascii="Cambria Math" w:hAnsi="Cambria Math"/>
        </w:rPr>
      </w:pPr>
      <w:r w:rsidRPr="00657DFC">
        <w:rPr>
          <w:rFonts w:ascii="Cambria Math" w:hAnsi="Cambria Math"/>
          <w:b/>
          <w:bCs/>
        </w:rPr>
        <w:t>2.3 Data Collection</w:t>
      </w:r>
      <w:r w:rsidRPr="00657DFC">
        <w:rPr>
          <w:rFonts w:ascii="Cambria Math" w:hAnsi="Cambria Math"/>
        </w:rPr>
        <w:t xml:space="preserve"> </w:t>
      </w:r>
    </w:p>
    <w:p w14:paraId="3BA68B63" w14:textId="77777777" w:rsidR="00031ABD" w:rsidRPr="00657DFC" w:rsidRDefault="00031ABD" w:rsidP="00031ABD">
      <w:pPr>
        <w:jc w:val="both"/>
        <w:rPr>
          <w:rFonts w:ascii="Cambria Math" w:hAnsi="Cambria Math"/>
        </w:rPr>
      </w:pPr>
    </w:p>
    <w:p w14:paraId="7F3E2D01" w14:textId="77777777" w:rsidR="00031ABD" w:rsidRPr="00657DFC" w:rsidRDefault="00031ABD" w:rsidP="00031ABD">
      <w:pPr>
        <w:jc w:val="both"/>
        <w:rPr>
          <w:rFonts w:ascii="Cambria Math" w:hAnsi="Cambria Math"/>
        </w:rPr>
      </w:pPr>
      <w:r w:rsidRPr="00657DFC">
        <w:rPr>
          <w:rFonts w:ascii="Cambria Math" w:hAnsi="Cambria Math"/>
        </w:rPr>
        <w:t>The data used consists of:</w:t>
      </w:r>
    </w:p>
    <w:p w14:paraId="0F51699D" w14:textId="77777777" w:rsidR="00031ABD" w:rsidRPr="00657DFC" w:rsidRDefault="00031ABD" w:rsidP="00031ABD">
      <w:pPr>
        <w:numPr>
          <w:ilvl w:val="0"/>
          <w:numId w:val="1"/>
        </w:numPr>
        <w:jc w:val="both"/>
        <w:rPr>
          <w:rFonts w:ascii="Cambria Math" w:hAnsi="Cambria Math"/>
        </w:rPr>
      </w:pPr>
      <w:r w:rsidRPr="00657DFC">
        <w:rPr>
          <w:rFonts w:ascii="Cambria Math" w:hAnsi="Cambria Math"/>
        </w:rPr>
        <w:t>Primary Data: Field survey of road, bridge, and supporting facility conditions; AHP questionnaire via Google Form to 80 expert respondents from BPBD (Regional Disaster Management Agency), Kalimantan River Basin Office, and the Regent of North Penajam Paser, BMKG, PUPR Office, and other RTD related institutions.</w:t>
      </w:r>
    </w:p>
    <w:p w14:paraId="414D7564" w14:textId="77777777" w:rsidR="00031ABD" w:rsidRPr="00657DFC" w:rsidRDefault="00031ABD" w:rsidP="00031ABD">
      <w:pPr>
        <w:numPr>
          <w:ilvl w:val="0"/>
          <w:numId w:val="1"/>
        </w:numPr>
        <w:jc w:val="both"/>
        <w:rPr>
          <w:rFonts w:ascii="Cambria Math" w:hAnsi="Cambria Math"/>
        </w:rPr>
      </w:pPr>
      <w:r w:rsidRPr="00657DFC">
        <w:rPr>
          <w:rFonts w:ascii="Cambria Math" w:hAnsi="Cambria Math"/>
        </w:rPr>
        <w:t>Secondary Data: Flood inundation map from HEC-RAS modeling, Sepaku Semoi Dam RTD document, road data from Bina Marga and Regency RTRW.</w:t>
      </w:r>
    </w:p>
    <w:p w14:paraId="539D507F" w14:textId="77777777" w:rsidR="00031ABD" w:rsidRPr="00657DFC" w:rsidRDefault="00031ABD" w:rsidP="00031ABD">
      <w:pPr>
        <w:jc w:val="both"/>
        <w:rPr>
          <w:rFonts w:ascii="Cambria Math" w:hAnsi="Cambria Math"/>
        </w:rPr>
      </w:pPr>
      <w:r w:rsidRPr="00657DFC">
        <w:rPr>
          <w:rFonts w:ascii="Cambria Math" w:hAnsi="Cambria Math"/>
          <w:b/>
          <w:bCs/>
        </w:rPr>
        <w:t xml:space="preserve">2.4 Criteria and Alternatives in AHP </w:t>
      </w:r>
      <w:r w:rsidRPr="00657DFC">
        <w:rPr>
          <w:rFonts w:ascii="Cambria Math" w:hAnsi="Cambria Math"/>
        </w:rPr>
        <w:t>The criteria used in AHP analysis include:</w:t>
      </w:r>
    </w:p>
    <w:p w14:paraId="552609CD" w14:textId="77777777" w:rsidR="00031ABD" w:rsidRPr="00657DFC" w:rsidRDefault="00031ABD" w:rsidP="00031ABD">
      <w:pPr>
        <w:numPr>
          <w:ilvl w:val="0"/>
          <w:numId w:val="2"/>
        </w:numPr>
        <w:tabs>
          <w:tab w:val="clear" w:pos="720"/>
          <w:tab w:val="num" w:pos="426"/>
        </w:tabs>
        <w:ind w:left="426"/>
        <w:jc w:val="both"/>
        <w:rPr>
          <w:rFonts w:ascii="Cambria Math" w:hAnsi="Cambria Math"/>
        </w:rPr>
      </w:pPr>
      <w:r w:rsidRPr="00657DFC">
        <w:rPr>
          <w:rFonts w:ascii="Cambria Math" w:hAnsi="Cambria Math"/>
          <w:b/>
          <w:bCs/>
        </w:rPr>
        <w:t>Accessibility (C1)</w:t>
      </w:r>
    </w:p>
    <w:p w14:paraId="2F52EC5E" w14:textId="77777777" w:rsidR="00031ABD" w:rsidRPr="00657DFC" w:rsidRDefault="00031ABD" w:rsidP="00031ABD">
      <w:pPr>
        <w:pStyle w:val="ListParagraph"/>
        <w:numPr>
          <w:ilvl w:val="0"/>
          <w:numId w:val="6"/>
        </w:numPr>
        <w:jc w:val="both"/>
        <w:rPr>
          <w:rFonts w:ascii="Cambria Math" w:hAnsi="Cambria Math" w:cs="Segoe UI Emoji"/>
        </w:rPr>
      </w:pPr>
      <w:r w:rsidRPr="00657DFC">
        <w:rPr>
          <w:rFonts w:ascii="Cambria Math" w:hAnsi="Cambria Math" w:cs="Segoe UI Emoji"/>
        </w:rPr>
        <w:t>Distance to settlements: How close is the route from the affected settlements?</w:t>
      </w:r>
    </w:p>
    <w:p w14:paraId="1B42A565" w14:textId="77777777" w:rsidR="00031ABD" w:rsidRPr="00657DFC" w:rsidRDefault="00031ABD" w:rsidP="00031ABD">
      <w:pPr>
        <w:pStyle w:val="ListParagraph"/>
        <w:numPr>
          <w:ilvl w:val="0"/>
          <w:numId w:val="6"/>
        </w:numPr>
        <w:jc w:val="both"/>
        <w:rPr>
          <w:rFonts w:ascii="Cambria Math" w:hAnsi="Cambria Math" w:cs="Segoe UI Emoji"/>
        </w:rPr>
      </w:pPr>
      <w:r w:rsidRPr="00657DFC">
        <w:rPr>
          <w:rFonts w:ascii="Cambria Math" w:hAnsi="Cambria Math" w:cs="Segoe UI Emoji"/>
        </w:rPr>
        <w:t>Ease of access: Availability of connections to main routes/main roads</w:t>
      </w:r>
    </w:p>
    <w:p w14:paraId="66CFE5F6" w14:textId="77777777" w:rsidR="00031ABD" w:rsidRPr="00657DFC" w:rsidRDefault="00031ABD" w:rsidP="00031ABD">
      <w:pPr>
        <w:pStyle w:val="ListParagraph"/>
        <w:numPr>
          <w:ilvl w:val="0"/>
          <w:numId w:val="6"/>
        </w:numPr>
        <w:jc w:val="both"/>
        <w:rPr>
          <w:rFonts w:ascii="Cambria Math" w:hAnsi="Cambria Math" w:cs="Segoe UI Emoji"/>
        </w:rPr>
      </w:pPr>
      <w:r w:rsidRPr="00657DFC">
        <w:rPr>
          <w:rFonts w:ascii="Cambria Math" w:hAnsi="Cambria Math" w:cs="Segoe UI Emoji"/>
        </w:rPr>
        <w:t>Continuity of the route: Existence of access breaks (damaged bridges, rivers without bridges)</w:t>
      </w:r>
    </w:p>
    <w:p w14:paraId="50B5F924" w14:textId="77777777" w:rsidR="00031ABD" w:rsidRPr="00657DFC" w:rsidRDefault="00031ABD" w:rsidP="00031ABD">
      <w:pPr>
        <w:pStyle w:val="ListParagraph"/>
        <w:numPr>
          <w:ilvl w:val="0"/>
          <w:numId w:val="6"/>
        </w:numPr>
        <w:jc w:val="both"/>
        <w:rPr>
          <w:rFonts w:ascii="Cambria Math" w:hAnsi="Cambria Math" w:cs="Segoe UI Emoji"/>
        </w:rPr>
      </w:pPr>
      <w:r w:rsidRPr="00657DFC">
        <w:rPr>
          <w:rFonts w:ascii="Cambria Math" w:hAnsi="Cambria Math" w:cs="Segoe UI Emoji"/>
        </w:rPr>
        <w:t>Road surface conditions: Is the road asphalt, concrete, dirt, or gravel?</w:t>
      </w:r>
    </w:p>
    <w:p w14:paraId="218027AD" w14:textId="2729ADBA" w:rsidR="00657DFC" w:rsidRPr="009008DB" w:rsidRDefault="00031ABD" w:rsidP="00031ABD">
      <w:pPr>
        <w:pStyle w:val="ListParagraph"/>
        <w:numPr>
          <w:ilvl w:val="0"/>
          <w:numId w:val="6"/>
        </w:numPr>
        <w:jc w:val="both"/>
        <w:rPr>
          <w:rFonts w:ascii="Cambria Math" w:hAnsi="Cambria Math" w:cs="Segoe UI Emoji"/>
        </w:rPr>
      </w:pPr>
      <w:r w:rsidRPr="00657DFC">
        <w:rPr>
          <w:rFonts w:ascii="Cambria Math" w:hAnsi="Cambria Math" w:cs="Segoe UI Emoji"/>
        </w:rPr>
        <w:t>Availability of transport: Potential for emergency vehicles (ambulances, BPBD cars) to pass through</w:t>
      </w:r>
    </w:p>
    <w:p w14:paraId="5031FA89" w14:textId="77777777" w:rsidR="00031ABD" w:rsidRPr="00657DFC" w:rsidRDefault="00031ABD" w:rsidP="00031ABD">
      <w:pPr>
        <w:numPr>
          <w:ilvl w:val="0"/>
          <w:numId w:val="2"/>
        </w:numPr>
        <w:tabs>
          <w:tab w:val="clear" w:pos="720"/>
          <w:tab w:val="num" w:pos="426"/>
        </w:tabs>
        <w:ind w:left="426"/>
        <w:jc w:val="both"/>
        <w:rPr>
          <w:rFonts w:ascii="Cambria Math" w:hAnsi="Cambria Math"/>
          <w:b/>
          <w:bCs/>
        </w:rPr>
      </w:pPr>
      <w:r w:rsidRPr="00657DFC">
        <w:rPr>
          <w:rFonts w:ascii="Cambria Math" w:hAnsi="Cambria Math"/>
          <w:b/>
          <w:bCs/>
        </w:rPr>
        <w:t>Road Capacity (C2)</w:t>
      </w:r>
    </w:p>
    <w:p w14:paraId="2865363C" w14:textId="77777777" w:rsidR="00031ABD" w:rsidRPr="00657DFC" w:rsidRDefault="00031ABD" w:rsidP="00031ABD">
      <w:pPr>
        <w:pStyle w:val="ListParagraph"/>
        <w:numPr>
          <w:ilvl w:val="0"/>
          <w:numId w:val="7"/>
        </w:numPr>
        <w:jc w:val="both"/>
        <w:rPr>
          <w:rFonts w:ascii="Cambria Math" w:hAnsi="Cambria Math"/>
          <w:b/>
          <w:bCs/>
        </w:rPr>
      </w:pPr>
      <w:r w:rsidRPr="00657DFC">
        <w:rPr>
          <w:rFonts w:ascii="Cambria Math" w:hAnsi="Cambria Math" w:cs="Segoe UI Emoji"/>
        </w:rPr>
        <w:t>Road width: Is it wide enough for 2 directions or only enough for 1 direction?</w:t>
      </w:r>
    </w:p>
    <w:p w14:paraId="4DDE54D1" w14:textId="77777777" w:rsidR="00031ABD" w:rsidRPr="00657DFC" w:rsidRDefault="00031ABD" w:rsidP="00031ABD">
      <w:pPr>
        <w:pStyle w:val="ListParagraph"/>
        <w:numPr>
          <w:ilvl w:val="0"/>
          <w:numId w:val="7"/>
        </w:numPr>
        <w:jc w:val="both"/>
        <w:rPr>
          <w:rFonts w:ascii="Cambria Math" w:hAnsi="Cambria Math"/>
          <w:b/>
          <w:bCs/>
        </w:rPr>
      </w:pPr>
      <w:r w:rsidRPr="00657DFC">
        <w:rPr>
          <w:rFonts w:ascii="Cambria Math" w:hAnsi="Cambria Math" w:cs="Segoe UI Emoji"/>
        </w:rPr>
        <w:t>Daily traffic volume: Normal daily vehicle load on the route</w:t>
      </w:r>
    </w:p>
    <w:p w14:paraId="6568B888" w14:textId="77777777" w:rsidR="00031ABD" w:rsidRPr="00657DFC" w:rsidRDefault="00031ABD" w:rsidP="00031ABD">
      <w:pPr>
        <w:pStyle w:val="ListParagraph"/>
        <w:numPr>
          <w:ilvl w:val="0"/>
          <w:numId w:val="7"/>
        </w:numPr>
        <w:jc w:val="both"/>
        <w:rPr>
          <w:rFonts w:ascii="Cambria Math" w:hAnsi="Cambria Math"/>
          <w:b/>
          <w:bCs/>
        </w:rPr>
      </w:pPr>
      <w:r w:rsidRPr="00657DFC">
        <w:rPr>
          <w:rFonts w:ascii="Cambria Math" w:hAnsi="Cambria Math" w:cs="Segoe UI Emoji"/>
        </w:rPr>
        <w:t>Potential for congestion: Is the route prone to congestion during emergencies (e.g., markets, schools, etc.)</w:t>
      </w:r>
    </w:p>
    <w:p w14:paraId="7D7C14BE" w14:textId="77777777" w:rsidR="00031ABD" w:rsidRPr="009008DB" w:rsidRDefault="00031ABD" w:rsidP="00031ABD">
      <w:pPr>
        <w:pStyle w:val="ListParagraph"/>
        <w:numPr>
          <w:ilvl w:val="0"/>
          <w:numId w:val="7"/>
        </w:numPr>
        <w:jc w:val="both"/>
        <w:rPr>
          <w:rFonts w:ascii="Cambria Math" w:hAnsi="Cambria Math"/>
          <w:b/>
          <w:bCs/>
        </w:rPr>
      </w:pPr>
      <w:r w:rsidRPr="00657DFC">
        <w:rPr>
          <w:rFonts w:ascii="Cambria Math" w:hAnsi="Cambria Math" w:cs="Segoe UI Emoji"/>
        </w:rPr>
        <w:t>Evacuation capacity: Vehicle/mass capacity at peak evacuation</w:t>
      </w:r>
    </w:p>
    <w:p w14:paraId="19FDECC5" w14:textId="77777777" w:rsidR="009008DB" w:rsidRPr="00657DFC" w:rsidRDefault="009008DB" w:rsidP="009008DB">
      <w:pPr>
        <w:pStyle w:val="ListParagraph"/>
        <w:jc w:val="both"/>
        <w:rPr>
          <w:rFonts w:ascii="Cambria Math" w:hAnsi="Cambria Math"/>
          <w:b/>
          <w:bCs/>
        </w:rPr>
      </w:pPr>
    </w:p>
    <w:p w14:paraId="1C34A6F9" w14:textId="77777777" w:rsidR="00031ABD" w:rsidRPr="00657DFC" w:rsidRDefault="00031ABD" w:rsidP="00031ABD">
      <w:pPr>
        <w:numPr>
          <w:ilvl w:val="0"/>
          <w:numId w:val="2"/>
        </w:numPr>
        <w:tabs>
          <w:tab w:val="clear" w:pos="720"/>
        </w:tabs>
        <w:ind w:left="426" w:hanging="426"/>
        <w:jc w:val="both"/>
        <w:rPr>
          <w:rFonts w:ascii="Cambria Math" w:hAnsi="Cambria Math"/>
        </w:rPr>
      </w:pPr>
      <w:r w:rsidRPr="00657DFC">
        <w:rPr>
          <w:rFonts w:ascii="Cambria Math" w:hAnsi="Cambria Math"/>
          <w:b/>
          <w:bCs/>
        </w:rPr>
        <w:lastRenderedPageBreak/>
        <w:t>Physical Endurance (C3)</w:t>
      </w:r>
    </w:p>
    <w:p w14:paraId="2AF6724E" w14:textId="77777777" w:rsidR="00031ABD" w:rsidRPr="00657DFC" w:rsidRDefault="00031ABD" w:rsidP="00031ABD">
      <w:pPr>
        <w:pStyle w:val="ListParagraph"/>
        <w:numPr>
          <w:ilvl w:val="0"/>
          <w:numId w:val="8"/>
        </w:numPr>
        <w:ind w:left="709"/>
        <w:jc w:val="both"/>
        <w:rPr>
          <w:rFonts w:ascii="Cambria Math" w:hAnsi="Cambria Math"/>
        </w:rPr>
      </w:pPr>
      <w:r w:rsidRPr="00657DFC">
        <w:rPr>
          <w:rFonts w:ascii="Cambria Math" w:hAnsi="Cambria Math" w:cs="Segoe UI Emoji"/>
        </w:rPr>
        <w:t>Road structure condition: How good is the base structure and road surface?</w:t>
      </w:r>
    </w:p>
    <w:p w14:paraId="4B8BD7A0" w14:textId="77777777" w:rsidR="00031ABD" w:rsidRPr="00657DFC" w:rsidRDefault="00031ABD" w:rsidP="00031ABD">
      <w:pPr>
        <w:pStyle w:val="ListParagraph"/>
        <w:numPr>
          <w:ilvl w:val="0"/>
          <w:numId w:val="8"/>
        </w:numPr>
        <w:ind w:left="709"/>
        <w:jc w:val="both"/>
        <w:rPr>
          <w:rFonts w:ascii="Cambria Math" w:hAnsi="Cambria Math"/>
        </w:rPr>
      </w:pPr>
      <w:r w:rsidRPr="00657DFC">
        <w:rPr>
          <w:rFonts w:ascii="Cambria Math" w:hAnsi="Cambria Math" w:cs="Segoe UI Emoji"/>
        </w:rPr>
        <w:t>Landslide/flooding risk: Is the route prone to landslides or local flooding?</w:t>
      </w:r>
    </w:p>
    <w:p w14:paraId="4EDC054B" w14:textId="77777777" w:rsidR="00031ABD" w:rsidRPr="00657DFC" w:rsidRDefault="00031ABD" w:rsidP="00031ABD">
      <w:pPr>
        <w:pStyle w:val="ListParagraph"/>
        <w:numPr>
          <w:ilvl w:val="0"/>
          <w:numId w:val="8"/>
        </w:numPr>
        <w:ind w:left="709"/>
        <w:jc w:val="both"/>
        <w:rPr>
          <w:rFonts w:ascii="Cambria Math" w:hAnsi="Cambria Math"/>
        </w:rPr>
      </w:pPr>
      <w:r w:rsidRPr="00657DFC">
        <w:rPr>
          <w:rFonts w:ascii="Cambria Math" w:hAnsi="Cambria Math" w:cs="Segoe UI Emoji"/>
        </w:rPr>
        <w:t>Condition of bridges/supporting structures: Are there any bridges that are old, damaged, or fragile?</w:t>
      </w:r>
    </w:p>
    <w:p w14:paraId="69C3E4DC" w14:textId="77777777" w:rsidR="00031ABD" w:rsidRPr="00657DFC" w:rsidRDefault="00031ABD" w:rsidP="00031ABD">
      <w:pPr>
        <w:pStyle w:val="ListParagraph"/>
        <w:numPr>
          <w:ilvl w:val="0"/>
          <w:numId w:val="8"/>
        </w:numPr>
        <w:ind w:left="709"/>
        <w:jc w:val="both"/>
        <w:rPr>
          <w:rFonts w:ascii="Cambria Math" w:hAnsi="Cambria Math"/>
        </w:rPr>
      </w:pPr>
      <w:r w:rsidRPr="00657DFC">
        <w:rPr>
          <w:rFonts w:ascii="Cambria Math" w:hAnsi="Cambria Math" w:cs="Segoe UI Emoji"/>
        </w:rPr>
        <w:t>Damage history: Has the line ever been damaged or cut off due to a previous disaster?</w:t>
      </w:r>
    </w:p>
    <w:p w14:paraId="1B2FCB3A" w14:textId="77777777" w:rsidR="00031ABD" w:rsidRPr="00657DFC" w:rsidRDefault="00031ABD" w:rsidP="00031ABD">
      <w:pPr>
        <w:pStyle w:val="ListParagraph"/>
        <w:numPr>
          <w:ilvl w:val="0"/>
          <w:numId w:val="8"/>
        </w:numPr>
        <w:ind w:left="709"/>
        <w:jc w:val="both"/>
        <w:rPr>
          <w:rFonts w:ascii="Cambria Math" w:hAnsi="Cambria Math"/>
        </w:rPr>
      </w:pPr>
      <w:r w:rsidRPr="00657DFC">
        <w:rPr>
          <w:rFonts w:ascii="Cambria Math" w:hAnsi="Cambria Math" w:cs="Segoe UI Emoji"/>
        </w:rPr>
        <w:t>Routine maintenance level: Frequency of maintenance by the Public Works Department or local government</w:t>
      </w:r>
    </w:p>
    <w:p w14:paraId="13943ADA" w14:textId="77777777" w:rsidR="00031ABD" w:rsidRPr="00657DFC" w:rsidRDefault="00031ABD" w:rsidP="00031ABD">
      <w:pPr>
        <w:jc w:val="both"/>
        <w:rPr>
          <w:rFonts w:ascii="Cambria Math" w:hAnsi="Cambria Math"/>
        </w:rPr>
      </w:pPr>
      <w:r w:rsidRPr="00657DFC">
        <w:rPr>
          <w:rFonts w:ascii="Cambria Math" w:hAnsi="Cambria Math"/>
        </w:rPr>
        <w:t>Alternative evacuation routes analyzed:</w:t>
      </w:r>
    </w:p>
    <w:p w14:paraId="38A27B50" w14:textId="77777777" w:rsidR="00031ABD" w:rsidRPr="00657DFC" w:rsidRDefault="00031ABD" w:rsidP="00031ABD">
      <w:pPr>
        <w:numPr>
          <w:ilvl w:val="0"/>
          <w:numId w:val="3"/>
        </w:numPr>
        <w:spacing w:after="0"/>
        <w:jc w:val="both"/>
        <w:rPr>
          <w:rFonts w:ascii="Cambria Math" w:hAnsi="Cambria Math"/>
        </w:rPr>
      </w:pPr>
      <w:r w:rsidRPr="00657DFC">
        <w:rPr>
          <w:rFonts w:ascii="Cambria Math" w:hAnsi="Cambria Math"/>
          <w:b/>
          <w:bCs/>
        </w:rPr>
        <w:t xml:space="preserve">A1: </w:t>
      </w:r>
      <w:r w:rsidRPr="00657DFC">
        <w:rPr>
          <w:rFonts w:ascii="Cambria Math" w:hAnsi="Cambria Math"/>
        </w:rPr>
        <w:t>Sepaku–Petung Main Road</w:t>
      </w:r>
    </w:p>
    <w:p w14:paraId="4C6175CB" w14:textId="77777777" w:rsidR="00031ABD" w:rsidRPr="00657DFC" w:rsidRDefault="00031ABD" w:rsidP="00031ABD">
      <w:pPr>
        <w:numPr>
          <w:ilvl w:val="0"/>
          <w:numId w:val="3"/>
        </w:numPr>
        <w:spacing w:after="0"/>
        <w:jc w:val="both"/>
        <w:rPr>
          <w:rFonts w:ascii="Cambria Math" w:hAnsi="Cambria Math"/>
        </w:rPr>
      </w:pPr>
      <w:r w:rsidRPr="00657DFC">
        <w:rPr>
          <w:rFonts w:ascii="Cambria Math" w:hAnsi="Cambria Math"/>
          <w:b/>
          <w:bCs/>
        </w:rPr>
        <w:t xml:space="preserve">A2: </w:t>
      </w:r>
      <w:r w:rsidRPr="00657DFC">
        <w:rPr>
          <w:rFonts w:ascii="Cambria Math" w:hAnsi="Cambria Math"/>
        </w:rPr>
        <w:t>Trans Kalimantan Highway</w:t>
      </w:r>
    </w:p>
    <w:p w14:paraId="51F0BC65" w14:textId="77777777" w:rsidR="00031ABD" w:rsidRPr="00657DFC" w:rsidRDefault="00031ABD" w:rsidP="00031ABD">
      <w:pPr>
        <w:numPr>
          <w:ilvl w:val="0"/>
          <w:numId w:val="3"/>
        </w:numPr>
        <w:spacing w:after="0"/>
        <w:jc w:val="both"/>
        <w:rPr>
          <w:rFonts w:ascii="Cambria Math" w:hAnsi="Cambria Math"/>
        </w:rPr>
      </w:pPr>
      <w:r w:rsidRPr="00657DFC">
        <w:rPr>
          <w:rFonts w:ascii="Cambria Math" w:hAnsi="Cambria Math"/>
          <w:b/>
          <w:bCs/>
        </w:rPr>
        <w:t xml:space="preserve">A3: </w:t>
      </w:r>
      <w:r w:rsidRPr="00657DFC">
        <w:rPr>
          <w:rFonts w:ascii="Cambria Math" w:hAnsi="Cambria Math"/>
        </w:rPr>
        <w:t>Reservoir Ring Road</w:t>
      </w:r>
    </w:p>
    <w:p w14:paraId="1B784BC1" w14:textId="77777777" w:rsidR="00031ABD" w:rsidRPr="00657DFC" w:rsidRDefault="00031ABD" w:rsidP="00031ABD">
      <w:pPr>
        <w:numPr>
          <w:ilvl w:val="0"/>
          <w:numId w:val="3"/>
        </w:numPr>
        <w:spacing w:after="0"/>
        <w:jc w:val="both"/>
        <w:rPr>
          <w:rFonts w:ascii="Cambria Math" w:hAnsi="Cambria Math"/>
        </w:rPr>
      </w:pPr>
      <w:r w:rsidRPr="00657DFC">
        <w:rPr>
          <w:rFonts w:ascii="Cambria Math" w:hAnsi="Cambria Math"/>
          <w:b/>
          <w:bCs/>
        </w:rPr>
        <w:t>A4:</w:t>
      </w:r>
      <w:r w:rsidRPr="00657DFC">
        <w:rPr>
          <w:rFonts w:ascii="Cambria Math" w:hAnsi="Cambria Math"/>
        </w:rPr>
        <w:t xml:space="preserve"> </w:t>
      </w:r>
      <w:bookmarkStart w:id="0" w:name="_Hlk203596481"/>
      <w:r w:rsidRPr="00657DFC">
        <w:rPr>
          <w:rFonts w:ascii="Cambria Math" w:hAnsi="Cambria Math"/>
        </w:rPr>
        <w:t>Karang Jinawi-Sotek Road</w:t>
      </w:r>
      <w:bookmarkEnd w:id="0"/>
    </w:p>
    <w:p w14:paraId="70FEF584" w14:textId="77777777" w:rsidR="00031ABD" w:rsidRPr="00657DFC" w:rsidRDefault="00031ABD" w:rsidP="00031ABD">
      <w:pPr>
        <w:spacing w:after="0"/>
        <w:ind w:left="720"/>
        <w:jc w:val="both"/>
        <w:rPr>
          <w:rFonts w:ascii="Cambria Math" w:hAnsi="Cambria Math"/>
        </w:rPr>
      </w:pPr>
    </w:p>
    <w:p w14:paraId="001DB0F5" w14:textId="77777777" w:rsidR="00031ABD" w:rsidRPr="00657DFC" w:rsidRDefault="00031ABD" w:rsidP="00031ABD">
      <w:pPr>
        <w:jc w:val="both"/>
        <w:rPr>
          <w:rFonts w:ascii="Cambria Math" w:hAnsi="Cambria Math"/>
        </w:rPr>
      </w:pPr>
      <w:r w:rsidRPr="00657DFC">
        <w:rPr>
          <w:rFonts w:ascii="Cambria Math" w:hAnsi="Cambria Math"/>
          <w:b/>
          <w:bCs/>
        </w:rPr>
        <w:t>2.4 AHP Process</w:t>
      </w:r>
      <w:r w:rsidRPr="00657DFC">
        <w:rPr>
          <w:rFonts w:ascii="Cambria Math" w:hAnsi="Cambria Math"/>
        </w:rPr>
        <w:t xml:space="preserve"> </w:t>
      </w:r>
    </w:p>
    <w:p w14:paraId="0E1A5EFB" w14:textId="77777777" w:rsidR="00031ABD" w:rsidRPr="00657DFC" w:rsidRDefault="00031ABD" w:rsidP="00031ABD">
      <w:pPr>
        <w:jc w:val="both"/>
        <w:rPr>
          <w:rFonts w:ascii="Cambria Math" w:hAnsi="Cambria Math"/>
        </w:rPr>
      </w:pPr>
      <w:r w:rsidRPr="00657DFC">
        <w:rPr>
          <w:rFonts w:ascii="Cambria Math" w:hAnsi="Cambria Math"/>
        </w:rPr>
        <w:t>The steps in the AHP method carried out in this research are:</w:t>
      </w:r>
    </w:p>
    <w:p w14:paraId="24BA6A99" w14:textId="77777777" w:rsidR="00031ABD" w:rsidRPr="00657DFC" w:rsidRDefault="00031ABD" w:rsidP="00031ABD">
      <w:pPr>
        <w:numPr>
          <w:ilvl w:val="0"/>
          <w:numId w:val="4"/>
        </w:numPr>
        <w:jc w:val="both"/>
        <w:rPr>
          <w:rFonts w:ascii="Cambria Math" w:hAnsi="Cambria Math"/>
        </w:rPr>
      </w:pPr>
      <w:r w:rsidRPr="00657DFC">
        <w:rPr>
          <w:rFonts w:ascii="Cambria Math" w:hAnsi="Cambria Math"/>
        </w:rPr>
        <w:t>Constructing a decision hierarchy (Objectives–Criteria–Alternatives)</w:t>
      </w:r>
    </w:p>
    <w:p w14:paraId="1E984642" w14:textId="77777777" w:rsidR="00031ABD" w:rsidRPr="00657DFC" w:rsidRDefault="00031ABD" w:rsidP="00031ABD">
      <w:pPr>
        <w:numPr>
          <w:ilvl w:val="0"/>
          <w:numId w:val="4"/>
        </w:numPr>
        <w:jc w:val="both"/>
        <w:rPr>
          <w:rFonts w:ascii="Cambria Math" w:hAnsi="Cambria Math"/>
        </w:rPr>
      </w:pPr>
      <w:r w:rsidRPr="00657DFC">
        <w:rPr>
          <w:rFonts w:ascii="Cambria Math" w:hAnsi="Cambria Math"/>
        </w:rPr>
        <w:t>Create a pairwise comparison matrix between criteria and between alternatives</w:t>
      </w:r>
    </w:p>
    <w:p w14:paraId="52CC1363" w14:textId="77777777" w:rsidR="00031ABD" w:rsidRPr="00657DFC" w:rsidRDefault="00031ABD" w:rsidP="00031ABD">
      <w:pPr>
        <w:numPr>
          <w:ilvl w:val="0"/>
          <w:numId w:val="4"/>
        </w:numPr>
        <w:jc w:val="both"/>
        <w:rPr>
          <w:rFonts w:ascii="Cambria Math" w:hAnsi="Cambria Math"/>
        </w:rPr>
      </w:pPr>
      <w:r w:rsidRPr="00657DFC">
        <w:rPr>
          <w:rFonts w:ascii="Cambria Math" w:hAnsi="Cambria Math"/>
        </w:rPr>
        <w:t>Calculating eigenvector values (priority weights)</w:t>
      </w:r>
    </w:p>
    <w:p w14:paraId="7A10ACC1" w14:textId="77777777" w:rsidR="00031ABD" w:rsidRPr="00657DFC" w:rsidRDefault="00031ABD" w:rsidP="00031ABD">
      <w:pPr>
        <w:numPr>
          <w:ilvl w:val="0"/>
          <w:numId w:val="4"/>
        </w:numPr>
        <w:jc w:val="both"/>
        <w:rPr>
          <w:rFonts w:ascii="Cambria Math" w:hAnsi="Cambria Math"/>
        </w:rPr>
      </w:pPr>
      <w:r w:rsidRPr="00657DFC">
        <w:rPr>
          <w:rFonts w:ascii="Cambria Math" w:hAnsi="Cambria Math"/>
        </w:rPr>
        <w:t>Conduct a consistency test with Consistency Ratio (CR &lt; 0.1)</w:t>
      </w:r>
    </w:p>
    <w:p w14:paraId="6423DFA9" w14:textId="3D710407" w:rsidR="00657DFC" w:rsidRDefault="00031ABD" w:rsidP="00031ABD">
      <w:pPr>
        <w:jc w:val="both"/>
        <w:rPr>
          <w:rFonts w:ascii="Cambria Math" w:hAnsi="Cambria Math"/>
        </w:rPr>
      </w:pPr>
      <w:r w:rsidRPr="00657DFC">
        <w:rPr>
          <w:rFonts w:ascii="Cambria Math" w:hAnsi="Cambria Math"/>
        </w:rPr>
        <w:t>Data processing was performed using Expert Choice software and Excel for weighting and CR calculations. The final results are a priority ranking of the four analyzed pathways, with technical recommendations for the pathway with the highest score.</w:t>
      </w:r>
    </w:p>
    <w:p w14:paraId="30772711" w14:textId="77777777" w:rsidR="009008DB" w:rsidRPr="00657DFC" w:rsidRDefault="009008DB" w:rsidP="00031ABD">
      <w:pPr>
        <w:jc w:val="both"/>
        <w:rPr>
          <w:rFonts w:ascii="Cambria Math" w:hAnsi="Cambria Math"/>
        </w:rPr>
      </w:pPr>
    </w:p>
    <w:p w14:paraId="2A182766" w14:textId="77777777" w:rsidR="00031ABD" w:rsidRPr="00657DFC" w:rsidRDefault="00031ABD" w:rsidP="00031ABD">
      <w:pPr>
        <w:pStyle w:val="ListParagraph"/>
        <w:numPr>
          <w:ilvl w:val="1"/>
          <w:numId w:val="1"/>
        </w:numPr>
        <w:ind w:left="426"/>
        <w:jc w:val="both"/>
        <w:rPr>
          <w:rFonts w:ascii="Cambria Math" w:hAnsi="Cambria Math"/>
          <w:b/>
          <w:bCs/>
        </w:rPr>
      </w:pPr>
      <w:r w:rsidRPr="00657DFC">
        <w:rPr>
          <w:rFonts w:ascii="Cambria Math" w:hAnsi="Cambria Math"/>
          <w:b/>
          <w:bCs/>
        </w:rPr>
        <w:t>Results and Discussion</w:t>
      </w:r>
    </w:p>
    <w:p w14:paraId="7BAC3730" w14:textId="77777777" w:rsidR="00031ABD" w:rsidRDefault="00031ABD" w:rsidP="00031ABD">
      <w:pPr>
        <w:pStyle w:val="ListParagraph"/>
        <w:ind w:left="426" w:firstLine="294"/>
        <w:jc w:val="both"/>
        <w:rPr>
          <w:rFonts w:ascii="Cambria Math" w:hAnsi="Cambria Math"/>
        </w:rPr>
      </w:pPr>
      <w:r w:rsidRPr="00657DFC">
        <w:rPr>
          <w:rFonts w:ascii="Cambria Math" w:hAnsi="Cambria Math"/>
        </w:rPr>
        <w:t xml:space="preserve">The following graph illustrates the number of respondents who prioritize each </w:t>
      </w:r>
      <w:r w:rsidRPr="00657DFC">
        <w:rPr>
          <w:rFonts w:ascii="Cambria Math" w:hAnsi="Cambria Math"/>
        </w:rPr>
        <w:noBreakHyphen/>
        <w:t>criterion in AHP (Accessibility, Road Capacity, Infrastructure Resilience) based on the results of a survey of 80 people from the results of the survey via Google Form.</w:t>
      </w:r>
    </w:p>
    <w:p w14:paraId="351A70AE" w14:textId="77777777" w:rsidR="00657DFC" w:rsidRDefault="00657DFC" w:rsidP="00031ABD">
      <w:pPr>
        <w:pStyle w:val="ListParagraph"/>
        <w:ind w:left="426" w:firstLine="294"/>
        <w:jc w:val="both"/>
        <w:rPr>
          <w:rFonts w:ascii="Cambria Math" w:hAnsi="Cambria Math"/>
        </w:rPr>
      </w:pPr>
    </w:p>
    <w:p w14:paraId="29A5CBA5" w14:textId="77777777" w:rsidR="009008DB" w:rsidRDefault="009008DB" w:rsidP="00657DFC">
      <w:pPr>
        <w:pStyle w:val="ListParagraph"/>
        <w:spacing w:after="0"/>
        <w:ind w:left="426" w:firstLine="294"/>
        <w:jc w:val="center"/>
        <w:rPr>
          <w:rFonts w:ascii="Cambria Math" w:hAnsi="Cambria Math"/>
          <w:b/>
          <w:bCs/>
        </w:rPr>
      </w:pPr>
    </w:p>
    <w:p w14:paraId="18AC0B7B" w14:textId="77777777" w:rsidR="009008DB" w:rsidRDefault="009008DB" w:rsidP="00657DFC">
      <w:pPr>
        <w:pStyle w:val="ListParagraph"/>
        <w:spacing w:after="0"/>
        <w:ind w:left="426" w:firstLine="294"/>
        <w:jc w:val="center"/>
        <w:rPr>
          <w:rFonts w:ascii="Cambria Math" w:hAnsi="Cambria Math"/>
          <w:b/>
          <w:bCs/>
        </w:rPr>
      </w:pPr>
    </w:p>
    <w:p w14:paraId="2DE10536" w14:textId="77777777" w:rsidR="009008DB" w:rsidRDefault="009008DB" w:rsidP="00657DFC">
      <w:pPr>
        <w:pStyle w:val="ListParagraph"/>
        <w:spacing w:after="0"/>
        <w:ind w:left="426" w:firstLine="294"/>
        <w:jc w:val="center"/>
        <w:rPr>
          <w:rFonts w:ascii="Cambria Math" w:hAnsi="Cambria Math"/>
          <w:b/>
          <w:bCs/>
        </w:rPr>
      </w:pPr>
    </w:p>
    <w:p w14:paraId="6F3CAFE8" w14:textId="77777777" w:rsidR="009008DB" w:rsidRDefault="009008DB" w:rsidP="00657DFC">
      <w:pPr>
        <w:pStyle w:val="ListParagraph"/>
        <w:spacing w:after="0"/>
        <w:ind w:left="426" w:firstLine="294"/>
        <w:jc w:val="center"/>
        <w:rPr>
          <w:rFonts w:ascii="Cambria Math" w:hAnsi="Cambria Math"/>
          <w:b/>
          <w:bCs/>
        </w:rPr>
      </w:pPr>
    </w:p>
    <w:p w14:paraId="4436C6BA" w14:textId="77777777" w:rsidR="009008DB" w:rsidRDefault="009008DB" w:rsidP="00657DFC">
      <w:pPr>
        <w:pStyle w:val="ListParagraph"/>
        <w:spacing w:after="0"/>
        <w:ind w:left="426" w:firstLine="294"/>
        <w:jc w:val="center"/>
        <w:rPr>
          <w:rFonts w:ascii="Cambria Math" w:hAnsi="Cambria Math"/>
          <w:b/>
          <w:bCs/>
        </w:rPr>
      </w:pPr>
    </w:p>
    <w:p w14:paraId="3D5C5B04" w14:textId="77777777" w:rsidR="009008DB" w:rsidRDefault="009008DB" w:rsidP="00657DFC">
      <w:pPr>
        <w:pStyle w:val="ListParagraph"/>
        <w:spacing w:after="0"/>
        <w:ind w:left="426" w:firstLine="294"/>
        <w:jc w:val="center"/>
        <w:rPr>
          <w:rFonts w:ascii="Cambria Math" w:hAnsi="Cambria Math"/>
          <w:b/>
          <w:bCs/>
        </w:rPr>
      </w:pPr>
    </w:p>
    <w:p w14:paraId="2EAE3535" w14:textId="77777777" w:rsidR="009008DB" w:rsidRDefault="009008DB" w:rsidP="00657DFC">
      <w:pPr>
        <w:pStyle w:val="ListParagraph"/>
        <w:spacing w:after="0"/>
        <w:ind w:left="426" w:firstLine="294"/>
        <w:jc w:val="center"/>
        <w:rPr>
          <w:rFonts w:ascii="Cambria Math" w:hAnsi="Cambria Math"/>
          <w:b/>
          <w:bCs/>
        </w:rPr>
      </w:pPr>
    </w:p>
    <w:p w14:paraId="52059BCD" w14:textId="77777777" w:rsidR="009008DB" w:rsidRDefault="009008DB" w:rsidP="00657DFC">
      <w:pPr>
        <w:pStyle w:val="ListParagraph"/>
        <w:spacing w:after="0"/>
        <w:ind w:left="426" w:firstLine="294"/>
        <w:jc w:val="center"/>
        <w:rPr>
          <w:rFonts w:ascii="Cambria Math" w:hAnsi="Cambria Math"/>
          <w:b/>
          <w:bCs/>
        </w:rPr>
      </w:pPr>
    </w:p>
    <w:p w14:paraId="2279B433" w14:textId="77777777" w:rsidR="009008DB" w:rsidRDefault="009008DB" w:rsidP="00657DFC">
      <w:pPr>
        <w:pStyle w:val="ListParagraph"/>
        <w:spacing w:after="0"/>
        <w:ind w:left="426" w:firstLine="294"/>
        <w:jc w:val="center"/>
        <w:rPr>
          <w:rFonts w:ascii="Cambria Math" w:hAnsi="Cambria Math"/>
          <w:b/>
          <w:bCs/>
        </w:rPr>
      </w:pPr>
    </w:p>
    <w:p w14:paraId="1DEFF1F0" w14:textId="3C36EEF3" w:rsidR="00657DFC" w:rsidRPr="00657DFC" w:rsidRDefault="00657DFC" w:rsidP="00657DFC">
      <w:pPr>
        <w:pStyle w:val="ListParagraph"/>
        <w:spacing w:after="0"/>
        <w:ind w:left="426" w:firstLine="294"/>
        <w:jc w:val="center"/>
        <w:rPr>
          <w:rFonts w:ascii="Cambria Math" w:hAnsi="Cambria Math"/>
          <w:b/>
          <w:bCs/>
        </w:rPr>
      </w:pPr>
      <w:r w:rsidRPr="00657DFC">
        <w:rPr>
          <w:rFonts w:ascii="Cambria Math" w:hAnsi="Cambria Math"/>
          <w:b/>
          <w:bCs/>
        </w:rPr>
        <w:t>Figure 3. AHP Criteria Graph</w:t>
      </w:r>
    </w:p>
    <w:p w14:paraId="18CE230D" w14:textId="77777777" w:rsidR="00031ABD" w:rsidRPr="00657DFC" w:rsidRDefault="00031ABD" w:rsidP="00031ABD">
      <w:pPr>
        <w:jc w:val="center"/>
        <w:rPr>
          <w:rFonts w:ascii="Cambria Math" w:hAnsi="Cambria Math"/>
          <w:b/>
          <w:bCs/>
        </w:rPr>
      </w:pPr>
      <w:r w:rsidRPr="00657DFC">
        <w:rPr>
          <w:rFonts w:ascii="Cambria Math" w:hAnsi="Cambria Math"/>
          <w:b/>
          <w:bCs/>
          <w:noProof/>
        </w:rPr>
        <w:drawing>
          <wp:inline distT="0" distB="0" distL="0" distR="0" wp14:anchorId="590CD45A" wp14:editId="5C3B610D">
            <wp:extent cx="3882683" cy="2450116"/>
            <wp:effectExtent l="0" t="0" r="3810" b="7620"/>
            <wp:docPr id="9983352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2171" cy="2462413"/>
                    </a:xfrm>
                    <a:prstGeom prst="rect">
                      <a:avLst/>
                    </a:prstGeom>
                    <a:noFill/>
                  </pic:spPr>
                </pic:pic>
              </a:graphicData>
            </a:graphic>
          </wp:inline>
        </w:drawing>
      </w:r>
    </w:p>
    <w:p w14:paraId="372371E1" w14:textId="77777777" w:rsidR="00031ABD" w:rsidRPr="00657DFC" w:rsidRDefault="00031ABD" w:rsidP="00031ABD">
      <w:pPr>
        <w:ind w:firstLine="360"/>
        <w:rPr>
          <w:rFonts w:ascii="Cambria Math" w:hAnsi="Cambria Math"/>
        </w:rPr>
      </w:pPr>
      <w:r w:rsidRPr="00657DFC">
        <w:rPr>
          <w:rFonts w:ascii="Cambria Math" w:hAnsi="Cambria Math"/>
        </w:rPr>
        <w:t>Based on the bar graph above, the distribution of weights for the three main criteria in selecting evacuation routes, with Accessibility (C1) as the most important criterion:</w:t>
      </w:r>
    </w:p>
    <w:p w14:paraId="65D49B81" w14:textId="77777777" w:rsidR="00031ABD" w:rsidRPr="00657DFC" w:rsidRDefault="00031ABD" w:rsidP="00031ABD">
      <w:pPr>
        <w:numPr>
          <w:ilvl w:val="0"/>
          <w:numId w:val="9"/>
        </w:numPr>
        <w:rPr>
          <w:rFonts w:ascii="Cambria Math" w:hAnsi="Cambria Math"/>
        </w:rPr>
      </w:pPr>
      <w:r w:rsidRPr="00657DFC">
        <w:rPr>
          <w:rFonts w:ascii="Cambria Math" w:hAnsi="Cambria Math"/>
        </w:rPr>
        <w:t xml:space="preserve">Accessibility (C1) – 0.45 </w:t>
      </w:r>
      <w:r w:rsidRPr="00657DFC">
        <w:rPr>
          <w:rFonts w:ascii="Cambria Math" w:hAnsi="Cambria Math"/>
        </w:rPr>
        <w:br/>
        <w:t>Has the highest weighting, emphasizing that ease and speed of access to evacuation routes are top priorities. Infrastructure must be designed to allow people to reach evacuation routes quickly and smoothly.</w:t>
      </w:r>
    </w:p>
    <w:p w14:paraId="285E8ABE" w14:textId="77777777" w:rsidR="00031ABD" w:rsidRPr="00657DFC" w:rsidRDefault="00031ABD" w:rsidP="00031ABD">
      <w:pPr>
        <w:numPr>
          <w:ilvl w:val="0"/>
          <w:numId w:val="9"/>
        </w:numPr>
        <w:rPr>
          <w:rFonts w:ascii="Cambria Math" w:hAnsi="Cambria Math"/>
        </w:rPr>
      </w:pPr>
      <w:r w:rsidRPr="00657DFC">
        <w:rPr>
          <w:rFonts w:ascii="Cambria Math" w:hAnsi="Cambria Math"/>
        </w:rPr>
        <w:t xml:space="preserve">Road Capacity (C2) – 0.30 </w:t>
      </w:r>
      <w:r w:rsidRPr="00657DFC">
        <w:rPr>
          <w:rFonts w:ascii="Cambria Math" w:hAnsi="Cambria Math"/>
        </w:rPr>
        <w:br/>
        <w:t>Shows the importance of road capacity to accommodate vehicle volume during mass evacuations, reducing the risk of congestion that can hinder the evacuation process.</w:t>
      </w:r>
    </w:p>
    <w:p w14:paraId="4DFD5D8F" w14:textId="77777777" w:rsidR="00031ABD" w:rsidRPr="00657DFC" w:rsidRDefault="00031ABD" w:rsidP="00031ABD">
      <w:pPr>
        <w:numPr>
          <w:ilvl w:val="0"/>
          <w:numId w:val="9"/>
        </w:numPr>
        <w:rPr>
          <w:rFonts w:ascii="Cambria Math" w:hAnsi="Cambria Math"/>
        </w:rPr>
      </w:pPr>
      <w:r w:rsidRPr="00657DFC">
        <w:rPr>
          <w:rFonts w:ascii="Cambria Math" w:hAnsi="Cambria Math"/>
        </w:rPr>
        <w:t xml:space="preserve">Infrastructure Resilience (C3) – 0.25 </w:t>
      </w:r>
      <w:r w:rsidRPr="00657DFC">
        <w:rPr>
          <w:rFonts w:ascii="Cambria Math" w:hAnsi="Cambria Math"/>
        </w:rPr>
        <w:br/>
        <w:t>Although still significant, its weight is lower than C1 and C2, indicating that the physical resilience of roads needs attention but does not outweigh the speed of access and road capacity.</w:t>
      </w:r>
    </w:p>
    <w:p w14:paraId="0BFB1C2E" w14:textId="366BE1C5" w:rsidR="00031ABD" w:rsidRPr="00657DFC" w:rsidRDefault="00031ABD" w:rsidP="00031ABD">
      <w:pPr>
        <w:ind w:left="360"/>
        <w:jc w:val="both"/>
        <w:rPr>
          <w:rFonts w:ascii="Cambria Math" w:hAnsi="Cambria Math"/>
        </w:rPr>
      </w:pPr>
      <w:r w:rsidRPr="00657DFC">
        <w:rPr>
          <w:rFonts w:ascii="Cambria Math" w:hAnsi="Cambria Math"/>
        </w:rPr>
        <w:br/>
        <w:t>These results can be a primary focus of RTD planning: ensuring evacuation route accessibility first, followed by increasing road capacity, and then strengthening resilience. This approach will maximize evacuation effectiveness during a crisis by prioritizing speed and smooth access.</w:t>
      </w:r>
      <w:r w:rsidR="00756489">
        <w:rPr>
          <w:rFonts w:ascii="Cambria Math" w:hAnsi="Cambria Math"/>
        </w:rPr>
        <w:t xml:space="preserve"> </w:t>
      </w:r>
      <w:r w:rsidR="00756489">
        <w:rPr>
          <w:rFonts w:ascii="Cambria Math" w:hAnsi="Cambria Math"/>
        </w:rPr>
        <w:fldChar w:fldCharType="begin" w:fldLock="1"/>
      </w:r>
      <w:r w:rsidR="00756489">
        <w:rPr>
          <w:rFonts w:ascii="Cambria Math" w:hAnsi="Cambria Math"/>
        </w:rPr>
        <w:instrText>ADDIN CSL_CITATION {"citationItems":[{"id":"ITEM-1","itemData":{"author":[{"dropping-particle":"","family":"Ebingner","given":"Jane Olga","non-dropping-particle":"","parse-names":false,"suffix":""},{"dropping-particle":"","family":"Vandycke","given":"Nancy","non-dropping-particle":"","parse-names":false,"suffix":""}],"container-title":"The World Bank Group","id":"ITEM-1","issued":{"date-parts":[["2015"]]},"title":"Moving Toward Climate-Resilient Transport The World Bank ’ s Experience from","type":"article-journal"},"uris":["http://www.mendeley.com/documents/?uuid=2a8ae55f-fc16-43a5-833b-5cea4e78753f"]}],"mendeley":{"formattedCitation":"[8]","plainTextFormattedCitation":"[8]","previouslyFormattedCitation":"[8]"},"properties":{"noteIndex":0},"schema":"https://github.com/citation-style-language/schema/raw/master/csl-citation.json"}</w:instrText>
      </w:r>
      <w:r w:rsidR="00756489">
        <w:rPr>
          <w:rFonts w:ascii="Cambria Math" w:hAnsi="Cambria Math"/>
        </w:rPr>
        <w:fldChar w:fldCharType="separate"/>
      </w:r>
      <w:r w:rsidR="00756489" w:rsidRPr="00756489">
        <w:rPr>
          <w:rFonts w:ascii="Cambria Math" w:hAnsi="Cambria Math"/>
          <w:noProof/>
        </w:rPr>
        <w:t xml:space="preserve">[8] </w:t>
      </w:r>
      <w:r w:rsidR="00756489">
        <w:rPr>
          <w:rFonts w:ascii="Cambria Math" w:hAnsi="Cambria Math"/>
        </w:rPr>
        <w:fldChar w:fldCharType="end"/>
      </w:r>
      <w:r w:rsidR="00756489">
        <w:rPr>
          <w:rFonts w:ascii="Cambria Math" w:hAnsi="Cambria Math"/>
        </w:rPr>
        <w:fldChar w:fldCharType="begin" w:fldLock="1"/>
      </w:r>
      <w:r w:rsidR="00756489">
        <w:rPr>
          <w:rFonts w:ascii="Cambria Math" w:hAnsi="Cambria Math"/>
        </w:rPr>
        <w:instrText>ADDIN CSL_CITATION {"citationItems":[{"id":"ITEM-1","itemData":{"id":"ITEM-1","issued":{"date-parts":[["0"]]},"title":"Guide for Planning Mass Evacuations in Disasters","type":"article-journal"},"uris":["http://www.mendeley.com/documents/?uuid=1ec7d952-0c00-4222-bb8f-96b91c92e4d6"]}],"mendeley":{"formattedCitation":"[9]","plainTextFormattedCitation":"[9]"},"properties":{"noteIndex":0},"schema":"https://github.com/citation-style-language/schema/raw/master/csl-citation.json"}</w:instrText>
      </w:r>
      <w:r w:rsidR="00756489">
        <w:rPr>
          <w:rFonts w:ascii="Cambria Math" w:hAnsi="Cambria Math"/>
        </w:rPr>
        <w:fldChar w:fldCharType="separate"/>
      </w:r>
      <w:r w:rsidR="00756489" w:rsidRPr="00756489">
        <w:rPr>
          <w:rFonts w:ascii="Cambria Math" w:hAnsi="Cambria Math"/>
          <w:noProof/>
        </w:rPr>
        <w:t>[9]</w:t>
      </w:r>
      <w:r w:rsidR="00756489">
        <w:rPr>
          <w:rFonts w:ascii="Cambria Math" w:hAnsi="Cambria Math"/>
        </w:rPr>
        <w:fldChar w:fldCharType="end"/>
      </w:r>
    </w:p>
    <w:p w14:paraId="3892B215" w14:textId="77777777" w:rsidR="00657DFC" w:rsidRPr="00657DFC" w:rsidRDefault="00657DFC" w:rsidP="009008DB">
      <w:pPr>
        <w:jc w:val="both"/>
        <w:rPr>
          <w:rFonts w:ascii="Cambria Math" w:hAnsi="Cambria Math"/>
          <w:b/>
          <w:bCs/>
        </w:rPr>
      </w:pPr>
    </w:p>
    <w:p w14:paraId="0BDEBCDC" w14:textId="77777777" w:rsidR="00031ABD" w:rsidRPr="00657DFC" w:rsidRDefault="00031ABD" w:rsidP="00031ABD">
      <w:pPr>
        <w:ind w:firstLine="426"/>
        <w:jc w:val="both"/>
        <w:rPr>
          <w:rFonts w:ascii="Cambria Math" w:hAnsi="Cambria Math"/>
          <w:b/>
          <w:bCs/>
        </w:rPr>
      </w:pPr>
      <w:r w:rsidRPr="00657DFC">
        <w:rPr>
          <w:rFonts w:ascii="Cambria Math" w:hAnsi="Cambria Math"/>
          <w:b/>
          <w:bCs/>
        </w:rPr>
        <w:t>3.2 Criteria Weight Analysis</w:t>
      </w:r>
    </w:p>
    <w:p w14:paraId="7AFFFE5D" w14:textId="77777777" w:rsidR="00031ABD" w:rsidRPr="00657DFC" w:rsidRDefault="00031ABD" w:rsidP="00031ABD">
      <w:pPr>
        <w:ind w:firstLine="426"/>
        <w:jc w:val="both"/>
        <w:rPr>
          <w:rFonts w:ascii="Cambria Math" w:hAnsi="Cambria Math"/>
        </w:rPr>
      </w:pPr>
      <w:r w:rsidRPr="00657DFC">
        <w:rPr>
          <w:rFonts w:ascii="Cambria Math" w:hAnsi="Cambria Math"/>
        </w:rPr>
        <w:t xml:space="preserve">A criteria weighting analysis was conducted to determine the importance of each criterion in determining the optimal evacuation route. This study used three main criteria: Accessibility (C1), Road Capacity (C2), and Physical Infrastructure Resilience </w:t>
      </w:r>
      <w:r w:rsidRPr="00657DFC">
        <w:rPr>
          <w:rFonts w:ascii="Cambria Math" w:hAnsi="Cambria Math"/>
        </w:rPr>
        <w:lastRenderedPageBreak/>
        <w:t>(C3). Data were obtained through a paired comparison questionnaire completed by the 80 expert respondents mentioned above.</w:t>
      </w:r>
    </w:p>
    <w:p w14:paraId="49CE29B3" w14:textId="77777777" w:rsidR="00031ABD" w:rsidRPr="00657DFC" w:rsidRDefault="00031ABD" w:rsidP="00031ABD">
      <w:pPr>
        <w:jc w:val="both"/>
        <w:rPr>
          <w:rFonts w:ascii="Cambria Math" w:hAnsi="Cambria Math"/>
        </w:rPr>
      </w:pPr>
      <w:r w:rsidRPr="00657DFC">
        <w:rPr>
          <w:rFonts w:ascii="Cambria Math" w:hAnsi="Cambria Math"/>
        </w:rPr>
        <w:t>The pairwise comparison matrix from each respondent was then averaged and normalized to obtain priority weights (eigenvectors) using the AHP method. The results of the data processing are presented in Table 3.1.</w:t>
      </w:r>
    </w:p>
    <w:p w14:paraId="052291DF" w14:textId="77777777" w:rsidR="00031ABD" w:rsidRPr="00657DFC" w:rsidRDefault="00031ABD" w:rsidP="00031ABD">
      <w:pPr>
        <w:jc w:val="center"/>
        <w:rPr>
          <w:rFonts w:ascii="Cambria Math" w:hAnsi="Cambria Math"/>
          <w:b/>
          <w:bCs/>
        </w:rPr>
      </w:pPr>
      <w:r w:rsidRPr="00657DFC">
        <w:rPr>
          <w:rFonts w:ascii="Cambria Math" w:hAnsi="Cambria Math"/>
          <w:b/>
          <w:bCs/>
          <w:sz w:val="20"/>
          <w:szCs w:val="20"/>
        </w:rPr>
        <w:t xml:space="preserve">Table 3.1 Evacuation Route Criteria Weighting (AHP Results </w:t>
      </w:r>
      <w:r w:rsidRPr="00657DFC">
        <w:rPr>
          <w:rFonts w:ascii="Cambria Math" w:hAnsi="Cambria Math"/>
          <w:b/>
          <w:bCs/>
        </w:rPr>
        <w:t>)</w:t>
      </w:r>
    </w:p>
    <w:tbl>
      <w:tblPr>
        <w:tblW w:w="0" w:type="auto"/>
        <w:jc w:val="center"/>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595"/>
        <w:gridCol w:w="798"/>
      </w:tblGrid>
      <w:tr w:rsidR="00031ABD" w:rsidRPr="00657DFC" w14:paraId="13C984F0" w14:textId="77777777" w:rsidTr="00D67E1A">
        <w:trPr>
          <w:tblCellSpacing w:w="15" w:type="dxa"/>
          <w:jc w:val="center"/>
        </w:trPr>
        <w:tc>
          <w:tcPr>
            <w:tcW w:w="0" w:type="auto"/>
            <w:vAlign w:val="center"/>
            <w:hideMark/>
          </w:tcPr>
          <w:p w14:paraId="1A42C353" w14:textId="77777777" w:rsidR="00031ABD" w:rsidRPr="00657DFC" w:rsidRDefault="00031ABD" w:rsidP="00D67E1A">
            <w:pPr>
              <w:jc w:val="both"/>
              <w:rPr>
                <w:rFonts w:ascii="Cambria Math" w:hAnsi="Cambria Math"/>
                <w:b/>
                <w:bCs/>
              </w:rPr>
            </w:pPr>
            <w:r w:rsidRPr="00657DFC">
              <w:rPr>
                <w:rFonts w:ascii="Cambria Math" w:hAnsi="Cambria Math"/>
                <w:b/>
                <w:bCs/>
              </w:rPr>
              <w:t>Criteria</w:t>
            </w:r>
          </w:p>
        </w:tc>
        <w:tc>
          <w:tcPr>
            <w:tcW w:w="0" w:type="auto"/>
            <w:vAlign w:val="center"/>
            <w:hideMark/>
          </w:tcPr>
          <w:p w14:paraId="0E4BFA2F" w14:textId="77777777" w:rsidR="00031ABD" w:rsidRPr="00657DFC" w:rsidRDefault="00031ABD" w:rsidP="00D67E1A">
            <w:pPr>
              <w:jc w:val="both"/>
              <w:rPr>
                <w:rFonts w:ascii="Cambria Math" w:hAnsi="Cambria Math"/>
                <w:b/>
                <w:bCs/>
              </w:rPr>
            </w:pPr>
            <w:r w:rsidRPr="00657DFC">
              <w:rPr>
                <w:rFonts w:ascii="Cambria Math" w:hAnsi="Cambria Math"/>
                <w:b/>
                <w:bCs/>
              </w:rPr>
              <w:t>Weight</w:t>
            </w:r>
          </w:p>
        </w:tc>
      </w:tr>
      <w:tr w:rsidR="00031ABD" w:rsidRPr="00657DFC" w14:paraId="730DA6EC" w14:textId="77777777" w:rsidTr="00D67E1A">
        <w:trPr>
          <w:tblCellSpacing w:w="15" w:type="dxa"/>
          <w:jc w:val="center"/>
        </w:trPr>
        <w:tc>
          <w:tcPr>
            <w:tcW w:w="0" w:type="auto"/>
            <w:vAlign w:val="center"/>
            <w:hideMark/>
          </w:tcPr>
          <w:p w14:paraId="34FDB6F1" w14:textId="77777777" w:rsidR="00031ABD" w:rsidRPr="00657DFC" w:rsidRDefault="00031ABD" w:rsidP="00D67E1A">
            <w:pPr>
              <w:jc w:val="both"/>
              <w:rPr>
                <w:rFonts w:ascii="Cambria Math" w:hAnsi="Cambria Math"/>
              </w:rPr>
            </w:pPr>
            <w:r w:rsidRPr="00657DFC">
              <w:rPr>
                <w:rFonts w:ascii="Cambria Math" w:hAnsi="Cambria Math"/>
              </w:rPr>
              <w:t>Accessibility (C1)</w:t>
            </w:r>
          </w:p>
        </w:tc>
        <w:tc>
          <w:tcPr>
            <w:tcW w:w="0" w:type="auto"/>
            <w:vAlign w:val="center"/>
            <w:hideMark/>
          </w:tcPr>
          <w:p w14:paraId="04600788" w14:textId="77777777" w:rsidR="00031ABD" w:rsidRPr="00657DFC" w:rsidRDefault="00031ABD" w:rsidP="00D67E1A">
            <w:pPr>
              <w:jc w:val="both"/>
              <w:rPr>
                <w:rFonts w:ascii="Cambria Math" w:hAnsi="Cambria Math"/>
              </w:rPr>
            </w:pPr>
            <w:r w:rsidRPr="00657DFC">
              <w:rPr>
                <w:rFonts w:ascii="Cambria Math" w:hAnsi="Cambria Math"/>
              </w:rPr>
              <w:t>0.45</w:t>
            </w:r>
          </w:p>
        </w:tc>
      </w:tr>
      <w:tr w:rsidR="00031ABD" w:rsidRPr="00657DFC" w14:paraId="4FA55E26" w14:textId="77777777" w:rsidTr="00D67E1A">
        <w:trPr>
          <w:tblCellSpacing w:w="15" w:type="dxa"/>
          <w:jc w:val="center"/>
        </w:trPr>
        <w:tc>
          <w:tcPr>
            <w:tcW w:w="0" w:type="auto"/>
            <w:vAlign w:val="center"/>
            <w:hideMark/>
          </w:tcPr>
          <w:p w14:paraId="6DC9A69D" w14:textId="77777777" w:rsidR="00031ABD" w:rsidRPr="00657DFC" w:rsidRDefault="00031ABD" w:rsidP="00D67E1A">
            <w:pPr>
              <w:jc w:val="both"/>
              <w:rPr>
                <w:rFonts w:ascii="Cambria Math" w:hAnsi="Cambria Math"/>
              </w:rPr>
            </w:pPr>
            <w:r w:rsidRPr="00657DFC">
              <w:rPr>
                <w:rFonts w:ascii="Cambria Math" w:hAnsi="Cambria Math"/>
              </w:rPr>
              <w:t>Road Capacity (C2)</w:t>
            </w:r>
          </w:p>
        </w:tc>
        <w:tc>
          <w:tcPr>
            <w:tcW w:w="0" w:type="auto"/>
            <w:vAlign w:val="center"/>
            <w:hideMark/>
          </w:tcPr>
          <w:p w14:paraId="6C09D10A" w14:textId="77777777" w:rsidR="00031ABD" w:rsidRPr="00657DFC" w:rsidRDefault="00031ABD" w:rsidP="00D67E1A">
            <w:pPr>
              <w:jc w:val="both"/>
              <w:rPr>
                <w:rFonts w:ascii="Cambria Math" w:hAnsi="Cambria Math"/>
              </w:rPr>
            </w:pPr>
            <w:r w:rsidRPr="00657DFC">
              <w:rPr>
                <w:rFonts w:ascii="Cambria Math" w:hAnsi="Cambria Math"/>
              </w:rPr>
              <w:t>0.30</w:t>
            </w:r>
          </w:p>
        </w:tc>
      </w:tr>
      <w:tr w:rsidR="00031ABD" w:rsidRPr="00657DFC" w14:paraId="45AA8DEE" w14:textId="77777777" w:rsidTr="00D67E1A">
        <w:trPr>
          <w:tblCellSpacing w:w="15" w:type="dxa"/>
          <w:jc w:val="center"/>
        </w:trPr>
        <w:tc>
          <w:tcPr>
            <w:tcW w:w="0" w:type="auto"/>
            <w:vAlign w:val="center"/>
            <w:hideMark/>
          </w:tcPr>
          <w:p w14:paraId="1619B8D7" w14:textId="77777777" w:rsidR="00031ABD" w:rsidRPr="00657DFC" w:rsidRDefault="00031ABD" w:rsidP="00D67E1A">
            <w:pPr>
              <w:jc w:val="both"/>
              <w:rPr>
                <w:rFonts w:ascii="Cambria Math" w:hAnsi="Cambria Math"/>
              </w:rPr>
            </w:pPr>
            <w:r w:rsidRPr="00657DFC">
              <w:rPr>
                <w:rFonts w:ascii="Cambria Math" w:hAnsi="Cambria Math"/>
              </w:rPr>
              <w:t>Physical Endurance (C3)</w:t>
            </w:r>
          </w:p>
        </w:tc>
        <w:tc>
          <w:tcPr>
            <w:tcW w:w="0" w:type="auto"/>
            <w:vAlign w:val="center"/>
            <w:hideMark/>
          </w:tcPr>
          <w:p w14:paraId="73D4CC32" w14:textId="77777777" w:rsidR="00031ABD" w:rsidRPr="00657DFC" w:rsidRDefault="00031ABD" w:rsidP="00D67E1A">
            <w:pPr>
              <w:jc w:val="both"/>
              <w:rPr>
                <w:rFonts w:ascii="Cambria Math" w:hAnsi="Cambria Math"/>
              </w:rPr>
            </w:pPr>
            <w:r w:rsidRPr="00657DFC">
              <w:rPr>
                <w:rFonts w:ascii="Cambria Math" w:hAnsi="Cambria Math"/>
              </w:rPr>
              <w:t>0.25</w:t>
            </w:r>
          </w:p>
        </w:tc>
      </w:tr>
    </w:tbl>
    <w:p w14:paraId="3B13AF5D" w14:textId="77777777" w:rsidR="00031ABD" w:rsidRPr="00657DFC" w:rsidRDefault="00031ABD" w:rsidP="00031ABD">
      <w:pPr>
        <w:spacing w:before="240"/>
        <w:ind w:firstLine="720"/>
        <w:jc w:val="both"/>
        <w:rPr>
          <w:rFonts w:ascii="Cambria Math" w:hAnsi="Cambria Math"/>
        </w:rPr>
      </w:pPr>
      <w:r w:rsidRPr="00657DFC">
        <w:rPr>
          <w:rFonts w:ascii="Cambria Math" w:hAnsi="Cambria Math"/>
        </w:rPr>
        <w:t>The table above shows that accessibility is the criterion with the highest weighting, at 0.45. This indicates that ease of access from residential areas to evacuation points is considered the most important in the context of disaster preparedness due to the potential collapse of the Sepaku Semoi Dam. Road capacity ranks second with a weighting of 0.30, indicating that the road's ability to accommodate the volume of evacuation vehicles is also a significant consideration. Meanwhile, the physical resilience of road infrastructure received a weighting of 0.25, reflecting attention to the quality of road structures against flooding, landslides, and damage during disasters.</w:t>
      </w:r>
    </w:p>
    <w:p w14:paraId="124EEB7B" w14:textId="2D77BE96" w:rsidR="00096E2B" w:rsidRPr="00096E2B" w:rsidRDefault="00031ABD" w:rsidP="00096E2B">
      <w:pPr>
        <w:ind w:firstLine="720"/>
        <w:jc w:val="both"/>
        <w:rPr>
          <w:rFonts w:ascii="Cambria Math" w:hAnsi="Cambria Math"/>
        </w:rPr>
      </w:pPr>
      <w:r w:rsidRPr="00657DFC">
        <w:rPr>
          <w:rFonts w:ascii="Cambria Math" w:hAnsi="Cambria Math"/>
        </w:rPr>
        <w:t xml:space="preserve">The consistency value of the AHP assessment shows a Consistency Ratio (CR) of 0.069, which means it is consistent (&lt;0.1) and methodologically acceptable </w:t>
      </w:r>
      <w:r w:rsidR="005A5599">
        <w:rPr>
          <w:rFonts w:ascii="Cambria Math" w:hAnsi="Cambria Math"/>
        </w:rPr>
        <w:fldChar w:fldCharType="begin" w:fldLock="1"/>
      </w:r>
      <w:r w:rsidR="00096E2B">
        <w:rPr>
          <w:rFonts w:ascii="Cambria Math" w:hAnsi="Cambria Math"/>
        </w:rPr>
        <w:instrText>ADDIN CSL_CITATION {"citationItems":[{"id":"ITEM-1","itemData":{"DOI":"10.1504/ijssci.2008.017590","ISSN":"10263098","abstract":"In this paper, an introduction is given to the decision-making theory, the Analytic Hierarchy Process (AHP). In the AHP, a decision hierarchy is constructed with a goal, criteria and alternatives. The criteria are pairwise compared for their importance with respect to the goal to derive a scale of relative importance and the alternatives are pairwise compared with respect to each criterion to derive relative scales. The relative scales are synthesized using a weighting and adding process to show which is the best alternative. Judgment is used to make the pairwise comparisons. Data can also be used directly in the pairwise comparisons if there is no need to assess or interpret the value represented by the numbers. This process works well for intangibles with no existing scales of measurement. Even when measurement scales and data using these scales exist, it is often advantageous to use judgment to interpret it. Two concepts integral to the AHP, measurement and consistency, are explained. Finally, the ideas and the method are illustrated through an example.","author":[{"dropping-particle":"","family":"Saaty","given":"T. L.","non-dropping-particle":"","parse-names":false,"suffix":""}],"container-title":"Scientia Iranica","id":"ITEM-1","issue":"3","issued":{"date-parts":[["2002"]]},"page":"215-229","title":"Decision making with the Analytic Hierarchy Process","type":"article-journal","volume":"9"},"uris":["http://www.mendeley.com/documents/?uuid=4db69d5c-296a-4088-92b7-6ccbce74aeaf"]}],"mendeley":{"formattedCitation":"[6]","plainTextFormattedCitation":"[6]","previouslyFormattedCitation":"[6]"},"properties":{"noteIndex":0},"schema":"https://github.com/citation-style-language/schema/raw/master/csl-citation.json"}</w:instrText>
      </w:r>
      <w:r w:rsidR="005A5599">
        <w:rPr>
          <w:rFonts w:ascii="Cambria Math" w:hAnsi="Cambria Math"/>
        </w:rPr>
        <w:fldChar w:fldCharType="separate"/>
      </w:r>
      <w:r w:rsidR="005A5599" w:rsidRPr="005A5599">
        <w:rPr>
          <w:rFonts w:ascii="Cambria Math" w:hAnsi="Cambria Math"/>
          <w:noProof/>
        </w:rPr>
        <w:t xml:space="preserve">[6] </w:t>
      </w:r>
      <w:r w:rsidR="005A5599">
        <w:rPr>
          <w:rFonts w:ascii="Cambria Math" w:hAnsi="Cambria Math"/>
        </w:rPr>
        <w:fldChar w:fldCharType="end"/>
      </w:r>
      <w:r w:rsidRPr="00657DFC">
        <w:rPr>
          <w:rFonts w:ascii="Cambria Math" w:hAnsi="Cambria Math"/>
        </w:rPr>
        <w:t xml:space="preserve">. This consistency ensures that the resulting weighting and ranking are valid to support decisions in determining evacuation routes </w:t>
      </w:r>
      <w:r w:rsidR="00096E2B">
        <w:rPr>
          <w:rFonts w:ascii="Cambria Math" w:hAnsi="Cambria Math"/>
        </w:rPr>
        <w:fldChar w:fldCharType="begin" w:fldLock="1"/>
      </w:r>
      <w:r w:rsidR="00756489">
        <w:rPr>
          <w:rFonts w:ascii="Cambria Math" w:hAnsi="Cambria Math"/>
        </w:rPr>
        <w:instrText>ADDIN CSL_CITATION {"citationItems":[{"id":"ITEM-1","itemData":{"DOI":"10.3390/s100301823","ISSN":"14248220","PMID":"22294902","abstract":"An overview on high-resolution and fast interrogation of optical-fiber sensors relying on laser reflection spectroscopy is given. Fiber Bragg-gratings (FBGs) and FBG resonators built in fibers of different types are used for strain, temperature and acceleration measurements using heterodyne-detection and optical frequency-locking techniques. Silica fiber-ring cavities are used for chemical sensing based on evanescent-wave spectroscopy. Various arrangements for signal recovery and noise reduction, as an extension of most typical spectroscopic techniques, are illustrated and results on detection performances are presented. © 2010 by the authors.","author":[{"dropping-particle":"","family":"Gagliardi","given":"Gianluca","non-dropping-particle":"","parse-names":false,"suffix":""},{"dropping-particle":"","family":"Salza","given":"Mario","non-dropping-particle":"","parse-names":false,"suffix":""},{"dropping-particle":"","family":"Ferraro","given":"Pietro","non-dropping-particle":"","parse-names":false,"suffix":""},{"dropping-particle":"","family":"Chehura","given":"Edmond","non-dropping-particle":"","parse-names":false,"suffix":""},{"dropping-particle":"","family":"Tatam","given":"Ralph P.","non-dropping-particle":"","parse-names":false,"suffix":""},{"dropping-particle":"","family":"Gangopadhyay","given":"Tarun K.","non-dropping-particle":"","parse-names":false,"suffix":""},{"dropping-particle":"","family":"Ballard","given":"Nicholas","non-dropping-particle":"","parse-names":false,"suffix":""},{"dropping-particle":"","family":"Paz-Soldan","given":"Daniel","non-dropping-particle":"","parse-names":false,"suffix":""},{"dropping-particle":"","family":"Barnes","given":"Jack A.","non-dropping-particle":"","parse-names":false,"suffix":""},{"dropping-particle":"","family":"Loock","given":"Hans Peter","non-dropping-particle":"","parse-names":false,"suffix":""},{"dropping-particle":"","family":"Lam","given":"Timothy T.Y.","non-dropping-particle":"","parse-names":false,"suffix":""},{"dropping-particle":"","family":"Chow","given":"Jong H.","non-dropping-particle":"","parse-names":false,"suffix":""},{"dropping-particle":"","family":"Natale","given":"Paolo","non-dropping-particle":"de","parse-names":false,"suffix":""}],"container-title":"Sensors","id":"ITEM-1","issue":"3","issued":{"date-parts":[["2010"]]},"page":"1823-1845","title":"Optical fiber sensing based on reflection laser spectroscopy","type":"article-journal","volume":"10"},"uris":["http://www.mendeley.com/documents/?uuid=9ffbc055-42c5-4095-81d7-6fd2fae5b3e2"]}],"mendeley":{"formattedCitation":"[10]","plainTextFormattedCitation":"[10]","previouslyFormattedCitation":"[9]"},"properties":{"noteIndex":0},"schema":"https://github.com/citation-style-language/schema/raw/master/csl-citation.json"}</w:instrText>
      </w:r>
      <w:r w:rsidR="00096E2B">
        <w:rPr>
          <w:rFonts w:ascii="Cambria Math" w:hAnsi="Cambria Math"/>
        </w:rPr>
        <w:fldChar w:fldCharType="separate"/>
      </w:r>
      <w:r w:rsidR="00756489" w:rsidRPr="00756489">
        <w:rPr>
          <w:rFonts w:ascii="Cambria Math" w:hAnsi="Cambria Math"/>
          <w:noProof/>
        </w:rPr>
        <w:t>[10].</w:t>
      </w:r>
      <w:r w:rsidR="00096E2B">
        <w:rPr>
          <w:rFonts w:ascii="Cambria Math" w:hAnsi="Cambria Math"/>
        </w:rPr>
        <w:fldChar w:fldCharType="end"/>
      </w:r>
    </w:p>
    <w:p w14:paraId="696017AA" w14:textId="78AC9324" w:rsidR="00031ABD" w:rsidRPr="00657DFC" w:rsidRDefault="00031ABD" w:rsidP="00031ABD">
      <w:pPr>
        <w:ind w:firstLine="720"/>
        <w:jc w:val="both"/>
        <w:rPr>
          <w:rFonts w:ascii="Cambria Math" w:hAnsi="Cambria Math"/>
        </w:rPr>
      </w:pPr>
    </w:p>
    <w:p w14:paraId="2678D077" w14:textId="77777777" w:rsidR="00031ABD" w:rsidRPr="00657DFC" w:rsidRDefault="00031ABD" w:rsidP="00031ABD">
      <w:pPr>
        <w:jc w:val="both"/>
        <w:rPr>
          <w:rFonts w:ascii="Cambria Math" w:hAnsi="Cambria Math"/>
          <w:b/>
          <w:bCs/>
        </w:rPr>
      </w:pPr>
      <w:r w:rsidRPr="00657DFC">
        <w:rPr>
          <w:rFonts w:ascii="Cambria Math" w:hAnsi="Cambria Math"/>
          <w:b/>
          <w:bCs/>
        </w:rPr>
        <w:t>3.2 Evacuation Route Score Evaluation</w:t>
      </w:r>
    </w:p>
    <w:p w14:paraId="03E23ACD" w14:textId="77777777" w:rsidR="00031ABD" w:rsidRPr="00657DFC" w:rsidRDefault="00031ABD" w:rsidP="00031ABD">
      <w:pPr>
        <w:ind w:firstLine="720"/>
        <w:jc w:val="both"/>
        <w:rPr>
          <w:rFonts w:ascii="Cambria Math" w:hAnsi="Cambria Math"/>
        </w:rPr>
      </w:pPr>
      <w:r w:rsidRPr="00657DFC">
        <w:rPr>
          <w:rFonts w:ascii="Cambria Math" w:hAnsi="Cambria Math"/>
        </w:rPr>
        <w:t>The following table presents the scores of alternative evacuation routes against each criterion based on the results of the adjusted AHP survey.</w:t>
      </w:r>
    </w:p>
    <w:p w14:paraId="18F68E96" w14:textId="77777777" w:rsidR="00031ABD" w:rsidRPr="00657DFC" w:rsidRDefault="00031ABD" w:rsidP="00031ABD">
      <w:pPr>
        <w:rPr>
          <w:rFonts w:ascii="Cambria Math" w:hAnsi="Cambria Math"/>
          <w:b/>
          <w:bCs/>
          <w:sz w:val="20"/>
          <w:szCs w:val="20"/>
        </w:rPr>
      </w:pPr>
    </w:p>
    <w:p w14:paraId="0DB4466F" w14:textId="77777777" w:rsidR="00657DFC" w:rsidRDefault="00657DFC" w:rsidP="00031ABD">
      <w:pPr>
        <w:rPr>
          <w:rFonts w:ascii="Cambria Math" w:hAnsi="Cambria Math"/>
          <w:b/>
          <w:bCs/>
          <w:sz w:val="20"/>
          <w:szCs w:val="20"/>
        </w:rPr>
      </w:pPr>
    </w:p>
    <w:p w14:paraId="56B4DD0A" w14:textId="77777777" w:rsidR="009008DB" w:rsidRDefault="009008DB" w:rsidP="00031ABD">
      <w:pPr>
        <w:rPr>
          <w:rFonts w:ascii="Cambria Math" w:hAnsi="Cambria Math"/>
          <w:b/>
          <w:bCs/>
          <w:sz w:val="20"/>
          <w:szCs w:val="20"/>
        </w:rPr>
      </w:pPr>
    </w:p>
    <w:p w14:paraId="0F1D48FA" w14:textId="77777777" w:rsidR="009008DB" w:rsidRDefault="009008DB" w:rsidP="00031ABD">
      <w:pPr>
        <w:rPr>
          <w:rFonts w:ascii="Cambria Math" w:hAnsi="Cambria Math"/>
          <w:b/>
          <w:bCs/>
          <w:sz w:val="20"/>
          <w:szCs w:val="20"/>
        </w:rPr>
      </w:pPr>
    </w:p>
    <w:p w14:paraId="236AF702" w14:textId="77777777" w:rsidR="009008DB" w:rsidRDefault="009008DB" w:rsidP="00031ABD">
      <w:pPr>
        <w:rPr>
          <w:rFonts w:ascii="Cambria Math" w:hAnsi="Cambria Math"/>
          <w:b/>
          <w:bCs/>
          <w:sz w:val="20"/>
          <w:szCs w:val="20"/>
        </w:rPr>
      </w:pPr>
    </w:p>
    <w:p w14:paraId="6DD103CD" w14:textId="77777777" w:rsidR="009008DB" w:rsidRPr="00657DFC" w:rsidRDefault="009008DB" w:rsidP="00031ABD">
      <w:pPr>
        <w:rPr>
          <w:rFonts w:ascii="Cambria Math" w:hAnsi="Cambria Math"/>
          <w:b/>
          <w:bCs/>
          <w:sz w:val="20"/>
          <w:szCs w:val="20"/>
        </w:rPr>
      </w:pPr>
    </w:p>
    <w:p w14:paraId="63068884" w14:textId="77777777" w:rsidR="00657DFC" w:rsidRPr="00657DFC" w:rsidRDefault="00657DFC" w:rsidP="00031ABD">
      <w:pPr>
        <w:rPr>
          <w:rFonts w:ascii="Cambria Math" w:hAnsi="Cambria Math"/>
          <w:b/>
          <w:bCs/>
          <w:sz w:val="20"/>
          <w:szCs w:val="20"/>
        </w:rPr>
      </w:pPr>
    </w:p>
    <w:p w14:paraId="45C8C83D" w14:textId="77777777" w:rsidR="00031ABD" w:rsidRPr="00657DFC" w:rsidRDefault="00031ABD" w:rsidP="00031ABD">
      <w:pPr>
        <w:jc w:val="center"/>
        <w:rPr>
          <w:rFonts w:ascii="Cambria Math" w:hAnsi="Cambria Math"/>
          <w:b/>
          <w:bCs/>
          <w:sz w:val="20"/>
          <w:szCs w:val="20"/>
        </w:rPr>
      </w:pPr>
      <w:r w:rsidRPr="00657DFC">
        <w:rPr>
          <w:rFonts w:ascii="Cambria Math" w:hAnsi="Cambria Math"/>
          <w:b/>
          <w:bCs/>
          <w:sz w:val="20"/>
          <w:szCs w:val="20"/>
        </w:rPr>
        <w:lastRenderedPageBreak/>
        <w:t>Table 3.2 Alternative Evacuation Route Scores for Each Criteria</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832"/>
        <w:gridCol w:w="1028"/>
        <w:gridCol w:w="1028"/>
        <w:gridCol w:w="1028"/>
        <w:gridCol w:w="1311"/>
      </w:tblGrid>
      <w:tr w:rsidR="00031ABD" w:rsidRPr="00657DFC" w14:paraId="6167BE07" w14:textId="77777777" w:rsidTr="00D67E1A">
        <w:trPr>
          <w:tblCellSpacing w:w="15" w:type="dxa"/>
          <w:jc w:val="center"/>
        </w:trPr>
        <w:tc>
          <w:tcPr>
            <w:tcW w:w="2787" w:type="dxa"/>
            <w:vAlign w:val="center"/>
            <w:hideMark/>
          </w:tcPr>
          <w:p w14:paraId="42B6AB65" w14:textId="77777777" w:rsidR="00031ABD" w:rsidRPr="00657DFC" w:rsidRDefault="00031ABD" w:rsidP="00D67E1A">
            <w:pPr>
              <w:spacing w:after="0"/>
              <w:jc w:val="both"/>
              <w:rPr>
                <w:rFonts w:ascii="Cambria Math" w:hAnsi="Cambria Math"/>
              </w:rPr>
            </w:pPr>
            <w:bookmarkStart w:id="1" w:name="_Hlk203598732"/>
            <w:r w:rsidRPr="00657DFC">
              <w:rPr>
                <w:rFonts w:ascii="Cambria Math" w:hAnsi="Cambria Math"/>
              </w:rPr>
              <w:t>Evacuation Route</w:t>
            </w:r>
          </w:p>
        </w:tc>
        <w:tc>
          <w:tcPr>
            <w:tcW w:w="0" w:type="auto"/>
            <w:vAlign w:val="center"/>
            <w:hideMark/>
          </w:tcPr>
          <w:p w14:paraId="74DA165C" w14:textId="77777777" w:rsidR="00031ABD" w:rsidRPr="00657DFC" w:rsidRDefault="00031ABD" w:rsidP="00D67E1A">
            <w:pPr>
              <w:spacing w:after="0"/>
              <w:jc w:val="center"/>
              <w:rPr>
                <w:rFonts w:ascii="Cambria Math" w:hAnsi="Cambria Math"/>
              </w:rPr>
            </w:pPr>
            <w:r w:rsidRPr="00657DFC">
              <w:rPr>
                <w:rFonts w:ascii="Cambria Math" w:hAnsi="Cambria Math"/>
              </w:rPr>
              <w:t>C1 (0.45)</w:t>
            </w:r>
          </w:p>
        </w:tc>
        <w:tc>
          <w:tcPr>
            <w:tcW w:w="0" w:type="auto"/>
            <w:vAlign w:val="center"/>
            <w:hideMark/>
          </w:tcPr>
          <w:p w14:paraId="6D98AB00" w14:textId="77777777" w:rsidR="00031ABD" w:rsidRPr="00657DFC" w:rsidRDefault="00031ABD" w:rsidP="00D67E1A">
            <w:pPr>
              <w:spacing w:after="0"/>
              <w:jc w:val="center"/>
              <w:rPr>
                <w:rFonts w:ascii="Cambria Math" w:hAnsi="Cambria Math"/>
              </w:rPr>
            </w:pPr>
            <w:r w:rsidRPr="00657DFC">
              <w:rPr>
                <w:rFonts w:ascii="Cambria Math" w:hAnsi="Cambria Math"/>
              </w:rPr>
              <w:t>C2 (0.30)</w:t>
            </w:r>
          </w:p>
        </w:tc>
        <w:tc>
          <w:tcPr>
            <w:tcW w:w="0" w:type="auto"/>
            <w:vAlign w:val="center"/>
            <w:hideMark/>
          </w:tcPr>
          <w:p w14:paraId="14E50847" w14:textId="77777777" w:rsidR="00031ABD" w:rsidRPr="00657DFC" w:rsidRDefault="00031ABD" w:rsidP="00D67E1A">
            <w:pPr>
              <w:spacing w:after="0"/>
              <w:jc w:val="center"/>
              <w:rPr>
                <w:rFonts w:ascii="Cambria Math" w:hAnsi="Cambria Math"/>
              </w:rPr>
            </w:pPr>
            <w:r w:rsidRPr="00657DFC">
              <w:rPr>
                <w:rFonts w:ascii="Cambria Math" w:hAnsi="Cambria Math"/>
              </w:rPr>
              <w:t>C3 (0.25)</w:t>
            </w:r>
          </w:p>
        </w:tc>
        <w:tc>
          <w:tcPr>
            <w:tcW w:w="1266" w:type="dxa"/>
            <w:vAlign w:val="center"/>
            <w:hideMark/>
          </w:tcPr>
          <w:p w14:paraId="317B4736" w14:textId="77777777" w:rsidR="00031ABD" w:rsidRPr="00657DFC" w:rsidRDefault="00031ABD" w:rsidP="00D67E1A">
            <w:pPr>
              <w:spacing w:after="0"/>
              <w:jc w:val="center"/>
              <w:rPr>
                <w:rFonts w:ascii="Cambria Math" w:hAnsi="Cambria Math"/>
              </w:rPr>
            </w:pPr>
            <w:r w:rsidRPr="00657DFC">
              <w:rPr>
                <w:rFonts w:ascii="Cambria Math" w:hAnsi="Cambria Math"/>
              </w:rPr>
              <w:t>Global Score</w:t>
            </w:r>
          </w:p>
        </w:tc>
      </w:tr>
      <w:tr w:rsidR="00031ABD" w:rsidRPr="00657DFC" w14:paraId="359042EA" w14:textId="77777777" w:rsidTr="00D67E1A">
        <w:trPr>
          <w:tblCellSpacing w:w="15" w:type="dxa"/>
          <w:jc w:val="center"/>
        </w:trPr>
        <w:tc>
          <w:tcPr>
            <w:tcW w:w="2787" w:type="dxa"/>
            <w:vAlign w:val="center"/>
            <w:hideMark/>
          </w:tcPr>
          <w:p w14:paraId="63F20375" w14:textId="77777777" w:rsidR="00031ABD" w:rsidRPr="00657DFC" w:rsidRDefault="00031ABD" w:rsidP="00D67E1A">
            <w:pPr>
              <w:spacing w:after="0"/>
              <w:rPr>
                <w:rFonts w:ascii="Cambria Math" w:hAnsi="Cambria Math"/>
              </w:rPr>
            </w:pPr>
            <w:r w:rsidRPr="00657DFC">
              <w:rPr>
                <w:rFonts w:ascii="Cambria Math" w:hAnsi="Cambria Math"/>
              </w:rPr>
              <w:t>A1 – Silkar–Bukit Raya–Petung</w:t>
            </w:r>
          </w:p>
        </w:tc>
        <w:tc>
          <w:tcPr>
            <w:tcW w:w="0" w:type="auto"/>
            <w:vAlign w:val="center"/>
            <w:hideMark/>
          </w:tcPr>
          <w:p w14:paraId="567B9571" w14:textId="77777777" w:rsidR="00031ABD" w:rsidRPr="00657DFC" w:rsidRDefault="00031ABD" w:rsidP="00D67E1A">
            <w:pPr>
              <w:spacing w:after="0"/>
              <w:jc w:val="center"/>
              <w:rPr>
                <w:rFonts w:ascii="Cambria Math" w:hAnsi="Cambria Math"/>
              </w:rPr>
            </w:pPr>
            <w:r w:rsidRPr="00657DFC">
              <w:rPr>
                <w:rFonts w:ascii="Cambria Math" w:hAnsi="Cambria Math"/>
              </w:rPr>
              <w:t>0.48</w:t>
            </w:r>
          </w:p>
        </w:tc>
        <w:tc>
          <w:tcPr>
            <w:tcW w:w="0" w:type="auto"/>
            <w:vAlign w:val="center"/>
            <w:hideMark/>
          </w:tcPr>
          <w:p w14:paraId="5E20E624" w14:textId="77777777" w:rsidR="00031ABD" w:rsidRPr="00657DFC" w:rsidRDefault="00031ABD" w:rsidP="00D67E1A">
            <w:pPr>
              <w:spacing w:after="0"/>
              <w:jc w:val="center"/>
              <w:rPr>
                <w:rFonts w:ascii="Cambria Math" w:hAnsi="Cambria Math"/>
              </w:rPr>
            </w:pPr>
            <w:r w:rsidRPr="00657DFC">
              <w:rPr>
                <w:rFonts w:ascii="Cambria Math" w:hAnsi="Cambria Math"/>
              </w:rPr>
              <w:t>0.38</w:t>
            </w:r>
          </w:p>
        </w:tc>
        <w:tc>
          <w:tcPr>
            <w:tcW w:w="0" w:type="auto"/>
            <w:vAlign w:val="center"/>
            <w:hideMark/>
          </w:tcPr>
          <w:p w14:paraId="2F29E7F8" w14:textId="77777777" w:rsidR="00031ABD" w:rsidRPr="00657DFC" w:rsidRDefault="00031ABD" w:rsidP="00D67E1A">
            <w:pPr>
              <w:spacing w:after="0"/>
              <w:jc w:val="center"/>
              <w:rPr>
                <w:rFonts w:ascii="Cambria Math" w:hAnsi="Cambria Math"/>
              </w:rPr>
            </w:pPr>
            <w:r w:rsidRPr="00657DFC">
              <w:rPr>
                <w:rFonts w:ascii="Cambria Math" w:hAnsi="Cambria Math"/>
              </w:rPr>
              <w:t>0.32</w:t>
            </w:r>
          </w:p>
        </w:tc>
        <w:tc>
          <w:tcPr>
            <w:tcW w:w="1266" w:type="dxa"/>
            <w:vAlign w:val="center"/>
            <w:hideMark/>
          </w:tcPr>
          <w:p w14:paraId="75B4D65A" w14:textId="77777777" w:rsidR="00031ABD" w:rsidRPr="00657DFC" w:rsidRDefault="00031ABD" w:rsidP="00D67E1A">
            <w:pPr>
              <w:spacing w:after="0"/>
              <w:jc w:val="center"/>
              <w:rPr>
                <w:rFonts w:ascii="Cambria Math" w:hAnsi="Cambria Math"/>
              </w:rPr>
            </w:pPr>
            <w:r w:rsidRPr="00657DFC">
              <w:rPr>
                <w:rFonts w:ascii="Cambria Math" w:hAnsi="Cambria Math"/>
              </w:rPr>
              <w:t>0.41</w:t>
            </w:r>
          </w:p>
        </w:tc>
      </w:tr>
      <w:tr w:rsidR="00031ABD" w:rsidRPr="00657DFC" w14:paraId="01531F75" w14:textId="77777777" w:rsidTr="00D67E1A">
        <w:trPr>
          <w:tblCellSpacing w:w="15" w:type="dxa"/>
          <w:jc w:val="center"/>
        </w:trPr>
        <w:tc>
          <w:tcPr>
            <w:tcW w:w="2787" w:type="dxa"/>
            <w:vAlign w:val="center"/>
            <w:hideMark/>
          </w:tcPr>
          <w:p w14:paraId="7A63ED89" w14:textId="77777777" w:rsidR="00031ABD" w:rsidRPr="00657DFC" w:rsidRDefault="00031ABD" w:rsidP="00D67E1A">
            <w:pPr>
              <w:spacing w:after="0"/>
              <w:rPr>
                <w:rFonts w:ascii="Cambria Math" w:hAnsi="Cambria Math"/>
              </w:rPr>
            </w:pPr>
            <w:r w:rsidRPr="00657DFC">
              <w:rPr>
                <w:rFonts w:ascii="Cambria Math" w:hAnsi="Cambria Math"/>
              </w:rPr>
              <w:t>A2 – Southern Ring Road (PLTA)</w:t>
            </w:r>
          </w:p>
        </w:tc>
        <w:tc>
          <w:tcPr>
            <w:tcW w:w="0" w:type="auto"/>
            <w:vAlign w:val="center"/>
            <w:hideMark/>
          </w:tcPr>
          <w:p w14:paraId="669C9B80" w14:textId="77777777" w:rsidR="00031ABD" w:rsidRPr="00657DFC" w:rsidRDefault="00031ABD" w:rsidP="00D67E1A">
            <w:pPr>
              <w:spacing w:after="0"/>
              <w:jc w:val="center"/>
              <w:rPr>
                <w:rFonts w:ascii="Cambria Math" w:hAnsi="Cambria Math"/>
              </w:rPr>
            </w:pPr>
            <w:r w:rsidRPr="00657DFC">
              <w:rPr>
                <w:rFonts w:ascii="Cambria Math" w:hAnsi="Cambria Math"/>
              </w:rPr>
              <w:t>0.42</w:t>
            </w:r>
          </w:p>
        </w:tc>
        <w:tc>
          <w:tcPr>
            <w:tcW w:w="0" w:type="auto"/>
            <w:vAlign w:val="center"/>
            <w:hideMark/>
          </w:tcPr>
          <w:p w14:paraId="21066BB9" w14:textId="77777777" w:rsidR="00031ABD" w:rsidRPr="00657DFC" w:rsidRDefault="00031ABD" w:rsidP="00D67E1A">
            <w:pPr>
              <w:spacing w:after="0"/>
              <w:jc w:val="center"/>
              <w:rPr>
                <w:rFonts w:ascii="Cambria Math" w:hAnsi="Cambria Math"/>
              </w:rPr>
            </w:pPr>
            <w:r w:rsidRPr="00657DFC">
              <w:rPr>
                <w:rFonts w:ascii="Cambria Math" w:hAnsi="Cambria Math"/>
              </w:rPr>
              <w:t>0.30</w:t>
            </w:r>
          </w:p>
        </w:tc>
        <w:tc>
          <w:tcPr>
            <w:tcW w:w="0" w:type="auto"/>
            <w:vAlign w:val="center"/>
            <w:hideMark/>
          </w:tcPr>
          <w:p w14:paraId="0E5F531B" w14:textId="77777777" w:rsidR="00031ABD" w:rsidRPr="00657DFC" w:rsidRDefault="00031ABD" w:rsidP="00D67E1A">
            <w:pPr>
              <w:spacing w:after="0"/>
              <w:jc w:val="center"/>
              <w:rPr>
                <w:rFonts w:ascii="Cambria Math" w:hAnsi="Cambria Math"/>
              </w:rPr>
            </w:pPr>
            <w:r w:rsidRPr="00657DFC">
              <w:rPr>
                <w:rFonts w:ascii="Cambria Math" w:hAnsi="Cambria Math"/>
              </w:rPr>
              <w:t>0.25</w:t>
            </w:r>
          </w:p>
        </w:tc>
        <w:tc>
          <w:tcPr>
            <w:tcW w:w="1266" w:type="dxa"/>
            <w:vAlign w:val="center"/>
            <w:hideMark/>
          </w:tcPr>
          <w:p w14:paraId="7A03DD71" w14:textId="77777777" w:rsidR="00031ABD" w:rsidRPr="00657DFC" w:rsidRDefault="00031ABD" w:rsidP="00D67E1A">
            <w:pPr>
              <w:spacing w:after="0"/>
              <w:jc w:val="center"/>
              <w:rPr>
                <w:rFonts w:ascii="Cambria Math" w:hAnsi="Cambria Math"/>
              </w:rPr>
            </w:pPr>
            <w:r w:rsidRPr="00657DFC">
              <w:rPr>
                <w:rFonts w:ascii="Cambria Math" w:hAnsi="Cambria Math"/>
              </w:rPr>
              <w:t>0.34</w:t>
            </w:r>
          </w:p>
        </w:tc>
      </w:tr>
      <w:tr w:rsidR="00031ABD" w:rsidRPr="00657DFC" w14:paraId="36C78C96" w14:textId="77777777" w:rsidTr="00D67E1A">
        <w:trPr>
          <w:tblCellSpacing w:w="15" w:type="dxa"/>
          <w:jc w:val="center"/>
        </w:trPr>
        <w:tc>
          <w:tcPr>
            <w:tcW w:w="2787" w:type="dxa"/>
            <w:vAlign w:val="center"/>
            <w:hideMark/>
          </w:tcPr>
          <w:p w14:paraId="6CEA7217" w14:textId="77777777" w:rsidR="00031ABD" w:rsidRPr="00657DFC" w:rsidRDefault="00031ABD" w:rsidP="00D67E1A">
            <w:pPr>
              <w:spacing w:after="0"/>
              <w:jc w:val="both"/>
              <w:rPr>
                <w:rFonts w:ascii="Cambria Math" w:hAnsi="Cambria Math"/>
              </w:rPr>
            </w:pPr>
            <w:r w:rsidRPr="00657DFC">
              <w:rPr>
                <w:rFonts w:ascii="Cambria Math" w:hAnsi="Cambria Math"/>
              </w:rPr>
              <w:t>A3 – Trans Kalimantan</w:t>
            </w:r>
          </w:p>
        </w:tc>
        <w:tc>
          <w:tcPr>
            <w:tcW w:w="0" w:type="auto"/>
            <w:vAlign w:val="center"/>
            <w:hideMark/>
          </w:tcPr>
          <w:p w14:paraId="7927CB19" w14:textId="77777777" w:rsidR="00031ABD" w:rsidRPr="00657DFC" w:rsidRDefault="00031ABD" w:rsidP="00D67E1A">
            <w:pPr>
              <w:spacing w:after="0"/>
              <w:jc w:val="center"/>
              <w:rPr>
                <w:rFonts w:ascii="Cambria Math" w:hAnsi="Cambria Math"/>
              </w:rPr>
            </w:pPr>
            <w:r w:rsidRPr="00657DFC">
              <w:rPr>
                <w:rFonts w:ascii="Cambria Math" w:hAnsi="Cambria Math"/>
              </w:rPr>
              <w:t>0.40</w:t>
            </w:r>
          </w:p>
        </w:tc>
        <w:tc>
          <w:tcPr>
            <w:tcW w:w="0" w:type="auto"/>
            <w:vAlign w:val="center"/>
            <w:hideMark/>
          </w:tcPr>
          <w:p w14:paraId="06A7754C" w14:textId="77777777" w:rsidR="00031ABD" w:rsidRPr="00657DFC" w:rsidRDefault="00031ABD" w:rsidP="00D67E1A">
            <w:pPr>
              <w:spacing w:after="0"/>
              <w:jc w:val="center"/>
              <w:rPr>
                <w:rFonts w:ascii="Cambria Math" w:hAnsi="Cambria Math"/>
              </w:rPr>
            </w:pPr>
            <w:r w:rsidRPr="00657DFC">
              <w:rPr>
                <w:rFonts w:ascii="Cambria Math" w:hAnsi="Cambria Math"/>
              </w:rPr>
              <w:t>0.35</w:t>
            </w:r>
          </w:p>
        </w:tc>
        <w:tc>
          <w:tcPr>
            <w:tcW w:w="0" w:type="auto"/>
            <w:vAlign w:val="center"/>
            <w:hideMark/>
          </w:tcPr>
          <w:p w14:paraId="614B97C9" w14:textId="77777777" w:rsidR="00031ABD" w:rsidRPr="00657DFC" w:rsidRDefault="00031ABD" w:rsidP="00D67E1A">
            <w:pPr>
              <w:spacing w:after="0"/>
              <w:jc w:val="center"/>
              <w:rPr>
                <w:rFonts w:ascii="Cambria Math" w:hAnsi="Cambria Math"/>
              </w:rPr>
            </w:pPr>
            <w:r w:rsidRPr="00657DFC">
              <w:rPr>
                <w:rFonts w:ascii="Cambria Math" w:hAnsi="Cambria Math"/>
              </w:rPr>
              <w:t>0.25</w:t>
            </w:r>
          </w:p>
        </w:tc>
        <w:tc>
          <w:tcPr>
            <w:tcW w:w="1266" w:type="dxa"/>
            <w:vAlign w:val="center"/>
            <w:hideMark/>
          </w:tcPr>
          <w:p w14:paraId="2C0AD62F" w14:textId="77777777" w:rsidR="00031ABD" w:rsidRPr="00657DFC" w:rsidRDefault="00031ABD" w:rsidP="00D67E1A">
            <w:pPr>
              <w:spacing w:after="0"/>
              <w:jc w:val="center"/>
              <w:rPr>
                <w:rFonts w:ascii="Cambria Math" w:hAnsi="Cambria Math"/>
              </w:rPr>
            </w:pPr>
            <w:r w:rsidRPr="00657DFC">
              <w:rPr>
                <w:rFonts w:ascii="Cambria Math" w:hAnsi="Cambria Math"/>
              </w:rPr>
              <w:t>0.31</w:t>
            </w:r>
          </w:p>
        </w:tc>
      </w:tr>
      <w:tr w:rsidR="00031ABD" w:rsidRPr="00657DFC" w14:paraId="6BA736D9" w14:textId="77777777" w:rsidTr="00D67E1A">
        <w:trPr>
          <w:trHeight w:val="150"/>
          <w:tblCellSpacing w:w="15" w:type="dxa"/>
          <w:jc w:val="center"/>
        </w:trPr>
        <w:tc>
          <w:tcPr>
            <w:tcW w:w="2787" w:type="dxa"/>
            <w:vAlign w:val="center"/>
            <w:hideMark/>
          </w:tcPr>
          <w:p w14:paraId="20692339" w14:textId="77777777" w:rsidR="00031ABD" w:rsidRPr="00657DFC" w:rsidRDefault="00031ABD" w:rsidP="00D67E1A">
            <w:pPr>
              <w:spacing w:after="0"/>
              <w:jc w:val="both"/>
              <w:rPr>
                <w:rFonts w:ascii="Cambria Math" w:hAnsi="Cambria Math"/>
              </w:rPr>
            </w:pPr>
            <w:r w:rsidRPr="00657DFC">
              <w:rPr>
                <w:rFonts w:ascii="Cambria Math" w:hAnsi="Cambria Math"/>
              </w:rPr>
              <w:t>A4 – Sepaku–Petung</w:t>
            </w:r>
          </w:p>
        </w:tc>
        <w:tc>
          <w:tcPr>
            <w:tcW w:w="0" w:type="auto"/>
            <w:vAlign w:val="center"/>
            <w:hideMark/>
          </w:tcPr>
          <w:p w14:paraId="7C78F52E" w14:textId="77777777" w:rsidR="00031ABD" w:rsidRPr="00657DFC" w:rsidRDefault="00031ABD" w:rsidP="00D67E1A">
            <w:pPr>
              <w:spacing w:after="0"/>
              <w:jc w:val="center"/>
              <w:rPr>
                <w:rFonts w:ascii="Cambria Math" w:hAnsi="Cambria Math"/>
              </w:rPr>
            </w:pPr>
            <w:r w:rsidRPr="00657DFC">
              <w:rPr>
                <w:rFonts w:ascii="Cambria Math" w:hAnsi="Cambria Math"/>
              </w:rPr>
              <w:t>0.35</w:t>
            </w:r>
          </w:p>
        </w:tc>
        <w:tc>
          <w:tcPr>
            <w:tcW w:w="0" w:type="auto"/>
            <w:vAlign w:val="center"/>
            <w:hideMark/>
          </w:tcPr>
          <w:p w14:paraId="4762DDBF" w14:textId="77777777" w:rsidR="00031ABD" w:rsidRPr="00657DFC" w:rsidRDefault="00031ABD" w:rsidP="00D67E1A">
            <w:pPr>
              <w:spacing w:after="0"/>
              <w:jc w:val="center"/>
              <w:rPr>
                <w:rFonts w:ascii="Cambria Math" w:hAnsi="Cambria Math"/>
              </w:rPr>
            </w:pPr>
            <w:r w:rsidRPr="00657DFC">
              <w:rPr>
                <w:rFonts w:ascii="Cambria Math" w:hAnsi="Cambria Math"/>
              </w:rPr>
              <w:t>0.40</w:t>
            </w:r>
          </w:p>
        </w:tc>
        <w:tc>
          <w:tcPr>
            <w:tcW w:w="0" w:type="auto"/>
            <w:vAlign w:val="center"/>
            <w:hideMark/>
          </w:tcPr>
          <w:p w14:paraId="36E1C1ED" w14:textId="77777777" w:rsidR="00031ABD" w:rsidRPr="00657DFC" w:rsidRDefault="00031ABD" w:rsidP="00D67E1A">
            <w:pPr>
              <w:spacing w:after="0"/>
              <w:jc w:val="center"/>
              <w:rPr>
                <w:rFonts w:ascii="Cambria Math" w:hAnsi="Cambria Math"/>
              </w:rPr>
            </w:pPr>
            <w:r w:rsidRPr="00657DFC">
              <w:rPr>
                <w:rFonts w:ascii="Cambria Math" w:hAnsi="Cambria Math"/>
              </w:rPr>
              <w:t>0.30</w:t>
            </w:r>
          </w:p>
        </w:tc>
        <w:tc>
          <w:tcPr>
            <w:tcW w:w="1266" w:type="dxa"/>
            <w:vAlign w:val="center"/>
            <w:hideMark/>
          </w:tcPr>
          <w:p w14:paraId="0DD97D43" w14:textId="77777777" w:rsidR="00031ABD" w:rsidRPr="00657DFC" w:rsidRDefault="00031ABD" w:rsidP="00D67E1A">
            <w:pPr>
              <w:spacing w:after="0"/>
              <w:jc w:val="center"/>
              <w:rPr>
                <w:rFonts w:ascii="Cambria Math" w:hAnsi="Cambria Math"/>
              </w:rPr>
            </w:pPr>
            <w:r w:rsidRPr="00657DFC">
              <w:rPr>
                <w:rFonts w:ascii="Cambria Math" w:hAnsi="Cambria Math"/>
              </w:rPr>
              <w:t>0.33</w:t>
            </w:r>
          </w:p>
        </w:tc>
      </w:tr>
      <w:bookmarkEnd w:id="1"/>
    </w:tbl>
    <w:p w14:paraId="05B9D48E" w14:textId="2A6CD62D" w:rsidR="00031ABD" w:rsidRPr="00657DFC" w:rsidRDefault="00031ABD">
      <w:pPr>
        <w:rPr>
          <w:rFonts w:ascii="Cambria Math" w:hAnsi="Cambria Math"/>
        </w:rPr>
      </w:pPr>
    </w:p>
    <w:p w14:paraId="2371DBF3" w14:textId="34F41D5B" w:rsidR="00031ABD" w:rsidRPr="00657DFC" w:rsidRDefault="00031ABD" w:rsidP="002A32D0">
      <w:pPr>
        <w:pStyle w:val="Heading3"/>
        <w:ind w:firstLine="720"/>
        <w:jc w:val="both"/>
        <w:rPr>
          <w:rFonts w:ascii="Cambria Math" w:hAnsi="Cambria Math"/>
          <w:color w:val="auto"/>
          <w:sz w:val="24"/>
          <w:szCs w:val="24"/>
        </w:rPr>
      </w:pPr>
      <w:r w:rsidRPr="00657DFC">
        <w:rPr>
          <w:rFonts w:ascii="Cambria Math" w:hAnsi="Cambria Math"/>
          <w:color w:val="auto"/>
          <w:sz w:val="24"/>
          <w:szCs w:val="24"/>
        </w:rPr>
        <w:t>Route A1 received the highest score (0.41), making it the most optimal evacuation route. A high score for criterion C1 (0.48) indicates that the road is in relatively good physical condition, with an asphalt surface and sufficient width for large vehicles. High scores were also seen for criteria C2 and C3, indicating that this route is directly connected to Petung and has a relatively short evacuation distance from densely populated areas.</w:t>
      </w:r>
      <w:r w:rsidRPr="00657DFC">
        <w:rPr>
          <w:rFonts w:ascii="Cambria Math" w:hAnsi="Cambria Math"/>
        </w:rPr>
        <w:t xml:space="preserve"> </w:t>
      </w:r>
      <w:r w:rsidRPr="00657DFC">
        <w:rPr>
          <w:rFonts w:ascii="Cambria Math" w:hAnsi="Cambria Math"/>
          <w:color w:val="auto"/>
          <w:sz w:val="24"/>
          <w:szCs w:val="24"/>
        </w:rPr>
        <w:t xml:space="preserve">Route A1 is recommended as the primary evacuation route in emergency scenarios. Repair and maintenance of this route's infrastructure should be a top priority in strengthening the RTD system. With a global score of 0.34, Route A2 is the primary alternative after A1. A relatively high C1 score indicates generally good road conditions, but a C3 score (0.25) indicates that this route is quite far from several vulnerable settlements </w:t>
      </w:r>
      <w:r w:rsidRPr="00657DFC">
        <w:rPr>
          <w:rFonts w:ascii="Cambria Math" w:hAnsi="Cambria Math"/>
        </w:rPr>
        <w:t xml:space="preserve">. </w:t>
      </w:r>
      <w:r w:rsidRPr="00657DFC">
        <w:rPr>
          <w:rFonts w:ascii="Cambria Math" w:hAnsi="Cambria Math"/>
          <w:color w:val="auto"/>
          <w:sz w:val="24"/>
          <w:szCs w:val="24"/>
        </w:rPr>
        <w:t>A2 is suitable as a backup route or rotation route in the second phase of evacuation. Accessibility and connectivity to affected villages need to be improved. This route received the lowest score (0.31) due to a low C3 score (0.25), indicating the distance of the evacuation point from densely populated settlements. Although connected to the national road, its connectivity to vulnerable points is not optimal. Route A3 is more appropriately used as a logistics distribution route or auxiliary route after the main evacuation process is complete. A global score of 0.33 places A4 as an important route serving densely populated areas. Although its physical condition (C1 = 0.35) is still poor, this route has high accessibility (C2 = 0.40). The A4 route has significant potential if its road infrastructure is improved. It plays a crucial role in supporting the evacuation of residents in the center of Sepaku District.</w:t>
      </w:r>
    </w:p>
    <w:p w14:paraId="20573AE3" w14:textId="0BEB51D6" w:rsidR="00031ABD" w:rsidRDefault="00031ABD" w:rsidP="00031ABD">
      <w:pPr>
        <w:rPr>
          <w:rFonts w:ascii="Cambria Math" w:hAnsi="Cambria Math"/>
        </w:rPr>
      </w:pPr>
    </w:p>
    <w:p w14:paraId="5684419E" w14:textId="77777777" w:rsidR="00ED3D84" w:rsidRDefault="00ED3D84" w:rsidP="00031ABD">
      <w:pPr>
        <w:rPr>
          <w:rFonts w:ascii="Cambria Math" w:hAnsi="Cambria Math"/>
        </w:rPr>
      </w:pPr>
    </w:p>
    <w:p w14:paraId="73F12D10" w14:textId="77777777" w:rsidR="00ED3D84" w:rsidRDefault="00ED3D84" w:rsidP="00031ABD">
      <w:pPr>
        <w:rPr>
          <w:rFonts w:ascii="Cambria Math" w:hAnsi="Cambria Math"/>
        </w:rPr>
      </w:pPr>
    </w:p>
    <w:p w14:paraId="607EC3B9" w14:textId="77777777" w:rsidR="00ED3D84" w:rsidRDefault="00ED3D84" w:rsidP="00031ABD">
      <w:pPr>
        <w:rPr>
          <w:rFonts w:ascii="Cambria Math" w:hAnsi="Cambria Math"/>
        </w:rPr>
      </w:pPr>
    </w:p>
    <w:p w14:paraId="54B1C4D1" w14:textId="77777777" w:rsidR="00ED3D84" w:rsidRDefault="00ED3D84" w:rsidP="00031ABD">
      <w:pPr>
        <w:rPr>
          <w:rFonts w:ascii="Cambria Math" w:hAnsi="Cambria Math"/>
        </w:rPr>
      </w:pPr>
    </w:p>
    <w:p w14:paraId="01AAF635" w14:textId="77777777" w:rsidR="00ED3D84" w:rsidRDefault="00ED3D84" w:rsidP="00031ABD">
      <w:pPr>
        <w:rPr>
          <w:rFonts w:ascii="Cambria Math" w:hAnsi="Cambria Math"/>
        </w:rPr>
      </w:pPr>
    </w:p>
    <w:p w14:paraId="6D7A5170" w14:textId="6C17DFD0" w:rsidR="00ED3D84" w:rsidRDefault="002A32D0" w:rsidP="008651B4">
      <w:pPr>
        <w:ind w:firstLine="720"/>
        <w:jc w:val="both"/>
        <w:rPr>
          <w:rFonts w:ascii="Cambria Math" w:hAnsi="Cambria Math"/>
        </w:rPr>
      </w:pPr>
      <w:r>
        <w:rPr>
          <w:rFonts w:ascii="Cambria Math" w:hAnsi="Cambria Math"/>
        </w:rPr>
        <w:lastRenderedPageBreak/>
        <w:t xml:space="preserve">The following is an </w:t>
      </w:r>
      <w:r w:rsidR="00ED3D84" w:rsidRPr="00ED3D84">
        <w:rPr>
          <w:rFonts w:ascii="Cambria Math" w:hAnsi="Cambria Math"/>
        </w:rPr>
        <w:t>evacuation route map, which depicts four main alternative routes connecting affected residential areas to safe evacuation points outside the flood hazard zone due to the potential collapse of the Sepaku Semoi Dam. These routes were designed based on three main criteria: accessibility (C1), road capacity (C2), and physical infrastructure resilience (C3).</w:t>
      </w:r>
    </w:p>
    <w:p w14:paraId="7A98CCE5" w14:textId="58CB810F" w:rsidR="00ED3D84" w:rsidRPr="00ED3D84" w:rsidRDefault="00ED3D84" w:rsidP="00ED3D84">
      <w:pPr>
        <w:spacing w:after="0"/>
        <w:jc w:val="center"/>
        <w:rPr>
          <w:rFonts w:ascii="Cambria Math" w:hAnsi="Cambria Math"/>
          <w:b/>
          <w:bCs/>
        </w:rPr>
      </w:pPr>
      <w:r w:rsidRPr="00ED3D84">
        <w:rPr>
          <w:rFonts w:ascii="Cambria Math" w:hAnsi="Cambria Math"/>
          <w:b/>
          <w:bCs/>
          <w:sz w:val="22"/>
          <w:szCs w:val="22"/>
        </w:rPr>
        <w:t>Figure 4. Evacuation Route A1 Figure 5. Evacuation Route A2</w:t>
      </w:r>
    </w:p>
    <w:p w14:paraId="55BD0313" w14:textId="59CBF689" w:rsidR="00ED3D84" w:rsidRDefault="00ED3D84" w:rsidP="00ED3D84">
      <w:pPr>
        <w:rPr>
          <w:rFonts w:ascii="Cambria Math" w:hAnsi="Cambria Math"/>
        </w:rPr>
      </w:pPr>
      <w:r>
        <w:rPr>
          <w:rFonts w:ascii="Cambria Math" w:hAnsi="Cambria Math"/>
          <w:b/>
          <w:bCs/>
          <w:noProof/>
        </w:rPr>
        <w:drawing>
          <wp:inline distT="0" distB="0" distL="0" distR="0" wp14:anchorId="5D82B438" wp14:editId="47ECCB64">
            <wp:extent cx="2690879" cy="1904215"/>
            <wp:effectExtent l="0" t="0" r="0" b="1270"/>
            <wp:docPr id="14568412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03612" name="Picture 11871036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10299" cy="1917958"/>
                    </a:xfrm>
                    <a:prstGeom prst="rect">
                      <a:avLst/>
                    </a:prstGeom>
                  </pic:spPr>
                </pic:pic>
              </a:graphicData>
            </a:graphic>
          </wp:inline>
        </w:drawing>
      </w:r>
      <w:r>
        <w:rPr>
          <w:rFonts w:ascii="Cambria Math" w:hAnsi="Cambria Math"/>
        </w:rPr>
        <w:t xml:space="preserve">        </w:t>
      </w:r>
      <w:r>
        <w:rPr>
          <w:rFonts w:ascii="Cambria Math" w:hAnsi="Cambria Math"/>
          <w:b/>
          <w:bCs/>
          <w:noProof/>
        </w:rPr>
        <w:drawing>
          <wp:inline distT="0" distB="0" distL="0" distR="0" wp14:anchorId="3ACE2E45" wp14:editId="49C5E4F1">
            <wp:extent cx="2690640" cy="1904044"/>
            <wp:effectExtent l="0" t="0" r="0" b="1270"/>
            <wp:docPr id="10480860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66405" name="Picture 9510664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0640" cy="1904044"/>
                    </a:xfrm>
                    <a:prstGeom prst="rect">
                      <a:avLst/>
                    </a:prstGeom>
                  </pic:spPr>
                </pic:pic>
              </a:graphicData>
            </a:graphic>
          </wp:inline>
        </w:drawing>
      </w:r>
    </w:p>
    <w:p w14:paraId="560110E0" w14:textId="1215C683" w:rsidR="00ED3D84" w:rsidRPr="00ED3D84" w:rsidRDefault="00ED3D84" w:rsidP="00ED3D84">
      <w:pPr>
        <w:spacing w:after="0"/>
        <w:jc w:val="center"/>
        <w:rPr>
          <w:rFonts w:ascii="Cambria Math" w:hAnsi="Cambria Math"/>
          <w:b/>
          <w:bCs/>
          <w:sz w:val="22"/>
          <w:szCs w:val="22"/>
        </w:rPr>
      </w:pPr>
      <w:r w:rsidRPr="00ED3D84">
        <w:rPr>
          <w:rFonts w:ascii="Cambria Math" w:hAnsi="Cambria Math"/>
          <w:b/>
          <w:bCs/>
          <w:sz w:val="22"/>
          <w:szCs w:val="22"/>
        </w:rPr>
        <w:t>Figure 6. Evacuation Route A3 Figure 7. Evacuation Route A4</w:t>
      </w:r>
    </w:p>
    <w:p w14:paraId="681F13E6" w14:textId="2557910F" w:rsidR="00ED3D84" w:rsidRDefault="00ED3D84" w:rsidP="00031ABD">
      <w:pPr>
        <w:rPr>
          <w:rFonts w:ascii="Cambria Math" w:hAnsi="Cambria Math"/>
        </w:rPr>
      </w:pPr>
      <w:r>
        <w:rPr>
          <w:rFonts w:ascii="Cambria Math" w:hAnsi="Cambria Math"/>
          <w:b/>
          <w:bCs/>
          <w:noProof/>
        </w:rPr>
        <w:drawing>
          <wp:inline distT="0" distB="0" distL="0" distR="0" wp14:anchorId="4D531A56" wp14:editId="256DD2CA">
            <wp:extent cx="2690640" cy="1904044"/>
            <wp:effectExtent l="0" t="0" r="0" b="1270"/>
            <wp:docPr id="13674943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94331" name="Picture 13674943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0640" cy="1904044"/>
                    </a:xfrm>
                    <a:prstGeom prst="rect">
                      <a:avLst/>
                    </a:prstGeom>
                  </pic:spPr>
                </pic:pic>
              </a:graphicData>
            </a:graphic>
          </wp:inline>
        </w:drawing>
      </w:r>
      <w:r>
        <w:rPr>
          <w:rFonts w:ascii="Cambria Math" w:hAnsi="Cambria Math"/>
        </w:rPr>
        <w:t xml:space="preserve">         </w:t>
      </w:r>
      <w:r>
        <w:rPr>
          <w:rFonts w:ascii="Cambria Math" w:hAnsi="Cambria Math"/>
          <w:b/>
          <w:bCs/>
          <w:noProof/>
        </w:rPr>
        <w:drawing>
          <wp:inline distT="0" distB="0" distL="0" distR="0" wp14:anchorId="774E466D" wp14:editId="7BB57439">
            <wp:extent cx="2690640" cy="1904045"/>
            <wp:effectExtent l="0" t="0" r="0" b="1270"/>
            <wp:docPr id="16034570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57042" name="Picture 16034570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90640" cy="1904045"/>
                    </a:xfrm>
                    <a:prstGeom prst="rect">
                      <a:avLst/>
                    </a:prstGeom>
                  </pic:spPr>
                </pic:pic>
              </a:graphicData>
            </a:graphic>
          </wp:inline>
        </w:drawing>
      </w:r>
    </w:p>
    <w:p w14:paraId="31796D6E" w14:textId="5034CA06" w:rsidR="008651B4" w:rsidRPr="008651B4" w:rsidRDefault="008651B4" w:rsidP="008651B4">
      <w:pPr>
        <w:pStyle w:val="ListParagraph"/>
        <w:numPr>
          <w:ilvl w:val="0"/>
          <w:numId w:val="16"/>
        </w:numPr>
        <w:rPr>
          <w:rFonts w:ascii="Cambria Math" w:hAnsi="Cambria Math"/>
        </w:rPr>
      </w:pPr>
      <w:r w:rsidRPr="008651B4">
        <w:rPr>
          <w:rFonts w:ascii="Cambria Math" w:hAnsi="Cambria Math"/>
          <w:b/>
          <w:bCs/>
        </w:rPr>
        <w:t xml:space="preserve">Route A1 – Silkar–Bukit Raya–Petung </w:t>
      </w:r>
      <w:r w:rsidRPr="008651B4">
        <w:rPr>
          <w:rFonts w:ascii="Cambria Math" w:hAnsi="Cambria Math"/>
        </w:rPr>
        <w:br/>
        <w:t xml:space="preserve">This route is the main route with the highest global score. Starting from </w:t>
      </w:r>
      <w:r w:rsidRPr="008651B4">
        <w:rPr>
          <w:rFonts w:ascii="Cambria Math" w:hAnsi="Cambria Math"/>
          <w:b/>
          <w:bCs/>
        </w:rPr>
        <w:t xml:space="preserve">the Silkar and Bukit Raya areas </w:t>
      </w:r>
      <w:r w:rsidRPr="008651B4">
        <w:rPr>
          <w:rFonts w:ascii="Cambria Math" w:hAnsi="Cambria Math"/>
        </w:rPr>
        <w:t>, the route follows a paved road corridor to Petung, one of the safest locations outside the flood zone. This route offers direct access to densely populated areas, adequate road width for large vehicles, and relatively good road conditions.</w:t>
      </w:r>
    </w:p>
    <w:p w14:paraId="1A67E1B1" w14:textId="5B48163D" w:rsidR="008651B4" w:rsidRPr="008651B4" w:rsidRDefault="008651B4" w:rsidP="008651B4">
      <w:pPr>
        <w:pStyle w:val="ListParagraph"/>
        <w:numPr>
          <w:ilvl w:val="0"/>
          <w:numId w:val="16"/>
        </w:numPr>
        <w:rPr>
          <w:rFonts w:ascii="Cambria Math" w:hAnsi="Cambria Math"/>
        </w:rPr>
      </w:pPr>
      <w:r w:rsidRPr="008651B4">
        <w:rPr>
          <w:rFonts w:ascii="Cambria Math" w:hAnsi="Cambria Math"/>
          <w:b/>
          <w:bCs/>
        </w:rPr>
        <w:t xml:space="preserve">Route A2 – Southern Ring Road (PLTA) </w:t>
      </w:r>
      <w:r w:rsidRPr="008651B4">
        <w:rPr>
          <w:rFonts w:ascii="Cambria Math" w:hAnsi="Cambria Math"/>
        </w:rPr>
        <w:br/>
        <w:t xml:space="preserve">Starting southwest of the affected area, this route follows the Southern Ring Road, which passes through the area near the hydroelectric power plant. Although the road is in good condition, this route </w:t>
      </w:r>
      <w:r w:rsidRPr="009A41B9">
        <w:rPr>
          <w:rFonts w:ascii="Cambria Math" w:hAnsi="Cambria Math"/>
        </w:rPr>
        <w:t>is relatively far from several vulnerable settlements, so it is used as an alternative or detour route.</w:t>
      </w:r>
    </w:p>
    <w:p w14:paraId="65531673" w14:textId="16F99BC6" w:rsidR="00756489" w:rsidRPr="008651B4" w:rsidRDefault="008651B4" w:rsidP="009A41B9">
      <w:pPr>
        <w:pStyle w:val="ListParagraph"/>
        <w:numPr>
          <w:ilvl w:val="0"/>
          <w:numId w:val="16"/>
        </w:numPr>
        <w:rPr>
          <w:rFonts w:ascii="Cambria Math" w:hAnsi="Cambria Math"/>
        </w:rPr>
      </w:pPr>
      <w:r w:rsidRPr="008651B4">
        <w:rPr>
          <w:rFonts w:ascii="Cambria Math" w:hAnsi="Cambria Math"/>
          <w:b/>
          <w:bCs/>
        </w:rPr>
        <w:t xml:space="preserve">Route A3 – Trans Kalimantan </w:t>
      </w:r>
      <w:r w:rsidRPr="008651B4">
        <w:rPr>
          <w:rFonts w:ascii="Cambria Math" w:hAnsi="Cambria Math"/>
        </w:rPr>
        <w:br/>
        <w:t xml:space="preserve">This route uses the Trans Kalimantan national road corridor, with connections to key logistics hubs. However, this route has lower accessibility and resilience scores due to </w:t>
      </w:r>
      <w:r w:rsidRPr="009A41B9">
        <w:rPr>
          <w:rFonts w:ascii="Cambria Math" w:hAnsi="Cambria Math"/>
        </w:rPr>
        <w:t xml:space="preserve">its distance from residential centers and lack of access to public </w:t>
      </w:r>
      <w:r w:rsidRPr="009A41B9">
        <w:rPr>
          <w:rFonts w:ascii="Cambria Math" w:hAnsi="Cambria Math"/>
        </w:rPr>
        <w:lastRenderedPageBreak/>
        <w:t>transportation.</w:t>
      </w:r>
      <w:r w:rsidRPr="008651B4">
        <w:rPr>
          <w:rFonts w:ascii="Cambria Math" w:hAnsi="Cambria Math"/>
          <w:b/>
          <w:bCs/>
        </w:rPr>
        <w:t xml:space="preserve"> </w:t>
      </w:r>
      <w:r w:rsidRPr="009A41B9">
        <w:rPr>
          <w:rFonts w:ascii="Cambria Math" w:hAnsi="Cambria Math"/>
        </w:rPr>
        <w:t xml:space="preserve">directly to the main evacuation point, making it </w:t>
      </w:r>
      <w:r w:rsidRPr="008651B4">
        <w:rPr>
          <w:rFonts w:ascii="Cambria Math" w:hAnsi="Cambria Math"/>
        </w:rPr>
        <w:t>more suitable as a post-evacuation logistics distribution route.</w:t>
      </w:r>
    </w:p>
    <w:p w14:paraId="7C7A3EC8" w14:textId="66E65E4A" w:rsidR="00756489" w:rsidRDefault="00756489" w:rsidP="00031ABD">
      <w:pPr>
        <w:pStyle w:val="Heading3"/>
        <w:jc w:val="both"/>
        <w:rPr>
          <w:rFonts w:ascii="Cambria Math" w:hAnsi="Cambria Math"/>
          <w:b/>
          <w:bCs/>
          <w:color w:val="auto"/>
          <w:sz w:val="24"/>
          <w:szCs w:val="24"/>
        </w:rPr>
      </w:pPr>
    </w:p>
    <w:p w14:paraId="140C5DFF" w14:textId="78C76D79" w:rsidR="00031ABD" w:rsidRPr="00657DFC" w:rsidRDefault="00031ABD" w:rsidP="00031ABD">
      <w:pPr>
        <w:pStyle w:val="Heading3"/>
        <w:jc w:val="both"/>
        <w:rPr>
          <w:rFonts w:ascii="Cambria Math" w:hAnsi="Cambria Math"/>
          <w:b/>
          <w:bCs/>
          <w:color w:val="auto"/>
          <w:sz w:val="24"/>
          <w:szCs w:val="24"/>
        </w:rPr>
      </w:pPr>
      <w:r w:rsidRPr="00657DFC">
        <w:rPr>
          <w:rFonts w:ascii="Cambria Math" w:hAnsi="Cambria Math"/>
          <w:b/>
          <w:bCs/>
          <w:color w:val="auto"/>
          <w:sz w:val="24"/>
          <w:szCs w:val="24"/>
        </w:rPr>
        <w:t>4.3 Implications for RTD Strategy</w:t>
      </w:r>
    </w:p>
    <w:p w14:paraId="4E7CE49C" w14:textId="68714253" w:rsidR="00031ABD" w:rsidRPr="00657DFC" w:rsidRDefault="00031ABD" w:rsidP="00031ABD">
      <w:pPr>
        <w:pStyle w:val="Heading3"/>
        <w:jc w:val="both"/>
        <w:rPr>
          <w:rFonts w:ascii="Cambria Math" w:hAnsi="Cambria Math"/>
          <w:color w:val="auto"/>
          <w:sz w:val="24"/>
          <w:szCs w:val="24"/>
        </w:rPr>
      </w:pPr>
      <w:r w:rsidRPr="00657DFC">
        <w:rPr>
          <w:rFonts w:ascii="Cambria Math" w:hAnsi="Cambria Math"/>
          <w:color w:val="auto"/>
          <w:sz w:val="24"/>
          <w:szCs w:val="24"/>
        </w:rPr>
        <w:t>Based on the AHP results, there are several important implications for the RTD implementation strategy for the Sepaku Semoi Dam, including:</w:t>
      </w:r>
    </w:p>
    <w:p w14:paraId="554AC135" w14:textId="35478A1B" w:rsidR="00031ABD" w:rsidRPr="00657DFC" w:rsidRDefault="00031ABD" w:rsidP="00F1288E">
      <w:pPr>
        <w:pStyle w:val="Heading3"/>
        <w:numPr>
          <w:ilvl w:val="0"/>
          <w:numId w:val="15"/>
        </w:numPr>
        <w:tabs>
          <w:tab w:val="clear" w:pos="720"/>
        </w:tabs>
        <w:rPr>
          <w:rFonts w:ascii="Cambria Math" w:hAnsi="Cambria Math"/>
          <w:color w:val="auto"/>
          <w:sz w:val="24"/>
          <w:szCs w:val="24"/>
        </w:rPr>
      </w:pPr>
      <w:r w:rsidRPr="00657DFC">
        <w:rPr>
          <w:rFonts w:ascii="Cambria Math" w:hAnsi="Cambria Math"/>
          <w:color w:val="auto"/>
          <w:sz w:val="24"/>
          <w:szCs w:val="24"/>
        </w:rPr>
        <w:t xml:space="preserve">Focus on Infrastructure Strengthening on Route A1: Route </w:t>
      </w:r>
      <w:r w:rsidRPr="00657DFC">
        <w:rPr>
          <w:rFonts w:ascii="Cambria Math" w:hAnsi="Cambria Math"/>
          <w:color w:val="auto"/>
          <w:sz w:val="24"/>
          <w:szCs w:val="24"/>
        </w:rPr>
        <w:br/>
        <w:t>A1 has proven to be the most viable route. Road maintenance, shoulder widening, and improved evacuation markings are highly recommended to strengthen this route as a primary route.</w:t>
      </w:r>
    </w:p>
    <w:p w14:paraId="2FE2E9E4" w14:textId="749A46E5" w:rsidR="00031ABD" w:rsidRPr="00657DFC" w:rsidRDefault="00031ABD" w:rsidP="00031ABD">
      <w:pPr>
        <w:pStyle w:val="Heading3"/>
        <w:numPr>
          <w:ilvl w:val="0"/>
          <w:numId w:val="15"/>
        </w:numPr>
        <w:tabs>
          <w:tab w:val="clear" w:pos="720"/>
        </w:tabs>
        <w:rPr>
          <w:rFonts w:ascii="Cambria Math" w:hAnsi="Cambria Math"/>
          <w:color w:val="auto"/>
          <w:sz w:val="24"/>
          <w:szCs w:val="24"/>
        </w:rPr>
      </w:pPr>
      <w:r w:rsidRPr="00657DFC">
        <w:rPr>
          <w:rFonts w:ascii="Cambria Math" w:hAnsi="Cambria Math"/>
          <w:color w:val="auto"/>
          <w:sz w:val="24"/>
          <w:szCs w:val="24"/>
        </w:rPr>
        <w:t xml:space="preserve">Second-Lane Route Development </w:t>
      </w:r>
      <w:r w:rsidRPr="00657DFC">
        <w:rPr>
          <w:rFonts w:ascii="Cambria Math" w:hAnsi="Cambria Math"/>
          <w:color w:val="auto"/>
          <w:sz w:val="24"/>
          <w:szCs w:val="24"/>
        </w:rPr>
        <w:br/>
        <w:t>Routes A2 and A4 have strategic value as a complement when the main route is disrupted. Their presence is crucial in multi-lane evacuation scenarios and can be used in vehicle evacuation rotation strategies (2 trips).</w:t>
      </w:r>
    </w:p>
    <w:p w14:paraId="2F33AF4A" w14:textId="77777777" w:rsidR="00031ABD" w:rsidRPr="00657DFC" w:rsidRDefault="00031ABD" w:rsidP="00031ABD">
      <w:pPr>
        <w:pStyle w:val="Heading3"/>
        <w:numPr>
          <w:ilvl w:val="0"/>
          <w:numId w:val="15"/>
        </w:numPr>
        <w:tabs>
          <w:tab w:val="clear" w:pos="720"/>
        </w:tabs>
        <w:rPr>
          <w:rFonts w:ascii="Cambria Math" w:hAnsi="Cambria Math"/>
          <w:color w:val="auto"/>
          <w:sz w:val="24"/>
          <w:szCs w:val="24"/>
        </w:rPr>
      </w:pPr>
      <w:r w:rsidRPr="00657DFC">
        <w:rPr>
          <w:rFonts w:ascii="Cambria Math" w:hAnsi="Cambria Math"/>
          <w:color w:val="auto"/>
          <w:sz w:val="24"/>
          <w:szCs w:val="24"/>
        </w:rPr>
        <w:t xml:space="preserve">Reorienting the Function of Route A3 </w:t>
      </w:r>
      <w:r w:rsidRPr="00657DFC">
        <w:rPr>
          <w:rFonts w:ascii="Cambria Math" w:hAnsi="Cambria Math"/>
          <w:color w:val="auto"/>
          <w:sz w:val="24"/>
          <w:szCs w:val="24"/>
        </w:rPr>
        <w:br/>
        <w:t>Route A3 is more effective if it is directed as a logistics and post-disaster aid distribution route. A re-evaluation of this route's role in human evacuation scenarios needs to be considered.</w:t>
      </w:r>
    </w:p>
    <w:p w14:paraId="6CD86D17" w14:textId="4B04A1AD" w:rsidR="00031ABD" w:rsidRPr="00657DFC" w:rsidRDefault="00031ABD" w:rsidP="00F1288E">
      <w:pPr>
        <w:pStyle w:val="Heading3"/>
        <w:numPr>
          <w:ilvl w:val="0"/>
          <w:numId w:val="15"/>
        </w:numPr>
        <w:tabs>
          <w:tab w:val="clear" w:pos="720"/>
        </w:tabs>
        <w:jc w:val="both"/>
        <w:rPr>
          <w:rFonts w:ascii="Cambria Math" w:hAnsi="Cambria Math"/>
          <w:color w:val="auto"/>
          <w:sz w:val="24"/>
          <w:szCs w:val="24"/>
        </w:rPr>
      </w:pPr>
      <w:r w:rsidRPr="00657DFC">
        <w:rPr>
          <w:rFonts w:ascii="Cambria Math" w:hAnsi="Cambria Math"/>
          <w:color w:val="auto"/>
          <w:sz w:val="24"/>
          <w:szCs w:val="24"/>
        </w:rPr>
        <w:t xml:space="preserve">Network Expansion with Recommended Additional Routes </w:t>
      </w:r>
      <w:r w:rsidRPr="00657DFC">
        <w:rPr>
          <w:rFonts w:ascii="Cambria Math" w:hAnsi="Cambria Math"/>
          <w:color w:val="auto"/>
          <w:sz w:val="24"/>
          <w:szCs w:val="24"/>
        </w:rPr>
        <w:br/>
        <w:t>The routes A5 (Sepaku Lama–Tengin Baru–Karang Jinawi) and A6 (Gunung Intan–Sukaraja–Giri Mukti–Petung) recommended in this study, although not yet evaluated in the AHP, have the potential to close the connectivity gap between the main routes. These routes can be proposed as part of the strategic backup routes in the revised RTD.</w:t>
      </w:r>
    </w:p>
    <w:p w14:paraId="28BEF885" w14:textId="77777777" w:rsidR="00F1288E" w:rsidRPr="00657DFC" w:rsidRDefault="00F1288E" w:rsidP="00F1288E">
      <w:pPr>
        <w:rPr>
          <w:rFonts w:ascii="Cambria Math" w:hAnsi="Cambria Math"/>
        </w:rPr>
      </w:pPr>
    </w:p>
    <w:p w14:paraId="45DE08EF" w14:textId="77777777" w:rsidR="00031ABD" w:rsidRPr="00657DFC" w:rsidRDefault="00031ABD" w:rsidP="00031ABD">
      <w:pPr>
        <w:pStyle w:val="Heading3"/>
        <w:jc w:val="both"/>
        <w:rPr>
          <w:rFonts w:ascii="Cambria Math" w:hAnsi="Cambria Math"/>
          <w:b/>
          <w:bCs/>
          <w:color w:val="auto"/>
        </w:rPr>
      </w:pPr>
      <w:r w:rsidRPr="00657DFC">
        <w:rPr>
          <w:rFonts w:ascii="Cambria Math" w:hAnsi="Cambria Math"/>
          <w:b/>
          <w:bCs/>
          <w:color w:val="auto"/>
        </w:rPr>
        <w:t>3.3. Recommended Additional Evacuation Routes (A5 and A6)</w:t>
      </w:r>
    </w:p>
    <w:p w14:paraId="7209A325" w14:textId="77777777" w:rsidR="00031ABD" w:rsidRPr="00657DFC" w:rsidRDefault="00031ABD" w:rsidP="00031ABD">
      <w:pPr>
        <w:pStyle w:val="NormalWeb"/>
        <w:jc w:val="both"/>
        <w:rPr>
          <w:rFonts w:ascii="Cambria Math" w:hAnsi="Cambria Math"/>
        </w:rPr>
      </w:pPr>
      <w:r w:rsidRPr="00657DFC">
        <w:rPr>
          <w:rFonts w:ascii="Cambria Math" w:hAnsi="Cambria Math"/>
        </w:rPr>
        <w:t>Based on a spatial evaluation and distribution of the affected population in Sepaku District and its surrounding areas, it was found that several villages were not optimally served by the four main evacuation routes (A1–A4). Therefore, two additional routes were proposed as backup routes and to strengthen the evacuation system:</w:t>
      </w:r>
    </w:p>
    <w:p w14:paraId="76C4B8FA" w14:textId="77777777" w:rsidR="00031ABD" w:rsidRPr="00657DFC" w:rsidRDefault="00031ABD" w:rsidP="00031ABD">
      <w:pPr>
        <w:pStyle w:val="Heading4"/>
        <w:jc w:val="both"/>
        <w:rPr>
          <w:rFonts w:ascii="Cambria Math" w:hAnsi="Cambria Math"/>
          <w:i w:val="0"/>
          <w:iCs w:val="0"/>
          <w:color w:val="auto"/>
        </w:rPr>
      </w:pPr>
      <w:r w:rsidRPr="00657DFC">
        <w:rPr>
          <w:rFonts w:ascii="Cambria Math" w:hAnsi="Cambria Math"/>
          <w:i w:val="0"/>
          <w:iCs w:val="0"/>
          <w:color w:val="auto"/>
        </w:rPr>
        <w:t>Route A5 – Old Sepaku – New Tengin – Karang Jinawi</w:t>
      </w:r>
    </w:p>
    <w:p w14:paraId="73F93671" w14:textId="77777777" w:rsidR="00031ABD" w:rsidRPr="00657DFC" w:rsidRDefault="00031ABD" w:rsidP="00031ABD">
      <w:pPr>
        <w:pStyle w:val="NormalWeb"/>
        <w:numPr>
          <w:ilvl w:val="0"/>
          <w:numId w:val="13"/>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Villages/sub-districts passed through </w:t>
      </w:r>
      <w:r w:rsidRPr="00657DFC">
        <w:rPr>
          <w:rFonts w:ascii="Cambria Math" w:hAnsi="Cambria Math"/>
          <w:b/>
          <w:bCs/>
        </w:rPr>
        <w:t xml:space="preserve">: </w:t>
      </w:r>
      <w:r w:rsidRPr="00657DFC">
        <w:rPr>
          <w:rFonts w:ascii="Cambria Math" w:hAnsi="Cambria Math"/>
        </w:rPr>
        <w:t>Old Sepaku, New Tengin, Karang Jinawi</w:t>
      </w:r>
    </w:p>
    <w:p w14:paraId="3AAA9559" w14:textId="77777777" w:rsidR="00031ABD" w:rsidRPr="00657DFC" w:rsidRDefault="00031ABD" w:rsidP="00031ABD">
      <w:pPr>
        <w:pStyle w:val="NormalWeb"/>
        <w:numPr>
          <w:ilvl w:val="0"/>
          <w:numId w:val="13"/>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District </w:t>
      </w:r>
      <w:r w:rsidRPr="00657DFC">
        <w:rPr>
          <w:rFonts w:ascii="Cambria Math" w:hAnsi="Cambria Math"/>
          <w:b/>
          <w:bCs/>
        </w:rPr>
        <w:t xml:space="preserve">: </w:t>
      </w:r>
      <w:r w:rsidRPr="00657DFC">
        <w:rPr>
          <w:rFonts w:ascii="Cambria Math" w:hAnsi="Cambria Math"/>
        </w:rPr>
        <w:t>Sepaku</w:t>
      </w:r>
    </w:p>
    <w:p w14:paraId="3D303A65" w14:textId="77777777" w:rsidR="00031ABD" w:rsidRPr="00657DFC" w:rsidRDefault="00031ABD" w:rsidP="00031ABD">
      <w:pPr>
        <w:pStyle w:val="NormalWeb"/>
        <w:numPr>
          <w:ilvl w:val="0"/>
          <w:numId w:val="13"/>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Function </w:t>
      </w:r>
      <w:r w:rsidRPr="00657DFC">
        <w:rPr>
          <w:rFonts w:ascii="Cambria Math" w:hAnsi="Cambria Math"/>
          <w:b/>
          <w:bCs/>
        </w:rPr>
        <w:t xml:space="preserve">: </w:t>
      </w:r>
      <w:r w:rsidRPr="00657DFC">
        <w:rPr>
          <w:rFonts w:ascii="Cambria Math" w:hAnsi="Cambria Math"/>
        </w:rPr>
        <w:t>Lateral connecting route between A1 and A4, serving residential areas with limited access.</w:t>
      </w:r>
    </w:p>
    <w:p w14:paraId="7E3CFDF8" w14:textId="77777777" w:rsidR="00031ABD" w:rsidRPr="00657DFC" w:rsidRDefault="00031ABD" w:rsidP="00031ABD">
      <w:pPr>
        <w:pStyle w:val="NormalWeb"/>
        <w:numPr>
          <w:ilvl w:val="0"/>
          <w:numId w:val="13"/>
        </w:numPr>
        <w:spacing w:before="100" w:beforeAutospacing="1" w:after="100" w:afterAutospacing="1" w:line="240" w:lineRule="auto"/>
        <w:jc w:val="both"/>
        <w:rPr>
          <w:rFonts w:ascii="Cambria Math" w:hAnsi="Cambria Math"/>
          <w:b/>
          <w:bCs/>
        </w:rPr>
      </w:pPr>
      <w:r w:rsidRPr="00657DFC">
        <w:rPr>
          <w:rStyle w:val="Strong"/>
          <w:rFonts w:ascii="Cambria Math" w:hAnsi="Cambria Math"/>
          <w:b w:val="0"/>
          <w:bCs w:val="0"/>
        </w:rPr>
        <w:t xml:space="preserve">Number of affected residents </w:t>
      </w:r>
      <w:r w:rsidRPr="00657DFC">
        <w:rPr>
          <w:rFonts w:ascii="Cambria Math" w:hAnsi="Cambria Math"/>
          <w:b/>
          <w:bCs/>
        </w:rPr>
        <w:t xml:space="preserve">: ± </w:t>
      </w:r>
      <w:r w:rsidRPr="00657DFC">
        <w:rPr>
          <w:rStyle w:val="Strong"/>
          <w:rFonts w:ascii="Cambria Math" w:hAnsi="Cambria Math"/>
          <w:b w:val="0"/>
          <w:bCs w:val="0"/>
        </w:rPr>
        <w:t>1,500 people</w:t>
      </w:r>
    </w:p>
    <w:p w14:paraId="04E805AA" w14:textId="77777777" w:rsidR="00031ABD" w:rsidRPr="00657DFC" w:rsidRDefault="00031ABD" w:rsidP="00031ABD">
      <w:pPr>
        <w:pStyle w:val="NormalWeb"/>
        <w:numPr>
          <w:ilvl w:val="0"/>
          <w:numId w:val="13"/>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lastRenderedPageBreak/>
        <w:t xml:space="preserve">Recommendation </w:t>
      </w:r>
      <w:r w:rsidRPr="00657DFC">
        <w:rPr>
          <w:rFonts w:ascii="Cambria Math" w:hAnsi="Cambria Math"/>
        </w:rPr>
        <w:t>: Improve the road surface and widen the road body in several aggregate-soil segments to support smooth evacuation.</w:t>
      </w:r>
    </w:p>
    <w:p w14:paraId="542DF3E4" w14:textId="77777777" w:rsidR="00031ABD" w:rsidRPr="00657DFC" w:rsidRDefault="00031ABD" w:rsidP="00031ABD">
      <w:pPr>
        <w:pStyle w:val="Heading4"/>
        <w:jc w:val="both"/>
        <w:rPr>
          <w:rFonts w:ascii="Cambria Math" w:hAnsi="Cambria Math"/>
          <w:i w:val="0"/>
          <w:iCs w:val="0"/>
          <w:color w:val="auto"/>
        </w:rPr>
      </w:pPr>
      <w:r w:rsidRPr="00657DFC">
        <w:rPr>
          <w:rFonts w:ascii="Cambria Math" w:hAnsi="Cambria Math"/>
          <w:i w:val="0"/>
          <w:iCs w:val="0"/>
          <w:color w:val="auto"/>
        </w:rPr>
        <w:t>Route A6 – Mount Intan – Sukaraja – Giri Mukti – Petung</w:t>
      </w:r>
    </w:p>
    <w:p w14:paraId="01F26752" w14:textId="77777777" w:rsidR="00031ABD" w:rsidRPr="00657DFC" w:rsidRDefault="00031ABD" w:rsidP="00031ABD">
      <w:pPr>
        <w:pStyle w:val="NormalWeb"/>
        <w:numPr>
          <w:ilvl w:val="0"/>
          <w:numId w:val="14"/>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Villages/sub-districts passed through </w:t>
      </w:r>
      <w:r w:rsidRPr="00657DFC">
        <w:rPr>
          <w:rFonts w:ascii="Cambria Math" w:hAnsi="Cambria Math"/>
          <w:b/>
          <w:bCs/>
        </w:rPr>
        <w:t xml:space="preserve">: </w:t>
      </w:r>
      <w:r w:rsidRPr="00657DFC">
        <w:rPr>
          <w:rFonts w:ascii="Cambria Math" w:hAnsi="Cambria Math"/>
        </w:rPr>
        <w:t>Gunung Intan, Sukaraja, Giri Mukti, Petung</w:t>
      </w:r>
    </w:p>
    <w:p w14:paraId="4B726112" w14:textId="77777777" w:rsidR="00031ABD" w:rsidRPr="00657DFC" w:rsidRDefault="00031ABD" w:rsidP="00031ABD">
      <w:pPr>
        <w:pStyle w:val="NormalWeb"/>
        <w:numPr>
          <w:ilvl w:val="0"/>
          <w:numId w:val="14"/>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Districts </w:t>
      </w:r>
      <w:r w:rsidRPr="00657DFC">
        <w:rPr>
          <w:rFonts w:ascii="Cambria Math" w:hAnsi="Cambria Math"/>
          <w:b/>
          <w:bCs/>
        </w:rPr>
        <w:t xml:space="preserve">: </w:t>
      </w:r>
      <w:r w:rsidRPr="00657DFC">
        <w:rPr>
          <w:rFonts w:ascii="Cambria Math" w:hAnsi="Cambria Math"/>
        </w:rPr>
        <w:t>Babulu and Waru</w:t>
      </w:r>
    </w:p>
    <w:p w14:paraId="7E02D6CA" w14:textId="77777777" w:rsidR="00031ABD" w:rsidRPr="00657DFC" w:rsidRDefault="00031ABD" w:rsidP="00031ABD">
      <w:pPr>
        <w:pStyle w:val="NormalWeb"/>
        <w:numPr>
          <w:ilvl w:val="0"/>
          <w:numId w:val="14"/>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Function </w:t>
      </w:r>
      <w:r w:rsidRPr="00657DFC">
        <w:rPr>
          <w:rFonts w:ascii="Cambria Math" w:hAnsi="Cambria Math"/>
          <w:b/>
          <w:bCs/>
        </w:rPr>
        <w:t xml:space="preserve">: </w:t>
      </w:r>
      <w:r w:rsidRPr="00657DFC">
        <w:rPr>
          <w:rFonts w:ascii="Cambria Math" w:hAnsi="Cambria Math"/>
        </w:rPr>
        <w:t>Alternative route from the north side, strengthening logistics and evacuation access to Petung</w:t>
      </w:r>
    </w:p>
    <w:p w14:paraId="4DF6FFC3" w14:textId="77777777" w:rsidR="00031ABD" w:rsidRPr="00657DFC" w:rsidRDefault="00031ABD" w:rsidP="00031ABD">
      <w:pPr>
        <w:pStyle w:val="NormalWeb"/>
        <w:numPr>
          <w:ilvl w:val="0"/>
          <w:numId w:val="14"/>
        </w:numPr>
        <w:spacing w:before="100" w:beforeAutospacing="1" w:after="100" w:afterAutospacing="1" w:line="240" w:lineRule="auto"/>
        <w:jc w:val="both"/>
        <w:rPr>
          <w:rFonts w:ascii="Cambria Math" w:hAnsi="Cambria Math"/>
          <w:b/>
          <w:bCs/>
        </w:rPr>
      </w:pPr>
      <w:r w:rsidRPr="00657DFC">
        <w:rPr>
          <w:rStyle w:val="Strong"/>
          <w:rFonts w:ascii="Cambria Math" w:hAnsi="Cambria Math"/>
          <w:b w:val="0"/>
          <w:bCs w:val="0"/>
        </w:rPr>
        <w:t xml:space="preserve">Number of affected residents </w:t>
      </w:r>
      <w:r w:rsidRPr="00657DFC">
        <w:rPr>
          <w:rFonts w:ascii="Cambria Math" w:hAnsi="Cambria Math"/>
          <w:b/>
          <w:bCs/>
        </w:rPr>
        <w:t xml:space="preserve">: ± </w:t>
      </w:r>
      <w:r w:rsidRPr="00657DFC">
        <w:rPr>
          <w:rStyle w:val="Strong"/>
          <w:rFonts w:ascii="Cambria Math" w:hAnsi="Cambria Math"/>
          <w:b w:val="0"/>
          <w:bCs w:val="0"/>
        </w:rPr>
        <w:t>2,000 people</w:t>
      </w:r>
    </w:p>
    <w:p w14:paraId="0D4F033A" w14:textId="38629918" w:rsidR="00031ABD" w:rsidRDefault="00031ABD" w:rsidP="00031ABD">
      <w:pPr>
        <w:pStyle w:val="NormalWeb"/>
        <w:numPr>
          <w:ilvl w:val="0"/>
          <w:numId w:val="14"/>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Recommendation </w:t>
      </w:r>
      <w:r w:rsidRPr="00657DFC">
        <w:rPr>
          <w:rFonts w:ascii="Cambria Math" w:hAnsi="Cambria Math"/>
          <w:b/>
          <w:bCs/>
        </w:rPr>
        <w:t xml:space="preserve">: </w:t>
      </w:r>
      <w:r w:rsidRPr="00657DFC">
        <w:rPr>
          <w:rFonts w:ascii="Cambria Math" w:hAnsi="Cambria Math"/>
        </w:rPr>
        <w:t>Revitalization of inter-village connectivity and improvement of connecting bridge structures.</w:t>
      </w:r>
    </w:p>
    <w:p w14:paraId="308ACECE" w14:textId="5D9EAC36" w:rsidR="008651B4" w:rsidRDefault="008651B4" w:rsidP="008651B4">
      <w:pPr>
        <w:pStyle w:val="NormalWeb"/>
        <w:spacing w:before="100" w:beforeAutospacing="1" w:after="100" w:afterAutospacing="1" w:line="240" w:lineRule="auto"/>
        <w:jc w:val="both"/>
        <w:rPr>
          <w:rFonts w:ascii="Cambria Math" w:hAnsi="Cambria Math"/>
        </w:rPr>
      </w:pPr>
      <w:r>
        <w:rPr>
          <w:rFonts w:ascii="Cambria Math" w:hAnsi="Cambria Math"/>
          <w:b/>
          <w:bCs/>
          <w:noProof/>
        </w:rPr>
        <w:drawing>
          <wp:anchor distT="0" distB="0" distL="114300" distR="114300" simplePos="0" relativeHeight="251657215" behindDoc="0" locked="0" layoutInCell="1" allowOverlap="1" wp14:anchorId="0ED6E206" wp14:editId="56AD877A">
            <wp:simplePos x="0" y="0"/>
            <wp:positionH relativeFrom="column">
              <wp:posOffset>937631</wp:posOffset>
            </wp:positionH>
            <wp:positionV relativeFrom="paragraph">
              <wp:posOffset>31750</wp:posOffset>
            </wp:positionV>
            <wp:extent cx="2690495" cy="3322955"/>
            <wp:effectExtent l="0" t="0" r="0" b="0"/>
            <wp:wrapNone/>
            <wp:docPr id="21305260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26068" name="Picture 2130526068"/>
                    <pic:cNvPicPr/>
                  </pic:nvPicPr>
                  <pic:blipFill rotWithShape="1">
                    <a:blip r:embed="rId14"/>
                    <a:srcRect t="-1" r="18458" b="-716"/>
                    <a:stretch>
                      <a:fillRect/>
                    </a:stretch>
                  </pic:blipFill>
                  <pic:spPr bwMode="auto">
                    <a:xfrm>
                      <a:off x="0" y="0"/>
                      <a:ext cx="2690495" cy="3322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876A3F" w14:textId="77777777" w:rsidR="008651B4" w:rsidRDefault="008651B4" w:rsidP="008651B4">
      <w:pPr>
        <w:pStyle w:val="NormalWeb"/>
        <w:spacing w:before="100" w:beforeAutospacing="1" w:after="100" w:afterAutospacing="1" w:line="240" w:lineRule="auto"/>
        <w:jc w:val="both"/>
        <w:rPr>
          <w:rFonts w:ascii="Cambria Math" w:hAnsi="Cambria Math"/>
        </w:rPr>
      </w:pPr>
    </w:p>
    <w:p w14:paraId="69058AE9" w14:textId="77777777" w:rsidR="008651B4" w:rsidRDefault="008651B4" w:rsidP="008651B4">
      <w:pPr>
        <w:pStyle w:val="NormalWeb"/>
        <w:spacing w:before="100" w:beforeAutospacing="1" w:after="100" w:afterAutospacing="1" w:line="240" w:lineRule="auto"/>
        <w:jc w:val="both"/>
        <w:rPr>
          <w:rFonts w:ascii="Cambria Math" w:hAnsi="Cambria Math"/>
        </w:rPr>
      </w:pPr>
    </w:p>
    <w:p w14:paraId="1ADD2EE3" w14:textId="77777777" w:rsidR="008651B4" w:rsidRDefault="008651B4" w:rsidP="008651B4">
      <w:pPr>
        <w:pStyle w:val="NormalWeb"/>
        <w:spacing w:before="100" w:beforeAutospacing="1" w:after="100" w:afterAutospacing="1" w:line="240" w:lineRule="auto"/>
        <w:jc w:val="both"/>
        <w:rPr>
          <w:rFonts w:ascii="Cambria Math" w:hAnsi="Cambria Math"/>
        </w:rPr>
      </w:pPr>
    </w:p>
    <w:p w14:paraId="1ED5C985" w14:textId="77777777" w:rsidR="008651B4" w:rsidRDefault="008651B4" w:rsidP="008651B4">
      <w:pPr>
        <w:pStyle w:val="NormalWeb"/>
        <w:spacing w:before="100" w:beforeAutospacing="1" w:after="100" w:afterAutospacing="1" w:line="240" w:lineRule="auto"/>
        <w:jc w:val="both"/>
        <w:rPr>
          <w:rFonts w:ascii="Cambria Math" w:hAnsi="Cambria Math"/>
        </w:rPr>
      </w:pPr>
    </w:p>
    <w:p w14:paraId="50878747" w14:textId="4A9AB83B" w:rsidR="008651B4" w:rsidRDefault="008651B4" w:rsidP="008651B4">
      <w:pPr>
        <w:pStyle w:val="NormalWeb"/>
        <w:spacing w:before="100" w:beforeAutospacing="1" w:after="100" w:afterAutospacing="1" w:line="240" w:lineRule="auto"/>
        <w:jc w:val="both"/>
        <w:rPr>
          <w:rFonts w:ascii="Cambria Math" w:hAnsi="Cambria Math"/>
        </w:rPr>
      </w:pPr>
    </w:p>
    <w:p w14:paraId="747A1C0D" w14:textId="27AE32DB" w:rsidR="008651B4" w:rsidRDefault="009A41B9" w:rsidP="008651B4">
      <w:pPr>
        <w:pStyle w:val="NormalWeb"/>
        <w:spacing w:before="100" w:beforeAutospacing="1" w:after="100" w:afterAutospacing="1" w:line="240" w:lineRule="auto"/>
        <w:jc w:val="both"/>
        <w:rPr>
          <w:rFonts w:ascii="Cambria Math" w:hAnsi="Cambria Math"/>
        </w:rPr>
      </w:pPr>
      <w:r>
        <w:rPr>
          <w:rFonts w:ascii="Cambria Math" w:hAnsi="Cambria Math"/>
          <w:noProof/>
        </w:rPr>
        <mc:AlternateContent>
          <mc:Choice Requires="wpg">
            <w:drawing>
              <wp:anchor distT="0" distB="0" distL="114300" distR="114300" simplePos="0" relativeHeight="251671552" behindDoc="0" locked="0" layoutInCell="1" allowOverlap="1" wp14:anchorId="4BED3C18" wp14:editId="4AF446C8">
                <wp:simplePos x="0" y="0"/>
                <wp:positionH relativeFrom="column">
                  <wp:posOffset>1758742</wp:posOffset>
                </wp:positionH>
                <wp:positionV relativeFrom="paragraph">
                  <wp:posOffset>344805</wp:posOffset>
                </wp:positionV>
                <wp:extent cx="1877695" cy="726535"/>
                <wp:effectExtent l="0" t="0" r="27305" b="16510"/>
                <wp:wrapNone/>
                <wp:docPr id="1565054694" name="Group 10"/>
                <wp:cNvGraphicFramePr/>
                <a:graphic xmlns:a="http://schemas.openxmlformats.org/drawingml/2006/main">
                  <a:graphicData uri="http://schemas.microsoft.com/office/word/2010/wordprocessingGroup">
                    <wpg:wgp>
                      <wpg:cNvGrpSpPr/>
                      <wpg:grpSpPr>
                        <a:xfrm>
                          <a:off x="0" y="0"/>
                          <a:ext cx="1877695" cy="726535"/>
                          <a:chOff x="-1125139" y="734955"/>
                          <a:chExt cx="2211236" cy="1050195"/>
                        </a:xfrm>
                      </wpg:grpSpPr>
                      <wps:wsp>
                        <wps:cNvPr id="1021494472" name="Text Box 2"/>
                        <wps:cNvSpPr txBox="1">
                          <a:spLocks noChangeArrowheads="1"/>
                        </wps:cNvSpPr>
                        <wps:spPr bwMode="auto">
                          <a:xfrm>
                            <a:off x="-1125139" y="734955"/>
                            <a:ext cx="2211236" cy="1050195"/>
                          </a:xfrm>
                          <a:prstGeom prst="rect">
                            <a:avLst/>
                          </a:prstGeom>
                          <a:solidFill>
                            <a:srgbClr val="FFFFFF"/>
                          </a:solidFill>
                          <a:ln w="9525">
                            <a:solidFill>
                              <a:srgbClr val="000000"/>
                            </a:solidFill>
                            <a:miter lim="800000"/>
                            <a:headEnd/>
                            <a:tailEnd/>
                          </a:ln>
                        </wps:spPr>
                        <wps:txbx>
                          <w:txbxContent>
                            <w:p w14:paraId="5C103CF4" w14:textId="778C0CC3" w:rsidR="00AB1CDB" w:rsidRPr="008651B4" w:rsidRDefault="00AB1CDB" w:rsidP="008651B4">
                              <w:pPr>
                                <w:spacing w:after="0"/>
                                <w:rPr>
                                  <w:rFonts w:ascii="Cambria Math" w:hAnsi="Cambria Math"/>
                                  <w:b/>
                                  <w:bCs/>
                                  <w:sz w:val="20"/>
                                  <w:szCs w:val="20"/>
                                </w:rPr>
                              </w:pPr>
                              <w:r w:rsidRPr="008651B4">
                                <w:rPr>
                                  <w:rFonts w:ascii="Cambria Math" w:hAnsi="Cambria Math"/>
                                  <w:b/>
                                  <w:bCs/>
                                  <w:sz w:val="20"/>
                                  <w:szCs w:val="20"/>
                                </w:rPr>
                                <w:t xml:space="preserve">Legenda                        </w:t>
                              </w:r>
                            </w:p>
                            <w:p w14:paraId="039C7E9D" w14:textId="2A79DE5C" w:rsidR="00AB1CDB" w:rsidRPr="008651B4" w:rsidRDefault="00AB1CDB" w:rsidP="008651B4">
                              <w:pPr>
                                <w:spacing w:after="0"/>
                                <w:rPr>
                                  <w:rFonts w:ascii="Cambria Math" w:hAnsi="Cambria Math"/>
                                  <w:sz w:val="20"/>
                                  <w:szCs w:val="20"/>
                                </w:rPr>
                              </w:pPr>
                              <w:r w:rsidRPr="008651B4">
                                <w:rPr>
                                  <w:rFonts w:ascii="Cambria Math" w:hAnsi="Cambria Math"/>
                                  <w:sz w:val="20"/>
                                  <w:szCs w:val="20"/>
                                </w:rPr>
                                <w:t xml:space="preserve">                         Jalur Evakuasi 5</w:t>
                              </w:r>
                            </w:p>
                            <w:p w14:paraId="12C02173" w14:textId="13D88954" w:rsidR="00AB1CDB" w:rsidRPr="008651B4" w:rsidRDefault="00AB1CDB" w:rsidP="008651B4">
                              <w:pPr>
                                <w:spacing w:after="0"/>
                                <w:rPr>
                                  <w:rFonts w:ascii="Cambria Math" w:hAnsi="Cambria Math"/>
                                  <w:color w:val="29B95C"/>
                                  <w:sz w:val="20"/>
                                  <w:szCs w:val="20"/>
                                </w:rPr>
                              </w:pPr>
                              <w:r w:rsidRPr="008651B4">
                                <w:rPr>
                                  <w:rFonts w:ascii="Cambria Math" w:hAnsi="Cambria Math"/>
                                  <w:color w:val="29B95C"/>
                                  <w:sz w:val="20"/>
                                  <w:szCs w:val="20"/>
                                </w:rPr>
                                <w:t xml:space="preserve">---------------  </w:t>
                              </w:r>
                              <w:r w:rsidRPr="008651B4">
                                <w:rPr>
                                  <w:rFonts w:ascii="Cambria Math" w:hAnsi="Cambria Math"/>
                                  <w:sz w:val="20"/>
                                  <w:szCs w:val="20"/>
                                </w:rPr>
                                <w:t>Jalur Evakuasi 6</w:t>
                              </w:r>
                            </w:p>
                          </w:txbxContent>
                        </wps:txbx>
                        <wps:bodyPr rot="0" vert="horz" wrap="square" lIns="91440" tIns="45720" rIns="91440" bIns="45720" anchor="t" anchorCtr="0">
                          <a:noAutofit/>
                        </wps:bodyPr>
                      </wps:wsp>
                      <wps:wsp>
                        <wps:cNvPr id="1360543253" name="Straight Connector 8"/>
                        <wps:cNvCnPr/>
                        <wps:spPr>
                          <a:xfrm>
                            <a:off x="-1061140" y="1141230"/>
                            <a:ext cx="743483" cy="0"/>
                          </a:xfrm>
                          <a:prstGeom prst="line">
                            <a:avLst/>
                          </a:prstGeom>
                          <a:ln w="38100">
                            <a:solidFill>
                              <a:srgbClr val="FFFF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BED3C18" id="Group 10" o:spid="_x0000_s1027" style="position:absolute;left:0;text-align:left;margin-left:138.5pt;margin-top:27.15pt;width:147.85pt;height:57.2pt;z-index:251671552;mso-width-relative:margin;mso-height-relative:margin" coordorigin="-11251,7349" coordsize="22112,10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">
                <v:shape id="Text Box 2" o:spid="_x0000_s1028" type="#_x0000_t202" style="position:absolute;left:-11251;top:7349;width:22111;height:10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">
                  <v:textbox>
                    <w:txbxContent>
                      <w:p w14:paraId="5C103CF4" w14:textId="778C0CC3" w:rsidR="00AB1CDB" w:rsidRPr="008651B4" w:rsidRDefault="00AB1CDB" w:rsidP="008651B4">
                        <w:pPr>
                          <w:spacing w:after="0"/>
                          <w:rPr>
                            <w:rFonts w:ascii="Cambria Math" w:hAnsi="Cambria Math"/>
                            <w:b/>
                            <w:bCs/>
                            <w:sz w:val="20"/>
                            <w:szCs w:val="20"/>
                          </w:rPr>
                        </w:pPr>
                        <w:r w:rsidRPr="008651B4">
                          <w:rPr>
                            <w:rFonts w:ascii="Cambria Math" w:hAnsi="Cambria Math"/>
                            <w:b/>
                            <w:bCs/>
                            <w:sz w:val="20"/>
                            <w:szCs w:val="20"/>
                          </w:rPr>
                          <w:t xml:space="preserve">Legenda                        </w:t>
                        </w:r>
                      </w:p>
                      <w:p w14:paraId="039C7E9D" w14:textId="2A79DE5C" w:rsidR="00AB1CDB" w:rsidRPr="008651B4" w:rsidRDefault="00AB1CDB" w:rsidP="008651B4">
                        <w:pPr>
                          <w:spacing w:after="0"/>
                          <w:rPr>
                            <w:rFonts w:ascii="Cambria Math" w:hAnsi="Cambria Math"/>
                            <w:sz w:val="20"/>
                            <w:szCs w:val="20"/>
                          </w:rPr>
                        </w:pPr>
                        <w:r w:rsidRPr="008651B4">
                          <w:rPr>
                            <w:rFonts w:ascii="Cambria Math" w:hAnsi="Cambria Math"/>
                            <w:sz w:val="20"/>
                            <w:szCs w:val="20"/>
                          </w:rPr>
                          <w:t xml:space="preserve">                         Jalur Evakuasi 5</w:t>
                        </w:r>
                      </w:p>
                      <w:p w14:paraId="12C02173" w14:textId="13D88954" w:rsidR="00AB1CDB" w:rsidRPr="008651B4" w:rsidRDefault="00AB1CDB" w:rsidP="008651B4">
                        <w:pPr>
                          <w:spacing w:after="0"/>
                          <w:rPr>
                            <w:rFonts w:ascii="Cambria Math" w:hAnsi="Cambria Math"/>
                            <w:color w:val="29B95C"/>
                            <w:sz w:val="20"/>
                            <w:szCs w:val="20"/>
                          </w:rPr>
                        </w:pPr>
                        <w:r w:rsidRPr="008651B4">
                          <w:rPr>
                            <w:rFonts w:ascii="Cambria Math" w:hAnsi="Cambria Math"/>
                            <w:color w:val="29B95C"/>
                            <w:sz w:val="20"/>
                            <w:szCs w:val="20"/>
                          </w:rPr>
                          <w:t xml:space="preserve">---------------  </w:t>
                        </w:r>
                        <w:r w:rsidRPr="008651B4">
                          <w:rPr>
                            <w:rFonts w:ascii="Cambria Math" w:hAnsi="Cambria Math"/>
                            <w:sz w:val="20"/>
                            <w:szCs w:val="20"/>
                          </w:rPr>
                          <w:t>Jalur Evakuasi 6</w:t>
                        </w:r>
                      </w:p>
                    </w:txbxContent>
                  </v:textbox>
                </v:shape>
                <v:line id="Straight Connector 8" o:spid="_x0000_s1029" style="position:absolute;visibility:visible;mso-wrap-style:square" from="-10611,11412" to="-3176,11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" strokecolor="yellow" strokeweight="3pt">
                  <v:stroke joinstyle="miter"/>
                </v:line>
              </v:group>
            </w:pict>
          </mc:Fallback>
        </mc:AlternateContent>
      </w:r>
    </w:p>
    <w:p w14:paraId="2455D005" w14:textId="0A7E0863" w:rsidR="008651B4" w:rsidRDefault="008651B4" w:rsidP="008651B4">
      <w:pPr>
        <w:pStyle w:val="NormalWeb"/>
        <w:spacing w:before="100" w:beforeAutospacing="1" w:after="100" w:afterAutospacing="1" w:line="240" w:lineRule="auto"/>
        <w:jc w:val="both"/>
        <w:rPr>
          <w:rFonts w:ascii="Cambria Math" w:hAnsi="Cambria Math"/>
        </w:rPr>
      </w:pPr>
    </w:p>
    <w:p w14:paraId="0552887E" w14:textId="4B1705FB" w:rsidR="008651B4" w:rsidRDefault="008651B4" w:rsidP="008651B4">
      <w:pPr>
        <w:pStyle w:val="NormalWeb"/>
        <w:spacing w:before="100" w:beforeAutospacing="1" w:after="100" w:afterAutospacing="1" w:line="240" w:lineRule="auto"/>
        <w:jc w:val="both"/>
        <w:rPr>
          <w:rFonts w:ascii="Cambria Math" w:hAnsi="Cambria Math"/>
        </w:rPr>
      </w:pPr>
    </w:p>
    <w:p w14:paraId="39ABB461" w14:textId="0A600A30" w:rsidR="008651B4" w:rsidRPr="00657DFC" w:rsidRDefault="008651B4" w:rsidP="008651B4">
      <w:pPr>
        <w:pStyle w:val="NormalWeb"/>
        <w:spacing w:before="100" w:beforeAutospacing="1" w:after="100" w:afterAutospacing="1" w:line="240" w:lineRule="auto"/>
        <w:jc w:val="both"/>
        <w:rPr>
          <w:rFonts w:ascii="Cambria Math" w:hAnsi="Cambria Math"/>
        </w:rPr>
      </w:pPr>
    </w:p>
    <w:p w14:paraId="2B3B8331" w14:textId="77777777" w:rsidR="00031ABD" w:rsidRPr="00657DFC" w:rsidRDefault="00031ABD" w:rsidP="00031ABD">
      <w:pPr>
        <w:pStyle w:val="Heading3"/>
        <w:jc w:val="both"/>
        <w:rPr>
          <w:rFonts w:ascii="Cambria Math" w:hAnsi="Cambria Math"/>
          <w:b/>
          <w:bCs/>
          <w:color w:val="auto"/>
          <w:sz w:val="24"/>
          <w:szCs w:val="24"/>
        </w:rPr>
      </w:pPr>
      <w:r w:rsidRPr="00657DFC">
        <w:rPr>
          <w:rFonts w:ascii="Cambria Math" w:hAnsi="Cambria Math"/>
          <w:b/>
          <w:bCs/>
          <w:color w:val="auto"/>
          <w:sz w:val="24"/>
          <w:szCs w:val="24"/>
        </w:rPr>
        <w:t>3.4. Estimating Accommodation and Evacuation Fleet Needs</w:t>
      </w:r>
    </w:p>
    <w:p w14:paraId="0B411AA6" w14:textId="000D3C71" w:rsidR="00031ABD" w:rsidRPr="00657DFC" w:rsidRDefault="00031ABD" w:rsidP="00031ABD">
      <w:pPr>
        <w:pStyle w:val="NormalWeb"/>
        <w:jc w:val="both"/>
        <w:rPr>
          <w:rFonts w:ascii="Cambria Math" w:hAnsi="Cambria Math"/>
        </w:rPr>
      </w:pPr>
      <w:r w:rsidRPr="00657DFC">
        <w:rPr>
          <w:rFonts w:ascii="Cambria Math" w:hAnsi="Cambria Math"/>
        </w:rPr>
        <w:t xml:space="preserve">Based on the total number of affected residents along the A1–A6 routes, an estimated </w:t>
      </w:r>
      <w:r w:rsidRPr="00657DFC">
        <w:rPr>
          <w:rStyle w:val="Strong"/>
          <w:rFonts w:ascii="Cambria Math" w:hAnsi="Cambria Math"/>
        </w:rPr>
        <w:t xml:space="preserve">23,700 people </w:t>
      </w:r>
      <w:r w:rsidRPr="00657DFC">
        <w:rPr>
          <w:rFonts w:ascii="Cambria Math" w:hAnsi="Cambria Math"/>
        </w:rPr>
        <w:t>would require evacuation in a disaster scenario. Therefore, adjustments to the number of evacuation vehicles and shelter capacity are required.</w:t>
      </w:r>
    </w:p>
    <w:p w14:paraId="5BA7FA04" w14:textId="4AF1159B" w:rsidR="00031ABD" w:rsidRPr="00657DFC" w:rsidRDefault="00031ABD" w:rsidP="00031ABD">
      <w:pPr>
        <w:pStyle w:val="Heading4"/>
        <w:jc w:val="center"/>
        <w:rPr>
          <w:rFonts w:ascii="Cambria Math" w:hAnsi="Cambria Math"/>
          <w:i w:val="0"/>
          <w:iCs w:val="0"/>
          <w:color w:val="auto"/>
        </w:rPr>
      </w:pPr>
      <w:r w:rsidRPr="00657DFC">
        <w:rPr>
          <w:rFonts w:ascii="Cambria Math" w:hAnsi="Cambria Math"/>
          <w:i w:val="0"/>
          <w:iCs w:val="0"/>
          <w:color w:val="auto"/>
        </w:rPr>
        <w:t>Evacuation Fleet Estimation Table for Routes A1–A4 (1 Evacuation Trip)</w:t>
      </w:r>
    </w:p>
    <w:tbl>
      <w:tblPr>
        <w:tblStyle w:val="PlainTable2"/>
        <w:tblW w:w="0" w:type="auto"/>
        <w:jc w:val="center"/>
        <w:tblLook w:val="04A0" w:firstRow="1" w:lastRow="0" w:firstColumn="1" w:lastColumn="0" w:noHBand="0" w:noVBand="1"/>
      </w:tblPr>
      <w:tblGrid>
        <w:gridCol w:w="1231"/>
        <w:gridCol w:w="2153"/>
        <w:gridCol w:w="1428"/>
        <w:gridCol w:w="1428"/>
        <w:gridCol w:w="1936"/>
      </w:tblGrid>
      <w:tr w:rsidR="00031ABD" w:rsidRPr="00657DFC" w14:paraId="0F50D1B9" w14:textId="77777777" w:rsidTr="00F1288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31" w:type="dxa"/>
            <w:hideMark/>
          </w:tcPr>
          <w:p w14:paraId="562F4FA2" w14:textId="77777777" w:rsidR="00031ABD" w:rsidRPr="00657DFC" w:rsidRDefault="00031ABD" w:rsidP="00D67E1A">
            <w:pPr>
              <w:jc w:val="center"/>
              <w:rPr>
                <w:rFonts w:ascii="Cambria Math" w:hAnsi="Cambria Math"/>
                <w:b w:val="0"/>
                <w:bCs w:val="0"/>
              </w:rPr>
            </w:pPr>
            <w:r w:rsidRPr="00657DFC">
              <w:rPr>
                <w:rStyle w:val="Strong"/>
                <w:rFonts w:ascii="Cambria Math" w:hAnsi="Cambria Math"/>
              </w:rPr>
              <w:t>Line Code</w:t>
            </w:r>
          </w:p>
        </w:tc>
        <w:tc>
          <w:tcPr>
            <w:tcW w:w="2153" w:type="dxa"/>
            <w:hideMark/>
          </w:tcPr>
          <w:p w14:paraId="700ECE11" w14:textId="77777777" w:rsidR="00031ABD" w:rsidRPr="00657DFC" w:rsidRDefault="00031ABD" w:rsidP="00D67E1A">
            <w:pPr>
              <w:jc w:val="center"/>
              <w:cnfStyle w:val="100000000000" w:firstRow="1" w:lastRow="0" w:firstColumn="0" w:lastColumn="0" w:oddVBand="0" w:evenVBand="0" w:oddHBand="0" w:evenHBand="0" w:firstRowFirstColumn="0" w:firstRowLastColumn="0" w:lastRowFirstColumn="0" w:lastRowLastColumn="0"/>
              <w:rPr>
                <w:rFonts w:ascii="Cambria Math" w:hAnsi="Cambria Math"/>
                <w:b w:val="0"/>
                <w:bCs w:val="0"/>
              </w:rPr>
            </w:pPr>
            <w:r w:rsidRPr="00657DFC">
              <w:rPr>
                <w:rStyle w:val="Strong"/>
                <w:rFonts w:ascii="Cambria Math" w:hAnsi="Cambria Math"/>
              </w:rPr>
              <w:t>Affected Population</w:t>
            </w:r>
          </w:p>
        </w:tc>
        <w:tc>
          <w:tcPr>
            <w:tcW w:w="0" w:type="auto"/>
            <w:hideMark/>
          </w:tcPr>
          <w:p w14:paraId="030468AD" w14:textId="77777777" w:rsidR="00031ABD" w:rsidRPr="00657DFC" w:rsidRDefault="00031ABD" w:rsidP="00D67E1A">
            <w:pPr>
              <w:jc w:val="center"/>
              <w:cnfStyle w:val="100000000000" w:firstRow="1" w:lastRow="0" w:firstColumn="0" w:lastColumn="0" w:oddVBand="0" w:evenVBand="0" w:oddHBand="0" w:evenHBand="0" w:firstRowFirstColumn="0" w:firstRowLastColumn="0" w:lastRowFirstColumn="0" w:lastRowLastColumn="0"/>
              <w:rPr>
                <w:rStyle w:val="Strong"/>
                <w:rFonts w:ascii="Cambria Math" w:hAnsi="Cambria Math"/>
              </w:rPr>
            </w:pPr>
            <w:r w:rsidRPr="00657DFC">
              <w:rPr>
                <w:rStyle w:val="Strong"/>
                <w:rFonts w:ascii="Cambria Math" w:hAnsi="Cambria Math"/>
              </w:rPr>
              <w:t>Bus Fleet</w:t>
            </w:r>
          </w:p>
          <w:p w14:paraId="5B306A1F" w14:textId="77777777" w:rsidR="00031ABD" w:rsidRPr="00657DFC" w:rsidRDefault="00031ABD" w:rsidP="00D67E1A">
            <w:pPr>
              <w:jc w:val="center"/>
              <w:cnfStyle w:val="100000000000" w:firstRow="1" w:lastRow="0" w:firstColumn="0" w:lastColumn="0" w:oddVBand="0" w:evenVBand="0" w:oddHBand="0" w:evenHBand="0" w:firstRowFirstColumn="0" w:firstRowLastColumn="0" w:lastRowFirstColumn="0" w:lastRowLastColumn="0"/>
              <w:rPr>
                <w:rFonts w:ascii="Cambria Math" w:hAnsi="Cambria Math"/>
                <w:b w:val="0"/>
                <w:bCs w:val="0"/>
              </w:rPr>
            </w:pPr>
            <w:r w:rsidRPr="00657DFC">
              <w:rPr>
                <w:rStyle w:val="Strong"/>
                <w:rFonts w:ascii="Cambria Math" w:hAnsi="Cambria Math"/>
              </w:rPr>
              <w:t>(40 people)</w:t>
            </w:r>
          </w:p>
        </w:tc>
        <w:tc>
          <w:tcPr>
            <w:tcW w:w="0" w:type="auto"/>
            <w:hideMark/>
          </w:tcPr>
          <w:p w14:paraId="6B6406B8" w14:textId="77777777" w:rsidR="00031ABD" w:rsidRPr="00657DFC" w:rsidRDefault="00031ABD" w:rsidP="00D67E1A">
            <w:pPr>
              <w:jc w:val="center"/>
              <w:cnfStyle w:val="100000000000" w:firstRow="1" w:lastRow="0" w:firstColumn="0" w:lastColumn="0" w:oddVBand="0" w:evenVBand="0" w:oddHBand="0" w:evenHBand="0" w:firstRowFirstColumn="0" w:firstRowLastColumn="0" w:lastRowFirstColumn="0" w:lastRowLastColumn="0"/>
              <w:rPr>
                <w:rStyle w:val="Strong"/>
                <w:rFonts w:ascii="Cambria Math" w:hAnsi="Cambria Math"/>
              </w:rPr>
            </w:pPr>
            <w:r w:rsidRPr="00657DFC">
              <w:rPr>
                <w:rStyle w:val="Strong"/>
                <w:rFonts w:ascii="Cambria Math" w:hAnsi="Cambria Math"/>
              </w:rPr>
              <w:t>Truck</w:t>
            </w:r>
          </w:p>
          <w:p w14:paraId="7762C16B" w14:textId="77777777" w:rsidR="00031ABD" w:rsidRPr="00657DFC" w:rsidRDefault="00031ABD" w:rsidP="00D67E1A">
            <w:pPr>
              <w:jc w:val="center"/>
              <w:cnfStyle w:val="100000000000" w:firstRow="1" w:lastRow="0" w:firstColumn="0" w:lastColumn="0" w:oddVBand="0" w:evenVBand="0" w:oddHBand="0" w:evenHBand="0" w:firstRowFirstColumn="0" w:firstRowLastColumn="0" w:lastRowFirstColumn="0" w:lastRowLastColumn="0"/>
              <w:rPr>
                <w:rFonts w:ascii="Cambria Math" w:hAnsi="Cambria Math"/>
                <w:b w:val="0"/>
                <w:bCs w:val="0"/>
              </w:rPr>
            </w:pPr>
            <w:r w:rsidRPr="00657DFC">
              <w:rPr>
                <w:rStyle w:val="Strong"/>
                <w:rFonts w:ascii="Cambria Math" w:hAnsi="Cambria Math"/>
              </w:rPr>
              <w:t>(30 people)</w:t>
            </w:r>
          </w:p>
        </w:tc>
        <w:tc>
          <w:tcPr>
            <w:tcW w:w="0" w:type="auto"/>
            <w:hideMark/>
          </w:tcPr>
          <w:p w14:paraId="22A31A63" w14:textId="77777777" w:rsidR="00031ABD" w:rsidRPr="00657DFC" w:rsidRDefault="00031ABD" w:rsidP="00D67E1A">
            <w:pPr>
              <w:jc w:val="center"/>
              <w:cnfStyle w:val="100000000000" w:firstRow="1" w:lastRow="0" w:firstColumn="0" w:lastColumn="0" w:oddVBand="0" w:evenVBand="0" w:oddHBand="0" w:evenHBand="0" w:firstRowFirstColumn="0" w:firstRowLastColumn="0" w:lastRowFirstColumn="0" w:lastRowLastColumn="0"/>
              <w:rPr>
                <w:rStyle w:val="Strong"/>
                <w:rFonts w:ascii="Cambria Math" w:hAnsi="Cambria Math"/>
              </w:rPr>
            </w:pPr>
            <w:r w:rsidRPr="00657DFC">
              <w:rPr>
                <w:rStyle w:val="Strong"/>
                <w:rFonts w:ascii="Cambria Math" w:hAnsi="Cambria Math"/>
              </w:rPr>
              <w:t>Pick-up/Minibus</w:t>
            </w:r>
          </w:p>
          <w:p w14:paraId="66380CD2" w14:textId="77777777" w:rsidR="00031ABD" w:rsidRPr="00657DFC" w:rsidRDefault="00031ABD" w:rsidP="00D67E1A">
            <w:pPr>
              <w:jc w:val="center"/>
              <w:cnfStyle w:val="100000000000" w:firstRow="1" w:lastRow="0" w:firstColumn="0" w:lastColumn="0" w:oddVBand="0" w:evenVBand="0" w:oddHBand="0" w:evenHBand="0" w:firstRowFirstColumn="0" w:firstRowLastColumn="0" w:lastRowFirstColumn="0" w:lastRowLastColumn="0"/>
              <w:rPr>
                <w:rFonts w:ascii="Cambria Math" w:hAnsi="Cambria Math"/>
                <w:b w:val="0"/>
                <w:bCs w:val="0"/>
              </w:rPr>
            </w:pPr>
            <w:r w:rsidRPr="00657DFC">
              <w:rPr>
                <w:rStyle w:val="Strong"/>
                <w:rFonts w:ascii="Cambria Math" w:hAnsi="Cambria Math"/>
              </w:rPr>
              <w:t>(10 people)</w:t>
            </w:r>
          </w:p>
        </w:tc>
      </w:tr>
      <w:tr w:rsidR="00031ABD" w:rsidRPr="00657DFC" w14:paraId="5AD462D6" w14:textId="77777777" w:rsidTr="00F128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31" w:type="dxa"/>
            <w:hideMark/>
          </w:tcPr>
          <w:p w14:paraId="2A8A5C3B" w14:textId="77777777" w:rsidR="00031ABD" w:rsidRPr="00657DFC" w:rsidRDefault="00031ABD" w:rsidP="00D67E1A">
            <w:pPr>
              <w:jc w:val="center"/>
              <w:rPr>
                <w:rFonts w:ascii="Cambria Math" w:hAnsi="Cambria Math"/>
              </w:rPr>
            </w:pPr>
            <w:r w:rsidRPr="00657DFC">
              <w:rPr>
                <w:rFonts w:ascii="Cambria Math" w:hAnsi="Cambria Math"/>
              </w:rPr>
              <w:t>A1</w:t>
            </w:r>
          </w:p>
        </w:tc>
        <w:tc>
          <w:tcPr>
            <w:tcW w:w="2153" w:type="dxa"/>
            <w:hideMark/>
          </w:tcPr>
          <w:p w14:paraId="19011BDA"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8,200 people</w:t>
            </w:r>
          </w:p>
        </w:tc>
        <w:tc>
          <w:tcPr>
            <w:tcW w:w="0" w:type="auto"/>
            <w:hideMark/>
          </w:tcPr>
          <w:p w14:paraId="5A963A8F"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205</w:t>
            </w:r>
          </w:p>
        </w:tc>
        <w:tc>
          <w:tcPr>
            <w:tcW w:w="0" w:type="auto"/>
            <w:hideMark/>
          </w:tcPr>
          <w:p w14:paraId="50515AE9"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274</w:t>
            </w:r>
          </w:p>
        </w:tc>
        <w:tc>
          <w:tcPr>
            <w:tcW w:w="0" w:type="auto"/>
            <w:hideMark/>
          </w:tcPr>
          <w:p w14:paraId="5C198A1D"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820</w:t>
            </w:r>
          </w:p>
        </w:tc>
      </w:tr>
      <w:tr w:rsidR="00031ABD" w:rsidRPr="00657DFC" w14:paraId="2FA22382" w14:textId="77777777" w:rsidTr="00F1288E">
        <w:trPr>
          <w:jc w:val="center"/>
        </w:trPr>
        <w:tc>
          <w:tcPr>
            <w:cnfStyle w:val="001000000000" w:firstRow="0" w:lastRow="0" w:firstColumn="1" w:lastColumn="0" w:oddVBand="0" w:evenVBand="0" w:oddHBand="0" w:evenHBand="0" w:firstRowFirstColumn="0" w:firstRowLastColumn="0" w:lastRowFirstColumn="0" w:lastRowLastColumn="0"/>
            <w:tcW w:w="1231" w:type="dxa"/>
            <w:hideMark/>
          </w:tcPr>
          <w:p w14:paraId="20E07F97" w14:textId="77777777" w:rsidR="00031ABD" w:rsidRPr="00657DFC" w:rsidRDefault="00031ABD" w:rsidP="00D67E1A">
            <w:pPr>
              <w:jc w:val="center"/>
              <w:rPr>
                <w:rFonts w:ascii="Cambria Math" w:hAnsi="Cambria Math"/>
              </w:rPr>
            </w:pPr>
            <w:r w:rsidRPr="00657DFC">
              <w:rPr>
                <w:rFonts w:ascii="Cambria Math" w:hAnsi="Cambria Math"/>
              </w:rPr>
              <w:t>A2</w:t>
            </w:r>
          </w:p>
        </w:tc>
        <w:tc>
          <w:tcPr>
            <w:tcW w:w="2153" w:type="dxa"/>
            <w:hideMark/>
          </w:tcPr>
          <w:p w14:paraId="5F8B8125"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6,500 people</w:t>
            </w:r>
          </w:p>
        </w:tc>
        <w:tc>
          <w:tcPr>
            <w:tcW w:w="0" w:type="auto"/>
            <w:hideMark/>
          </w:tcPr>
          <w:p w14:paraId="05E6589D"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163</w:t>
            </w:r>
          </w:p>
        </w:tc>
        <w:tc>
          <w:tcPr>
            <w:tcW w:w="0" w:type="auto"/>
            <w:hideMark/>
          </w:tcPr>
          <w:p w14:paraId="70E22F49"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217</w:t>
            </w:r>
          </w:p>
        </w:tc>
        <w:tc>
          <w:tcPr>
            <w:tcW w:w="0" w:type="auto"/>
            <w:hideMark/>
          </w:tcPr>
          <w:p w14:paraId="303D02D3"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650</w:t>
            </w:r>
          </w:p>
        </w:tc>
      </w:tr>
      <w:tr w:rsidR="00031ABD" w:rsidRPr="00657DFC" w14:paraId="0885D1B4" w14:textId="77777777" w:rsidTr="00F128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31" w:type="dxa"/>
            <w:hideMark/>
          </w:tcPr>
          <w:p w14:paraId="7A38F74F" w14:textId="77777777" w:rsidR="00031ABD" w:rsidRPr="00657DFC" w:rsidRDefault="00031ABD" w:rsidP="00D67E1A">
            <w:pPr>
              <w:jc w:val="center"/>
              <w:rPr>
                <w:rFonts w:ascii="Cambria Math" w:hAnsi="Cambria Math"/>
              </w:rPr>
            </w:pPr>
            <w:r w:rsidRPr="00657DFC">
              <w:rPr>
                <w:rFonts w:ascii="Cambria Math" w:hAnsi="Cambria Math"/>
              </w:rPr>
              <w:t>A3</w:t>
            </w:r>
          </w:p>
        </w:tc>
        <w:tc>
          <w:tcPr>
            <w:tcW w:w="2153" w:type="dxa"/>
            <w:hideMark/>
          </w:tcPr>
          <w:p w14:paraId="76747DAB"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1,200 people</w:t>
            </w:r>
          </w:p>
        </w:tc>
        <w:tc>
          <w:tcPr>
            <w:tcW w:w="0" w:type="auto"/>
            <w:hideMark/>
          </w:tcPr>
          <w:p w14:paraId="6E05FF95"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30</w:t>
            </w:r>
          </w:p>
        </w:tc>
        <w:tc>
          <w:tcPr>
            <w:tcW w:w="0" w:type="auto"/>
            <w:hideMark/>
          </w:tcPr>
          <w:p w14:paraId="772AD7B5"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40</w:t>
            </w:r>
          </w:p>
        </w:tc>
        <w:tc>
          <w:tcPr>
            <w:tcW w:w="0" w:type="auto"/>
            <w:hideMark/>
          </w:tcPr>
          <w:p w14:paraId="41A24034" w14:textId="77777777" w:rsidR="00031ABD" w:rsidRPr="00657DFC" w:rsidRDefault="00031ABD" w:rsidP="00D67E1A">
            <w:pPr>
              <w:jc w:val="both"/>
              <w:cnfStyle w:val="000000100000" w:firstRow="0" w:lastRow="0" w:firstColumn="0" w:lastColumn="0" w:oddVBand="0" w:evenVBand="0" w:oddHBand="1" w:evenHBand="0" w:firstRowFirstColumn="0" w:firstRowLastColumn="0" w:lastRowFirstColumn="0" w:lastRowLastColumn="0"/>
              <w:rPr>
                <w:rFonts w:ascii="Cambria Math" w:hAnsi="Cambria Math"/>
              </w:rPr>
            </w:pPr>
            <w:r w:rsidRPr="00657DFC">
              <w:rPr>
                <w:rFonts w:ascii="Cambria Math" w:hAnsi="Cambria Math"/>
              </w:rPr>
              <w:t>120</w:t>
            </w:r>
          </w:p>
        </w:tc>
      </w:tr>
      <w:tr w:rsidR="00031ABD" w:rsidRPr="00657DFC" w14:paraId="054EA747" w14:textId="77777777" w:rsidTr="00F1288E">
        <w:trPr>
          <w:jc w:val="center"/>
        </w:trPr>
        <w:tc>
          <w:tcPr>
            <w:cnfStyle w:val="001000000000" w:firstRow="0" w:lastRow="0" w:firstColumn="1" w:lastColumn="0" w:oddVBand="0" w:evenVBand="0" w:oddHBand="0" w:evenHBand="0" w:firstRowFirstColumn="0" w:firstRowLastColumn="0" w:lastRowFirstColumn="0" w:lastRowLastColumn="0"/>
            <w:tcW w:w="1231" w:type="dxa"/>
            <w:hideMark/>
          </w:tcPr>
          <w:p w14:paraId="10CA8C75" w14:textId="77777777" w:rsidR="00031ABD" w:rsidRPr="00657DFC" w:rsidRDefault="00031ABD" w:rsidP="00D67E1A">
            <w:pPr>
              <w:jc w:val="center"/>
              <w:rPr>
                <w:rFonts w:ascii="Cambria Math" w:hAnsi="Cambria Math"/>
              </w:rPr>
            </w:pPr>
            <w:r w:rsidRPr="00657DFC">
              <w:rPr>
                <w:rFonts w:ascii="Cambria Math" w:hAnsi="Cambria Math"/>
              </w:rPr>
              <w:t>A4</w:t>
            </w:r>
          </w:p>
        </w:tc>
        <w:tc>
          <w:tcPr>
            <w:tcW w:w="2153" w:type="dxa"/>
            <w:hideMark/>
          </w:tcPr>
          <w:p w14:paraId="457B2278"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4,100 people</w:t>
            </w:r>
          </w:p>
        </w:tc>
        <w:tc>
          <w:tcPr>
            <w:tcW w:w="0" w:type="auto"/>
            <w:hideMark/>
          </w:tcPr>
          <w:p w14:paraId="1FE637C1"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103</w:t>
            </w:r>
          </w:p>
        </w:tc>
        <w:tc>
          <w:tcPr>
            <w:tcW w:w="0" w:type="auto"/>
            <w:hideMark/>
          </w:tcPr>
          <w:p w14:paraId="5DF598A4"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137</w:t>
            </w:r>
          </w:p>
        </w:tc>
        <w:tc>
          <w:tcPr>
            <w:tcW w:w="0" w:type="auto"/>
            <w:hideMark/>
          </w:tcPr>
          <w:p w14:paraId="31EDA7E4" w14:textId="77777777" w:rsidR="00031ABD" w:rsidRPr="00657DFC" w:rsidRDefault="00031ABD" w:rsidP="00D67E1A">
            <w:pPr>
              <w:jc w:val="both"/>
              <w:cnfStyle w:val="000000000000" w:firstRow="0" w:lastRow="0" w:firstColumn="0" w:lastColumn="0" w:oddVBand="0" w:evenVBand="0" w:oddHBand="0" w:evenHBand="0" w:firstRowFirstColumn="0" w:firstRowLastColumn="0" w:lastRowFirstColumn="0" w:lastRowLastColumn="0"/>
              <w:rPr>
                <w:rFonts w:ascii="Cambria Math" w:hAnsi="Cambria Math"/>
              </w:rPr>
            </w:pPr>
            <w:r w:rsidRPr="00657DFC">
              <w:rPr>
                <w:rFonts w:ascii="Cambria Math" w:hAnsi="Cambria Math"/>
              </w:rPr>
              <w:t>410</w:t>
            </w:r>
          </w:p>
        </w:tc>
      </w:tr>
    </w:tbl>
    <w:p w14:paraId="46822B3B" w14:textId="1C887370" w:rsidR="00031ABD" w:rsidRPr="00657DFC" w:rsidRDefault="00031ABD" w:rsidP="00F1288E">
      <w:pPr>
        <w:pStyle w:val="NormalWeb"/>
        <w:jc w:val="both"/>
        <w:rPr>
          <w:rFonts w:ascii="Cambria Math" w:hAnsi="Cambria Math"/>
        </w:rPr>
      </w:pPr>
      <w:r w:rsidRPr="00657DFC">
        <w:rPr>
          <w:rStyle w:val="Emphasis"/>
          <w:rFonts w:ascii="Cambria Math" w:hAnsi="Cambria Math"/>
        </w:rPr>
        <w:t xml:space="preserve">                </w:t>
      </w:r>
      <w:r w:rsidRPr="00657DFC">
        <w:rPr>
          <w:rStyle w:val="Emphasis"/>
          <w:rFonts w:ascii="Cambria Math" w:hAnsi="Cambria Math"/>
          <w:sz w:val="22"/>
          <w:szCs w:val="22"/>
        </w:rPr>
        <w:t xml:space="preserve">Note </w:t>
      </w:r>
      <w:r w:rsidRPr="00657DFC">
        <w:rPr>
          <w:rFonts w:ascii="Cambria Math" w:hAnsi="Cambria Math"/>
          <w:sz w:val="22"/>
          <w:szCs w:val="22"/>
        </w:rPr>
        <w:t>: The number of fleets can be reduced by up to 50% if done in 2 trips.</w:t>
      </w:r>
    </w:p>
    <w:p w14:paraId="0AC14CFB" w14:textId="77777777" w:rsidR="00031ABD" w:rsidRPr="00657DFC" w:rsidRDefault="00031ABD" w:rsidP="00031ABD">
      <w:pPr>
        <w:jc w:val="both"/>
        <w:rPr>
          <w:rFonts w:ascii="Cambria Math" w:hAnsi="Cambria Math"/>
          <w:b/>
          <w:bCs/>
        </w:rPr>
      </w:pPr>
      <w:r w:rsidRPr="00657DFC">
        <w:rPr>
          <w:rFonts w:ascii="Cambria Math" w:hAnsi="Cambria Math"/>
          <w:b/>
          <w:bCs/>
        </w:rPr>
        <w:t>4. Conclusions and Recommendations</w:t>
      </w:r>
    </w:p>
    <w:p w14:paraId="34B2E4CB" w14:textId="77777777" w:rsidR="00031ABD" w:rsidRPr="00657DFC" w:rsidRDefault="00031ABD" w:rsidP="00031ABD">
      <w:pPr>
        <w:ind w:firstLine="720"/>
        <w:jc w:val="both"/>
        <w:rPr>
          <w:rFonts w:ascii="Cambria Math" w:hAnsi="Cambria Math"/>
        </w:rPr>
      </w:pPr>
      <w:r w:rsidRPr="00657DFC">
        <w:rPr>
          <w:rFonts w:ascii="Cambria Math" w:hAnsi="Cambria Math"/>
        </w:rPr>
        <w:lastRenderedPageBreak/>
        <w:t>Based on the analysis using the AHP method and field surveys, it can be concluded that optimizing the transportation network is a strategic component in disaster risk mitigation efforts at the Sepaku Semoi Dam RTD. The Sepaku-Petung Main Road was designated as a priority evacuation route due to its highest scores in terms of accessibility, capacity, and physical resilience. The Trans Kalimantan Road and the Reservoir Ring Road serve as alternative routes, while the Hydroelectric Power Plant Logistics Road is considered a limited access route for logistics.</w:t>
      </w:r>
    </w:p>
    <w:p w14:paraId="4E000EA5" w14:textId="2CE36433" w:rsidR="00031ABD" w:rsidRPr="00657DFC" w:rsidRDefault="00031ABD" w:rsidP="00031ABD">
      <w:pPr>
        <w:ind w:firstLine="720"/>
        <w:jc w:val="both"/>
        <w:rPr>
          <w:rFonts w:ascii="Cambria Math" w:hAnsi="Cambria Math"/>
        </w:rPr>
      </w:pPr>
      <w:r w:rsidRPr="00657DFC">
        <w:rPr>
          <w:rFonts w:ascii="Cambria Math" w:hAnsi="Cambria Math"/>
        </w:rPr>
        <w:t>Further research can integrate GIS-based transportation network simulation models to predict evacuation travel times and the influence of dynamic traffic conditions during disasters.</w:t>
      </w:r>
    </w:p>
    <w:p w14:paraId="733EB40B" w14:textId="77777777" w:rsidR="00031ABD" w:rsidRPr="00657DFC" w:rsidRDefault="00031ABD" w:rsidP="00031ABD">
      <w:pPr>
        <w:jc w:val="both"/>
        <w:rPr>
          <w:rFonts w:ascii="Cambria Math" w:hAnsi="Cambria Math"/>
        </w:rPr>
      </w:pPr>
      <w:r w:rsidRPr="00657DFC">
        <w:rPr>
          <w:rFonts w:ascii="Cambria Math" w:hAnsi="Cambria Math"/>
        </w:rPr>
        <w:t>Recommendations from this study include:</w:t>
      </w:r>
    </w:p>
    <w:p w14:paraId="478DFD9C" w14:textId="67EC5109" w:rsidR="00031ABD" w:rsidRPr="00657DFC" w:rsidRDefault="00031ABD" w:rsidP="00031ABD">
      <w:pPr>
        <w:numPr>
          <w:ilvl w:val="0"/>
          <w:numId w:val="12"/>
        </w:numPr>
        <w:spacing w:after="0"/>
        <w:jc w:val="both"/>
        <w:rPr>
          <w:rFonts w:ascii="Cambria Math" w:hAnsi="Cambria Math"/>
        </w:rPr>
      </w:pPr>
      <w:r w:rsidRPr="00657DFC">
        <w:rPr>
          <w:rFonts w:ascii="Cambria Math" w:hAnsi="Cambria Math"/>
        </w:rPr>
        <w:t>Accelerating improvements to the quality of the Sepaku–Petung Main Road as the main evacuation route, including widening, improving the road surface, and installing evacuation signs.</w:t>
      </w:r>
    </w:p>
    <w:p w14:paraId="2D472E01" w14:textId="64141427" w:rsidR="00031ABD" w:rsidRPr="00657DFC" w:rsidRDefault="00031ABD" w:rsidP="00031ABD">
      <w:pPr>
        <w:numPr>
          <w:ilvl w:val="0"/>
          <w:numId w:val="12"/>
        </w:numPr>
        <w:spacing w:after="0"/>
        <w:jc w:val="both"/>
        <w:rPr>
          <w:rFonts w:ascii="Cambria Math" w:hAnsi="Cambria Math"/>
        </w:rPr>
      </w:pPr>
      <w:r w:rsidRPr="00657DFC">
        <w:rPr>
          <w:rFonts w:ascii="Cambria Math" w:hAnsi="Cambria Math"/>
        </w:rPr>
        <w:t>Regular maintenance of alternative routes and strengthening of bridge and drainage structures.</w:t>
      </w:r>
    </w:p>
    <w:p w14:paraId="1EBC9829" w14:textId="1F196B08" w:rsidR="00031ABD" w:rsidRPr="00657DFC" w:rsidRDefault="00031ABD" w:rsidP="00031ABD">
      <w:pPr>
        <w:numPr>
          <w:ilvl w:val="0"/>
          <w:numId w:val="12"/>
        </w:numPr>
        <w:spacing w:after="0"/>
        <w:jc w:val="both"/>
        <w:rPr>
          <w:rFonts w:ascii="Cambria Math" w:hAnsi="Cambria Math"/>
        </w:rPr>
      </w:pPr>
      <w:r w:rsidRPr="00657DFC">
        <w:rPr>
          <w:rFonts w:ascii="Cambria Math" w:hAnsi="Cambria Math"/>
        </w:rPr>
        <w:t>Integration of the results of this analysis into official RTD documents and regional development plans.</w:t>
      </w:r>
    </w:p>
    <w:p w14:paraId="44260E6C" w14:textId="461F5E7B" w:rsidR="00031ABD" w:rsidRPr="00657DFC" w:rsidRDefault="00031ABD" w:rsidP="00031ABD">
      <w:pPr>
        <w:numPr>
          <w:ilvl w:val="0"/>
          <w:numId w:val="12"/>
        </w:numPr>
        <w:spacing w:after="0"/>
        <w:jc w:val="both"/>
        <w:rPr>
          <w:rFonts w:ascii="Cambria Math" w:hAnsi="Cambria Math"/>
        </w:rPr>
      </w:pPr>
      <w:r w:rsidRPr="00657DFC">
        <w:rPr>
          <w:rFonts w:ascii="Cambria Math" w:hAnsi="Cambria Math"/>
        </w:rPr>
        <w:t>Conducting periodic evacuation simulations and providing information to the public regarding evacuation routes and procedures.</w:t>
      </w:r>
    </w:p>
    <w:p w14:paraId="0304218D" w14:textId="0034F578" w:rsidR="00031ABD" w:rsidRPr="00657DFC" w:rsidRDefault="00031ABD" w:rsidP="00031ABD">
      <w:pPr>
        <w:pStyle w:val="NormalWeb"/>
        <w:numPr>
          <w:ilvl w:val="0"/>
          <w:numId w:val="12"/>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Integration of Routes A5 and A6 into the official RTD of Sepaku Semoi Dam </w:t>
      </w:r>
      <w:r w:rsidRPr="00657DFC">
        <w:rPr>
          <w:rFonts w:ascii="Cambria Math" w:hAnsi="Cambria Math"/>
          <w:b/>
          <w:bCs/>
        </w:rPr>
        <w:t xml:space="preserve">, </w:t>
      </w:r>
      <w:r w:rsidRPr="00657DFC">
        <w:rPr>
          <w:rFonts w:ascii="Cambria Math" w:hAnsi="Cambria Math"/>
        </w:rPr>
        <w:t>as a strategic reserve evacuation route based on spatial and risk distribution.</w:t>
      </w:r>
    </w:p>
    <w:p w14:paraId="5087C94E" w14:textId="47C5CBF3" w:rsidR="00031ABD" w:rsidRPr="00657DFC" w:rsidRDefault="00031ABD" w:rsidP="00031ABD">
      <w:pPr>
        <w:pStyle w:val="NormalWeb"/>
        <w:numPr>
          <w:ilvl w:val="0"/>
          <w:numId w:val="12"/>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Provision of emergency accommodation/shelters along A1, A2, and A6 </w:t>
      </w:r>
      <w:r w:rsidRPr="00657DFC">
        <w:rPr>
          <w:rFonts w:ascii="Cambria Math" w:hAnsi="Cambria Math"/>
          <w:b/>
          <w:bCs/>
        </w:rPr>
        <w:t xml:space="preserve">, </w:t>
      </w:r>
      <w:r w:rsidRPr="00657DFC">
        <w:rPr>
          <w:rFonts w:ascii="Cambria Math" w:hAnsi="Cambria Math"/>
        </w:rPr>
        <w:t>taking into account a capacity of ≥100 people/shelter, ventilation, clean water, and basic sanitation.</w:t>
      </w:r>
    </w:p>
    <w:p w14:paraId="0442A031" w14:textId="15417B43" w:rsidR="00031ABD" w:rsidRPr="00657DFC" w:rsidRDefault="00031ABD" w:rsidP="00031ABD">
      <w:pPr>
        <w:pStyle w:val="NormalWeb"/>
        <w:numPr>
          <w:ilvl w:val="0"/>
          <w:numId w:val="12"/>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Evacuation simulation with the community and village government</w:t>
      </w:r>
      <w:r w:rsidRPr="00657DFC">
        <w:rPr>
          <w:rFonts w:ascii="Cambria Math" w:hAnsi="Cambria Math"/>
          <w:b/>
          <w:bCs/>
        </w:rPr>
        <w:t xml:space="preserve"> </w:t>
      </w:r>
      <w:r w:rsidRPr="00657DFC">
        <w:rPr>
          <w:rFonts w:ascii="Cambria Math" w:hAnsi="Cambria Math"/>
        </w:rPr>
        <w:t>in the A5–A6 route area, considering that the public's understanding of the role of this route is still limited.</w:t>
      </w:r>
    </w:p>
    <w:p w14:paraId="51408DAF" w14:textId="6F492A17" w:rsidR="00031ABD" w:rsidRPr="00657DFC" w:rsidRDefault="00031ABD" w:rsidP="00200342">
      <w:pPr>
        <w:pStyle w:val="NormalWeb"/>
        <w:numPr>
          <w:ilvl w:val="0"/>
          <w:numId w:val="12"/>
        </w:numPr>
        <w:spacing w:before="100" w:beforeAutospacing="1" w:after="100" w:afterAutospacing="1" w:line="240" w:lineRule="auto"/>
        <w:jc w:val="both"/>
        <w:rPr>
          <w:rFonts w:ascii="Cambria Math" w:hAnsi="Cambria Math"/>
        </w:rPr>
      </w:pPr>
      <w:r w:rsidRPr="00657DFC">
        <w:rPr>
          <w:rStyle w:val="Strong"/>
          <w:rFonts w:ascii="Cambria Math" w:hAnsi="Cambria Math"/>
          <w:b w:val="0"/>
          <w:bCs w:val="0"/>
        </w:rPr>
        <w:t xml:space="preserve">Mapping travel times and route segmentation based on topographic characteristics </w:t>
      </w:r>
      <w:r w:rsidRPr="00657DFC">
        <w:rPr>
          <w:rFonts w:ascii="Cambria Math" w:hAnsi="Cambria Math"/>
          <w:b/>
          <w:bCs/>
        </w:rPr>
        <w:t xml:space="preserve">, </w:t>
      </w:r>
      <w:r w:rsidRPr="00657DFC">
        <w:rPr>
          <w:rFonts w:ascii="Cambria Math" w:hAnsi="Cambria Math"/>
        </w:rPr>
        <w:t>in order to optimize staging areas and placement of evacuation officers.</w:t>
      </w:r>
    </w:p>
    <w:p w14:paraId="348849F1" w14:textId="347E6B8C" w:rsidR="00031ABD" w:rsidRDefault="00031ABD" w:rsidP="00031ABD">
      <w:pPr>
        <w:rPr>
          <w:rFonts w:ascii="Cambria Math" w:hAnsi="Cambria Math"/>
          <w:b/>
          <w:bCs/>
        </w:rPr>
      </w:pPr>
    </w:p>
    <w:p w14:paraId="09BA600A" w14:textId="77777777" w:rsidR="008651B4" w:rsidRDefault="008651B4" w:rsidP="00031ABD">
      <w:pPr>
        <w:rPr>
          <w:rFonts w:ascii="Cambria Math" w:hAnsi="Cambria Math"/>
          <w:b/>
          <w:bCs/>
        </w:rPr>
      </w:pPr>
    </w:p>
    <w:p w14:paraId="678524E5" w14:textId="099B2064" w:rsidR="008651B4" w:rsidRDefault="008651B4" w:rsidP="00031ABD">
      <w:pPr>
        <w:rPr>
          <w:rFonts w:ascii="Cambria Math" w:hAnsi="Cambria Math"/>
          <w:b/>
          <w:bCs/>
        </w:rPr>
      </w:pPr>
    </w:p>
    <w:p w14:paraId="6AF4E479" w14:textId="1BA8F3C2" w:rsidR="008651B4" w:rsidRDefault="008651B4" w:rsidP="00031ABD">
      <w:pPr>
        <w:rPr>
          <w:rFonts w:ascii="Cambria Math" w:hAnsi="Cambria Math"/>
          <w:b/>
          <w:bCs/>
        </w:rPr>
      </w:pPr>
    </w:p>
    <w:p w14:paraId="73AAFB70" w14:textId="661B78D7" w:rsidR="008651B4" w:rsidRDefault="008651B4" w:rsidP="00031ABD">
      <w:pPr>
        <w:rPr>
          <w:rFonts w:ascii="Cambria Math" w:hAnsi="Cambria Math"/>
          <w:b/>
          <w:bCs/>
        </w:rPr>
      </w:pPr>
    </w:p>
    <w:p w14:paraId="2EC67F9D" w14:textId="0ECF0935" w:rsidR="008651B4" w:rsidRDefault="008651B4" w:rsidP="00031ABD">
      <w:pPr>
        <w:rPr>
          <w:rFonts w:ascii="Cambria Math" w:hAnsi="Cambria Math"/>
          <w:b/>
          <w:bCs/>
        </w:rPr>
      </w:pPr>
    </w:p>
    <w:p w14:paraId="61A443AE" w14:textId="61454A96" w:rsidR="008651B4" w:rsidRDefault="008651B4" w:rsidP="00031ABD">
      <w:pPr>
        <w:rPr>
          <w:rFonts w:ascii="Cambria Math" w:hAnsi="Cambria Math"/>
          <w:b/>
          <w:bCs/>
        </w:rPr>
      </w:pPr>
    </w:p>
    <w:p w14:paraId="2E1C4DE9" w14:textId="0F7A8CAF" w:rsidR="008651B4" w:rsidRPr="00657DFC" w:rsidRDefault="008651B4" w:rsidP="00031ABD">
      <w:pPr>
        <w:rPr>
          <w:rFonts w:ascii="Cambria Math" w:hAnsi="Cambria Math"/>
          <w:b/>
          <w:bCs/>
        </w:rPr>
      </w:pPr>
    </w:p>
    <w:p w14:paraId="1BACD2A1" w14:textId="1F7F7C15" w:rsidR="008F234F" w:rsidRDefault="00031ABD" w:rsidP="002B712E">
      <w:pPr>
        <w:jc w:val="center"/>
        <w:rPr>
          <w:rFonts w:ascii="Cambria Math" w:hAnsi="Cambria Math"/>
          <w:b/>
          <w:bCs/>
        </w:rPr>
      </w:pPr>
      <w:r w:rsidRPr="00657DFC">
        <w:rPr>
          <w:rFonts w:ascii="Cambria Math" w:hAnsi="Cambria Math"/>
          <w:b/>
          <w:bCs/>
        </w:rPr>
        <w:t>Bibliography</w:t>
      </w:r>
    </w:p>
    <w:p w14:paraId="31E68EE6" w14:textId="3AC8211F" w:rsidR="00756489" w:rsidRPr="00756489" w:rsidRDefault="00096E2B" w:rsidP="00756489">
      <w:pPr>
        <w:widowControl w:val="0"/>
        <w:autoSpaceDE w:val="0"/>
        <w:autoSpaceDN w:val="0"/>
        <w:adjustRightInd w:val="0"/>
        <w:spacing w:line="240" w:lineRule="auto"/>
        <w:ind w:left="640" w:hanging="640"/>
        <w:rPr>
          <w:rFonts w:ascii="Cambria Math" w:hAnsi="Cambria Math" w:cs="Times New Roman"/>
          <w:noProof/>
          <w:kern w:val="0"/>
        </w:rPr>
      </w:pPr>
      <w:r>
        <w:rPr>
          <w:rFonts w:ascii="Cambria Math" w:hAnsi="Cambria Math"/>
          <w:b/>
          <w:bCs/>
        </w:rPr>
        <w:fldChar w:fldCharType="begin" w:fldLock="1"/>
      </w:r>
      <w:r>
        <w:rPr>
          <w:rFonts w:ascii="Cambria Math" w:hAnsi="Cambria Math"/>
          <w:b/>
          <w:bCs/>
        </w:rPr>
        <w:instrText xml:space="preserve">ADDIN Mendeley Bibliography CSL_BIBLIOGRAPHY </w:instrText>
      </w:r>
      <w:r>
        <w:rPr>
          <w:rFonts w:ascii="Cambria Math" w:hAnsi="Cambria Math"/>
          <w:b/>
          <w:bCs/>
        </w:rPr>
        <w:fldChar w:fldCharType="separate"/>
      </w:r>
      <w:r w:rsidR="00756489" w:rsidRPr="00756489">
        <w:rPr>
          <w:rFonts w:ascii="Cambria Math" w:hAnsi="Cambria Math" w:cs="Times New Roman"/>
          <w:noProof/>
          <w:kern w:val="0"/>
        </w:rPr>
        <w:t xml:space="preserve">[1] </w:t>
      </w:r>
      <w:r w:rsidR="00756489" w:rsidRPr="00756489">
        <w:rPr>
          <w:rFonts w:ascii="Cambria Math" w:hAnsi="Cambria Math" w:cs="Times New Roman"/>
          <w:noProof/>
          <w:kern w:val="0"/>
        </w:rPr>
        <w:tab/>
        <w:t xml:space="preserve">A. Massaro </w:t>
      </w:r>
      <w:r w:rsidR="00756489" w:rsidRPr="00756489">
        <w:rPr>
          <w:rFonts w:ascii="Cambria Math" w:hAnsi="Cambria Math" w:cs="Times New Roman"/>
          <w:i/>
          <w:iCs/>
          <w:noProof/>
          <w:kern w:val="0"/>
        </w:rPr>
        <w:t xml:space="preserve">et al. </w:t>
      </w:r>
      <w:r w:rsidR="00756489" w:rsidRPr="00756489">
        <w:rPr>
          <w:rFonts w:ascii="Cambria Math" w:hAnsi="Cambria Math" w:cs="Times New Roman"/>
          <w:noProof/>
          <w:kern w:val="0"/>
        </w:rPr>
        <w:t xml:space="preserve">, “Innovative DSS for intelligent monitoring and urban square design approaches: A case of study,” </w:t>
      </w:r>
      <w:r w:rsidR="00756489" w:rsidRPr="00756489">
        <w:rPr>
          <w:rFonts w:ascii="Cambria Math" w:hAnsi="Cambria Math" w:cs="Times New Roman"/>
          <w:i/>
          <w:iCs/>
          <w:noProof/>
          <w:kern w:val="0"/>
        </w:rPr>
        <w:t xml:space="preserve">Sustain. Cities Soc. </w:t>
      </w:r>
      <w:r w:rsidR="00756489" w:rsidRPr="00756489">
        <w:rPr>
          <w:rFonts w:ascii="Cambria Math" w:hAnsi="Cambria Math" w:cs="Times New Roman"/>
          <w:noProof/>
          <w:kern w:val="0"/>
        </w:rPr>
        <w:t>, vol. 65, p. 102653, 2021, doi: 10.1016/j.scs.2020.102653.</w:t>
      </w:r>
    </w:p>
    <w:p w14:paraId="7504E824" w14:textId="610D9FBA"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[2] </w:t>
      </w:r>
      <w:r w:rsidRPr="00756489">
        <w:rPr>
          <w:rFonts w:ascii="Cambria Math" w:hAnsi="Cambria Math" w:cs="Times New Roman"/>
          <w:noProof/>
          <w:kern w:val="0"/>
        </w:rPr>
        <w:tab/>
        <w:t>K. Endo, Y. Taira, and N. Yamaguchi, “The relocation of the capital of Indonesia under the Jokowi administration: Issues and government responses,” no. 12, 2025, [Online]. Available: https://jicari.repo.nii.ac.jp/records/2000099%0A https://jicari.repo.nii.ac.jp/record/2000099/files/Knowlege_Report_No12.pdf.</w:t>
      </w:r>
    </w:p>
    <w:p w14:paraId="584A9E12" w14:textId="749E216A"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[3] </w:t>
      </w:r>
      <w:r w:rsidRPr="00756489">
        <w:rPr>
          <w:rFonts w:ascii="Cambria Math" w:hAnsi="Cambria Math" w:cs="Times New Roman"/>
          <w:noProof/>
          <w:kern w:val="0"/>
        </w:rPr>
        <w:tab/>
        <w:t xml:space="preserve">A. Sha </w:t>
      </w:r>
      <w:r w:rsidRPr="00756489">
        <w:rPr>
          <w:rFonts w:ascii="Cambria Math" w:hAnsi="Cambria Math" w:cs="Times New Roman"/>
          <w:i/>
          <w:iCs/>
          <w:noProof/>
          <w:kern w:val="0"/>
        </w:rPr>
        <w:t xml:space="preserve">et al. </w:t>
      </w:r>
      <w:r w:rsidRPr="00756489">
        <w:rPr>
          <w:rFonts w:ascii="Cambria Math" w:hAnsi="Cambria Math" w:cs="Times New Roman"/>
          <w:noProof/>
          <w:kern w:val="0"/>
        </w:rPr>
        <w:t xml:space="preserve">, “Advances and development trends in eco-friendly pavements,” </w:t>
      </w:r>
      <w:r w:rsidRPr="00756489">
        <w:rPr>
          <w:rFonts w:ascii="Cambria Math" w:hAnsi="Cambria Math" w:cs="Times New Roman"/>
          <w:i/>
          <w:iCs/>
          <w:noProof/>
          <w:kern w:val="0"/>
        </w:rPr>
        <w:t xml:space="preserve">J. Road Eng. </w:t>
      </w:r>
      <w:r w:rsidRPr="00756489">
        <w:rPr>
          <w:rFonts w:ascii="Cambria Math" w:hAnsi="Cambria Math" w:cs="Times New Roman"/>
          <w:noProof/>
          <w:kern w:val="0"/>
        </w:rPr>
        <w:t>, vol. 1, no. December, pp. 1–42, 2021, doi: 10.1016/j.jreng.2021.12.002.</w:t>
      </w:r>
    </w:p>
    <w:p w14:paraId="419EEF15" w14:textId="77777777"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[4] </w:t>
      </w:r>
      <w:r w:rsidRPr="00756489">
        <w:rPr>
          <w:rFonts w:ascii="Cambria Math" w:hAnsi="Cambria Math" w:cs="Times New Roman"/>
          <w:noProof/>
          <w:kern w:val="0"/>
        </w:rPr>
        <w:tab/>
        <w:t xml:space="preserve">M. Hussain, MM Ajmal, M. Khan, and H. Saber, “Competitive priorities and knowledge management: An empirical investigation of manufacturing companies in the UAE,” </w:t>
      </w:r>
      <w:r w:rsidRPr="00756489">
        <w:rPr>
          <w:rFonts w:ascii="Cambria Math" w:hAnsi="Cambria Math" w:cs="Times New Roman"/>
          <w:i/>
          <w:iCs/>
          <w:noProof/>
          <w:kern w:val="0"/>
        </w:rPr>
        <w:t xml:space="preserve">J. Manuf. Technol. Manag. </w:t>
      </w:r>
      <w:r w:rsidRPr="00756489">
        <w:rPr>
          <w:rFonts w:ascii="Cambria Math" w:hAnsi="Cambria Math" w:cs="Times New Roman"/>
          <w:noProof/>
          <w:kern w:val="0"/>
        </w:rPr>
        <w:t>, vol. 26, no. 6, pp. 791–806, 2015, doi: 10.1108/JMTM-03-2014-0020.</w:t>
      </w:r>
    </w:p>
    <w:p w14:paraId="0946CA9B" w14:textId="2B0D7A78"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[5] </w:t>
      </w:r>
      <w:r w:rsidRPr="00756489">
        <w:rPr>
          <w:rFonts w:ascii="Cambria Math" w:hAnsi="Cambria Math" w:cs="Times New Roman"/>
          <w:noProof/>
          <w:kern w:val="0"/>
        </w:rPr>
        <w:tab/>
        <w:t xml:space="preserve">P. Thammaboribal, NK Tripathi, and S. Lipiloet, “Using of Analytical Hierarchy Process (AHP) in Disaster Management: A Review of Flooding and Landslide Susceptibility Mapping,” </w:t>
      </w:r>
      <w:r w:rsidRPr="00756489">
        <w:rPr>
          <w:rFonts w:ascii="Cambria Math" w:hAnsi="Cambria Math" w:cs="Times New Roman"/>
          <w:i/>
          <w:iCs/>
          <w:noProof/>
          <w:kern w:val="0"/>
        </w:rPr>
        <w:t xml:space="preserve">Int. J. Geoinformatics </w:t>
      </w:r>
      <w:r w:rsidRPr="00756489">
        <w:rPr>
          <w:rFonts w:ascii="Cambria Math" w:hAnsi="Cambria Math" w:cs="Times New Roman"/>
          <w:noProof/>
          <w:kern w:val="0"/>
        </w:rPr>
        <w:t>, vol. 21, no. 4, pp. 177–196, 2025, doi: 10.52939/ijg.v21i4.4091.</w:t>
      </w:r>
    </w:p>
    <w:p w14:paraId="7BD744D7" w14:textId="0141363D"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[6] </w:t>
      </w:r>
      <w:r w:rsidRPr="00756489">
        <w:rPr>
          <w:rFonts w:ascii="Cambria Math" w:hAnsi="Cambria Math" w:cs="Times New Roman"/>
          <w:noProof/>
          <w:kern w:val="0"/>
        </w:rPr>
        <w:tab/>
        <w:t xml:space="preserve">TL Saaty, “Decision making with the Analytic Hierarchy Process,” </w:t>
      </w:r>
      <w:r w:rsidRPr="00756489">
        <w:rPr>
          <w:rFonts w:ascii="Cambria Math" w:hAnsi="Cambria Math" w:cs="Times New Roman"/>
          <w:i/>
          <w:iCs/>
          <w:noProof/>
          <w:kern w:val="0"/>
        </w:rPr>
        <w:t xml:space="preserve">Sci. Iran. </w:t>
      </w:r>
      <w:r w:rsidRPr="00756489">
        <w:rPr>
          <w:rFonts w:ascii="Cambria Math" w:hAnsi="Cambria Math" w:cs="Times New Roman"/>
          <w:noProof/>
          <w:kern w:val="0"/>
        </w:rPr>
        <w:t>, vol. 9, no. 3, pp. 215–229, 2002, doi: 10.1504/ijssci.2008.017590.</w:t>
      </w:r>
    </w:p>
    <w:p w14:paraId="0C78F694" w14:textId="77777777"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[7] </w:t>
      </w:r>
      <w:r w:rsidRPr="00756489">
        <w:rPr>
          <w:rFonts w:ascii="Cambria Math" w:hAnsi="Cambria Math" w:cs="Times New Roman"/>
          <w:noProof/>
          <w:kern w:val="0"/>
        </w:rPr>
        <w:tab/>
        <w:t xml:space="preserve">S. CHOOSUMRONG, V. RAGHAVAN, and N. BOZON, “Multi-Criteria Emergency Route Planning Based on Analytical Hierarchy Process and pgRouting,” </w:t>
      </w:r>
      <w:r w:rsidRPr="00756489">
        <w:rPr>
          <w:rFonts w:ascii="Cambria Math" w:hAnsi="Cambria Math" w:cs="Times New Roman"/>
          <w:i/>
          <w:iCs/>
          <w:noProof/>
          <w:kern w:val="0"/>
        </w:rPr>
        <w:t xml:space="preserve">Geoinformatics </w:t>
      </w:r>
      <w:r w:rsidRPr="00756489">
        <w:rPr>
          <w:rFonts w:ascii="Cambria Math" w:hAnsi="Cambria Math" w:cs="Times New Roman"/>
          <w:noProof/>
          <w:kern w:val="0"/>
        </w:rPr>
        <w:t>, vol. 23, no. 4, pp. 159–167, 2012, doi: 10.6010/geoinformatics.23.159.</w:t>
      </w:r>
    </w:p>
    <w:p w14:paraId="179832A8" w14:textId="00FA7770"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[8] </w:t>
      </w:r>
      <w:r w:rsidRPr="00756489">
        <w:rPr>
          <w:rFonts w:ascii="Cambria Math" w:hAnsi="Cambria Math" w:cs="Times New Roman"/>
          <w:noProof/>
          <w:kern w:val="0"/>
        </w:rPr>
        <w:tab/>
        <w:t xml:space="preserve">JO Ebingner and N. Vandycke, “Moving Toward Climate-Resilient Transport The World Bank's Experience from,” </w:t>
      </w:r>
      <w:r w:rsidRPr="00756489">
        <w:rPr>
          <w:rFonts w:ascii="Cambria Math" w:hAnsi="Cambria Math" w:cs="Times New Roman"/>
          <w:i/>
          <w:iCs/>
          <w:noProof/>
          <w:kern w:val="0"/>
        </w:rPr>
        <w:t xml:space="preserve">World Bank Gr. </w:t>
      </w:r>
      <w:r w:rsidRPr="00756489">
        <w:rPr>
          <w:rFonts w:ascii="Cambria Math" w:hAnsi="Cambria Math" w:cs="Times New Roman"/>
          <w:noProof/>
          <w:kern w:val="0"/>
        </w:rPr>
        <w:t>, 2015.</w:t>
      </w:r>
    </w:p>
    <w:p w14:paraId="44DC14EC" w14:textId="61C08314" w:rsidR="00756489" w:rsidRPr="00756489" w:rsidRDefault="00756489" w:rsidP="00756489">
      <w:pPr>
        <w:widowControl w:val="0"/>
        <w:autoSpaceDE w:val="0"/>
        <w:autoSpaceDN w:val="0"/>
        <w:adjustRightInd w:val="0"/>
        <w:spacing w:line="240" w:lineRule="auto"/>
        <w:ind w:left="640" w:hanging="640"/>
        <w:rPr>
          <w:rFonts w:ascii="Cambria Math" w:hAnsi="Cambria Math" w:cs="Times New Roman"/>
          <w:noProof/>
          <w:kern w:val="0"/>
        </w:rPr>
      </w:pPr>
      <w:r w:rsidRPr="00756489">
        <w:rPr>
          <w:rFonts w:ascii="Cambria Math" w:hAnsi="Cambria Math" w:cs="Times New Roman"/>
          <w:noProof/>
          <w:kern w:val="0"/>
        </w:rPr>
        <w:t xml:space="preserve">[9] </w:t>
      </w:r>
      <w:r w:rsidRPr="00756489">
        <w:rPr>
          <w:rFonts w:ascii="Cambria Math" w:hAnsi="Cambria Math" w:cs="Times New Roman"/>
          <w:noProof/>
          <w:kern w:val="0"/>
        </w:rPr>
        <w:tab/>
        <w:t>“Guide for Planning Mass Evacuations in Disasters.”</w:t>
      </w:r>
    </w:p>
    <w:p w14:paraId="4A1B7CEC" w14:textId="77777777" w:rsidR="00756489" w:rsidRPr="00756489" w:rsidRDefault="00756489" w:rsidP="00756489">
      <w:pPr>
        <w:widowControl w:val="0"/>
        <w:autoSpaceDE w:val="0"/>
        <w:autoSpaceDN w:val="0"/>
        <w:adjustRightInd w:val="0"/>
        <w:spacing w:line="240" w:lineRule="auto"/>
        <w:ind w:left="640" w:hanging="640"/>
        <w:rPr>
          <w:rFonts w:ascii="Cambria Math" w:hAnsi="Cambria Math"/>
          <w:noProof/>
        </w:rPr>
      </w:pPr>
      <w:r w:rsidRPr="00756489">
        <w:rPr>
          <w:rFonts w:ascii="Cambria Math" w:hAnsi="Cambria Math" w:cs="Times New Roman"/>
          <w:noProof/>
          <w:kern w:val="0"/>
        </w:rPr>
        <w:t xml:space="preserve">[10] </w:t>
      </w:r>
      <w:r w:rsidRPr="00756489">
        <w:rPr>
          <w:rFonts w:ascii="Cambria Math" w:hAnsi="Cambria Math" w:cs="Times New Roman"/>
          <w:noProof/>
          <w:kern w:val="0"/>
        </w:rPr>
        <w:tab/>
        <w:t xml:space="preserve">G. Gagliardi </w:t>
      </w:r>
      <w:r w:rsidRPr="00756489">
        <w:rPr>
          <w:rFonts w:ascii="Cambria Math" w:hAnsi="Cambria Math" w:cs="Times New Roman"/>
          <w:i/>
          <w:iCs/>
          <w:noProof/>
          <w:kern w:val="0"/>
        </w:rPr>
        <w:t xml:space="preserve">et al. </w:t>
      </w:r>
      <w:r w:rsidRPr="00756489">
        <w:rPr>
          <w:rFonts w:ascii="Cambria Math" w:hAnsi="Cambria Math" w:cs="Times New Roman"/>
          <w:noProof/>
          <w:kern w:val="0"/>
        </w:rPr>
        <w:t xml:space="preserve">, “Optical fiber sensing based on reflection laser spectroscopy,” </w:t>
      </w:r>
      <w:r w:rsidRPr="00756489">
        <w:rPr>
          <w:rFonts w:ascii="Cambria Math" w:hAnsi="Cambria Math" w:cs="Times New Roman"/>
          <w:i/>
          <w:iCs/>
          <w:noProof/>
          <w:kern w:val="0"/>
        </w:rPr>
        <w:t xml:space="preserve">Sensors </w:t>
      </w:r>
      <w:r w:rsidRPr="00756489">
        <w:rPr>
          <w:rFonts w:ascii="Cambria Math" w:hAnsi="Cambria Math" w:cs="Times New Roman"/>
          <w:noProof/>
          <w:kern w:val="0"/>
        </w:rPr>
        <w:t>, vol. 10, no. 3, pp. 1823–1845, 2010, doi: 10.3390/s100301823.</w:t>
      </w:r>
    </w:p>
    <w:p w14:paraId="611664D7" w14:textId="7796E9FF" w:rsidR="00657DFC" w:rsidRPr="00657DFC" w:rsidRDefault="00096E2B" w:rsidP="008651B4">
      <w:pPr>
        <w:jc w:val="center"/>
        <w:rPr>
          <w:rFonts w:ascii="Cambria Math" w:hAnsi="Cambria Math"/>
        </w:rPr>
      </w:pPr>
      <w:r>
        <w:rPr>
          <w:rFonts w:ascii="Cambria Math" w:hAnsi="Cambria Math"/>
          <w:b/>
          <w:bCs/>
        </w:rPr>
        <w:fldChar w:fldCharType="end"/>
      </w:r>
    </w:p>
    <w:p w14:paraId="6516A84C" w14:textId="2F55FC6D" w:rsidR="00AB1CDB" w:rsidRPr="00AB1CDB" w:rsidRDefault="00AB1CDB" w:rsidP="00AB1CDB">
      <w:pPr>
        <w:rPr>
          <w:rFonts w:ascii="Cambria Math" w:hAnsi="Cambria Math"/>
        </w:rPr>
      </w:pPr>
    </w:p>
    <w:sectPr w:rsidR="00AB1CDB" w:rsidRPr="00AB1CDB" w:rsidSect="00657DFC">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12DEA"/>
    <w:multiLevelType w:val="multilevel"/>
    <w:tmpl w:val="0B2E350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630BA"/>
    <w:multiLevelType w:val="multilevel"/>
    <w:tmpl w:val="039C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3788D"/>
    <w:multiLevelType w:val="hybridMultilevel"/>
    <w:tmpl w:val="7A4AE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62DB0"/>
    <w:multiLevelType w:val="multilevel"/>
    <w:tmpl w:val="F8600A74"/>
    <w:lvl w:ilvl="0">
      <w:start w:val="1"/>
      <w:numFmt w:val="decimal"/>
      <w:lvlText w:val="%1."/>
      <w:lvlJc w:val="left"/>
      <w:pPr>
        <w:tabs>
          <w:tab w:val="num" w:pos="720"/>
        </w:tabs>
        <w:ind w:left="720" w:hanging="360"/>
      </w:pPr>
      <w:rPr>
        <w:b/>
        <w:bCs/>
      </w:rPr>
    </w:lvl>
    <w:lvl w:ilvl="1">
      <w:start w:val="2"/>
      <w:numFmt w:val="bullet"/>
      <w:lvlText w:val="-"/>
      <w:lvlJc w:val="left"/>
      <w:pPr>
        <w:ind w:left="1440" w:hanging="360"/>
      </w:pPr>
      <w:rPr>
        <w:rFonts w:ascii="Cambria Math" w:eastAsiaTheme="minorHAnsi" w:hAnsi="Cambria Math"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632F6E"/>
    <w:multiLevelType w:val="multilevel"/>
    <w:tmpl w:val="9E3CE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327FAF"/>
    <w:multiLevelType w:val="multilevel"/>
    <w:tmpl w:val="7F00B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E95AE6"/>
    <w:multiLevelType w:val="multilevel"/>
    <w:tmpl w:val="0602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4127E6"/>
    <w:multiLevelType w:val="hybridMultilevel"/>
    <w:tmpl w:val="70D88696"/>
    <w:lvl w:ilvl="0" w:tplc="C2329E6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BA5373"/>
    <w:multiLevelType w:val="multilevel"/>
    <w:tmpl w:val="731A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C532DF"/>
    <w:multiLevelType w:val="hybridMultilevel"/>
    <w:tmpl w:val="91001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6C4A41"/>
    <w:multiLevelType w:val="hybridMultilevel"/>
    <w:tmpl w:val="BA40D0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281AD7"/>
    <w:multiLevelType w:val="hybridMultilevel"/>
    <w:tmpl w:val="2FDA497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2" w15:restartNumberingAfterBreak="0">
    <w:nsid w:val="74570504"/>
    <w:multiLevelType w:val="hybridMultilevel"/>
    <w:tmpl w:val="495E0B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AA029FC"/>
    <w:multiLevelType w:val="multilevel"/>
    <w:tmpl w:val="E8B64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6009D7"/>
    <w:multiLevelType w:val="multilevel"/>
    <w:tmpl w:val="47E6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2C7E6D"/>
    <w:multiLevelType w:val="multilevel"/>
    <w:tmpl w:val="EEE8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871156">
    <w:abstractNumId w:val="0"/>
  </w:num>
  <w:num w:numId="2" w16cid:durableId="1751928890">
    <w:abstractNumId w:val="3"/>
  </w:num>
  <w:num w:numId="3" w16cid:durableId="326905425">
    <w:abstractNumId w:val="15"/>
  </w:num>
  <w:num w:numId="4" w16cid:durableId="1533572172">
    <w:abstractNumId w:val="4"/>
  </w:num>
  <w:num w:numId="5" w16cid:durableId="684358362">
    <w:abstractNumId w:val="9"/>
  </w:num>
  <w:num w:numId="6" w16cid:durableId="1956256691">
    <w:abstractNumId w:val="10"/>
  </w:num>
  <w:num w:numId="7" w16cid:durableId="143931637">
    <w:abstractNumId w:val="7"/>
  </w:num>
  <w:num w:numId="8" w16cid:durableId="1824590187">
    <w:abstractNumId w:val="12"/>
  </w:num>
  <w:num w:numId="9" w16cid:durableId="366756533">
    <w:abstractNumId w:val="8"/>
  </w:num>
  <w:num w:numId="10" w16cid:durableId="1280336760">
    <w:abstractNumId w:val="2"/>
  </w:num>
  <w:num w:numId="11" w16cid:durableId="945623055">
    <w:abstractNumId w:val="6"/>
  </w:num>
  <w:num w:numId="12" w16cid:durableId="467941841">
    <w:abstractNumId w:val="5"/>
  </w:num>
  <w:num w:numId="13" w16cid:durableId="1761483049">
    <w:abstractNumId w:val="14"/>
  </w:num>
  <w:num w:numId="14" w16cid:durableId="1693072050">
    <w:abstractNumId w:val="1"/>
  </w:num>
  <w:num w:numId="15" w16cid:durableId="1153989252">
    <w:abstractNumId w:val="13"/>
  </w:num>
  <w:num w:numId="16" w16cid:durableId="724985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BD"/>
    <w:rsid w:val="00031ABD"/>
    <w:rsid w:val="00096E2B"/>
    <w:rsid w:val="000D0BC7"/>
    <w:rsid w:val="00165F73"/>
    <w:rsid w:val="00200342"/>
    <w:rsid w:val="00256571"/>
    <w:rsid w:val="002A32D0"/>
    <w:rsid w:val="002A533B"/>
    <w:rsid w:val="002B712E"/>
    <w:rsid w:val="002D6C72"/>
    <w:rsid w:val="00351D6E"/>
    <w:rsid w:val="004C715F"/>
    <w:rsid w:val="00526EDF"/>
    <w:rsid w:val="005A5599"/>
    <w:rsid w:val="00657DFC"/>
    <w:rsid w:val="00756489"/>
    <w:rsid w:val="007C33A0"/>
    <w:rsid w:val="008651B4"/>
    <w:rsid w:val="008F234F"/>
    <w:rsid w:val="009008DB"/>
    <w:rsid w:val="009A41B9"/>
    <w:rsid w:val="00A10315"/>
    <w:rsid w:val="00AB1CDB"/>
    <w:rsid w:val="00BB0BEE"/>
    <w:rsid w:val="00C04C4B"/>
    <w:rsid w:val="00D10537"/>
    <w:rsid w:val="00E52C68"/>
    <w:rsid w:val="00ED3D84"/>
    <w:rsid w:val="00F063F2"/>
    <w:rsid w:val="00F1288E"/>
    <w:rsid w:val="00F30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A76EF"/>
  <w15:chartTrackingRefBased/>
  <w15:docId w15:val="{123A89AD-ED07-46E9-9585-6161EC95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FC"/>
  </w:style>
  <w:style w:type="paragraph" w:styleId="Heading1">
    <w:name w:val="heading 1"/>
    <w:basedOn w:val="Normal"/>
    <w:next w:val="Normal"/>
    <w:link w:val="Heading1Char"/>
    <w:uiPriority w:val="9"/>
    <w:qFormat/>
    <w:rsid w:val="00031A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1A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31A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1A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1A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1A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A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1A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31A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1A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1A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1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ABD"/>
    <w:rPr>
      <w:rFonts w:eastAsiaTheme="majorEastAsia" w:cstheme="majorBidi"/>
      <w:color w:val="272727" w:themeColor="text1" w:themeTint="D8"/>
    </w:rPr>
  </w:style>
  <w:style w:type="paragraph" w:styleId="Title">
    <w:name w:val="Title"/>
    <w:basedOn w:val="Normal"/>
    <w:next w:val="Normal"/>
    <w:link w:val="TitleChar"/>
    <w:uiPriority w:val="10"/>
    <w:qFormat/>
    <w:rsid w:val="00031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ABD"/>
    <w:pPr>
      <w:spacing w:before="160"/>
      <w:jc w:val="center"/>
    </w:pPr>
    <w:rPr>
      <w:i/>
      <w:iCs/>
      <w:color w:val="404040" w:themeColor="text1" w:themeTint="BF"/>
    </w:rPr>
  </w:style>
  <w:style w:type="character" w:customStyle="1" w:styleId="QuoteChar">
    <w:name w:val="Quote Char"/>
    <w:basedOn w:val="DefaultParagraphFont"/>
    <w:link w:val="Quote"/>
    <w:uiPriority w:val="29"/>
    <w:rsid w:val="00031ABD"/>
    <w:rPr>
      <w:i/>
      <w:iCs/>
      <w:color w:val="404040" w:themeColor="text1" w:themeTint="BF"/>
    </w:rPr>
  </w:style>
  <w:style w:type="paragraph" w:styleId="ListParagraph">
    <w:name w:val="List Paragraph"/>
    <w:basedOn w:val="Normal"/>
    <w:uiPriority w:val="1"/>
    <w:qFormat/>
    <w:rsid w:val="00031ABD"/>
    <w:pPr>
      <w:ind w:left="720"/>
      <w:contextualSpacing/>
    </w:pPr>
  </w:style>
  <w:style w:type="character" w:styleId="IntenseEmphasis">
    <w:name w:val="Intense Emphasis"/>
    <w:basedOn w:val="DefaultParagraphFont"/>
    <w:uiPriority w:val="21"/>
    <w:qFormat/>
    <w:rsid w:val="00031ABD"/>
    <w:rPr>
      <w:i/>
      <w:iCs/>
      <w:color w:val="2F5496" w:themeColor="accent1" w:themeShade="BF"/>
    </w:rPr>
  </w:style>
  <w:style w:type="paragraph" w:styleId="IntenseQuote">
    <w:name w:val="Intense Quote"/>
    <w:basedOn w:val="Normal"/>
    <w:next w:val="Normal"/>
    <w:link w:val="IntenseQuoteChar"/>
    <w:uiPriority w:val="30"/>
    <w:qFormat/>
    <w:rsid w:val="00031A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1ABD"/>
    <w:rPr>
      <w:i/>
      <w:iCs/>
      <w:color w:val="2F5496" w:themeColor="accent1" w:themeShade="BF"/>
    </w:rPr>
  </w:style>
  <w:style w:type="character" w:styleId="IntenseReference">
    <w:name w:val="Intense Reference"/>
    <w:basedOn w:val="DefaultParagraphFont"/>
    <w:uiPriority w:val="32"/>
    <w:qFormat/>
    <w:rsid w:val="00031ABD"/>
    <w:rPr>
      <w:b/>
      <w:bCs/>
      <w:smallCaps/>
      <w:color w:val="2F5496" w:themeColor="accent1" w:themeShade="BF"/>
      <w:spacing w:val="5"/>
    </w:rPr>
  </w:style>
  <w:style w:type="character" w:styleId="Hyperlink">
    <w:name w:val="Hyperlink"/>
    <w:basedOn w:val="DefaultParagraphFont"/>
    <w:uiPriority w:val="99"/>
    <w:unhideWhenUsed/>
    <w:rsid w:val="00031ABD"/>
    <w:rPr>
      <w:color w:val="0563C1" w:themeColor="hyperlink"/>
      <w:u w:val="single"/>
    </w:rPr>
  </w:style>
  <w:style w:type="paragraph" w:styleId="BodyText">
    <w:name w:val="Body Text"/>
    <w:basedOn w:val="Normal"/>
    <w:link w:val="BodyTextChar"/>
    <w:uiPriority w:val="1"/>
    <w:qFormat/>
    <w:rsid w:val="00031ABD"/>
    <w:pPr>
      <w:widowControl w:val="0"/>
      <w:autoSpaceDE w:val="0"/>
      <w:autoSpaceDN w:val="0"/>
      <w:spacing w:after="0" w:line="240" w:lineRule="auto"/>
    </w:pPr>
    <w:rPr>
      <w:rFonts w:ascii="Cambria Math" w:eastAsia="Cambria Math" w:hAnsi="Cambria Math" w:cs="Cambria Math"/>
      <w:kern w:val="0"/>
      <w14:ligatures w14:val="none"/>
    </w:rPr>
  </w:style>
  <w:style w:type="character" w:customStyle="1" w:styleId="BodyTextChar">
    <w:name w:val="Body Text Char"/>
    <w:basedOn w:val="DefaultParagraphFont"/>
    <w:link w:val="BodyText"/>
    <w:uiPriority w:val="1"/>
    <w:rsid w:val="00031ABD"/>
    <w:rPr>
      <w:rFonts w:ascii="Cambria Math" w:eastAsia="Cambria Math" w:hAnsi="Cambria Math" w:cs="Cambria Math"/>
      <w:kern w:val="0"/>
      <w:lang w:val="en"/>
      <w14:ligatures w14:val="none"/>
    </w:rPr>
  </w:style>
  <w:style w:type="paragraph" w:styleId="NormalWeb">
    <w:name w:val="Normal (Web)"/>
    <w:basedOn w:val="Normal"/>
    <w:uiPriority w:val="99"/>
    <w:unhideWhenUsed/>
    <w:rsid w:val="00031ABD"/>
    <w:rPr>
      <w:rFonts w:ascii="Times New Roman" w:hAnsi="Times New Roman" w:cs="Times New Roman"/>
    </w:rPr>
  </w:style>
  <w:style w:type="character" w:styleId="Strong">
    <w:name w:val="Strong"/>
    <w:basedOn w:val="DefaultParagraphFont"/>
    <w:uiPriority w:val="22"/>
    <w:qFormat/>
    <w:rsid w:val="00031ABD"/>
    <w:rPr>
      <w:b/>
      <w:bCs/>
    </w:rPr>
  </w:style>
  <w:style w:type="character" w:styleId="Emphasis">
    <w:name w:val="Emphasis"/>
    <w:basedOn w:val="DefaultParagraphFont"/>
    <w:uiPriority w:val="20"/>
    <w:qFormat/>
    <w:rsid w:val="00031ABD"/>
    <w:rPr>
      <w:i/>
      <w:iCs/>
    </w:rPr>
  </w:style>
  <w:style w:type="table" w:styleId="PlainTable2">
    <w:name w:val="Plain Table 2"/>
    <w:basedOn w:val="TableNormal"/>
    <w:uiPriority w:val="42"/>
    <w:rsid w:val="00F128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8F234F"/>
    <w:rPr>
      <w:color w:val="605E5C"/>
      <w:shd w:val="clear" w:color="auto" w:fill="E1DFDD"/>
    </w:rPr>
  </w:style>
  <w:style w:type="character" w:styleId="FollowedHyperlink">
    <w:name w:val="FollowedHyperlink"/>
    <w:basedOn w:val="DefaultParagraphFont"/>
    <w:uiPriority w:val="99"/>
    <w:semiHidden/>
    <w:unhideWhenUsed/>
    <w:rsid w:val="008F23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18392">
      <w:bodyDiv w:val="1"/>
      <w:marLeft w:val="0"/>
      <w:marRight w:val="0"/>
      <w:marTop w:val="0"/>
      <w:marBottom w:val="0"/>
      <w:divBdr>
        <w:top w:val="none" w:sz="0" w:space="0" w:color="auto"/>
        <w:left w:val="none" w:sz="0" w:space="0" w:color="auto"/>
        <w:bottom w:val="none" w:sz="0" w:space="0" w:color="auto"/>
        <w:right w:val="none" w:sz="0" w:space="0" w:color="auto"/>
      </w:divBdr>
    </w:div>
    <w:div w:id="1161852701">
      <w:bodyDiv w:val="1"/>
      <w:marLeft w:val="0"/>
      <w:marRight w:val="0"/>
      <w:marTop w:val="0"/>
      <w:marBottom w:val="0"/>
      <w:divBdr>
        <w:top w:val="none" w:sz="0" w:space="0" w:color="auto"/>
        <w:left w:val="none" w:sz="0" w:space="0" w:color="auto"/>
        <w:bottom w:val="none" w:sz="0" w:space="0" w:color="auto"/>
        <w:right w:val="none" w:sz="0" w:space="0" w:color="auto"/>
      </w:divBdr>
    </w:div>
    <w:div w:id="1530799009">
      <w:bodyDiv w:val="1"/>
      <w:marLeft w:val="0"/>
      <w:marRight w:val="0"/>
      <w:marTop w:val="0"/>
      <w:marBottom w:val="0"/>
      <w:divBdr>
        <w:top w:val="none" w:sz="0" w:space="0" w:color="auto"/>
        <w:left w:val="none" w:sz="0" w:space="0" w:color="auto"/>
        <w:bottom w:val="none" w:sz="0" w:space="0" w:color="auto"/>
        <w:right w:val="none" w:sz="0" w:space="0" w:color="auto"/>
      </w:divBdr>
    </w:div>
    <w:div w:id="1935237840">
      <w:bodyDiv w:val="1"/>
      <w:marLeft w:val="0"/>
      <w:marRight w:val="0"/>
      <w:marTop w:val="0"/>
      <w:marBottom w:val="0"/>
      <w:divBdr>
        <w:top w:val="none" w:sz="0" w:space="0" w:color="auto"/>
        <w:left w:val="none" w:sz="0" w:space="0" w:color="auto"/>
        <w:bottom w:val="none" w:sz="0" w:space="0" w:color="auto"/>
        <w:right w:val="none" w:sz="0" w:space="0" w:color="auto"/>
      </w:divBdr>
    </w:div>
    <w:div w:id="2003581844">
      <w:bodyDiv w:val="1"/>
      <w:marLeft w:val="0"/>
      <w:marRight w:val="0"/>
      <w:marTop w:val="0"/>
      <w:marBottom w:val="0"/>
      <w:divBdr>
        <w:top w:val="none" w:sz="0" w:space="0" w:color="auto"/>
        <w:left w:val="none" w:sz="0" w:space="0" w:color="auto"/>
        <w:bottom w:val="none" w:sz="0" w:space="0" w:color="auto"/>
        <w:right w:val="none" w:sz="0" w:space="0" w:color="auto"/>
      </w:divBdr>
    </w:div>
    <w:div w:id="213027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zony@untag-smd.ac.id"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46D3B-15EB-4EDF-991A-A2F23987F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7783</Words>
  <Characters>44368</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friskaferonica9@gmail.com</dc:creator>
  <cp:keywords/>
  <dc:description/>
  <cp:lastModifiedBy>friskaferonica9@gmail.com</cp:lastModifiedBy>
  <cp:revision>2</cp:revision>
  <dcterms:created xsi:type="dcterms:W3CDTF">2025-07-23T05:47:00Z</dcterms:created>
  <dcterms:modified xsi:type="dcterms:W3CDTF">2025-07-23T05:47:00Z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c83325bb-e070-3398-a1a1-7cdb3e2fd413</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