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CE677" w14:textId="13D47CEA" w:rsidR="00904D6D" w:rsidRPr="00930566" w:rsidRDefault="00930566" w:rsidP="00904D6D">
      <w:pPr>
        <w:jc w:val="center"/>
        <w:rPr>
          <w:rFonts w:ascii="Baskerville Old Face" w:hAnsi="Baskerville Old Face"/>
          <w:b/>
          <w:bCs/>
          <w:lang w:val="en-ID"/>
        </w:rPr>
      </w:pPr>
      <w:r w:rsidRPr="00930566">
        <w:rPr>
          <w:rFonts w:ascii="Segoe UI Symbol" w:hAnsi="Segoe UI Symbol"/>
          <w:b/>
          <w:bCs/>
          <w:sz w:val="28"/>
          <w:szCs w:val="24"/>
        </w:rPr>
        <w:t>Pricing European Options with Transaction Costs Using a Numerical Approach</w:t>
      </w:r>
    </w:p>
    <w:tbl>
      <w:tblPr>
        <w:tblW w:w="0" w:type="auto"/>
        <w:tblLook w:val="04A0" w:firstRow="1" w:lastRow="0" w:firstColumn="1" w:lastColumn="0" w:noHBand="0" w:noVBand="1"/>
      </w:tblPr>
      <w:tblGrid>
        <w:gridCol w:w="1843"/>
        <w:gridCol w:w="425"/>
        <w:gridCol w:w="4128"/>
        <w:gridCol w:w="141"/>
        <w:gridCol w:w="2251"/>
      </w:tblGrid>
      <w:tr w:rsidR="00501CEC" w:rsidRPr="001A1ADB" w14:paraId="13C5F61F" w14:textId="77777777" w:rsidTr="009D7980">
        <w:trPr>
          <w:trHeight w:val="283"/>
        </w:trPr>
        <w:tc>
          <w:tcPr>
            <w:tcW w:w="2268" w:type="dxa"/>
            <w:gridSpan w:val="2"/>
          </w:tcPr>
          <w:p w14:paraId="61F9CA08" w14:textId="10EA8CBA" w:rsidR="00501CEC" w:rsidRPr="006F3299" w:rsidRDefault="00501CEC" w:rsidP="007E25D0">
            <w:pPr>
              <w:ind w:hanging="110"/>
              <w:contextualSpacing/>
              <w:rPr>
                <w:rFonts w:ascii="Segoe UI Symbol" w:hAnsi="Segoe UI Symbol"/>
                <w:b/>
                <w:bCs/>
              </w:rPr>
            </w:pPr>
            <w:r w:rsidRPr="006F3299">
              <w:rPr>
                <w:rFonts w:ascii="Segoe UI Symbol" w:hAnsi="Segoe UI Symbol"/>
                <w:b/>
                <w:bCs/>
                <w:vertAlign w:val="superscript"/>
              </w:rPr>
              <w:t xml:space="preserve">1 </w:t>
            </w:r>
            <w:r w:rsidRPr="00501CEC">
              <w:rPr>
                <w:rFonts w:ascii="Segoe UI Symbol" w:hAnsi="Segoe UI Symbol"/>
                <w:b/>
                <w:bCs/>
              </w:rPr>
              <w:t xml:space="preserve">Dwi Maya </w:t>
            </w:r>
            <w:proofErr w:type="spellStart"/>
            <w:r w:rsidRPr="00501CEC">
              <w:rPr>
                <w:rFonts w:ascii="Segoe UI Symbol" w:hAnsi="Segoe UI Symbol"/>
                <w:b/>
                <w:bCs/>
              </w:rPr>
              <w:t>Firanti</w:t>
            </w:r>
            <w:proofErr w:type="spellEnd"/>
            <w:r w:rsidRPr="00501CEC">
              <w:rPr>
                <w:rFonts w:ascii="Segoe UI Symbol" w:hAnsi="Segoe UI Symbol"/>
                <w:b/>
                <w:bCs/>
              </w:rPr>
              <w:t xml:space="preserve"> Noor</w:t>
            </w:r>
          </w:p>
        </w:tc>
        <w:tc>
          <w:tcPr>
            <w:tcW w:w="6520" w:type="dxa"/>
            <w:gridSpan w:val="3"/>
          </w:tcPr>
          <w:p w14:paraId="46C87890" w14:textId="217A60A2" w:rsidR="00501CEC" w:rsidRPr="001A1ADB" w:rsidRDefault="00501CEC" w:rsidP="007E25D0">
            <w:pPr>
              <w:contextualSpacing/>
              <w:rPr>
                <w:rFonts w:ascii="Segoe UI Symbol" w:hAnsi="Segoe UI Symbol"/>
                <w:b/>
                <w:bCs/>
              </w:rPr>
            </w:pPr>
            <w:r>
              <w:rPr>
                <w:rFonts w:ascii="Segoe UI Symbol" w:hAnsi="Segoe UI Symbol"/>
                <w:b/>
                <w:bCs/>
                <w:noProof/>
              </w:rPr>
              <w:drawing>
                <wp:anchor distT="0" distB="0" distL="114300" distR="114300" simplePos="0" relativeHeight="251659264" behindDoc="1" locked="0" layoutInCell="1" allowOverlap="1" wp14:anchorId="575C0B10" wp14:editId="01215BCE">
                  <wp:simplePos x="0" y="0"/>
                  <wp:positionH relativeFrom="column">
                    <wp:posOffset>285</wp:posOffset>
                  </wp:positionH>
                  <wp:positionV relativeFrom="paragraph">
                    <wp:posOffset>40052</wp:posOffset>
                  </wp:positionV>
                  <wp:extent cx="144000" cy="144000"/>
                  <wp:effectExtent l="0" t="0" r="0" b="0"/>
                  <wp:wrapNone/>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44000" cy="144000"/>
                          </a:xfrm>
                          <a:prstGeom prst="rect">
                            <a:avLst/>
                          </a:prstGeom>
                        </pic:spPr>
                      </pic:pic>
                    </a:graphicData>
                  </a:graphic>
                  <wp14:sizeRelH relativeFrom="margin">
                    <wp14:pctWidth>0</wp14:pctWidth>
                  </wp14:sizeRelH>
                  <wp14:sizeRelV relativeFrom="margin">
                    <wp14:pctHeight>0</wp14:pctHeight>
                  </wp14:sizeRelV>
                </wp:anchor>
              </w:drawing>
            </w:r>
            <w:r>
              <w:rPr>
                <w:rFonts w:ascii="Segoe UI Symbol" w:hAnsi="Segoe UI Symbol"/>
                <w:b/>
                <w:bCs/>
              </w:rPr>
              <w:t xml:space="preserve">      </w:t>
            </w:r>
          </w:p>
        </w:tc>
      </w:tr>
      <w:tr w:rsidR="00501CEC" w:rsidRPr="001A1ADB" w14:paraId="3A16A7E5" w14:textId="77777777" w:rsidTr="00501CEC">
        <w:trPr>
          <w:trHeight w:val="227"/>
        </w:trPr>
        <w:tc>
          <w:tcPr>
            <w:tcW w:w="8788" w:type="dxa"/>
            <w:gridSpan w:val="5"/>
          </w:tcPr>
          <w:p w14:paraId="2C7FB384" w14:textId="7B223E6E" w:rsidR="00501CEC" w:rsidRPr="001A1ADB" w:rsidRDefault="00501CEC" w:rsidP="007E25D0">
            <w:pPr>
              <w:ind w:hanging="110"/>
              <w:contextualSpacing/>
              <w:rPr>
                <w:rFonts w:ascii="Segoe UI Symbol" w:hAnsi="Segoe UI Symbol"/>
                <w:lang w:val="en-SG"/>
              </w:rPr>
            </w:pPr>
            <w:r>
              <w:rPr>
                <w:rFonts w:ascii="Segoe UI Symbol" w:hAnsi="Segoe UI Symbol"/>
              </w:rPr>
              <w:t xml:space="preserve">Mathematics Department, </w:t>
            </w:r>
            <w:r w:rsidR="00772BBB">
              <w:rPr>
                <w:rFonts w:ascii="Segoe UI Symbol" w:hAnsi="Segoe UI Symbol"/>
              </w:rPr>
              <w:t>Universitas Negeri Surabaya</w:t>
            </w:r>
            <w:r>
              <w:rPr>
                <w:rFonts w:ascii="Segoe UI Symbol" w:hAnsi="Segoe UI Symbol"/>
              </w:rPr>
              <w:t>, Surabaya, 60231, Indonesia</w:t>
            </w:r>
          </w:p>
        </w:tc>
      </w:tr>
      <w:tr w:rsidR="00501CEC" w:rsidRPr="001A1ADB" w14:paraId="283A5D22" w14:textId="77777777" w:rsidTr="009D7980">
        <w:trPr>
          <w:trHeight w:val="283"/>
        </w:trPr>
        <w:tc>
          <w:tcPr>
            <w:tcW w:w="1843" w:type="dxa"/>
          </w:tcPr>
          <w:p w14:paraId="1233C6F9" w14:textId="3D7C284A" w:rsidR="00501CEC" w:rsidRPr="001A1ADB" w:rsidRDefault="00501CEC" w:rsidP="007E25D0">
            <w:pPr>
              <w:ind w:hanging="110"/>
              <w:contextualSpacing/>
              <w:rPr>
                <w:rFonts w:ascii="Segoe UI Symbol" w:hAnsi="Segoe UI Symbol"/>
                <w:b/>
                <w:bCs/>
              </w:rPr>
            </w:pPr>
            <w:r w:rsidRPr="001A1ADB">
              <w:rPr>
                <w:rFonts w:ascii="Segoe UI Symbol" w:hAnsi="Segoe UI Symbol"/>
                <w:b/>
                <w:bCs/>
                <w:vertAlign w:val="superscript"/>
              </w:rPr>
              <w:t xml:space="preserve">2 </w:t>
            </w:r>
            <w:proofErr w:type="spellStart"/>
            <w:r>
              <w:rPr>
                <w:rFonts w:ascii="Segoe UI Symbol" w:hAnsi="Segoe UI Symbol"/>
                <w:b/>
                <w:bCs/>
              </w:rPr>
              <w:t>Rudianto</w:t>
            </w:r>
            <w:proofErr w:type="spellEnd"/>
            <w:r>
              <w:rPr>
                <w:rFonts w:ascii="Segoe UI Symbol" w:hAnsi="Segoe UI Symbol"/>
                <w:b/>
                <w:bCs/>
              </w:rPr>
              <w:t xml:space="preserve"> </w:t>
            </w:r>
            <w:proofErr w:type="spellStart"/>
            <w:r>
              <w:rPr>
                <w:rFonts w:ascii="Segoe UI Symbol" w:hAnsi="Segoe UI Symbol"/>
                <w:b/>
                <w:bCs/>
              </w:rPr>
              <w:t>Artiono</w:t>
            </w:r>
            <w:proofErr w:type="spellEnd"/>
          </w:p>
        </w:tc>
        <w:tc>
          <w:tcPr>
            <w:tcW w:w="6945" w:type="dxa"/>
            <w:gridSpan w:val="4"/>
          </w:tcPr>
          <w:p w14:paraId="6764FC92" w14:textId="77777777" w:rsidR="00501CEC" w:rsidRPr="001A1ADB" w:rsidRDefault="00501CEC" w:rsidP="007E25D0">
            <w:pPr>
              <w:contextualSpacing/>
              <w:rPr>
                <w:rFonts w:ascii="Segoe UI Symbol" w:hAnsi="Segoe UI Symbol"/>
                <w:b/>
                <w:bCs/>
              </w:rPr>
            </w:pPr>
            <w:r>
              <w:rPr>
                <w:rFonts w:ascii="Segoe UI Symbol" w:hAnsi="Segoe UI Symbol"/>
                <w:b/>
                <w:bCs/>
                <w:noProof/>
              </w:rPr>
              <w:drawing>
                <wp:inline distT="0" distB="0" distL="0" distR="0" wp14:anchorId="77CB8C07" wp14:editId="56C7F077">
                  <wp:extent cx="144000" cy="144000"/>
                  <wp:effectExtent l="0" t="0" r="0" b="0"/>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44000" cy="144000"/>
                          </a:xfrm>
                          <a:prstGeom prst="rect">
                            <a:avLst/>
                          </a:prstGeom>
                        </pic:spPr>
                      </pic:pic>
                    </a:graphicData>
                  </a:graphic>
                </wp:inline>
              </w:drawing>
            </w:r>
          </w:p>
        </w:tc>
      </w:tr>
      <w:tr w:rsidR="00501CEC" w:rsidRPr="001A1ADB" w14:paraId="287A2A10" w14:textId="77777777" w:rsidTr="00501CEC">
        <w:trPr>
          <w:trHeight w:val="20"/>
        </w:trPr>
        <w:tc>
          <w:tcPr>
            <w:tcW w:w="8788" w:type="dxa"/>
            <w:gridSpan w:val="5"/>
          </w:tcPr>
          <w:p w14:paraId="6213B100" w14:textId="215FDE8C" w:rsidR="00501CEC" w:rsidRPr="001A1ADB" w:rsidRDefault="00930566" w:rsidP="007E25D0">
            <w:pPr>
              <w:tabs>
                <w:tab w:val="left" w:pos="7399"/>
              </w:tabs>
              <w:ind w:hanging="110"/>
              <w:contextualSpacing/>
              <w:rPr>
                <w:rFonts w:ascii="Segoe UI Symbol" w:hAnsi="Segoe UI Symbol"/>
                <w:lang w:val="en-SG" w:eastAsia="en-GB"/>
              </w:rPr>
            </w:pPr>
            <w:r>
              <w:rPr>
                <w:rFonts w:ascii="Segoe UI Symbol" w:hAnsi="Segoe UI Symbol"/>
              </w:rPr>
              <w:t xml:space="preserve">Mathematics Department, </w:t>
            </w:r>
            <w:r w:rsidR="00772BBB">
              <w:rPr>
                <w:rFonts w:ascii="Segoe UI Symbol" w:hAnsi="Segoe UI Symbol"/>
              </w:rPr>
              <w:t>Universitas Negeri Surabaya</w:t>
            </w:r>
            <w:r>
              <w:rPr>
                <w:rFonts w:ascii="Segoe UI Symbol" w:hAnsi="Segoe UI Symbol"/>
              </w:rPr>
              <w:t>, Surabaya, 60231, Indonesia</w:t>
            </w:r>
            <w:r w:rsidR="00501CEC">
              <w:rPr>
                <w:rFonts w:ascii="Segoe UI Symbol" w:hAnsi="Segoe UI Symbol"/>
              </w:rPr>
              <w:tab/>
            </w:r>
          </w:p>
        </w:tc>
      </w:tr>
      <w:tr w:rsidR="00501CEC" w:rsidRPr="001A1ADB" w14:paraId="33EE6E85" w14:textId="77777777" w:rsidTr="00501CEC">
        <w:trPr>
          <w:gridAfter w:val="1"/>
          <w:wAfter w:w="2251" w:type="dxa"/>
          <w:trHeight w:val="283"/>
        </w:trPr>
        <w:tc>
          <w:tcPr>
            <w:tcW w:w="6537" w:type="dxa"/>
            <w:gridSpan w:val="4"/>
          </w:tcPr>
          <w:p w14:paraId="7FA68FFA" w14:textId="1E695E6F" w:rsidR="00501CEC" w:rsidRPr="001A1ADB" w:rsidRDefault="00501CEC" w:rsidP="007E25D0">
            <w:pPr>
              <w:contextualSpacing/>
              <w:rPr>
                <w:rFonts w:ascii="Segoe UI Symbol" w:hAnsi="Segoe UI Symbol"/>
                <w:b/>
                <w:bCs/>
              </w:rPr>
            </w:pPr>
          </w:p>
        </w:tc>
      </w:tr>
      <w:tr w:rsidR="00501CEC" w:rsidRPr="001A1ADB" w14:paraId="1B9D0A51" w14:textId="77777777" w:rsidTr="00501CEC">
        <w:trPr>
          <w:gridAfter w:val="2"/>
          <w:wAfter w:w="2392" w:type="dxa"/>
          <w:trHeight w:val="283"/>
        </w:trPr>
        <w:tc>
          <w:tcPr>
            <w:tcW w:w="6396" w:type="dxa"/>
            <w:gridSpan w:val="3"/>
          </w:tcPr>
          <w:p w14:paraId="576011F0" w14:textId="4B589C8B" w:rsidR="00501CEC" w:rsidRPr="001A1ADB" w:rsidRDefault="00501CEC" w:rsidP="007E25D0">
            <w:pPr>
              <w:contextualSpacing/>
              <w:rPr>
                <w:rFonts w:ascii="Segoe UI Symbol" w:hAnsi="Segoe UI Symbol"/>
                <w:b/>
                <w:bCs/>
              </w:rPr>
            </w:pPr>
          </w:p>
        </w:tc>
      </w:tr>
    </w:tbl>
    <w:tbl>
      <w:tblPr>
        <w:tblStyle w:val="TableGrid"/>
        <w:tblW w:w="8897" w:type="dxa"/>
        <w:tblLook w:val="04A0" w:firstRow="1" w:lastRow="0" w:firstColumn="1" w:lastColumn="0" w:noHBand="0" w:noVBand="1"/>
      </w:tblPr>
      <w:tblGrid>
        <w:gridCol w:w="2802"/>
        <w:gridCol w:w="283"/>
        <w:gridCol w:w="5812"/>
      </w:tblGrid>
      <w:tr w:rsidR="006B027E" w14:paraId="2A3352F5" w14:textId="77777777" w:rsidTr="00C07BEF">
        <w:tc>
          <w:tcPr>
            <w:tcW w:w="2802" w:type="dxa"/>
            <w:tcBorders>
              <w:top w:val="double" w:sz="4" w:space="0" w:color="auto"/>
              <w:left w:val="nil"/>
              <w:bottom w:val="single" w:sz="4" w:space="0" w:color="auto"/>
              <w:right w:val="nil"/>
            </w:tcBorders>
          </w:tcPr>
          <w:p w14:paraId="2FE49322" w14:textId="77777777" w:rsidR="00957C11" w:rsidRPr="003D5F5C" w:rsidRDefault="00957C11" w:rsidP="00957C11">
            <w:pPr>
              <w:spacing w:before="120"/>
              <w:jc w:val="both"/>
              <w:rPr>
                <w:rFonts w:ascii="Baskerville Old Face" w:hAnsi="Baskerville Old Face"/>
                <w:b/>
              </w:rPr>
            </w:pPr>
            <w:r w:rsidRPr="003D5F5C">
              <w:rPr>
                <w:rFonts w:ascii="Baskerville Old Face" w:hAnsi="Baskerville Old Face"/>
                <w:b/>
              </w:rPr>
              <w:t>Article Info</w:t>
            </w:r>
          </w:p>
        </w:tc>
        <w:tc>
          <w:tcPr>
            <w:tcW w:w="283" w:type="dxa"/>
            <w:tcBorders>
              <w:top w:val="double" w:sz="4" w:space="0" w:color="auto"/>
              <w:left w:val="nil"/>
              <w:bottom w:val="nil"/>
              <w:right w:val="nil"/>
            </w:tcBorders>
          </w:tcPr>
          <w:p w14:paraId="6EED40D6" w14:textId="77777777" w:rsidR="00957C11" w:rsidRPr="003D5F5C" w:rsidRDefault="00957C11" w:rsidP="00957C11">
            <w:pPr>
              <w:spacing w:before="120"/>
              <w:jc w:val="center"/>
              <w:rPr>
                <w:rFonts w:ascii="Baskerville Old Face" w:hAnsi="Baskerville Old Face"/>
              </w:rPr>
            </w:pPr>
          </w:p>
        </w:tc>
        <w:tc>
          <w:tcPr>
            <w:tcW w:w="5812" w:type="dxa"/>
            <w:tcBorders>
              <w:top w:val="double" w:sz="4" w:space="0" w:color="auto"/>
              <w:left w:val="nil"/>
              <w:bottom w:val="single" w:sz="4" w:space="0" w:color="auto"/>
              <w:right w:val="nil"/>
            </w:tcBorders>
          </w:tcPr>
          <w:p w14:paraId="1EDD4882" w14:textId="752106B0" w:rsidR="00957C11" w:rsidRPr="003D5F5C" w:rsidRDefault="00957C11" w:rsidP="00957C11">
            <w:pPr>
              <w:spacing w:before="120"/>
              <w:rPr>
                <w:rFonts w:ascii="Baskerville Old Face" w:hAnsi="Baskerville Old Face"/>
                <w:color w:val="000000"/>
                <w:sz w:val="24"/>
                <w:szCs w:val="24"/>
              </w:rPr>
            </w:pPr>
            <w:r w:rsidRPr="003D5F5C">
              <w:rPr>
                <w:rFonts w:ascii="Baskerville Old Face" w:hAnsi="Baskerville Old Face"/>
                <w:b/>
                <w:bCs/>
                <w:iCs/>
                <w:color w:val="000000"/>
              </w:rPr>
              <w:t xml:space="preserve">ABSTRACT </w:t>
            </w:r>
          </w:p>
        </w:tc>
      </w:tr>
      <w:tr w:rsidR="00941203" w14:paraId="79A485EB" w14:textId="77777777" w:rsidTr="00C07BEF">
        <w:trPr>
          <w:trHeight w:val="1268"/>
        </w:trPr>
        <w:tc>
          <w:tcPr>
            <w:tcW w:w="2802" w:type="dxa"/>
            <w:tcBorders>
              <w:top w:val="single" w:sz="4" w:space="0" w:color="auto"/>
              <w:left w:val="nil"/>
              <w:bottom w:val="single" w:sz="4" w:space="0" w:color="auto"/>
              <w:right w:val="nil"/>
            </w:tcBorders>
          </w:tcPr>
          <w:p w14:paraId="0E024F88" w14:textId="77777777" w:rsidR="00941203" w:rsidRPr="003D5F5C" w:rsidRDefault="00941203" w:rsidP="00941203">
            <w:pPr>
              <w:spacing w:before="120" w:after="120"/>
              <w:jc w:val="both"/>
              <w:rPr>
                <w:rFonts w:ascii="Baskerville Old Face" w:hAnsi="Baskerville Old Face"/>
                <w:b/>
                <w:i/>
                <w:sz w:val="18"/>
                <w:szCs w:val="18"/>
              </w:rPr>
            </w:pPr>
            <w:r w:rsidRPr="003D5F5C">
              <w:rPr>
                <w:rFonts w:ascii="Baskerville Old Face" w:hAnsi="Baskerville Old Face"/>
                <w:b/>
                <w:i/>
                <w:sz w:val="18"/>
                <w:szCs w:val="18"/>
              </w:rPr>
              <w:t>Article history:</w:t>
            </w:r>
          </w:p>
          <w:p w14:paraId="09B1D5AC" w14:textId="01DA1C94" w:rsidR="00941203" w:rsidRPr="003D5F5C" w:rsidRDefault="00941203" w:rsidP="00957C11">
            <w:pPr>
              <w:jc w:val="both"/>
              <w:rPr>
                <w:rFonts w:ascii="Baskerville Old Face" w:hAnsi="Baskerville Old Face"/>
                <w:sz w:val="18"/>
                <w:szCs w:val="18"/>
              </w:rPr>
            </w:pPr>
            <w:r w:rsidRPr="003D5F5C">
              <w:rPr>
                <w:rFonts w:ascii="Baskerville Old Face" w:hAnsi="Baskerville Old Face"/>
                <w:sz w:val="18"/>
                <w:szCs w:val="18"/>
              </w:rPr>
              <w:t xml:space="preserve">Received mm dd, </w:t>
            </w:r>
            <w:proofErr w:type="spellStart"/>
            <w:r w:rsidRPr="003D5F5C">
              <w:rPr>
                <w:rFonts w:ascii="Baskerville Old Face" w:hAnsi="Baskerville Old Face"/>
                <w:sz w:val="18"/>
                <w:szCs w:val="18"/>
              </w:rPr>
              <w:t>yyyy</w:t>
            </w:r>
            <w:proofErr w:type="spellEnd"/>
          </w:p>
          <w:p w14:paraId="065EE2FB" w14:textId="3856291C" w:rsidR="00941203" w:rsidRPr="003D5F5C" w:rsidRDefault="00941203" w:rsidP="00957C11">
            <w:pPr>
              <w:jc w:val="both"/>
              <w:rPr>
                <w:rFonts w:ascii="Baskerville Old Face" w:hAnsi="Baskerville Old Face"/>
                <w:sz w:val="18"/>
                <w:szCs w:val="18"/>
              </w:rPr>
            </w:pPr>
            <w:r w:rsidRPr="003D5F5C">
              <w:rPr>
                <w:rFonts w:ascii="Baskerville Old Face" w:hAnsi="Baskerville Old Face"/>
                <w:sz w:val="18"/>
                <w:szCs w:val="18"/>
              </w:rPr>
              <w:t xml:space="preserve">Revised mm dd, </w:t>
            </w:r>
            <w:proofErr w:type="spellStart"/>
            <w:r w:rsidRPr="003D5F5C">
              <w:rPr>
                <w:rFonts w:ascii="Baskerville Old Face" w:hAnsi="Baskerville Old Face"/>
                <w:sz w:val="18"/>
                <w:szCs w:val="18"/>
              </w:rPr>
              <w:t>yyyy</w:t>
            </w:r>
            <w:proofErr w:type="spellEnd"/>
          </w:p>
          <w:p w14:paraId="2591CBC6" w14:textId="3877CD28" w:rsidR="00941203" w:rsidRPr="003D5F5C" w:rsidRDefault="00941203" w:rsidP="00941203">
            <w:pPr>
              <w:jc w:val="both"/>
              <w:rPr>
                <w:rFonts w:ascii="Baskerville Old Face" w:hAnsi="Baskerville Old Face"/>
                <w:sz w:val="18"/>
                <w:szCs w:val="18"/>
              </w:rPr>
            </w:pPr>
            <w:r w:rsidRPr="003D5F5C">
              <w:rPr>
                <w:rFonts w:ascii="Baskerville Old Face" w:hAnsi="Baskerville Old Face"/>
                <w:sz w:val="18"/>
                <w:szCs w:val="18"/>
              </w:rPr>
              <w:t xml:space="preserve">Accepted mm dd, </w:t>
            </w:r>
            <w:proofErr w:type="spellStart"/>
            <w:r w:rsidRPr="003D5F5C">
              <w:rPr>
                <w:rFonts w:ascii="Baskerville Old Face" w:hAnsi="Baskerville Old Face"/>
                <w:sz w:val="18"/>
                <w:szCs w:val="18"/>
              </w:rPr>
              <w:t>yyyy</w:t>
            </w:r>
            <w:proofErr w:type="spellEnd"/>
          </w:p>
          <w:p w14:paraId="20EE5853" w14:textId="63CC0968" w:rsidR="00BB66F4" w:rsidRPr="003D5F5C" w:rsidRDefault="00BB66F4" w:rsidP="00941203">
            <w:pPr>
              <w:jc w:val="both"/>
              <w:rPr>
                <w:rFonts w:ascii="Baskerville Old Face" w:hAnsi="Baskerville Old Face"/>
                <w:sz w:val="18"/>
                <w:szCs w:val="18"/>
              </w:rPr>
            </w:pPr>
          </w:p>
        </w:tc>
        <w:tc>
          <w:tcPr>
            <w:tcW w:w="283" w:type="dxa"/>
            <w:vMerge w:val="restart"/>
            <w:tcBorders>
              <w:top w:val="nil"/>
              <w:left w:val="nil"/>
              <w:bottom w:val="nil"/>
              <w:right w:val="nil"/>
            </w:tcBorders>
          </w:tcPr>
          <w:p w14:paraId="72BF3819" w14:textId="77777777" w:rsidR="00941203" w:rsidRPr="003D5F5C" w:rsidRDefault="00941203" w:rsidP="00957C11">
            <w:pPr>
              <w:spacing w:before="120"/>
              <w:jc w:val="both"/>
              <w:rPr>
                <w:rFonts w:ascii="Baskerville Old Face" w:hAnsi="Baskerville Old Face"/>
              </w:rPr>
            </w:pPr>
          </w:p>
        </w:tc>
        <w:tc>
          <w:tcPr>
            <w:tcW w:w="5812" w:type="dxa"/>
            <w:vMerge w:val="restart"/>
            <w:tcBorders>
              <w:top w:val="single" w:sz="4" w:space="0" w:color="auto"/>
              <w:left w:val="nil"/>
              <w:bottom w:val="nil"/>
              <w:right w:val="nil"/>
            </w:tcBorders>
          </w:tcPr>
          <w:p w14:paraId="2CD81B85" w14:textId="5978E8A3" w:rsidR="00941203" w:rsidRPr="00A76B1C" w:rsidRDefault="00A54A08" w:rsidP="00957C11">
            <w:pPr>
              <w:spacing w:before="120"/>
              <w:jc w:val="both"/>
              <w:rPr>
                <w:rFonts w:ascii="Baskerville Old Face" w:hAnsi="Baskerville Old Face"/>
                <w:iCs/>
                <w:sz w:val="18"/>
                <w:szCs w:val="18"/>
              </w:rPr>
            </w:pPr>
            <w:r w:rsidRPr="00A76B1C">
              <w:rPr>
                <w:rFonts w:ascii="Baskerville Old Face" w:hAnsi="Baskerville Old Face"/>
                <w:iCs/>
                <w:sz w:val="18"/>
                <w:szCs w:val="18"/>
              </w:rPr>
              <w:t xml:space="preserve">This study is aimed at being able to determine the price of European call options by including the element of transaction costs so as to be able to overcome the limitations of the classic Black-Scholes model which has been assuming market conditions without friction. In this study, the </w:t>
            </w:r>
            <w:proofErr w:type="spellStart"/>
            <w:r w:rsidRPr="00A76B1C">
              <w:rPr>
                <w:rFonts w:ascii="Baskerville Old Face" w:hAnsi="Baskerville Old Face"/>
                <w:iCs/>
                <w:sz w:val="18"/>
                <w:szCs w:val="18"/>
              </w:rPr>
              <w:t>Barles</w:t>
            </w:r>
            <w:proofErr w:type="spellEnd"/>
            <w:r w:rsidRPr="00A76B1C">
              <w:rPr>
                <w:rFonts w:ascii="Baskerville Old Face" w:hAnsi="Baskerville Old Face"/>
                <w:iCs/>
                <w:sz w:val="18"/>
                <w:szCs w:val="18"/>
              </w:rPr>
              <w:t>-Soner non-linear model was used with a solution using the Infinite Difference Method and a semi-discretized approach or Line Method and utilizing historical data of PT XYZ shares. The results of the numerical calculation were able to show that when transaction costs were included, there was a significant divergence so that the resulting option premium was higher than the classical model. In more detail, an increase in transaction fee parameters leads to an increase in effective volatility, which ultimately makes the option price expensive. Therefore, it can be concluded that the use of the Black-Scholes standard model has the potential to pose the risk of undervaluation while the proposed numerical approach is able to provide conservative and realistic valuation results for hedging and risk management purposes.</w:t>
            </w:r>
          </w:p>
        </w:tc>
      </w:tr>
      <w:tr w:rsidR="00941203" w14:paraId="5A7A2DDD" w14:textId="77777777" w:rsidTr="00C07BEF">
        <w:trPr>
          <w:trHeight w:val="1231"/>
        </w:trPr>
        <w:tc>
          <w:tcPr>
            <w:tcW w:w="2802" w:type="dxa"/>
            <w:vMerge w:val="restart"/>
            <w:tcBorders>
              <w:top w:val="single" w:sz="4" w:space="0" w:color="auto"/>
              <w:left w:val="nil"/>
              <w:bottom w:val="single" w:sz="4" w:space="0" w:color="auto"/>
              <w:right w:val="nil"/>
            </w:tcBorders>
          </w:tcPr>
          <w:p w14:paraId="37B288F3" w14:textId="77777777" w:rsidR="00941203" w:rsidRPr="003D5F5C" w:rsidRDefault="00941203" w:rsidP="00941203">
            <w:pPr>
              <w:spacing w:before="120" w:after="120"/>
              <w:jc w:val="both"/>
              <w:rPr>
                <w:rFonts w:ascii="Baskerville Old Face" w:hAnsi="Baskerville Old Face"/>
                <w:b/>
                <w:i/>
                <w:sz w:val="18"/>
                <w:szCs w:val="18"/>
              </w:rPr>
            </w:pPr>
            <w:r w:rsidRPr="003D5F5C">
              <w:rPr>
                <w:rFonts w:ascii="Baskerville Old Face" w:hAnsi="Baskerville Old Face"/>
                <w:b/>
                <w:i/>
                <w:sz w:val="18"/>
                <w:szCs w:val="18"/>
              </w:rPr>
              <w:t>Keywords:</w:t>
            </w:r>
          </w:p>
          <w:p w14:paraId="2F3EDD6B" w14:textId="426A1FD7" w:rsidR="004B297F" w:rsidRDefault="00511A20" w:rsidP="00941203">
            <w:pPr>
              <w:jc w:val="both"/>
              <w:rPr>
                <w:rFonts w:ascii="Baskerville Old Face" w:hAnsi="Baskerville Old Face"/>
                <w:iCs/>
                <w:color w:val="000000"/>
                <w:sz w:val="18"/>
                <w:szCs w:val="18"/>
                <w:lang w:val="en-SG"/>
              </w:rPr>
            </w:pPr>
            <w:r>
              <w:rPr>
                <w:rFonts w:ascii="Baskerville Old Face" w:hAnsi="Baskerville Old Face"/>
                <w:iCs/>
                <w:color w:val="000000"/>
                <w:sz w:val="18"/>
                <w:szCs w:val="18"/>
              </w:rPr>
              <w:t>European Option Pricing;</w:t>
            </w:r>
          </w:p>
          <w:p w14:paraId="12C498E4" w14:textId="3E6AA5FE" w:rsidR="00FA2C4C" w:rsidRDefault="00511A20" w:rsidP="00941203">
            <w:pPr>
              <w:jc w:val="both"/>
              <w:rPr>
                <w:rFonts w:ascii="Baskerville Old Face" w:hAnsi="Baskerville Old Face"/>
                <w:iCs/>
                <w:color w:val="000000"/>
                <w:sz w:val="18"/>
                <w:szCs w:val="18"/>
                <w:lang w:val="en-SG"/>
              </w:rPr>
            </w:pPr>
            <w:r>
              <w:rPr>
                <w:rFonts w:ascii="Baskerville Old Face" w:hAnsi="Baskerville Old Face"/>
                <w:iCs/>
                <w:color w:val="000000"/>
                <w:sz w:val="18"/>
                <w:szCs w:val="18"/>
              </w:rPr>
              <w:t>Transaction Costs;</w:t>
            </w:r>
          </w:p>
          <w:p w14:paraId="46ADAD73" w14:textId="086E9FEB" w:rsidR="004B297F" w:rsidRPr="00DF0FE1" w:rsidRDefault="00511A20" w:rsidP="00941203">
            <w:pPr>
              <w:jc w:val="both"/>
              <w:rPr>
                <w:rFonts w:ascii="Baskerville Old Face" w:hAnsi="Baskerville Old Face"/>
                <w:iCs/>
                <w:color w:val="000000"/>
                <w:sz w:val="18"/>
                <w:szCs w:val="18"/>
                <w:lang w:val="en-ID"/>
              </w:rPr>
            </w:pPr>
            <w:proofErr w:type="spellStart"/>
            <w:r w:rsidRPr="00DF0FE1">
              <w:rPr>
                <w:rFonts w:ascii="Baskerville Old Face" w:hAnsi="Baskerville Old Face"/>
                <w:iCs/>
                <w:color w:val="000000"/>
                <w:sz w:val="18"/>
                <w:szCs w:val="18"/>
              </w:rPr>
              <w:t>Barles</w:t>
            </w:r>
            <w:proofErr w:type="spellEnd"/>
            <w:r w:rsidRPr="00DF0FE1">
              <w:rPr>
                <w:rFonts w:ascii="Baskerville Old Face" w:hAnsi="Baskerville Old Face"/>
                <w:iCs/>
                <w:color w:val="000000"/>
                <w:sz w:val="18"/>
                <w:szCs w:val="18"/>
              </w:rPr>
              <w:t>-Soner Model;</w:t>
            </w:r>
          </w:p>
          <w:p w14:paraId="01394A68" w14:textId="036F534B" w:rsidR="00511A20" w:rsidRPr="00511A20" w:rsidRDefault="00511A20" w:rsidP="00941203">
            <w:pPr>
              <w:jc w:val="both"/>
              <w:rPr>
                <w:rFonts w:ascii="Baskerville Old Face" w:hAnsi="Baskerville Old Face"/>
                <w:iCs/>
                <w:color w:val="000000"/>
                <w:sz w:val="18"/>
                <w:szCs w:val="18"/>
                <w:lang w:val="en-ID"/>
              </w:rPr>
            </w:pPr>
            <w:r w:rsidRPr="00511A20">
              <w:rPr>
                <w:rFonts w:ascii="Baskerville Old Face" w:hAnsi="Baskerville Old Face"/>
                <w:iCs/>
                <w:color w:val="000000"/>
                <w:sz w:val="18"/>
                <w:szCs w:val="18"/>
              </w:rPr>
              <w:t>Finite Difference Method;</w:t>
            </w:r>
          </w:p>
          <w:p w14:paraId="1AD9A7A1" w14:textId="70D87312" w:rsidR="00941203" w:rsidRPr="003D5F5C" w:rsidRDefault="00511A20" w:rsidP="00941203">
            <w:pPr>
              <w:jc w:val="both"/>
              <w:rPr>
                <w:rFonts w:ascii="Baskerville Old Face" w:hAnsi="Baskerville Old Face"/>
                <w:b/>
                <w:i/>
                <w:sz w:val="18"/>
                <w:szCs w:val="18"/>
              </w:rPr>
            </w:pPr>
            <w:r>
              <w:rPr>
                <w:rFonts w:ascii="Baskerville Old Face" w:hAnsi="Baskerville Old Face"/>
                <w:iCs/>
                <w:color w:val="000000"/>
                <w:sz w:val="18"/>
                <w:szCs w:val="18"/>
              </w:rPr>
              <w:t>Method of Lines.)</w:t>
            </w:r>
          </w:p>
        </w:tc>
        <w:tc>
          <w:tcPr>
            <w:tcW w:w="283" w:type="dxa"/>
            <w:vMerge/>
            <w:tcBorders>
              <w:top w:val="nil"/>
              <w:left w:val="nil"/>
              <w:bottom w:val="nil"/>
              <w:right w:val="nil"/>
            </w:tcBorders>
          </w:tcPr>
          <w:p w14:paraId="2B008F60" w14:textId="77777777" w:rsidR="00941203" w:rsidRPr="003D5F5C" w:rsidRDefault="00941203" w:rsidP="00957C11">
            <w:pPr>
              <w:spacing w:before="120"/>
              <w:jc w:val="both"/>
              <w:rPr>
                <w:rFonts w:ascii="Baskerville Old Face" w:hAnsi="Baskerville Old Face"/>
              </w:rPr>
            </w:pPr>
          </w:p>
        </w:tc>
        <w:tc>
          <w:tcPr>
            <w:tcW w:w="5812" w:type="dxa"/>
            <w:vMerge/>
            <w:tcBorders>
              <w:top w:val="nil"/>
              <w:left w:val="nil"/>
              <w:bottom w:val="nil"/>
              <w:right w:val="nil"/>
            </w:tcBorders>
          </w:tcPr>
          <w:p w14:paraId="4F891F14" w14:textId="77777777" w:rsidR="00941203" w:rsidRPr="003D5F5C" w:rsidRDefault="00941203" w:rsidP="00957C11">
            <w:pPr>
              <w:spacing w:before="120"/>
              <w:jc w:val="both"/>
              <w:rPr>
                <w:rFonts w:ascii="Baskerville Old Face" w:hAnsi="Baskerville Old Face"/>
                <w:iCs/>
                <w:color w:val="000000"/>
                <w:sz w:val="18"/>
                <w:szCs w:val="18"/>
              </w:rPr>
            </w:pPr>
          </w:p>
        </w:tc>
      </w:tr>
      <w:tr w:rsidR="00941203" w14:paraId="5B1B8031" w14:textId="77777777" w:rsidTr="00C07BEF">
        <w:trPr>
          <w:trHeight w:val="70"/>
        </w:trPr>
        <w:tc>
          <w:tcPr>
            <w:tcW w:w="2802" w:type="dxa"/>
            <w:vMerge/>
            <w:tcBorders>
              <w:top w:val="single" w:sz="4" w:space="0" w:color="auto"/>
              <w:left w:val="nil"/>
              <w:bottom w:val="single" w:sz="4" w:space="0" w:color="auto"/>
              <w:right w:val="nil"/>
            </w:tcBorders>
          </w:tcPr>
          <w:p w14:paraId="1C3E4AD5" w14:textId="77777777" w:rsidR="00941203" w:rsidRPr="003D5F5C" w:rsidRDefault="00941203" w:rsidP="00941203">
            <w:pPr>
              <w:spacing w:before="120" w:after="120"/>
              <w:jc w:val="both"/>
              <w:rPr>
                <w:rFonts w:ascii="Baskerville Old Face" w:hAnsi="Baskerville Old Face"/>
                <w:b/>
                <w:i/>
              </w:rPr>
            </w:pPr>
          </w:p>
        </w:tc>
        <w:tc>
          <w:tcPr>
            <w:tcW w:w="283" w:type="dxa"/>
            <w:vMerge/>
            <w:tcBorders>
              <w:top w:val="nil"/>
              <w:left w:val="nil"/>
              <w:bottom w:val="nil"/>
              <w:right w:val="nil"/>
            </w:tcBorders>
          </w:tcPr>
          <w:p w14:paraId="1CC9952A" w14:textId="77777777" w:rsidR="00941203" w:rsidRPr="003D5F5C" w:rsidRDefault="00941203" w:rsidP="00957C11">
            <w:pPr>
              <w:spacing w:before="120"/>
              <w:jc w:val="both"/>
              <w:rPr>
                <w:rFonts w:ascii="Baskerville Old Face" w:hAnsi="Baskerville Old Face"/>
              </w:rPr>
            </w:pPr>
          </w:p>
        </w:tc>
        <w:tc>
          <w:tcPr>
            <w:tcW w:w="5812" w:type="dxa"/>
            <w:tcBorders>
              <w:top w:val="nil"/>
              <w:left w:val="nil"/>
              <w:bottom w:val="single" w:sz="4" w:space="0" w:color="auto"/>
              <w:right w:val="nil"/>
            </w:tcBorders>
          </w:tcPr>
          <w:p w14:paraId="65D64B4C" w14:textId="34F38BE2" w:rsidR="00025578" w:rsidRPr="003D5F5C" w:rsidRDefault="00204F74" w:rsidP="00204F74">
            <w:pPr>
              <w:spacing w:before="120" w:after="120"/>
              <w:jc w:val="right"/>
              <w:rPr>
                <w:rFonts w:ascii="Baskerville Old Face" w:hAnsi="Baskerville Old Face"/>
                <w:i/>
                <w:iCs/>
                <w:color w:val="000000"/>
                <w:sz w:val="18"/>
                <w:szCs w:val="18"/>
              </w:rPr>
            </w:pPr>
            <w:r w:rsidRPr="003D5F5C">
              <w:rPr>
                <w:rFonts w:ascii="Baskerville Old Face" w:hAnsi="Baskerville Old Face"/>
                <w:i/>
                <w:iCs/>
                <w:color w:val="000000"/>
                <w:sz w:val="18"/>
                <w:szCs w:val="18"/>
              </w:rPr>
              <w:t xml:space="preserve">This is an open access article under the </w:t>
            </w:r>
            <w:hyperlink r:id="rId10" w:history="1">
              <w:r w:rsidR="00025578" w:rsidRPr="003D5F5C">
                <w:rPr>
                  <w:rStyle w:val="Hyperlink"/>
                  <w:rFonts w:ascii="Baskerville Old Face" w:hAnsi="Baskerville Old Face"/>
                  <w:i/>
                  <w:iCs/>
                  <w:sz w:val="18"/>
                  <w:szCs w:val="18"/>
                </w:rPr>
                <w:t>CC BY-SA</w:t>
              </w:r>
            </w:hyperlink>
            <w:r w:rsidR="00025578" w:rsidRPr="003D5F5C">
              <w:rPr>
                <w:rFonts w:ascii="Baskerville Old Face" w:hAnsi="Baskerville Old Face"/>
                <w:i/>
                <w:iCs/>
                <w:color w:val="000000"/>
                <w:sz w:val="18"/>
                <w:szCs w:val="18"/>
              </w:rPr>
              <w:t xml:space="preserve"> license.</w:t>
            </w:r>
          </w:p>
          <w:p w14:paraId="7C6C202E" w14:textId="0EE4517C" w:rsidR="00941203" w:rsidRPr="003D5F5C" w:rsidRDefault="00025578" w:rsidP="00025578">
            <w:pPr>
              <w:spacing w:before="120" w:after="120"/>
              <w:jc w:val="right"/>
              <w:rPr>
                <w:rFonts w:ascii="Baskerville Old Face" w:hAnsi="Baskerville Old Face"/>
                <w:i/>
                <w:iCs/>
                <w:color w:val="000000"/>
                <w:sz w:val="18"/>
                <w:szCs w:val="18"/>
              </w:rPr>
            </w:pPr>
            <w:r w:rsidRPr="003D5F5C">
              <w:rPr>
                <w:rFonts w:ascii="Baskerville Old Face" w:hAnsi="Baskerville Old Face"/>
                <w:noProof/>
              </w:rPr>
              <w:drawing>
                <wp:inline distT="0" distB="0" distL="0" distR="0" wp14:anchorId="60FCE068" wp14:editId="4F967D56">
                  <wp:extent cx="1056575" cy="3714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063957" cy="374071"/>
                          </a:xfrm>
                          <a:prstGeom prst="rect">
                            <a:avLst/>
                          </a:prstGeom>
                        </pic:spPr>
                      </pic:pic>
                    </a:graphicData>
                  </a:graphic>
                </wp:inline>
              </w:drawing>
            </w:r>
          </w:p>
        </w:tc>
      </w:tr>
      <w:tr w:rsidR="007F286F" w14:paraId="475D9C51" w14:textId="77777777" w:rsidTr="00C07BEF">
        <w:tc>
          <w:tcPr>
            <w:tcW w:w="8897" w:type="dxa"/>
            <w:gridSpan w:val="3"/>
            <w:tcBorders>
              <w:top w:val="nil"/>
              <w:left w:val="nil"/>
              <w:bottom w:val="double" w:sz="4" w:space="0" w:color="auto"/>
              <w:right w:val="nil"/>
            </w:tcBorders>
          </w:tcPr>
          <w:p w14:paraId="54BC0091" w14:textId="2AA8E0F2" w:rsidR="00501CEC" w:rsidRPr="00AF39C0" w:rsidRDefault="00501CEC" w:rsidP="00501CEC">
            <w:pPr>
              <w:spacing w:before="120" w:after="120"/>
              <w:rPr>
                <w:rFonts w:ascii="Baskerville Old Face" w:hAnsi="Baskerville Old Face"/>
                <w:b/>
                <w:i/>
                <w:lang w:val="en-SG"/>
              </w:rPr>
            </w:pPr>
            <w:r w:rsidRPr="003D5F5C">
              <w:rPr>
                <w:rFonts w:ascii="Baskerville Old Face" w:hAnsi="Baskerville Old Face"/>
                <w:b/>
                <w:i/>
              </w:rPr>
              <w:t xml:space="preserve">Corresponding Author: </w:t>
            </w:r>
          </w:p>
          <w:p w14:paraId="4B6EA79F" w14:textId="68DD21F2" w:rsidR="00501CEC" w:rsidRPr="003D5F5C" w:rsidRDefault="009D7980" w:rsidP="00501CEC">
            <w:pPr>
              <w:rPr>
                <w:rFonts w:ascii="Baskerville Old Face" w:hAnsi="Baskerville Old Face"/>
              </w:rPr>
            </w:pPr>
            <w:proofErr w:type="spellStart"/>
            <w:r>
              <w:rPr>
                <w:rFonts w:ascii="Baskerville Old Face" w:hAnsi="Baskerville Old Face"/>
              </w:rPr>
              <w:t>Rudianto</w:t>
            </w:r>
            <w:proofErr w:type="spellEnd"/>
            <w:r>
              <w:rPr>
                <w:rFonts w:ascii="Baskerville Old Face" w:hAnsi="Baskerville Old Face"/>
              </w:rPr>
              <w:t xml:space="preserve"> Artiono, </w:t>
            </w:r>
          </w:p>
          <w:p w14:paraId="6F215CA5" w14:textId="598A57D6" w:rsidR="00501CEC" w:rsidRPr="003D5F5C" w:rsidRDefault="009D7980" w:rsidP="00501CEC">
            <w:pPr>
              <w:rPr>
                <w:rFonts w:ascii="Baskerville Old Face" w:hAnsi="Baskerville Old Face"/>
              </w:rPr>
            </w:pPr>
            <w:r>
              <w:rPr>
                <w:rFonts w:ascii="Baskerville Old Face" w:hAnsi="Baskerville Old Face"/>
              </w:rPr>
              <w:t>Mathematics Department</w:t>
            </w:r>
          </w:p>
          <w:p w14:paraId="6DEC16A2" w14:textId="6BCF58AF" w:rsidR="00501CEC" w:rsidRPr="003D5F5C" w:rsidRDefault="008D02A6" w:rsidP="00501CEC">
            <w:pPr>
              <w:rPr>
                <w:rFonts w:ascii="Baskerville Old Face" w:hAnsi="Baskerville Old Face"/>
              </w:rPr>
            </w:pPr>
            <w:r>
              <w:rPr>
                <w:rFonts w:ascii="Baskerville Old Face" w:hAnsi="Baskerville Old Face"/>
              </w:rPr>
              <w:t>Universitas Negeri Surabaya</w:t>
            </w:r>
          </w:p>
          <w:p w14:paraId="28F7D971" w14:textId="0F1C8F9F" w:rsidR="00941203" w:rsidRPr="003D5F5C" w:rsidRDefault="00501CEC" w:rsidP="00501CEC">
            <w:pPr>
              <w:spacing w:after="120"/>
              <w:rPr>
                <w:rFonts w:ascii="Baskerville Old Face" w:hAnsi="Baskerville Old Face"/>
                <w:color w:val="000000"/>
                <w:sz w:val="18"/>
                <w:szCs w:val="18"/>
              </w:rPr>
            </w:pPr>
            <w:r w:rsidRPr="003D5F5C">
              <w:rPr>
                <w:rFonts w:ascii="Baskerville Old Face" w:hAnsi="Baskerville Old Face"/>
              </w:rPr>
              <w:t>E-mail:</w:t>
            </w:r>
            <w:r w:rsidR="008D02A6">
              <w:rPr>
                <w:rFonts w:ascii="Baskerville Old Face" w:hAnsi="Baskerville Old Face"/>
              </w:rPr>
              <w:t xml:space="preserve"> </w:t>
            </w:r>
            <w:hyperlink r:id="rId12" w:history="1">
              <w:r w:rsidR="008D02A6" w:rsidRPr="008E614B">
                <w:rPr>
                  <w:rStyle w:val="Hyperlink"/>
                  <w:rFonts w:ascii="Baskerville Old Face" w:hAnsi="Baskerville Old Face"/>
                </w:rPr>
                <w:t>rudiantoartiono@unesa.ac.id</w:t>
              </w:r>
            </w:hyperlink>
            <w:r w:rsidR="008D02A6">
              <w:rPr>
                <w:rFonts w:ascii="Baskerville Old Face" w:hAnsi="Baskerville Old Face"/>
              </w:rPr>
              <w:t xml:space="preserve"> </w:t>
            </w:r>
          </w:p>
        </w:tc>
      </w:tr>
    </w:tbl>
    <w:p w14:paraId="6D42A837" w14:textId="1133B040" w:rsidR="00957C11" w:rsidRDefault="00957C11" w:rsidP="00957C11">
      <w:pPr>
        <w:jc w:val="both"/>
      </w:pPr>
    </w:p>
    <w:p w14:paraId="06FD5302" w14:textId="77777777" w:rsidR="00FA2C4C" w:rsidRDefault="00FA2C4C" w:rsidP="00957C11">
      <w:pPr>
        <w:jc w:val="both"/>
      </w:pPr>
    </w:p>
    <w:p w14:paraId="1E6E9132" w14:textId="77777777" w:rsidR="00DD07E5" w:rsidRPr="00C074EC" w:rsidRDefault="00F33C08" w:rsidP="00DD07E5">
      <w:pPr>
        <w:numPr>
          <w:ilvl w:val="0"/>
          <w:numId w:val="15"/>
        </w:numPr>
        <w:tabs>
          <w:tab w:val="left" w:pos="426"/>
        </w:tabs>
        <w:ind w:left="426" w:hanging="426"/>
        <w:rPr>
          <w:rFonts w:ascii="Baskerville Old Face" w:hAnsi="Baskerville Old Face"/>
          <w:b/>
          <w:bCs/>
          <w:lang w:val="id-ID"/>
        </w:rPr>
      </w:pPr>
      <w:r w:rsidRPr="00C074EC">
        <w:rPr>
          <w:rFonts w:ascii="Baskerville Old Face" w:hAnsi="Baskerville Old Face"/>
          <w:b/>
          <w:bCs/>
        </w:rPr>
        <w:t>INTRODUCTION</w:t>
      </w:r>
    </w:p>
    <w:p w14:paraId="342716C5" w14:textId="28623D96" w:rsidR="002E1270" w:rsidRPr="00A76B1C" w:rsidRDefault="00C86C15" w:rsidP="00C86C15">
      <w:pPr>
        <w:tabs>
          <w:tab w:val="left" w:pos="426"/>
        </w:tabs>
        <w:jc w:val="both"/>
        <w:rPr>
          <w:rFonts w:ascii="Baskerville Old Face" w:hAnsi="Baskerville Old Face"/>
          <w:lang w:eastAsia="en-ID"/>
        </w:rPr>
      </w:pPr>
      <w:r>
        <w:rPr>
          <w:rFonts w:ascii="Baskerville Old Face" w:hAnsi="Baskerville Old Face"/>
          <w:lang w:eastAsia="en-ID"/>
        </w:rPr>
        <w:tab/>
      </w:r>
      <w:r w:rsidR="00006153" w:rsidRPr="00A76B1C">
        <w:rPr>
          <w:rFonts w:ascii="Baskerville Old Face" w:hAnsi="Baskerville Old Face"/>
          <w:lang w:eastAsia="en-ID"/>
        </w:rPr>
        <w:t>In modern financial markets, derivatives instruments, more specifically European options, play an important role as a tool for hedging and speculation. Since its introduction in 1978 the Black-Scholes (B-S) model has been widely used as a standard framework for options pricing efforts (Black and Scholes, 1973). This model provides an inventory of analytical solutions assuming an ideal market including with constant volatility and continuous hedging in the absence of transaction fees. However, these assumptions often do not apply in real market conditions, more specifically due to the emergence of transaction costs arising from periodic portfolio rebalancing (Leland, 1985; Boyle and Vorst, 1992).</w:t>
      </w:r>
    </w:p>
    <w:p w14:paraId="446CC1F3" w14:textId="77777777" w:rsidR="00C86C15" w:rsidRDefault="00C86C15" w:rsidP="00C86C15">
      <w:pPr>
        <w:tabs>
          <w:tab w:val="left" w:pos="426"/>
        </w:tabs>
        <w:jc w:val="both"/>
        <w:rPr>
          <w:rFonts w:ascii="Baskerville Old Face" w:hAnsi="Baskerville Old Face"/>
          <w:lang w:eastAsia="en-ID"/>
        </w:rPr>
      </w:pPr>
      <w:r>
        <w:rPr>
          <w:rFonts w:ascii="Baskerville Old Face" w:hAnsi="Baskerville Old Face"/>
          <w:lang w:eastAsia="en-ID"/>
        </w:rPr>
        <w:tab/>
      </w:r>
      <w:r w:rsidR="00044509" w:rsidRPr="00A76B1C">
        <w:rPr>
          <w:rFonts w:ascii="Baskerville Old Face" w:hAnsi="Baskerville Old Face"/>
          <w:lang w:eastAsia="en-ID"/>
        </w:rPr>
        <w:t xml:space="preserve">Ignoring transaction fees may lead to inaccuracies in pricing efforts and significant differences between the theoretical Black-Scholes price and the actual market price. To be able to overcome this, several studies propose a modified price framework by including effective volatility (Leland, 1985; Avellaneda and Parás, 1994). Leland (1985) and Boyle and Vorst (1992) introduced adjustments that are based on trading frequency and discrete hedging while Avellaneda and Parás (1994) made a more general consideration of transaction fee structures. This development was further developed by </w:t>
      </w:r>
      <w:proofErr w:type="spellStart"/>
      <w:r w:rsidR="00044509" w:rsidRPr="00A76B1C">
        <w:rPr>
          <w:rFonts w:ascii="Baskerville Old Face" w:hAnsi="Baskerville Old Face"/>
          <w:lang w:eastAsia="en-ID"/>
        </w:rPr>
        <w:t>Barles</w:t>
      </w:r>
      <w:proofErr w:type="spellEnd"/>
      <w:r w:rsidR="00044509" w:rsidRPr="00A76B1C">
        <w:rPr>
          <w:rFonts w:ascii="Baskerville Old Face" w:hAnsi="Baskerville Old Face"/>
          <w:lang w:eastAsia="en-ID"/>
        </w:rPr>
        <w:t xml:space="preserve"> and Soner (1998) who formulated a nonlinear Black-Scholes </w:t>
      </w:r>
      <w:r w:rsidR="00044509" w:rsidRPr="00A76B1C">
        <w:rPr>
          <w:rFonts w:ascii="Baskerville Old Face" w:hAnsi="Baskerville Old Face"/>
          <w:lang w:eastAsia="en-ID"/>
        </w:rPr>
        <w:lastRenderedPageBreak/>
        <w:t>equation using an exponential utility approach where volatility depends on the second derivative of the option price.</w:t>
      </w:r>
    </w:p>
    <w:p w14:paraId="1986EBDB" w14:textId="1B595EB9" w:rsidR="00E30D48" w:rsidRPr="00A76B1C" w:rsidRDefault="00C86C15" w:rsidP="00C86C15">
      <w:pPr>
        <w:tabs>
          <w:tab w:val="left" w:pos="426"/>
        </w:tabs>
        <w:jc w:val="both"/>
        <w:rPr>
          <w:rFonts w:ascii="Baskerville Old Face" w:hAnsi="Baskerville Old Face"/>
          <w:lang w:eastAsia="en-ID"/>
        </w:rPr>
      </w:pPr>
      <w:r>
        <w:rPr>
          <w:rFonts w:ascii="Baskerville Old Face" w:hAnsi="Baskerville Old Face"/>
          <w:lang w:eastAsia="en-ID"/>
        </w:rPr>
        <w:tab/>
      </w:r>
      <w:r w:rsidR="00006153" w:rsidRPr="00A76B1C">
        <w:rPr>
          <w:rFonts w:ascii="Baskerville Old Face" w:hAnsi="Baskerville Old Face"/>
          <w:lang w:eastAsia="en-ID"/>
        </w:rPr>
        <w:t xml:space="preserve">The nonlinear nature of the </w:t>
      </w:r>
      <w:proofErr w:type="spellStart"/>
      <w:r w:rsidR="00006153" w:rsidRPr="00A76B1C">
        <w:rPr>
          <w:rFonts w:ascii="Baskerville Old Face" w:hAnsi="Baskerville Old Face"/>
          <w:lang w:eastAsia="en-ID"/>
        </w:rPr>
        <w:t>Barles</w:t>
      </w:r>
      <w:proofErr w:type="spellEnd"/>
      <w:r w:rsidR="00006153" w:rsidRPr="00A76B1C">
        <w:rPr>
          <w:rFonts w:ascii="Baskerville Old Face" w:hAnsi="Baskerville Old Face"/>
          <w:lang w:eastAsia="en-ID"/>
        </w:rPr>
        <w:t>-Soner model makes closed-form analytical solutions unavailable so the use of numerical methods becomes so important for the assessment of options (</w:t>
      </w:r>
      <w:proofErr w:type="spellStart"/>
      <w:r w:rsidR="00006153" w:rsidRPr="00A76B1C">
        <w:rPr>
          <w:rFonts w:ascii="Baskerville Old Face" w:hAnsi="Baskerville Old Face"/>
          <w:lang w:eastAsia="en-ID"/>
        </w:rPr>
        <w:t>Barles</w:t>
      </w:r>
      <w:proofErr w:type="spellEnd"/>
      <w:r w:rsidR="00006153" w:rsidRPr="00A76B1C">
        <w:rPr>
          <w:rFonts w:ascii="Baskerville Old Face" w:hAnsi="Baskerville Old Face"/>
          <w:lang w:eastAsia="en-ID"/>
        </w:rPr>
        <w:t xml:space="preserve"> and Soner, 1998; Company et al., 2009). Although the Difference To Method is often used, traditional explicit schemes are often faced with more specific stability and convergence issues when approaching the maturity of options.</w:t>
      </w:r>
    </w:p>
    <w:p w14:paraId="6A83D682" w14:textId="0E49B6EE" w:rsidR="00006153" w:rsidRPr="00A76B1C" w:rsidRDefault="00C86C15" w:rsidP="00C86C15">
      <w:pPr>
        <w:tabs>
          <w:tab w:val="left" w:pos="426"/>
        </w:tabs>
        <w:jc w:val="both"/>
        <w:rPr>
          <w:rFonts w:ascii="Baskerville Old Face" w:hAnsi="Baskerville Old Face"/>
          <w:lang w:eastAsia="en-ID"/>
        </w:rPr>
      </w:pPr>
      <w:r>
        <w:rPr>
          <w:rFonts w:ascii="Baskerville Old Face" w:hAnsi="Baskerville Old Face"/>
          <w:lang w:eastAsia="en-ID"/>
        </w:rPr>
        <w:tab/>
      </w:r>
      <w:r w:rsidR="00006153" w:rsidRPr="00A76B1C">
        <w:rPr>
          <w:rFonts w:ascii="Baskerville Old Face" w:hAnsi="Baskerville Old Face"/>
          <w:lang w:eastAsia="en-ID"/>
        </w:rPr>
        <w:t>To overcome these limitations, this study uses a semi-discretized approach also known as the Line Method as proposed by Company, Jódar, and Pintos (2009). This method provides a better supply of numerical stability and consistency in the attempt to solve nonlinear partial differential equations. The main objective of this study is to determine the price of European options with the consideration of transaction costs explicitly using this numerical framework as well as to evaluate their effectiveness in producing a more realistic and reliable valuation than the standard Black-Scholes model.</w:t>
      </w:r>
    </w:p>
    <w:p w14:paraId="1155B1A7" w14:textId="77777777" w:rsidR="0057622A" w:rsidRPr="00A76B1C" w:rsidRDefault="0057622A" w:rsidP="00585BF8">
      <w:pPr>
        <w:tabs>
          <w:tab w:val="left" w:pos="426"/>
        </w:tabs>
        <w:ind w:left="426"/>
        <w:jc w:val="both"/>
        <w:rPr>
          <w:rFonts w:ascii="Baskerville Old Face" w:hAnsi="Baskerville Old Face"/>
          <w:lang w:val="en-ID" w:eastAsia="en-ID"/>
        </w:rPr>
      </w:pPr>
    </w:p>
    <w:p w14:paraId="7D8166AA" w14:textId="6D52CDA3" w:rsidR="00AD50B5" w:rsidRPr="00C074EC" w:rsidRDefault="003D5F5C" w:rsidP="00C86C15">
      <w:pPr>
        <w:numPr>
          <w:ilvl w:val="0"/>
          <w:numId w:val="15"/>
        </w:numPr>
        <w:tabs>
          <w:tab w:val="left" w:pos="426"/>
        </w:tabs>
        <w:ind w:left="426" w:hanging="426"/>
        <w:rPr>
          <w:lang w:val="en-ID" w:eastAsia="en-ID"/>
        </w:rPr>
      </w:pPr>
      <w:r w:rsidRPr="00C074EC">
        <w:rPr>
          <w:rFonts w:ascii="Baskerville Old Face" w:hAnsi="Baskerville Old Face"/>
          <w:b/>
          <w:bCs/>
        </w:rPr>
        <w:t>RESEARCH METHOD</w:t>
      </w:r>
    </w:p>
    <w:p w14:paraId="4F2D39D7" w14:textId="77777777" w:rsidR="00AB2683" w:rsidRPr="00A76B1C" w:rsidRDefault="00B37818" w:rsidP="00C86C15">
      <w:pPr>
        <w:pStyle w:val="ListParagraph"/>
        <w:numPr>
          <w:ilvl w:val="1"/>
          <w:numId w:val="15"/>
        </w:numPr>
        <w:tabs>
          <w:tab w:val="left" w:pos="426"/>
        </w:tabs>
        <w:spacing w:after="0" w:line="240" w:lineRule="auto"/>
        <w:ind w:hanging="786"/>
        <w:jc w:val="both"/>
        <w:rPr>
          <w:rFonts w:ascii="Times New Roman" w:hAnsi="Times New Roman"/>
          <w:b/>
          <w:bCs/>
          <w:lang w:val="en-ID" w:eastAsia="en-ID"/>
        </w:rPr>
      </w:pPr>
      <w:r w:rsidRPr="00A76B1C">
        <w:rPr>
          <w:rFonts w:ascii="Baskerville Old Face" w:hAnsi="Baskerville Old Face"/>
          <w:b/>
          <w:bCs/>
        </w:rPr>
        <w:t>Research Flow</w:t>
      </w:r>
    </w:p>
    <w:p w14:paraId="502EBCF1" w14:textId="2C135107" w:rsidR="007C2CB7" w:rsidRPr="007C2CB7" w:rsidRDefault="00EA7B56" w:rsidP="007C2CB7">
      <w:pPr>
        <w:spacing w:after="240"/>
        <w:ind w:firstLine="426"/>
        <w:jc w:val="both"/>
        <w:rPr>
          <w:rFonts w:ascii="Baskerville Old Face" w:hAnsi="Baskerville Old Face"/>
          <w:lang w:eastAsia="en-ID"/>
        </w:rPr>
      </w:pPr>
      <w:r w:rsidRPr="00C86C15">
        <w:rPr>
          <w:rFonts w:ascii="Baskerville Old Face" w:hAnsi="Baskerville Old Face"/>
        </w:rPr>
        <w:t xml:space="preserve">This study is applied with an applied quantitative approach that focuses on the determination of European option pricing with consideration of transaction costs through the application of the semi-discretization method on the </w:t>
      </w:r>
      <w:proofErr w:type="spellStart"/>
      <w:r w:rsidRPr="00C86C15">
        <w:rPr>
          <w:rFonts w:ascii="Baskerville Old Face" w:hAnsi="Baskerville Old Face"/>
        </w:rPr>
        <w:t>Barles</w:t>
      </w:r>
      <w:proofErr w:type="spellEnd"/>
      <w:r w:rsidRPr="00C86C15">
        <w:rPr>
          <w:rFonts w:ascii="Baskerville Old Face" w:hAnsi="Baskerville Old Face"/>
        </w:rPr>
        <w:t>-Soner nonlinear model (</w:t>
      </w:r>
      <w:proofErr w:type="spellStart"/>
      <w:r w:rsidRPr="00C86C15">
        <w:rPr>
          <w:rFonts w:ascii="Baskerville Old Face" w:hAnsi="Baskerville Old Face"/>
        </w:rPr>
        <w:t>Barles</w:t>
      </w:r>
      <w:proofErr w:type="spellEnd"/>
      <w:r w:rsidRPr="00C86C15">
        <w:rPr>
          <w:rFonts w:ascii="Baskerville Old Face" w:hAnsi="Baskerville Old Face"/>
        </w:rPr>
        <w:t xml:space="preserve"> and Soner, 1998; Company et al., 2009). The research process is carried out systematically through five main stages, namely literature review, stock data collection, data processing and parameter estimation, mathematical model development, and numerical option assessment (Company et al., 2009). The research framework is displayed more clearly through the flowchart presented in Figure 1.</w:t>
      </w:r>
    </w:p>
    <w:p w14:paraId="0AB17D01" w14:textId="1B02A989" w:rsidR="004C7AE3" w:rsidRDefault="004C7AE3" w:rsidP="004C7AE3">
      <w:pPr>
        <w:tabs>
          <w:tab w:val="left" w:pos="426"/>
        </w:tabs>
        <w:jc w:val="center"/>
        <w:rPr>
          <w:b/>
          <w:bCs/>
          <w:noProof/>
          <w:lang w:val="en-ID" w:eastAsia="en-ID"/>
        </w:rPr>
      </w:pPr>
      <w:r>
        <w:rPr>
          <w:noProof/>
          <w:lang w:eastAsia="en-ID"/>
        </w:rPr>
        <w:drawing>
          <wp:inline distT="0" distB="0" distL="0" distR="0" wp14:anchorId="768BF792" wp14:editId="68D3B70C">
            <wp:extent cx="1157535" cy="3080303"/>
            <wp:effectExtent l="0" t="0" r="5080" b="6350"/>
            <wp:docPr id="19957506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750687" name="Picture 1995750687"/>
                    <pic:cNvPicPr/>
                  </pic:nvPicPr>
                  <pic:blipFill rotWithShape="1">
                    <a:blip r:embed="rId13" cstate="print">
                      <a:extLst>
                        <a:ext uri="{28A0092B-C50C-407E-A947-70E740481C1C}">
                          <a14:useLocalDpi xmlns:a14="http://schemas.microsoft.com/office/drawing/2010/main" val="0"/>
                        </a:ext>
                      </a:extLst>
                    </a:blip>
                    <a:srcRect l="42502" t="15824" r="42819" b="14728"/>
                    <a:stretch>
                      <a:fillRect/>
                    </a:stretch>
                  </pic:blipFill>
                  <pic:spPr bwMode="auto">
                    <a:xfrm>
                      <a:off x="0" y="0"/>
                      <a:ext cx="1174087" cy="3124350"/>
                    </a:xfrm>
                    <a:prstGeom prst="rect">
                      <a:avLst/>
                    </a:prstGeom>
                    <a:ln>
                      <a:noFill/>
                    </a:ln>
                    <a:extLst>
                      <a:ext uri="{53640926-AAD7-44D8-BBD7-CCE9431645EC}">
                        <a14:shadowObscured xmlns:a14="http://schemas.microsoft.com/office/drawing/2010/main"/>
                      </a:ext>
                    </a:extLst>
                  </pic:spPr>
                </pic:pic>
              </a:graphicData>
            </a:graphic>
          </wp:inline>
        </w:drawing>
      </w:r>
    </w:p>
    <w:p w14:paraId="6532F897" w14:textId="4EDDC3A6" w:rsidR="005C41A3" w:rsidRPr="005C41A3" w:rsidRDefault="005C41A3" w:rsidP="004C7AE3">
      <w:pPr>
        <w:tabs>
          <w:tab w:val="left" w:pos="426"/>
        </w:tabs>
        <w:jc w:val="center"/>
        <w:rPr>
          <w:noProof/>
          <w:lang w:val="en-ID" w:eastAsia="en-ID"/>
        </w:rPr>
      </w:pPr>
      <w:r w:rsidRPr="005C41A3">
        <w:rPr>
          <w:noProof/>
          <w:lang w:eastAsia="en-ID"/>
        </w:rPr>
        <w:t>Figure 1. Research Flow</w:t>
      </w:r>
    </w:p>
    <w:p w14:paraId="411C9A84" w14:textId="7401234C" w:rsidR="00B37818" w:rsidRPr="00EA7B56" w:rsidRDefault="00EA7B56" w:rsidP="007C2CB7">
      <w:pPr>
        <w:spacing w:after="240"/>
        <w:ind w:firstLine="426"/>
        <w:jc w:val="both"/>
        <w:rPr>
          <w:color w:val="EE0000"/>
          <w:lang w:eastAsia="en-ID"/>
        </w:rPr>
      </w:pPr>
      <w:r w:rsidRPr="007C2CB7">
        <w:rPr>
          <w:rFonts w:ascii="Baskerville Old Face" w:hAnsi="Baskerville Old Face"/>
        </w:rPr>
        <w:t xml:space="preserve">The research procedure is carried out by being able to follow the systematic workflow described in Figure 1. The study began with a literature review regarding option pricing and numerical methods then continued with the collection of data on the daily closing price of PT XYZ shares. Raw data is processed to estimate historical volatility parameters. Furthermore, the mathematical model is constructed using the </w:t>
      </w:r>
      <w:proofErr w:type="spellStart"/>
      <w:r w:rsidRPr="007C2CB7">
        <w:rPr>
          <w:rFonts w:ascii="Baskerville Old Face" w:hAnsi="Baskerville Old Face"/>
        </w:rPr>
        <w:t>Barles</w:t>
      </w:r>
      <w:proofErr w:type="spellEnd"/>
      <w:r w:rsidRPr="007C2CB7">
        <w:rPr>
          <w:rFonts w:ascii="Baskerville Old Face" w:hAnsi="Baskerville Old Face"/>
        </w:rPr>
        <w:t>-Soner framework and solved numerically through the Difference Method with a semi-discretized scheme. The numerical model is first validated by providing a comparison of the results against the Black-Scholes analytical solution before it is used to simulate the option price that takes into account transaction costs</w:t>
      </w:r>
      <w:r w:rsidRPr="00A76B1C">
        <w:rPr>
          <w:rFonts w:ascii="Baskerville Old Face" w:hAnsi="Baskerville Old Face"/>
        </w:rPr>
        <w:t xml:space="preserve"> (Black and Scholes, 1973; Company et al., 2009).</w:t>
      </w:r>
    </w:p>
    <w:p w14:paraId="4980F74B" w14:textId="739BC6FE" w:rsidR="00AB2683" w:rsidRPr="00C074EC" w:rsidRDefault="00B163F3" w:rsidP="007C2CB7">
      <w:pPr>
        <w:pStyle w:val="ListParagraph"/>
        <w:numPr>
          <w:ilvl w:val="1"/>
          <w:numId w:val="15"/>
        </w:numPr>
        <w:tabs>
          <w:tab w:val="left" w:pos="426"/>
        </w:tabs>
        <w:spacing w:after="0" w:line="240" w:lineRule="auto"/>
        <w:ind w:hanging="786"/>
        <w:jc w:val="both"/>
        <w:rPr>
          <w:rFonts w:ascii="Baskerville Old Face" w:hAnsi="Baskerville Old Face"/>
          <w:b/>
          <w:bCs/>
          <w:sz w:val="20"/>
          <w:szCs w:val="20"/>
        </w:rPr>
      </w:pPr>
      <w:r w:rsidRPr="00C074EC">
        <w:rPr>
          <w:rFonts w:ascii="Baskerville Old Face" w:hAnsi="Baskerville Old Face"/>
          <w:b/>
          <w:bCs/>
          <w:sz w:val="20"/>
          <w:szCs w:val="20"/>
        </w:rPr>
        <w:t>Data Processing and Parameter Estimation</w:t>
      </w:r>
    </w:p>
    <w:p w14:paraId="55337281" w14:textId="6F064A24" w:rsidR="007C2CB7" w:rsidRDefault="00BF0D5F" w:rsidP="007C2CB7">
      <w:pPr>
        <w:spacing w:after="240"/>
        <w:ind w:firstLine="426"/>
        <w:jc w:val="both"/>
        <w:rPr>
          <w:rFonts w:ascii="Baskerville Old Face" w:hAnsi="Baskerville Old Face"/>
        </w:rPr>
      </w:pPr>
      <w:r w:rsidRPr="00AB2683">
        <w:rPr>
          <w:rFonts w:ascii="Baskerville Old Face" w:hAnsi="Baskerville Old Face"/>
        </w:rPr>
        <w:t>The primary data used in this study consists of the daily closing stock prices of PT XYZ obtained from the Yahoo Finance database (</w:t>
      </w:r>
      <w:proofErr w:type="spellStart"/>
      <w:r w:rsidRPr="00AB2683">
        <w:rPr>
          <w:rFonts w:ascii="Baskerville Old Face" w:hAnsi="Baskerville Old Face"/>
        </w:rPr>
        <w:t>Rusmaningtyas</w:t>
      </w:r>
      <w:proofErr w:type="spellEnd"/>
      <w:r w:rsidRPr="00AB2683">
        <w:rPr>
          <w:rFonts w:ascii="Baskerville Old Face" w:hAnsi="Baskerville Old Face"/>
        </w:rPr>
        <w:t xml:space="preserve"> et al., 2022). The dataset covers a one-year trading period from December 30, 2024, to December 24, 2025. To implement the </w:t>
      </w:r>
      <w:proofErr w:type="spellStart"/>
      <w:r w:rsidRPr="00AB2683">
        <w:rPr>
          <w:rFonts w:ascii="Baskerville Old Face" w:hAnsi="Baskerville Old Face"/>
        </w:rPr>
        <w:t>Barles</w:t>
      </w:r>
      <w:proofErr w:type="spellEnd"/>
      <w:r w:rsidRPr="00AB2683">
        <w:rPr>
          <w:rFonts w:ascii="Baskerville Old Face" w:hAnsi="Baskerville Old Face"/>
        </w:rPr>
        <w:t>-Soner model, the historical volatility parameter which represents the magnitude of asset price fluctuations. must be estimated from the raw data. First, the daily logarithmic return is calculated using the standard formula described in Hull (2009):</w:t>
      </w:r>
    </w:p>
    <w:p w14:paraId="240E397F" w14:textId="2666EA33" w:rsidR="00AB2683" w:rsidRPr="0046378E" w:rsidRDefault="00000000" w:rsidP="007C2CB7">
      <w:pPr>
        <w:spacing w:after="240"/>
        <w:ind w:firstLine="426"/>
        <w:jc w:val="both"/>
        <w:rPr>
          <w:rFonts w:ascii="Baskerville Old Face" w:hAnsi="Baskerville Old Face"/>
        </w:rPr>
      </w:pPr>
      <m:oMathPara>
        <m:oMath>
          <m:sSub>
            <m:sSubPr>
              <m:ctrlPr>
                <w:rPr>
                  <w:rFonts w:ascii="Cambria Math" w:hAnsi="Cambria Math"/>
                  <w:lang w:eastAsia="en-GB"/>
                </w:rPr>
              </m:ctrlPr>
            </m:sSubPr>
            <m:e>
              <m:r>
                <w:rPr>
                  <w:rFonts w:ascii="Cambria Math" w:hAnsi="Cambria Math"/>
                  <w:lang w:eastAsia="en-GB"/>
                </w:rPr>
                <m:t>r</m:t>
              </m:r>
            </m:e>
            <m:sub>
              <m:r>
                <w:rPr>
                  <w:rFonts w:ascii="Cambria Math" w:hAnsi="Cambria Math"/>
                  <w:lang w:eastAsia="en-GB"/>
                </w:rPr>
                <m:t>t</m:t>
              </m:r>
            </m:sub>
          </m:sSub>
          <m:r>
            <w:rPr>
              <w:rFonts w:ascii="Cambria Math" w:hAnsi="Cambria Math"/>
              <w:lang w:eastAsia="en-GB"/>
            </w:rPr>
            <m:t>=</m:t>
          </m:r>
          <m:func>
            <m:funcPr>
              <m:ctrlPr>
                <w:rPr>
                  <w:rFonts w:ascii="Cambria Math" w:hAnsi="Cambria Math"/>
                  <w:i/>
                  <w:lang w:eastAsia="en-GB"/>
                </w:rPr>
              </m:ctrlPr>
            </m:funcPr>
            <m:fName>
              <m:r>
                <m:rPr>
                  <m:sty m:val="p"/>
                </m:rPr>
                <w:rPr>
                  <w:rFonts w:ascii="Cambria Math" w:hAnsi="Cambria Math"/>
                  <w:lang w:eastAsia="en-GB"/>
                </w:rPr>
                <m:t>ln</m:t>
              </m:r>
            </m:fName>
            <m:e>
              <m:d>
                <m:dPr>
                  <m:ctrlPr>
                    <w:rPr>
                      <w:rFonts w:ascii="Cambria Math" w:hAnsi="Cambria Math"/>
                      <w:i/>
                      <w:lang w:eastAsia="en-GB"/>
                    </w:rPr>
                  </m:ctrlPr>
                </m:dPr>
                <m:e>
                  <m:f>
                    <m:fPr>
                      <m:ctrlPr>
                        <w:rPr>
                          <w:rFonts w:ascii="Cambria Math" w:hAnsi="Cambria Math"/>
                          <w:i/>
                          <w:lang w:eastAsia="en-GB"/>
                        </w:rPr>
                      </m:ctrlPr>
                    </m:fPr>
                    <m:num>
                      <m:sSub>
                        <m:sSubPr>
                          <m:ctrlPr>
                            <w:rPr>
                              <w:rFonts w:ascii="Cambria Math" w:hAnsi="Cambria Math"/>
                              <w:lang w:eastAsia="en-GB"/>
                            </w:rPr>
                          </m:ctrlPr>
                        </m:sSubPr>
                        <m:e>
                          <m:r>
                            <w:rPr>
                              <w:rFonts w:ascii="Cambria Math" w:hAnsi="Cambria Math"/>
                              <w:lang w:eastAsia="en-GB"/>
                            </w:rPr>
                            <m:t>S</m:t>
                          </m:r>
                        </m:e>
                        <m:sub>
                          <m:r>
                            <w:rPr>
                              <w:rFonts w:ascii="Cambria Math" w:hAnsi="Cambria Math"/>
                              <w:lang w:eastAsia="en-GB"/>
                            </w:rPr>
                            <m:t>t</m:t>
                          </m:r>
                        </m:sub>
                      </m:sSub>
                    </m:num>
                    <m:den>
                      <m:sSub>
                        <m:sSubPr>
                          <m:ctrlPr>
                            <w:rPr>
                              <w:rFonts w:ascii="Cambria Math" w:hAnsi="Cambria Math"/>
                              <w:lang w:eastAsia="en-GB"/>
                            </w:rPr>
                          </m:ctrlPr>
                        </m:sSubPr>
                        <m:e>
                          <m:r>
                            <w:rPr>
                              <w:rFonts w:ascii="Cambria Math" w:hAnsi="Cambria Math"/>
                              <w:lang w:eastAsia="en-GB"/>
                            </w:rPr>
                            <m:t>S</m:t>
                          </m:r>
                        </m:e>
                        <m:sub>
                          <m:r>
                            <w:rPr>
                              <w:rFonts w:ascii="Cambria Math" w:hAnsi="Cambria Math"/>
                              <w:lang w:eastAsia="en-GB"/>
                            </w:rPr>
                            <m:t>t-1</m:t>
                          </m:r>
                        </m:sub>
                      </m:sSub>
                    </m:den>
                  </m:f>
                </m:e>
              </m:d>
            </m:e>
          </m:func>
        </m:oMath>
      </m:oMathPara>
    </w:p>
    <w:p w14:paraId="65124D5A" w14:textId="77777777" w:rsidR="0046378E" w:rsidRDefault="0046378E" w:rsidP="00AB2683">
      <w:pPr>
        <w:tabs>
          <w:tab w:val="left" w:pos="426"/>
        </w:tabs>
        <w:ind w:left="426"/>
        <w:jc w:val="both"/>
        <w:rPr>
          <w:rFonts w:ascii="Baskerville Old Face" w:hAnsi="Baskerville Old Face"/>
          <w:lang w:eastAsia="en-GB"/>
        </w:rPr>
      </w:pPr>
    </w:p>
    <w:p w14:paraId="7FA545DE" w14:textId="2342AE01" w:rsidR="00BF0D5F" w:rsidRDefault="00DD65F0" w:rsidP="007C2CB7">
      <w:pPr>
        <w:spacing w:after="240"/>
        <w:ind w:firstLine="426"/>
        <w:jc w:val="both"/>
        <w:rPr>
          <w:rFonts w:ascii="Baskerville Old Face" w:hAnsi="Baskerville Old Face"/>
          <w:lang w:eastAsia="en-GB"/>
        </w:rPr>
      </w:pPr>
      <w:r w:rsidRPr="00DD65F0">
        <w:rPr>
          <w:rFonts w:ascii="Baskerville Old Face" w:hAnsi="Baskerville Old Face"/>
        </w:rPr>
        <w:t xml:space="preserve">Where </w:t>
      </w:r>
      <m:oMath>
        <m:sSub>
          <m:sSubPr>
            <m:ctrlPr>
              <w:rPr>
                <w:rFonts w:ascii="Cambria Math" w:hAnsi="Cambria Math"/>
                <w:lang w:eastAsia="en-GB"/>
              </w:rPr>
            </m:ctrlPr>
          </m:sSubPr>
          <m:e>
            <m:r>
              <w:rPr>
                <w:rFonts w:ascii="Cambria Math" w:hAnsi="Cambria Math"/>
                <w:lang w:eastAsia="en-GB"/>
              </w:rPr>
              <m:t>S</m:t>
            </m:r>
          </m:e>
          <m:sub>
            <m:r>
              <w:rPr>
                <w:rFonts w:ascii="Cambria Math" w:hAnsi="Cambria Math"/>
                <w:lang w:eastAsia="en-GB"/>
              </w:rPr>
              <m:t>t</m:t>
            </m:r>
          </m:sub>
        </m:sSub>
      </m:oMath>
      <w:r w:rsidR="00BE3FB1">
        <w:rPr>
          <w:rFonts w:ascii="Baskerville Old Face" w:hAnsi="Baskerville Old Face"/>
          <w:lang w:eastAsia="en-GB"/>
        </w:rPr>
        <w:t xml:space="preserve"> </w:t>
      </w:r>
      <w:r w:rsidRPr="00DD65F0">
        <w:rPr>
          <w:rFonts w:ascii="Baskerville Old Face" w:hAnsi="Baskerville Old Face"/>
        </w:rPr>
        <w:t>denotes the closing stock price on day and</w:t>
      </w:r>
      <w:r w:rsidR="00BE3FB1">
        <w:rPr>
          <w:rFonts w:ascii="Baskerville Old Face" w:hAnsi="Baskerville Old Face"/>
        </w:rPr>
        <w:t xml:space="preserve"> </w:t>
      </w:r>
      <m:oMath>
        <m:sSub>
          <m:sSubPr>
            <m:ctrlPr>
              <w:rPr>
                <w:rFonts w:ascii="Cambria Math" w:hAnsi="Cambria Math"/>
                <w:lang w:eastAsia="en-GB"/>
              </w:rPr>
            </m:ctrlPr>
          </m:sSubPr>
          <m:e>
            <m:r>
              <w:rPr>
                <w:rFonts w:ascii="Cambria Math" w:hAnsi="Cambria Math"/>
                <w:lang w:eastAsia="en-GB"/>
              </w:rPr>
              <m:t>S</m:t>
            </m:r>
          </m:e>
          <m:sub>
            <m:r>
              <w:rPr>
                <w:rFonts w:ascii="Cambria Math" w:hAnsi="Cambria Math"/>
                <w:lang w:eastAsia="en-GB"/>
              </w:rPr>
              <m:t>t-1</m:t>
            </m:r>
          </m:sub>
        </m:sSub>
      </m:oMath>
      <w:r w:rsidRPr="00DD65F0">
        <w:rPr>
          <w:rFonts w:ascii="Baskerville Old Face" w:hAnsi="Baskerville Old Face"/>
        </w:rPr>
        <w:t xml:space="preserve"> is the closing price on the previous day. A sample of the return calculation is presented in Table 1.</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4"/>
        <w:gridCol w:w="1984"/>
        <w:gridCol w:w="2127"/>
        <w:gridCol w:w="2687"/>
      </w:tblGrid>
      <w:tr w:rsidR="00BF0D5F" w14:paraId="496C6E9E" w14:textId="77777777" w:rsidTr="00AB2683">
        <w:tc>
          <w:tcPr>
            <w:tcW w:w="1554" w:type="dxa"/>
            <w:tcBorders>
              <w:top w:val="single" w:sz="4" w:space="0" w:color="auto"/>
              <w:bottom w:val="single" w:sz="4" w:space="0" w:color="auto"/>
            </w:tcBorders>
          </w:tcPr>
          <w:p w14:paraId="1369453A" w14:textId="466639AD" w:rsidR="00BF0D5F" w:rsidRDefault="00BF0D5F" w:rsidP="00277CFB">
            <w:pPr>
              <w:tabs>
                <w:tab w:val="left" w:pos="426"/>
              </w:tabs>
              <w:jc w:val="center"/>
              <w:rPr>
                <w:rFonts w:ascii="Baskerville Old Face" w:hAnsi="Baskerville Old Face"/>
              </w:rPr>
            </w:pPr>
            <w:r>
              <w:rPr>
                <w:rFonts w:ascii="Baskerville Old Face" w:hAnsi="Baskerville Old Face"/>
              </w:rPr>
              <w:t>Date</w:t>
            </w:r>
          </w:p>
        </w:tc>
        <w:tc>
          <w:tcPr>
            <w:tcW w:w="1984" w:type="dxa"/>
            <w:tcBorders>
              <w:top w:val="single" w:sz="4" w:space="0" w:color="auto"/>
              <w:bottom w:val="single" w:sz="4" w:space="0" w:color="auto"/>
            </w:tcBorders>
          </w:tcPr>
          <w:p w14:paraId="48917253" w14:textId="3BE9935C" w:rsidR="00BF0D5F" w:rsidRDefault="00BF0D5F" w:rsidP="00277CFB">
            <w:pPr>
              <w:tabs>
                <w:tab w:val="left" w:pos="426"/>
              </w:tabs>
              <w:jc w:val="center"/>
              <w:rPr>
                <w:rFonts w:ascii="Baskerville Old Face" w:hAnsi="Baskerville Old Face"/>
              </w:rPr>
            </w:pPr>
            <w:r>
              <w:rPr>
                <w:rFonts w:ascii="Baskerville Old Face" w:hAnsi="Baskerville Old Face"/>
              </w:rPr>
              <w:t xml:space="preserve">Closing Price </w:t>
            </w:r>
            <m:oMath>
              <m:sSub>
                <m:sSubPr>
                  <m:ctrlPr>
                    <w:rPr>
                      <w:rFonts w:ascii="Cambria Math" w:hAnsi="Cambria Math"/>
                      <w:lang w:eastAsia="en-GB"/>
                    </w:rPr>
                  </m:ctrlPr>
                </m:sSubPr>
                <m:e>
                  <m:r>
                    <w:rPr>
                      <w:rFonts w:ascii="Cambria Math" w:hAnsi="Cambria Math"/>
                      <w:lang w:eastAsia="en-GB"/>
                    </w:rPr>
                    <m:t>(S</m:t>
                  </m:r>
                </m:e>
                <m:sub>
                  <m:r>
                    <w:rPr>
                      <w:rFonts w:ascii="Cambria Math" w:hAnsi="Cambria Math"/>
                      <w:lang w:eastAsia="en-GB"/>
                    </w:rPr>
                    <m:t>t</m:t>
                  </m:r>
                </m:sub>
              </m:sSub>
              <m:r>
                <w:rPr>
                  <w:rFonts w:ascii="Cambria Math" w:hAnsi="Cambria Math"/>
                  <w:lang w:eastAsia="en-GB"/>
                </w:rPr>
                <m:t>)</m:t>
              </m:r>
            </m:oMath>
          </w:p>
        </w:tc>
        <w:tc>
          <w:tcPr>
            <w:tcW w:w="2127" w:type="dxa"/>
            <w:tcBorders>
              <w:top w:val="single" w:sz="4" w:space="0" w:color="auto"/>
              <w:bottom w:val="single" w:sz="4" w:space="0" w:color="auto"/>
            </w:tcBorders>
          </w:tcPr>
          <w:p w14:paraId="0EDBB318" w14:textId="768AE4EF" w:rsidR="00BF0D5F" w:rsidRDefault="00BF0D5F" w:rsidP="00277CFB">
            <w:pPr>
              <w:tabs>
                <w:tab w:val="left" w:pos="426"/>
              </w:tabs>
              <w:jc w:val="center"/>
              <w:rPr>
                <w:rFonts w:ascii="Baskerville Old Face" w:hAnsi="Baskerville Old Face"/>
              </w:rPr>
            </w:pPr>
            <w:r>
              <w:rPr>
                <w:rFonts w:ascii="Baskerville Old Face" w:hAnsi="Baskerville Old Face"/>
              </w:rPr>
              <w:t xml:space="preserve">Previous Price </w:t>
            </w:r>
            <m:oMath>
              <m:sSub>
                <m:sSubPr>
                  <m:ctrlPr>
                    <w:rPr>
                      <w:rFonts w:ascii="Cambria Math" w:hAnsi="Cambria Math"/>
                      <w:lang w:eastAsia="en-GB"/>
                    </w:rPr>
                  </m:ctrlPr>
                </m:sSubPr>
                <m:e>
                  <m:r>
                    <w:rPr>
                      <w:rFonts w:ascii="Cambria Math" w:hAnsi="Cambria Math"/>
                      <w:lang w:eastAsia="en-GB"/>
                    </w:rPr>
                    <m:t>(S</m:t>
                  </m:r>
                </m:e>
                <m:sub>
                  <m:r>
                    <w:rPr>
                      <w:rFonts w:ascii="Cambria Math" w:hAnsi="Cambria Math"/>
                      <w:lang w:eastAsia="en-GB"/>
                    </w:rPr>
                    <m:t>t-1</m:t>
                  </m:r>
                </m:sub>
              </m:sSub>
              <m:r>
                <w:rPr>
                  <w:rFonts w:ascii="Cambria Math" w:hAnsi="Cambria Math"/>
                  <w:lang w:eastAsia="en-GB"/>
                </w:rPr>
                <m:t>)</m:t>
              </m:r>
            </m:oMath>
          </w:p>
        </w:tc>
        <w:tc>
          <w:tcPr>
            <w:tcW w:w="2687" w:type="dxa"/>
            <w:tcBorders>
              <w:top w:val="single" w:sz="4" w:space="0" w:color="auto"/>
              <w:bottom w:val="single" w:sz="4" w:space="0" w:color="auto"/>
            </w:tcBorders>
          </w:tcPr>
          <w:p w14:paraId="7BAE664C" w14:textId="7C5ECD51" w:rsidR="00BF0D5F" w:rsidRPr="00DD65F0" w:rsidRDefault="00BF0D5F" w:rsidP="00277CFB">
            <w:pPr>
              <w:tabs>
                <w:tab w:val="left" w:pos="426"/>
              </w:tabs>
              <w:jc w:val="center"/>
              <w:rPr>
                <w:rFonts w:ascii="Baskerville Old Face" w:hAnsi="Baskerville Old Face"/>
                <w:lang w:eastAsia="en-GB"/>
              </w:rPr>
            </w:pPr>
            <w:r>
              <w:rPr>
                <w:rFonts w:ascii="Baskerville Old Face" w:hAnsi="Baskerville Old Face"/>
              </w:rPr>
              <w:t xml:space="preserve">Log Return </w:t>
            </w:r>
            <w:r w:rsidRPr="00BF0D5F">
              <w:rPr>
                <w:rFonts w:ascii="Cambria Math" w:hAnsi="Cambria Math"/>
                <w:lang w:eastAsia="en-GB"/>
              </w:rPr>
              <w:br/>
            </w:r>
            <m:oMathPara>
              <m:oMath>
                <m:sSub>
                  <m:sSubPr>
                    <m:ctrlPr>
                      <w:rPr>
                        <w:rFonts w:ascii="Cambria Math" w:hAnsi="Cambria Math"/>
                        <w:lang w:eastAsia="en-GB"/>
                      </w:rPr>
                    </m:ctrlPr>
                  </m:sSubPr>
                  <m:e>
                    <m:r>
                      <w:rPr>
                        <w:rFonts w:ascii="Cambria Math" w:hAnsi="Cambria Math"/>
                        <w:lang w:eastAsia="en-GB"/>
                      </w:rPr>
                      <m:t>r</m:t>
                    </m:r>
                  </m:e>
                  <m:sub>
                    <m:r>
                      <w:rPr>
                        <w:rFonts w:ascii="Cambria Math" w:hAnsi="Cambria Math"/>
                        <w:lang w:eastAsia="en-GB"/>
                      </w:rPr>
                      <m:t>t</m:t>
                    </m:r>
                  </m:sub>
                </m:sSub>
                <m:r>
                  <w:rPr>
                    <w:rFonts w:ascii="Cambria Math" w:hAnsi="Cambria Math"/>
                    <w:lang w:eastAsia="en-GB"/>
                  </w:rPr>
                  <m:t>=</m:t>
                </m:r>
                <m:func>
                  <m:funcPr>
                    <m:ctrlPr>
                      <w:rPr>
                        <w:rFonts w:ascii="Cambria Math" w:hAnsi="Cambria Math"/>
                        <w:i/>
                        <w:lang w:eastAsia="en-GB"/>
                      </w:rPr>
                    </m:ctrlPr>
                  </m:funcPr>
                  <m:fName>
                    <m:r>
                      <m:rPr>
                        <m:sty m:val="p"/>
                      </m:rPr>
                      <w:rPr>
                        <w:rFonts w:ascii="Cambria Math" w:hAnsi="Cambria Math"/>
                        <w:lang w:eastAsia="en-GB"/>
                      </w:rPr>
                      <m:t>ln</m:t>
                    </m:r>
                  </m:fName>
                  <m:e>
                    <m:r>
                      <w:rPr>
                        <w:rFonts w:ascii="Cambria Math" w:hAnsi="Cambria Math"/>
                        <w:lang w:eastAsia="en-GB"/>
                      </w:rPr>
                      <m:t>(</m:t>
                    </m:r>
                  </m:e>
                </m:func>
                <m:sSub>
                  <m:sSubPr>
                    <m:ctrlPr>
                      <w:rPr>
                        <w:rFonts w:ascii="Cambria Math" w:hAnsi="Cambria Math"/>
                        <w:lang w:eastAsia="en-GB"/>
                      </w:rPr>
                    </m:ctrlPr>
                  </m:sSubPr>
                  <m:e>
                    <m:r>
                      <w:rPr>
                        <w:rFonts w:ascii="Cambria Math" w:hAnsi="Cambria Math"/>
                        <w:lang w:eastAsia="en-GB"/>
                      </w:rPr>
                      <m:t>S</m:t>
                    </m:r>
                  </m:e>
                  <m:sub>
                    <m:r>
                      <w:rPr>
                        <w:rFonts w:ascii="Cambria Math" w:hAnsi="Cambria Math"/>
                        <w:lang w:eastAsia="en-GB"/>
                      </w:rPr>
                      <m:t>t</m:t>
                    </m:r>
                  </m:sub>
                </m:sSub>
                <m:r>
                  <w:rPr>
                    <w:rFonts w:ascii="Cambria Math" w:hAnsi="Cambria Math"/>
                    <w:lang w:eastAsia="en-GB"/>
                  </w:rPr>
                  <m:t>/</m:t>
                </m:r>
                <m:sSub>
                  <m:sSubPr>
                    <m:ctrlPr>
                      <w:rPr>
                        <w:rFonts w:ascii="Cambria Math" w:hAnsi="Cambria Math"/>
                        <w:lang w:eastAsia="en-GB"/>
                      </w:rPr>
                    </m:ctrlPr>
                  </m:sSubPr>
                  <m:e>
                    <m:r>
                      <w:rPr>
                        <w:rFonts w:ascii="Cambria Math" w:hAnsi="Cambria Math"/>
                        <w:lang w:eastAsia="en-GB"/>
                      </w:rPr>
                      <m:t>S</m:t>
                    </m:r>
                  </m:e>
                  <m:sub>
                    <m:r>
                      <w:rPr>
                        <w:rFonts w:ascii="Cambria Math" w:hAnsi="Cambria Math"/>
                        <w:lang w:eastAsia="en-GB"/>
                      </w:rPr>
                      <m:t>t-1</m:t>
                    </m:r>
                  </m:sub>
                </m:sSub>
                <m:r>
                  <w:rPr>
                    <w:rFonts w:ascii="Cambria Math" w:hAnsi="Cambria Math"/>
                    <w:lang w:eastAsia="en-GB"/>
                  </w:rPr>
                  <m:t>)</m:t>
                </m:r>
              </m:oMath>
            </m:oMathPara>
          </w:p>
          <w:p w14:paraId="1D726A80" w14:textId="6C975AE2" w:rsidR="00BF0D5F" w:rsidRDefault="00BF0D5F" w:rsidP="00277CFB">
            <w:pPr>
              <w:tabs>
                <w:tab w:val="left" w:pos="426"/>
              </w:tabs>
              <w:jc w:val="center"/>
              <w:rPr>
                <w:rFonts w:ascii="Baskerville Old Face" w:hAnsi="Baskerville Old Face"/>
              </w:rPr>
            </w:pPr>
          </w:p>
        </w:tc>
      </w:tr>
      <w:tr w:rsidR="00BF0D5F" w14:paraId="06C5382B" w14:textId="77777777" w:rsidTr="00AB2683">
        <w:tc>
          <w:tcPr>
            <w:tcW w:w="1554" w:type="dxa"/>
            <w:tcBorders>
              <w:top w:val="single" w:sz="4" w:space="0" w:color="auto"/>
            </w:tcBorders>
          </w:tcPr>
          <w:p w14:paraId="5FDC6D20" w14:textId="49212935" w:rsidR="00BF0D5F" w:rsidRDefault="00277CFB" w:rsidP="00AB2683">
            <w:pPr>
              <w:tabs>
                <w:tab w:val="left" w:pos="426"/>
              </w:tabs>
              <w:jc w:val="center"/>
              <w:rPr>
                <w:rFonts w:ascii="Baskerville Old Face" w:hAnsi="Baskerville Old Face"/>
              </w:rPr>
            </w:pPr>
            <w:r>
              <w:rPr>
                <w:rFonts w:ascii="Baskerville Old Face" w:hAnsi="Baskerville Old Face"/>
              </w:rPr>
              <w:t>30-Dec-2024</w:t>
            </w:r>
          </w:p>
        </w:tc>
        <w:tc>
          <w:tcPr>
            <w:tcW w:w="1984" w:type="dxa"/>
            <w:tcBorders>
              <w:top w:val="single" w:sz="4" w:space="0" w:color="auto"/>
            </w:tcBorders>
          </w:tcPr>
          <w:p w14:paraId="26535AA4" w14:textId="68B9A708" w:rsidR="00BF0D5F" w:rsidRDefault="00BE3FB1" w:rsidP="00AB2683">
            <w:pPr>
              <w:tabs>
                <w:tab w:val="left" w:pos="426"/>
              </w:tabs>
              <w:jc w:val="center"/>
              <w:rPr>
                <w:rFonts w:ascii="Baskerville Old Face" w:hAnsi="Baskerville Old Face"/>
              </w:rPr>
            </w:pPr>
            <m:oMathPara>
              <m:oMath>
                <m:r>
                  <w:rPr>
                    <w:rFonts w:ascii="Cambria Math" w:hAnsi="Cambria Math"/>
                  </w:rPr>
                  <m:t>9675</m:t>
                </m:r>
              </m:oMath>
            </m:oMathPara>
          </w:p>
        </w:tc>
        <w:tc>
          <w:tcPr>
            <w:tcW w:w="2127" w:type="dxa"/>
            <w:tcBorders>
              <w:top w:val="single" w:sz="4" w:space="0" w:color="auto"/>
            </w:tcBorders>
          </w:tcPr>
          <w:p w14:paraId="66C8FC46" w14:textId="5CFDEA92" w:rsidR="00BF0D5F" w:rsidRDefault="00BE3FB1" w:rsidP="00AB2683">
            <w:pPr>
              <w:tabs>
                <w:tab w:val="left" w:pos="426"/>
              </w:tabs>
              <w:jc w:val="center"/>
              <w:rPr>
                <w:rFonts w:ascii="Baskerville Old Face" w:hAnsi="Baskerville Old Face"/>
              </w:rPr>
            </w:pPr>
            <m:oMathPara>
              <m:oMath>
                <m:r>
                  <w:rPr>
                    <w:rFonts w:ascii="Cambria Math" w:hAnsi="Cambria Math"/>
                  </w:rPr>
                  <m:t>9800</m:t>
                </m:r>
              </m:oMath>
            </m:oMathPara>
          </w:p>
        </w:tc>
        <w:tc>
          <w:tcPr>
            <w:tcW w:w="2687" w:type="dxa"/>
            <w:tcBorders>
              <w:top w:val="single" w:sz="4" w:space="0" w:color="auto"/>
            </w:tcBorders>
          </w:tcPr>
          <w:p w14:paraId="4782FA32" w14:textId="30363990" w:rsidR="00BF0D5F" w:rsidRDefault="00BE3FB1" w:rsidP="00AB2683">
            <w:pPr>
              <w:tabs>
                <w:tab w:val="left" w:pos="426"/>
              </w:tabs>
              <w:jc w:val="center"/>
              <w:rPr>
                <w:rFonts w:ascii="Baskerville Old Face" w:hAnsi="Baskerville Old Face"/>
              </w:rPr>
            </w:pPr>
            <m:oMathPara>
              <m:oMath>
                <m:r>
                  <w:rPr>
                    <w:rFonts w:ascii="Cambria Math" w:hAnsi="Cambria Math"/>
                  </w:rPr>
                  <m:t>-0.0128</m:t>
                </m:r>
              </m:oMath>
            </m:oMathPara>
          </w:p>
        </w:tc>
      </w:tr>
      <w:tr w:rsidR="00BF0D5F" w14:paraId="2DECD91F" w14:textId="77777777" w:rsidTr="00AB2683">
        <w:tc>
          <w:tcPr>
            <w:tcW w:w="1554" w:type="dxa"/>
          </w:tcPr>
          <w:p w14:paraId="57088197" w14:textId="7E3F6C2C" w:rsidR="00BF0D5F" w:rsidRDefault="00277CFB" w:rsidP="00AB2683">
            <w:pPr>
              <w:tabs>
                <w:tab w:val="left" w:pos="426"/>
              </w:tabs>
              <w:jc w:val="center"/>
              <w:rPr>
                <w:rFonts w:ascii="Baskerville Old Face" w:hAnsi="Baskerville Old Face"/>
              </w:rPr>
            </w:pPr>
            <w:r>
              <w:rPr>
                <w:rFonts w:ascii="Baskerville Old Face" w:hAnsi="Baskerville Old Face"/>
              </w:rPr>
              <w:t>02-Jan-2025</w:t>
            </w:r>
          </w:p>
        </w:tc>
        <w:tc>
          <w:tcPr>
            <w:tcW w:w="1984" w:type="dxa"/>
          </w:tcPr>
          <w:p w14:paraId="7C6071FE" w14:textId="16CBC2BB" w:rsidR="00BF0D5F" w:rsidRDefault="00BE3FB1" w:rsidP="00AB2683">
            <w:pPr>
              <w:tabs>
                <w:tab w:val="left" w:pos="426"/>
              </w:tabs>
              <w:jc w:val="center"/>
              <w:rPr>
                <w:rFonts w:ascii="Baskerville Old Face" w:hAnsi="Baskerville Old Face"/>
              </w:rPr>
            </w:pPr>
            <m:oMathPara>
              <m:oMath>
                <m:r>
                  <w:rPr>
                    <w:rFonts w:ascii="Cambria Math" w:hAnsi="Cambria Math"/>
                  </w:rPr>
                  <m:t>9900</m:t>
                </m:r>
              </m:oMath>
            </m:oMathPara>
          </w:p>
        </w:tc>
        <w:tc>
          <w:tcPr>
            <w:tcW w:w="2127" w:type="dxa"/>
          </w:tcPr>
          <w:p w14:paraId="1B020BF2" w14:textId="3C1430CA" w:rsidR="00BF0D5F" w:rsidRDefault="00BE3FB1" w:rsidP="00AB2683">
            <w:pPr>
              <w:tabs>
                <w:tab w:val="left" w:pos="426"/>
              </w:tabs>
              <w:jc w:val="center"/>
              <w:rPr>
                <w:rFonts w:ascii="Baskerville Old Face" w:hAnsi="Baskerville Old Face"/>
              </w:rPr>
            </w:pPr>
            <m:oMathPara>
              <m:oMath>
                <m:r>
                  <w:rPr>
                    <w:rFonts w:ascii="Cambria Math" w:hAnsi="Cambria Math"/>
                  </w:rPr>
                  <m:t>9675</m:t>
                </m:r>
              </m:oMath>
            </m:oMathPara>
          </w:p>
        </w:tc>
        <w:tc>
          <w:tcPr>
            <w:tcW w:w="2687" w:type="dxa"/>
          </w:tcPr>
          <w:p w14:paraId="38910155" w14:textId="77D63748" w:rsidR="00BF0D5F" w:rsidRDefault="00BE3FB1" w:rsidP="00AB2683">
            <w:pPr>
              <w:tabs>
                <w:tab w:val="left" w:pos="426"/>
              </w:tabs>
              <w:jc w:val="center"/>
              <w:rPr>
                <w:rFonts w:ascii="Baskerville Old Face" w:hAnsi="Baskerville Old Face"/>
              </w:rPr>
            </w:pPr>
            <m:oMathPara>
              <m:oMath>
                <m:r>
                  <w:rPr>
                    <w:rFonts w:ascii="Cambria Math" w:hAnsi="Cambria Math"/>
                  </w:rPr>
                  <m:t>0.0230</m:t>
                </m:r>
              </m:oMath>
            </m:oMathPara>
          </w:p>
        </w:tc>
      </w:tr>
      <w:tr w:rsidR="00BF0D5F" w14:paraId="3A82C258" w14:textId="77777777" w:rsidTr="00AB2683">
        <w:tc>
          <w:tcPr>
            <w:tcW w:w="1554" w:type="dxa"/>
          </w:tcPr>
          <w:p w14:paraId="7252396C" w14:textId="7207DC34" w:rsidR="00277CFB" w:rsidRDefault="00277CFB" w:rsidP="00AB2683">
            <w:pPr>
              <w:tabs>
                <w:tab w:val="left" w:pos="426"/>
              </w:tabs>
              <w:jc w:val="center"/>
              <w:rPr>
                <w:rFonts w:ascii="Baskerville Old Face" w:hAnsi="Baskerville Old Face"/>
              </w:rPr>
            </w:pPr>
            <w:r>
              <w:rPr>
                <w:rFonts w:ascii="Baskerville Old Face" w:hAnsi="Baskerville Old Face"/>
              </w:rPr>
              <w:t>03-Jan-2025</w:t>
            </w:r>
          </w:p>
        </w:tc>
        <w:tc>
          <w:tcPr>
            <w:tcW w:w="1984" w:type="dxa"/>
          </w:tcPr>
          <w:p w14:paraId="5771E928" w14:textId="2AEFC55C" w:rsidR="00BF0D5F" w:rsidRDefault="00BE3FB1" w:rsidP="00AB2683">
            <w:pPr>
              <w:tabs>
                <w:tab w:val="left" w:pos="426"/>
              </w:tabs>
              <w:jc w:val="center"/>
              <w:rPr>
                <w:rFonts w:ascii="Baskerville Old Face" w:hAnsi="Baskerville Old Face"/>
              </w:rPr>
            </w:pPr>
            <m:oMathPara>
              <m:oMath>
                <m:r>
                  <w:rPr>
                    <w:rFonts w:ascii="Cambria Math" w:hAnsi="Cambria Math"/>
                  </w:rPr>
                  <m:t>9850</m:t>
                </m:r>
              </m:oMath>
            </m:oMathPara>
          </w:p>
        </w:tc>
        <w:tc>
          <w:tcPr>
            <w:tcW w:w="2127" w:type="dxa"/>
          </w:tcPr>
          <w:p w14:paraId="480A865D" w14:textId="7AC705F1" w:rsidR="00BF0D5F" w:rsidRDefault="00BE3FB1" w:rsidP="00AB2683">
            <w:pPr>
              <w:tabs>
                <w:tab w:val="left" w:pos="426"/>
              </w:tabs>
              <w:jc w:val="center"/>
              <w:rPr>
                <w:rFonts w:ascii="Baskerville Old Face" w:hAnsi="Baskerville Old Face"/>
              </w:rPr>
            </w:pPr>
            <m:oMathPara>
              <m:oMath>
                <m:r>
                  <w:rPr>
                    <w:rFonts w:ascii="Cambria Math" w:hAnsi="Cambria Math"/>
                  </w:rPr>
                  <m:t>9900</m:t>
                </m:r>
              </m:oMath>
            </m:oMathPara>
          </w:p>
        </w:tc>
        <w:tc>
          <w:tcPr>
            <w:tcW w:w="2687" w:type="dxa"/>
          </w:tcPr>
          <w:p w14:paraId="56D167AA" w14:textId="42C07DFF" w:rsidR="00BF0D5F" w:rsidRDefault="00BE3FB1" w:rsidP="00AB2683">
            <w:pPr>
              <w:tabs>
                <w:tab w:val="left" w:pos="426"/>
              </w:tabs>
              <w:jc w:val="center"/>
              <w:rPr>
                <w:rFonts w:ascii="Baskerville Old Face" w:hAnsi="Baskerville Old Face"/>
              </w:rPr>
            </w:pPr>
            <m:oMathPara>
              <m:oMath>
                <m:r>
                  <w:rPr>
                    <w:rFonts w:ascii="Cambria Math" w:hAnsi="Cambria Math"/>
                  </w:rPr>
                  <m:t>-0.0051</m:t>
                </m:r>
              </m:oMath>
            </m:oMathPara>
          </w:p>
        </w:tc>
      </w:tr>
      <w:tr w:rsidR="00BF0D5F" w14:paraId="1555D5F9" w14:textId="77777777" w:rsidTr="00AB2683">
        <w:tc>
          <w:tcPr>
            <w:tcW w:w="1554" w:type="dxa"/>
          </w:tcPr>
          <w:p w14:paraId="45667ECA" w14:textId="05D9693F" w:rsidR="00BF0D5F" w:rsidRDefault="00277CFB" w:rsidP="00AB2683">
            <w:pPr>
              <w:tabs>
                <w:tab w:val="left" w:pos="426"/>
              </w:tabs>
              <w:jc w:val="center"/>
              <w:rPr>
                <w:rFonts w:ascii="Baskerville Old Face" w:hAnsi="Baskerville Old Face"/>
              </w:rPr>
            </w:pPr>
            <w:r>
              <w:rPr>
                <w:rFonts w:ascii="Baskerville Old Face" w:hAnsi="Baskerville Old Face"/>
              </w:rPr>
              <w:t>06-Jan-2025</w:t>
            </w:r>
          </w:p>
        </w:tc>
        <w:tc>
          <w:tcPr>
            <w:tcW w:w="1984" w:type="dxa"/>
          </w:tcPr>
          <w:p w14:paraId="081AD68A" w14:textId="79277593" w:rsidR="00BF0D5F" w:rsidRDefault="00BE3FB1" w:rsidP="00AB2683">
            <w:pPr>
              <w:tabs>
                <w:tab w:val="left" w:pos="426"/>
              </w:tabs>
              <w:jc w:val="center"/>
              <w:rPr>
                <w:rFonts w:ascii="Baskerville Old Face" w:hAnsi="Baskerville Old Face"/>
              </w:rPr>
            </w:pPr>
            <m:oMathPara>
              <m:oMath>
                <m:r>
                  <w:rPr>
                    <w:rFonts w:ascii="Cambria Math" w:hAnsi="Cambria Math"/>
                  </w:rPr>
                  <m:t>9675</m:t>
                </m:r>
              </m:oMath>
            </m:oMathPara>
          </w:p>
        </w:tc>
        <w:tc>
          <w:tcPr>
            <w:tcW w:w="2127" w:type="dxa"/>
          </w:tcPr>
          <w:p w14:paraId="08A526BB" w14:textId="2977C7D1" w:rsidR="00BF0D5F" w:rsidRDefault="00BE3FB1" w:rsidP="00AB2683">
            <w:pPr>
              <w:tabs>
                <w:tab w:val="left" w:pos="426"/>
              </w:tabs>
              <w:jc w:val="center"/>
              <w:rPr>
                <w:rFonts w:ascii="Baskerville Old Face" w:hAnsi="Baskerville Old Face"/>
              </w:rPr>
            </w:pPr>
            <m:oMathPara>
              <m:oMath>
                <m:r>
                  <w:rPr>
                    <w:rFonts w:ascii="Cambria Math" w:hAnsi="Cambria Math"/>
                  </w:rPr>
                  <m:t>9850</m:t>
                </m:r>
              </m:oMath>
            </m:oMathPara>
          </w:p>
        </w:tc>
        <w:tc>
          <w:tcPr>
            <w:tcW w:w="2687" w:type="dxa"/>
          </w:tcPr>
          <w:p w14:paraId="42CB890F" w14:textId="5B14FC5E" w:rsidR="00BF0D5F" w:rsidRDefault="00BE3FB1" w:rsidP="00AB2683">
            <w:pPr>
              <w:tabs>
                <w:tab w:val="left" w:pos="426"/>
              </w:tabs>
              <w:jc w:val="center"/>
              <w:rPr>
                <w:rFonts w:ascii="Baskerville Old Face" w:hAnsi="Baskerville Old Face"/>
              </w:rPr>
            </w:pPr>
            <m:oMathPara>
              <m:oMath>
                <m:r>
                  <w:rPr>
                    <w:rFonts w:ascii="Cambria Math" w:hAnsi="Cambria Math"/>
                  </w:rPr>
                  <m:t>-0.0179</m:t>
                </m:r>
              </m:oMath>
            </m:oMathPara>
          </w:p>
        </w:tc>
      </w:tr>
      <w:tr w:rsidR="00BF0D5F" w14:paraId="2910F4C5" w14:textId="77777777" w:rsidTr="00AB2683">
        <w:tc>
          <w:tcPr>
            <w:tcW w:w="1554" w:type="dxa"/>
            <w:tcBorders>
              <w:bottom w:val="single" w:sz="4" w:space="0" w:color="auto"/>
            </w:tcBorders>
          </w:tcPr>
          <w:p w14:paraId="18FE7CEA" w14:textId="00270AB3" w:rsidR="00BF0D5F" w:rsidRDefault="00277CFB" w:rsidP="00AB2683">
            <w:pPr>
              <w:tabs>
                <w:tab w:val="left" w:pos="426"/>
              </w:tabs>
              <w:jc w:val="center"/>
              <w:rPr>
                <w:rFonts w:ascii="Baskerville Old Face" w:hAnsi="Baskerville Old Face"/>
              </w:rPr>
            </w:pPr>
            <w:r>
              <w:rPr>
                <w:rFonts w:ascii="Baskerville Old Face" w:hAnsi="Baskerville Old Face"/>
              </w:rPr>
              <w:t>07-Jan-2025</w:t>
            </w:r>
          </w:p>
        </w:tc>
        <w:tc>
          <w:tcPr>
            <w:tcW w:w="1984" w:type="dxa"/>
            <w:tcBorders>
              <w:bottom w:val="single" w:sz="4" w:space="0" w:color="auto"/>
            </w:tcBorders>
          </w:tcPr>
          <w:p w14:paraId="760ACD1C" w14:textId="6EE4B858" w:rsidR="00BF0D5F" w:rsidRDefault="00BE3FB1" w:rsidP="00AB2683">
            <w:pPr>
              <w:tabs>
                <w:tab w:val="left" w:pos="426"/>
              </w:tabs>
              <w:jc w:val="center"/>
              <w:rPr>
                <w:rFonts w:ascii="Baskerville Old Face" w:hAnsi="Baskerville Old Face"/>
              </w:rPr>
            </w:pPr>
            <m:oMathPara>
              <m:oMath>
                <m:r>
                  <w:rPr>
                    <w:rFonts w:ascii="Cambria Math" w:hAnsi="Cambria Math"/>
                  </w:rPr>
                  <m:t>9525</m:t>
                </m:r>
              </m:oMath>
            </m:oMathPara>
          </w:p>
        </w:tc>
        <w:tc>
          <w:tcPr>
            <w:tcW w:w="2127" w:type="dxa"/>
            <w:tcBorders>
              <w:bottom w:val="single" w:sz="4" w:space="0" w:color="auto"/>
            </w:tcBorders>
          </w:tcPr>
          <w:p w14:paraId="176B9C8B" w14:textId="45CBE255" w:rsidR="00BF0D5F" w:rsidRDefault="00BE3FB1" w:rsidP="00AB2683">
            <w:pPr>
              <w:tabs>
                <w:tab w:val="left" w:pos="426"/>
              </w:tabs>
              <w:jc w:val="center"/>
              <w:rPr>
                <w:rFonts w:ascii="Baskerville Old Face" w:hAnsi="Baskerville Old Face"/>
              </w:rPr>
            </w:pPr>
            <m:oMathPara>
              <m:oMath>
                <m:r>
                  <w:rPr>
                    <w:rFonts w:ascii="Cambria Math" w:hAnsi="Cambria Math"/>
                  </w:rPr>
                  <m:t>9675</m:t>
                </m:r>
              </m:oMath>
            </m:oMathPara>
          </w:p>
        </w:tc>
        <w:tc>
          <w:tcPr>
            <w:tcW w:w="2687" w:type="dxa"/>
            <w:tcBorders>
              <w:bottom w:val="single" w:sz="4" w:space="0" w:color="auto"/>
            </w:tcBorders>
          </w:tcPr>
          <w:p w14:paraId="16612D3B" w14:textId="7BFDC7EB" w:rsidR="00BF0D5F" w:rsidRDefault="00BE3FB1" w:rsidP="00AB2683">
            <w:pPr>
              <w:tabs>
                <w:tab w:val="left" w:pos="426"/>
              </w:tabs>
              <w:jc w:val="center"/>
              <w:rPr>
                <w:rFonts w:ascii="Baskerville Old Face" w:hAnsi="Baskerville Old Face"/>
              </w:rPr>
            </w:pPr>
            <m:oMathPara>
              <m:oMath>
                <m:r>
                  <w:rPr>
                    <w:rFonts w:ascii="Cambria Math" w:hAnsi="Cambria Math"/>
                  </w:rPr>
                  <m:t>-0.0156</m:t>
                </m:r>
              </m:oMath>
            </m:oMathPara>
          </w:p>
        </w:tc>
      </w:tr>
    </w:tbl>
    <w:p w14:paraId="0EE293E0" w14:textId="5A640BAC" w:rsidR="00BF0D5F" w:rsidRDefault="00277CFB" w:rsidP="00277CFB">
      <w:pPr>
        <w:tabs>
          <w:tab w:val="left" w:pos="426"/>
        </w:tabs>
        <w:ind w:left="426"/>
        <w:jc w:val="center"/>
        <w:rPr>
          <w:rFonts w:ascii="Baskerville Old Face" w:hAnsi="Baskerville Old Face"/>
          <w:i/>
          <w:iCs/>
        </w:rPr>
      </w:pPr>
      <w:r w:rsidRPr="00AB2683">
        <w:rPr>
          <w:rFonts w:ascii="Baskerville Old Face" w:hAnsi="Baskerville Old Face"/>
          <w:i/>
          <w:iCs/>
        </w:rPr>
        <w:t>Table 1. Sample of Daily Stock Return Calculating for PT XYZ</w:t>
      </w:r>
    </w:p>
    <w:p w14:paraId="54F1C28B" w14:textId="77777777" w:rsidR="00DF0FE1" w:rsidRDefault="00DF0FE1" w:rsidP="00DF0FE1">
      <w:pPr>
        <w:tabs>
          <w:tab w:val="left" w:pos="426"/>
        </w:tabs>
        <w:ind w:left="426"/>
        <w:jc w:val="both"/>
        <w:rPr>
          <w:rFonts w:ascii="Baskerville Old Face" w:hAnsi="Baskerville Old Face"/>
        </w:rPr>
      </w:pPr>
      <w:r>
        <w:rPr>
          <w:rFonts w:ascii="Baskerville Old Face" w:hAnsi="Baskerville Old Face"/>
        </w:rPr>
        <w:tab/>
      </w:r>
    </w:p>
    <w:p w14:paraId="344075F1" w14:textId="303DA527" w:rsidR="007C2CB7" w:rsidRDefault="00DF0FE1" w:rsidP="007C2CB7">
      <w:pPr>
        <w:spacing w:after="240"/>
        <w:ind w:firstLine="426"/>
        <w:jc w:val="both"/>
        <w:rPr>
          <w:rFonts w:ascii="Baskerville Old Face" w:hAnsi="Baskerville Old Face"/>
        </w:rPr>
      </w:pPr>
      <w:r w:rsidRPr="00DF0FE1">
        <w:rPr>
          <w:rFonts w:ascii="Baskerville Old Face" w:hAnsi="Baskerville Old Face"/>
        </w:rPr>
        <w:t xml:space="preserve">After obtaining the daily returns, the standard </w:t>
      </w:r>
      <w:proofErr w:type="gramStart"/>
      <w:r w:rsidRPr="00DF0FE1">
        <w:rPr>
          <w:rFonts w:ascii="Baskerville Old Face" w:hAnsi="Baskerville Old Face"/>
        </w:rPr>
        <w:t>deviation</w:t>
      </w:r>
      <w:r w:rsidR="00BE3FB1">
        <w:rPr>
          <w:rFonts w:ascii="Baskerville Old Face" w:hAnsi="Baskerville Old Face"/>
        </w:rPr>
        <w:t xml:space="preserve"> </w:t>
      </w:r>
      <w:r w:rsidR="00BE3FB1" w:rsidRPr="00DF0FE1">
        <w:rPr>
          <w:rFonts w:ascii="Baskerville Old Face" w:hAnsi="Baskerville Old Face"/>
        </w:rPr>
        <w:t>)</w:t>
      </w:r>
      <w:proofErr w:type="gramEnd"/>
      <m:oMath>
        <m:d>
          <m:dPr>
            <m:ctrlPr>
              <w:rPr>
                <w:rFonts w:ascii="Cambria Math" w:hAnsi="Cambria Math"/>
              </w:rPr>
            </m:ctrlPr>
          </m:dPr>
          <m:e>
            <m:r>
              <w:rPr>
                <w:rFonts w:ascii="Cambria Math" w:hAnsi="Cambria Math"/>
              </w:rPr>
              <m:t>s</m:t>
            </m:r>
          </m:e>
        </m:d>
      </m:oMath>
      <w:r w:rsidRPr="00DF0FE1">
        <w:rPr>
          <w:rFonts w:ascii="Baskerville Old Face" w:hAnsi="Baskerville Old Face"/>
        </w:rPr>
        <w:t xml:space="preserve"> is computed to measure the dispersion of the asset's price movements. The annualized volatility is computed to measure the dispersion of the asset's price movements (Hull, 2009). The annualized volatility</w:t>
      </w:r>
      <w:r w:rsidR="00BE3FB1">
        <w:rPr>
          <w:rFonts w:ascii="Baskerville Old Face" w:hAnsi="Baskerville Old Face"/>
        </w:rPr>
        <w:t xml:space="preserve"> </w:t>
      </w:r>
      <m:oMath>
        <m:d>
          <m:dPr>
            <m:ctrlPr>
              <w:rPr>
                <w:rFonts w:ascii="Cambria Math" w:hAnsi="Cambria Math"/>
              </w:rPr>
            </m:ctrlPr>
          </m:dPr>
          <m:e>
            <m:r>
              <w:rPr>
                <w:rFonts w:ascii="Cambria Math" w:hAnsi="Cambria Math"/>
              </w:rPr>
              <m:t>σ</m:t>
            </m:r>
          </m:e>
        </m:d>
      </m:oMath>
      <w:r w:rsidRPr="00DF0FE1">
        <w:rPr>
          <w:rFonts w:ascii="Baskerville Old Face" w:hAnsi="Baskerville Old Face"/>
        </w:rPr>
        <w:t xml:space="preserve"> is then derived by scaling the standard deviation with the square root of the number of trading days in a year </w:t>
      </w:r>
      <m:oMath>
        <m:r>
          <m:rPr>
            <m:sty m:val="p"/>
          </m:rPr>
          <w:rPr>
            <w:rFonts w:ascii="Cambria Math" w:hAnsi="Cambria Math"/>
          </w:rPr>
          <m:t>(</m:t>
        </m:r>
        <m:r>
          <w:rPr>
            <w:rFonts w:ascii="Cambria Math" w:hAnsi="Cambria Math"/>
          </w:rPr>
          <m:t>k</m:t>
        </m:r>
        <m:r>
          <m:rPr>
            <m:sty m:val="p"/>
          </m:rPr>
          <w:rPr>
            <w:rFonts w:ascii="Cambria Math" w:hAnsi="Cambria Math"/>
          </w:rPr>
          <m:t>≈252)</m:t>
        </m:r>
      </m:oMath>
      <w:r w:rsidRPr="00DF0FE1">
        <w:rPr>
          <w:rFonts w:ascii="Baskerville Old Face" w:hAnsi="Baskerville Old Face"/>
        </w:rPr>
        <w:t>, following the volatility estimation technique in option pricing literature (Rusmaningtyas et al., 2022</w:t>
      </w:r>
    </w:p>
    <w:p w14:paraId="498C3849" w14:textId="7F9FE5D1" w:rsidR="00DF0FE1" w:rsidRPr="00DF0FE1" w:rsidRDefault="00DF0FE1" w:rsidP="007C2CB7">
      <w:pPr>
        <w:spacing w:after="240"/>
        <w:ind w:firstLine="426"/>
        <w:jc w:val="both"/>
        <w:rPr>
          <w:rFonts w:ascii="Baskerville Old Face" w:hAnsi="Baskerville Old Face"/>
        </w:rPr>
      </w:pPr>
      <m:oMathPara>
        <m:oMath>
          <m:r>
            <w:rPr>
              <w:rFonts w:ascii="Cambria Math" w:hAnsi="Cambria Math"/>
            </w:rPr>
            <m:t>σ=s</m:t>
          </m:r>
          <m:rad>
            <m:radPr>
              <m:degHide m:val="1"/>
              <m:ctrlPr>
                <w:rPr>
                  <w:rFonts w:ascii="Cambria Math" w:hAnsi="Cambria Math"/>
                  <w:i/>
                </w:rPr>
              </m:ctrlPr>
            </m:radPr>
            <m:deg/>
            <m:e>
              <m:r>
                <w:rPr>
                  <w:rFonts w:ascii="Cambria Math" w:hAnsi="Cambria Math"/>
                </w:rPr>
                <m:t>252</m:t>
              </m:r>
            </m:e>
          </m:rad>
        </m:oMath>
      </m:oMathPara>
    </w:p>
    <w:p w14:paraId="22CE6916" w14:textId="4AF4E955" w:rsidR="00DF0FE1" w:rsidRPr="00DF0FE1" w:rsidRDefault="00DF0FE1" w:rsidP="007C2CB7">
      <w:pPr>
        <w:spacing w:after="240"/>
        <w:ind w:firstLine="426"/>
        <w:jc w:val="both"/>
        <w:rPr>
          <w:rFonts w:ascii="Baskerville Old Face" w:hAnsi="Baskerville Old Face"/>
        </w:rPr>
      </w:pPr>
      <w:r w:rsidRPr="00DF0FE1">
        <w:rPr>
          <w:rFonts w:ascii="Baskerville Old Face" w:hAnsi="Baskerville Old Face"/>
        </w:rPr>
        <w:t xml:space="preserve">Based on the computational results from the dataset, the annualized volatility is estimated at </w:t>
      </w:r>
      <m:oMath>
        <m:r>
          <w:rPr>
            <w:rFonts w:ascii="Cambria Math" w:hAnsi="Cambria Math"/>
          </w:rPr>
          <m:t>29.49%</m:t>
        </m:r>
      </m:oMath>
      <w:r w:rsidRPr="00DF0FE1">
        <w:rPr>
          <w:rFonts w:ascii="Baskerville Old Face" w:hAnsi="Baskerville Old Face"/>
        </w:rPr>
        <w:t>. This value, along with the latest closing price</w:t>
      </w:r>
      <w:r w:rsidR="00BE3FB1">
        <w:rPr>
          <w:rFonts w:ascii="Baskerville Old Face" w:hAnsi="Baskerville Old Face"/>
        </w:rPr>
        <w:t xml:space="preserve"> </w:t>
      </w:r>
      <m:oMath>
        <m:sSub>
          <m:sSubPr>
            <m:ctrlPr>
              <w:rPr>
                <w:rFonts w:ascii="Cambria Math" w:hAnsi="Cambria Math"/>
                <w:i/>
              </w:rPr>
            </m:ctrlPr>
          </m:sSubPr>
          <m:e>
            <m:r>
              <w:rPr>
                <w:rFonts w:ascii="Cambria Math" w:hAnsi="Cambria Math"/>
              </w:rPr>
              <m:t>(S</m:t>
            </m:r>
          </m:e>
          <m:sub>
            <m:r>
              <w:rPr>
                <w:rFonts w:ascii="Cambria Math" w:hAnsi="Cambria Math"/>
              </w:rPr>
              <m:t>0</m:t>
            </m:r>
          </m:sub>
        </m:sSub>
        <m:r>
          <w:rPr>
            <w:rFonts w:ascii="Cambria Math" w:hAnsi="Cambria Math"/>
          </w:rPr>
          <m:t>)</m:t>
        </m:r>
      </m:oMath>
      <w:r w:rsidRPr="00DF0FE1">
        <w:rPr>
          <w:rFonts w:ascii="Baskerville Old Face" w:hAnsi="Baskerville Old Face"/>
        </w:rPr>
        <w:t xml:space="preserve"> of</w:t>
      </w:r>
      <w:r w:rsidR="00BE3FB1">
        <w:rPr>
          <w:rFonts w:ascii="Baskerville Old Face" w:hAnsi="Baskerville Old Face"/>
        </w:rPr>
        <w:t xml:space="preserve"> </w:t>
      </w:r>
      <m:oMath>
        <m:r>
          <m:rPr>
            <m:sty m:val="p"/>
          </m:rPr>
          <w:rPr>
            <w:rFonts w:ascii="Cambria Math" w:hAnsi="Cambria Math"/>
          </w:rPr>
          <m:t>IDR</m:t>
        </m:r>
        <m:r>
          <w:rPr>
            <w:rFonts w:ascii="Cambria Math" w:hAnsi="Cambria Math"/>
          </w:rPr>
          <m:t xml:space="preserve"> 8,025</m:t>
        </m:r>
      </m:oMath>
      <w:r w:rsidRPr="00DF0FE1">
        <w:rPr>
          <w:rFonts w:ascii="Baskerville Old Face" w:hAnsi="Baskerville Old Face"/>
        </w:rPr>
        <w:t xml:space="preserve"> and a risk-free interest rate </w:t>
      </w:r>
      <m:oMath>
        <m:d>
          <m:dPr>
            <m:ctrlPr>
              <w:rPr>
                <w:rFonts w:ascii="Cambria Math" w:hAnsi="Cambria Math"/>
                <w:i/>
              </w:rPr>
            </m:ctrlPr>
          </m:dPr>
          <m:e>
            <m:r>
              <w:rPr>
                <w:rFonts w:ascii="Cambria Math" w:hAnsi="Cambria Math"/>
              </w:rPr>
              <m:t>r</m:t>
            </m:r>
          </m:e>
        </m:d>
      </m:oMath>
      <w:r w:rsidR="00BE3FB1">
        <w:rPr>
          <w:rFonts w:ascii="Baskerville Old Face" w:hAnsi="Baskerville Old Face"/>
        </w:rPr>
        <w:t xml:space="preserve"> </w:t>
      </w:r>
      <w:r w:rsidRPr="00DF0FE1">
        <w:rPr>
          <w:rFonts w:ascii="Baskerville Old Face" w:hAnsi="Baskerville Old Face"/>
        </w:rPr>
        <w:t>of</w:t>
      </w:r>
      <w:r w:rsidR="00BE3FB1">
        <w:rPr>
          <w:rFonts w:ascii="Baskerville Old Face" w:hAnsi="Baskerville Old Face"/>
        </w:rPr>
        <w:t xml:space="preserve"> </w:t>
      </w:r>
      <m:oMath>
        <m:r>
          <w:rPr>
            <w:rFonts w:ascii="Cambria Math" w:hAnsi="Cambria Math"/>
          </w:rPr>
          <m:t>6%</m:t>
        </m:r>
      </m:oMath>
      <w:r w:rsidRPr="00DF0FE1">
        <w:rPr>
          <w:rFonts w:ascii="Baskerville Old Face" w:hAnsi="Baskerville Old Face"/>
        </w:rPr>
        <w:t xml:space="preserve"> , serves as the baseline input for the numerical simulation.</w:t>
      </w:r>
    </w:p>
    <w:p w14:paraId="3828EE38" w14:textId="194E3BCD" w:rsidR="00B37818" w:rsidRPr="00C074EC" w:rsidRDefault="00AB2683" w:rsidP="007C2CB7">
      <w:pPr>
        <w:pStyle w:val="ListParagraph"/>
        <w:numPr>
          <w:ilvl w:val="1"/>
          <w:numId w:val="15"/>
        </w:numPr>
        <w:tabs>
          <w:tab w:val="left" w:pos="426"/>
        </w:tabs>
        <w:spacing w:after="0" w:line="240" w:lineRule="auto"/>
        <w:ind w:hanging="786"/>
        <w:jc w:val="both"/>
        <w:rPr>
          <w:rFonts w:ascii="Baskerville Old Face" w:hAnsi="Baskerville Old Face"/>
          <w:b/>
          <w:bCs/>
          <w:sz w:val="20"/>
          <w:szCs w:val="20"/>
        </w:rPr>
      </w:pPr>
      <w:r w:rsidRPr="00C074EC">
        <w:rPr>
          <w:rFonts w:ascii="Baskerville Old Face" w:hAnsi="Baskerville Old Face"/>
          <w:b/>
          <w:bCs/>
          <w:sz w:val="20"/>
          <w:szCs w:val="20"/>
        </w:rPr>
        <w:t>Mathematical Model</w:t>
      </w:r>
    </w:p>
    <w:p w14:paraId="6E628690" w14:textId="4E69824B" w:rsidR="006F4C94" w:rsidRPr="009A4988" w:rsidRDefault="009A4988" w:rsidP="007C2CB7">
      <w:pPr>
        <w:pStyle w:val="Heading1"/>
        <w:spacing w:line="276" w:lineRule="auto"/>
        <w:jc w:val="left"/>
        <w:rPr>
          <w:rFonts w:ascii="Baskerville Old Face" w:hAnsi="Baskerville Old Face"/>
        </w:rPr>
      </w:pPr>
      <w:r w:rsidRPr="009A4988">
        <w:rPr>
          <w:rFonts w:ascii="Baskerville Old Face" w:hAnsi="Baskerville Old Face"/>
        </w:rPr>
        <w:t>2.3.1 Non-Linear Blach-Scholes Equation</w:t>
      </w:r>
    </w:p>
    <w:p w14:paraId="11D77118" w14:textId="22974DA7" w:rsidR="007C2CB7" w:rsidRDefault="00EB4548" w:rsidP="007C2CB7">
      <w:pPr>
        <w:spacing w:after="240"/>
        <w:ind w:firstLine="426"/>
        <w:jc w:val="both"/>
        <w:rPr>
          <w:rFonts w:ascii="Baskerville Old Face" w:hAnsi="Baskerville Old Face"/>
          <w:lang w:eastAsia="en-GB"/>
        </w:rPr>
      </w:pPr>
      <w:r w:rsidRPr="00A76B1C">
        <w:rPr>
          <w:rFonts w:ascii="Baskerville Old Face" w:hAnsi="Baskerville Old Face"/>
        </w:rPr>
        <w:t>The</w:t>
      </w:r>
      <w:r w:rsidRPr="00A76B1C">
        <w:rPr>
          <w:rFonts w:ascii="Baskerville Old Face" w:hAnsi="Baskerville Old Face"/>
          <w:lang w:eastAsia="en-GB"/>
        </w:rPr>
        <w:t xml:space="preserve"> classic model of Black and Scholes (1978) provides the assumption of a fit condition without friction. To be able to include the influence of transaction costs, </w:t>
      </w:r>
      <w:proofErr w:type="spellStart"/>
      <w:r w:rsidRPr="00A76B1C">
        <w:rPr>
          <w:rFonts w:ascii="Baskerville Old Face" w:hAnsi="Baskerville Old Face"/>
          <w:lang w:eastAsia="en-GB"/>
        </w:rPr>
        <w:t>Barles</w:t>
      </w:r>
      <w:proofErr w:type="spellEnd"/>
      <w:r w:rsidRPr="00A76B1C">
        <w:rPr>
          <w:rFonts w:ascii="Baskerville Old Face" w:hAnsi="Baskerville Old Face"/>
          <w:lang w:eastAsia="en-GB"/>
        </w:rPr>
        <w:t xml:space="preserve"> and Soner (1998) introduced nonlinear adjustment which is based on the principle of utility maximization. </w:t>
      </w:r>
      <w:r w:rsidR="005C41A3" w:rsidRPr="00A76B1C">
        <w:rPr>
          <w:rFonts w:ascii="Baskerville Old Face" w:hAnsi="Baskerville Old Face"/>
          <w:lang w:eastAsia="en-GB"/>
        </w:rPr>
        <w:t>The modified Partial Differential Equation (PDE) for a European call option</w:t>
      </w:r>
      <w:r w:rsidR="00BE3FB1">
        <w:rPr>
          <w:rFonts w:ascii="Baskerville Old Face" w:hAnsi="Baskerville Old Face"/>
          <w:lang w:eastAsia="en-GB"/>
        </w:rPr>
        <w:t xml:space="preserve"> </w:t>
      </w:r>
      <m:oMath>
        <m:r>
          <w:rPr>
            <w:rFonts w:ascii="Cambria Math" w:hAnsi="Cambria Math"/>
            <w:lang w:val="en-ID" w:eastAsia="en-GB"/>
          </w:rPr>
          <m:t>V</m:t>
        </m:r>
        <m:d>
          <m:dPr>
            <m:ctrlPr>
              <w:rPr>
                <w:rFonts w:ascii="Cambria Math" w:hAnsi="Cambria Math"/>
                <w:i/>
                <w:lang w:val="en-ID" w:eastAsia="en-GB"/>
              </w:rPr>
            </m:ctrlPr>
          </m:dPr>
          <m:e>
            <m:r>
              <w:rPr>
                <w:rFonts w:ascii="Cambria Math" w:hAnsi="Cambria Math"/>
                <w:lang w:val="en-ID" w:eastAsia="en-GB"/>
              </w:rPr>
              <m:t>S,t</m:t>
            </m:r>
          </m:e>
        </m:d>
      </m:oMath>
      <w:r w:rsidR="005C41A3" w:rsidRPr="00A76B1C">
        <w:rPr>
          <w:rFonts w:ascii="Baskerville Old Face" w:hAnsi="Baskerville Old Face"/>
          <w:lang w:eastAsia="en-GB"/>
        </w:rPr>
        <w:t xml:space="preserve"> is:</w:t>
      </w:r>
    </w:p>
    <w:p w14:paraId="5BDEA2FD" w14:textId="18230083" w:rsidR="006F4C94" w:rsidRPr="007C2CB7" w:rsidRDefault="00000000" w:rsidP="007C2CB7">
      <w:pPr>
        <w:spacing w:after="240"/>
        <w:ind w:firstLine="426"/>
        <w:jc w:val="both"/>
        <w:rPr>
          <w:rFonts w:ascii="Baskerville Old Face" w:hAnsi="Baskerville Old Face"/>
          <w:lang w:eastAsia="en-GB"/>
        </w:rPr>
      </w:pPr>
      <m:oMathPara>
        <m:oMath>
          <m:f>
            <m:fPr>
              <m:ctrlPr>
                <w:rPr>
                  <w:rFonts w:ascii="Cambria Math" w:hAnsi="Cambria Math"/>
                  <w:i/>
                  <w:lang w:val="id-ID" w:eastAsia="en-GB"/>
                </w:rPr>
              </m:ctrlPr>
            </m:fPr>
            <m:num>
              <m:r>
                <w:rPr>
                  <w:rFonts w:ascii="Cambria Math" w:hAnsi="Cambria Math"/>
                  <w:lang w:eastAsia="en-GB"/>
                </w:rPr>
                <m:t>∂V</m:t>
              </m:r>
            </m:num>
            <m:den>
              <m:r>
                <w:rPr>
                  <w:rFonts w:ascii="Cambria Math" w:hAnsi="Cambria Math"/>
                  <w:lang w:eastAsia="en-GB"/>
                </w:rPr>
                <m:t>∂t</m:t>
              </m:r>
            </m:den>
          </m:f>
          <m:r>
            <w:rPr>
              <w:rFonts w:ascii="Cambria Math" w:hAnsi="Cambria Math"/>
              <w:lang w:val="id-ID" w:eastAsia="en-GB"/>
            </w:rPr>
            <m:t>+</m:t>
          </m:r>
          <m:f>
            <m:fPr>
              <m:ctrlPr>
                <w:rPr>
                  <w:rFonts w:ascii="Cambria Math" w:hAnsi="Cambria Math"/>
                  <w:i/>
                  <w:lang w:val="id-ID" w:eastAsia="en-GB"/>
                </w:rPr>
              </m:ctrlPr>
            </m:fPr>
            <m:num>
              <m:r>
                <w:rPr>
                  <w:rFonts w:ascii="Cambria Math" w:hAnsi="Cambria Math"/>
                  <w:lang w:val="id-ID" w:eastAsia="en-GB"/>
                </w:rPr>
                <m:t>1</m:t>
              </m:r>
            </m:num>
            <m:den>
              <m:r>
                <w:rPr>
                  <w:rFonts w:ascii="Cambria Math" w:hAnsi="Cambria Math"/>
                  <w:lang w:val="id-ID" w:eastAsia="en-GB"/>
                </w:rPr>
                <m:t>2</m:t>
              </m:r>
            </m:den>
          </m:f>
          <m:sSup>
            <m:sSupPr>
              <m:ctrlPr>
                <w:rPr>
                  <w:rFonts w:ascii="Cambria Math" w:hAnsi="Cambria Math"/>
                  <w:i/>
                  <w:lang w:eastAsia="en-GB"/>
                </w:rPr>
              </m:ctrlPr>
            </m:sSupPr>
            <m:e>
              <m:r>
                <w:rPr>
                  <w:rFonts w:ascii="Cambria Math" w:hAnsi="Cambria Math"/>
                  <w:lang w:eastAsia="en-GB"/>
                </w:rPr>
                <m:t>σ</m:t>
              </m:r>
            </m:e>
            <m:sup>
              <m:r>
                <w:rPr>
                  <w:rFonts w:ascii="Cambria Math" w:hAnsi="Cambria Math"/>
                  <w:lang w:eastAsia="en-GB"/>
                </w:rPr>
                <m:t>2</m:t>
              </m:r>
            </m:sup>
          </m:sSup>
          <m:d>
            <m:dPr>
              <m:ctrlPr>
                <w:rPr>
                  <w:rFonts w:ascii="Cambria Math" w:hAnsi="Cambria Math"/>
                  <w:i/>
                  <w:lang w:eastAsia="en-GB"/>
                </w:rPr>
              </m:ctrlPr>
            </m:dPr>
            <m:e>
              <m:r>
                <w:rPr>
                  <w:rFonts w:ascii="Cambria Math" w:hAnsi="Cambria Math"/>
                  <w:lang w:eastAsia="en-GB"/>
                </w:rPr>
                <m:t>S,t,</m:t>
              </m:r>
              <m:sSub>
                <m:sSubPr>
                  <m:ctrlPr>
                    <w:rPr>
                      <w:rFonts w:ascii="Cambria Math" w:hAnsi="Cambria Math"/>
                      <w:i/>
                      <w:lang w:eastAsia="en-GB"/>
                    </w:rPr>
                  </m:ctrlPr>
                </m:sSubPr>
                <m:e>
                  <m:r>
                    <w:rPr>
                      <w:rFonts w:ascii="Cambria Math" w:hAnsi="Cambria Math"/>
                      <w:lang w:eastAsia="en-GB"/>
                    </w:rPr>
                    <m:t>V</m:t>
                  </m:r>
                </m:e>
                <m:sub>
                  <m:r>
                    <w:rPr>
                      <w:rFonts w:ascii="Cambria Math" w:hAnsi="Cambria Math"/>
                      <w:lang w:eastAsia="en-GB"/>
                    </w:rPr>
                    <m:t>SS</m:t>
                  </m:r>
                </m:sub>
              </m:sSub>
            </m:e>
          </m:d>
          <m:sSup>
            <m:sSupPr>
              <m:ctrlPr>
                <w:rPr>
                  <w:rFonts w:ascii="Cambria Math" w:hAnsi="Cambria Math"/>
                  <w:i/>
                  <w:lang w:eastAsia="en-GB"/>
                </w:rPr>
              </m:ctrlPr>
            </m:sSupPr>
            <m:e>
              <m:r>
                <w:rPr>
                  <w:rFonts w:ascii="Cambria Math" w:hAnsi="Cambria Math"/>
                  <w:lang w:eastAsia="en-GB"/>
                </w:rPr>
                <m:t>S</m:t>
              </m:r>
            </m:e>
            <m:sup>
              <m:r>
                <w:rPr>
                  <w:rFonts w:ascii="Cambria Math" w:hAnsi="Cambria Math"/>
                  <w:lang w:eastAsia="en-GB"/>
                </w:rPr>
                <m:t>2</m:t>
              </m:r>
            </m:sup>
          </m:sSup>
          <m:f>
            <m:fPr>
              <m:ctrlPr>
                <w:rPr>
                  <w:rFonts w:ascii="Cambria Math" w:hAnsi="Cambria Math"/>
                  <w:i/>
                  <w:lang w:eastAsia="en-GB"/>
                </w:rPr>
              </m:ctrlPr>
            </m:fPr>
            <m:num>
              <m:sSup>
                <m:sSupPr>
                  <m:ctrlPr>
                    <w:rPr>
                      <w:rFonts w:ascii="Cambria Math" w:hAnsi="Cambria Math"/>
                      <w:i/>
                      <w:lang w:eastAsia="en-GB"/>
                    </w:rPr>
                  </m:ctrlPr>
                </m:sSupPr>
                <m:e>
                  <m:r>
                    <w:rPr>
                      <w:rFonts w:ascii="Cambria Math" w:hAnsi="Cambria Math"/>
                      <w:lang w:eastAsia="en-GB"/>
                    </w:rPr>
                    <m:t>∂</m:t>
                  </m:r>
                </m:e>
                <m:sup>
                  <m:r>
                    <w:rPr>
                      <w:rFonts w:ascii="Cambria Math" w:hAnsi="Cambria Math"/>
                      <w:lang w:eastAsia="en-GB"/>
                    </w:rPr>
                    <m:t>2</m:t>
                  </m:r>
                </m:sup>
              </m:sSup>
              <m:r>
                <w:rPr>
                  <w:rFonts w:ascii="Cambria Math" w:hAnsi="Cambria Math"/>
                  <w:lang w:eastAsia="en-GB"/>
                </w:rPr>
                <m:t>V</m:t>
              </m:r>
            </m:num>
            <m:den>
              <m:r>
                <w:rPr>
                  <w:rFonts w:ascii="Cambria Math" w:hAnsi="Cambria Math"/>
                  <w:lang w:eastAsia="en-GB"/>
                </w:rPr>
                <m:t>∂</m:t>
              </m:r>
              <m:sSup>
                <m:sSupPr>
                  <m:ctrlPr>
                    <w:rPr>
                      <w:rFonts w:ascii="Cambria Math" w:hAnsi="Cambria Math"/>
                      <w:i/>
                      <w:lang w:eastAsia="en-GB"/>
                    </w:rPr>
                  </m:ctrlPr>
                </m:sSupPr>
                <m:e>
                  <m:r>
                    <w:rPr>
                      <w:rFonts w:ascii="Cambria Math" w:hAnsi="Cambria Math"/>
                      <w:lang w:eastAsia="en-GB"/>
                    </w:rPr>
                    <m:t>S</m:t>
                  </m:r>
                </m:e>
                <m:sup>
                  <m:r>
                    <w:rPr>
                      <w:rFonts w:ascii="Cambria Math" w:hAnsi="Cambria Math"/>
                      <w:lang w:eastAsia="en-GB"/>
                    </w:rPr>
                    <m:t>2</m:t>
                  </m:r>
                </m:sup>
              </m:sSup>
            </m:den>
          </m:f>
          <m:r>
            <w:rPr>
              <w:rFonts w:ascii="Cambria Math" w:hAnsi="Cambria Math"/>
              <w:lang w:eastAsia="en-GB"/>
            </w:rPr>
            <m:t>+rS</m:t>
          </m:r>
          <m:f>
            <m:fPr>
              <m:ctrlPr>
                <w:rPr>
                  <w:rFonts w:ascii="Cambria Math" w:hAnsi="Cambria Math"/>
                  <w:i/>
                  <w:lang w:val="id-ID" w:eastAsia="en-GB"/>
                </w:rPr>
              </m:ctrlPr>
            </m:fPr>
            <m:num>
              <m:r>
                <w:rPr>
                  <w:rFonts w:ascii="Cambria Math" w:hAnsi="Cambria Math"/>
                  <w:lang w:eastAsia="en-GB"/>
                </w:rPr>
                <m:t>∂V</m:t>
              </m:r>
            </m:num>
            <m:den>
              <m:r>
                <w:rPr>
                  <w:rFonts w:ascii="Cambria Math" w:hAnsi="Cambria Math"/>
                  <w:lang w:eastAsia="en-GB"/>
                </w:rPr>
                <m:t>∂S</m:t>
              </m:r>
            </m:den>
          </m:f>
          <m:r>
            <w:rPr>
              <w:rFonts w:ascii="Cambria Math" w:hAnsi="Cambria Math"/>
              <w:lang w:val="id-ID" w:eastAsia="en-GB"/>
            </w:rPr>
            <m:t>-rV=0</m:t>
          </m:r>
        </m:oMath>
      </m:oMathPara>
    </w:p>
    <w:p w14:paraId="071FA70B" w14:textId="1F56A10F" w:rsidR="006F4C94" w:rsidRPr="009A4988" w:rsidRDefault="00585BF8" w:rsidP="007C2CB7">
      <w:pPr>
        <w:jc w:val="both"/>
        <w:rPr>
          <w:rFonts w:ascii="Baskerville Old Face" w:hAnsi="Baskerville Old Face"/>
          <w:lang w:val="en-ID" w:eastAsia="en-GB"/>
        </w:rPr>
      </w:pPr>
      <w:r w:rsidRPr="009A4988">
        <w:rPr>
          <w:rFonts w:ascii="Baskerville Old Face" w:hAnsi="Baskerville Old Face"/>
          <w:lang w:eastAsia="en-GB"/>
        </w:rPr>
        <w:t>the Battle of the Bulge</w:t>
      </w:r>
    </w:p>
    <w:p w14:paraId="64581062" w14:textId="7D5D214F" w:rsidR="006F4C94" w:rsidRPr="007C2CB7" w:rsidRDefault="006F4C94" w:rsidP="007C2CB7">
      <w:pPr>
        <w:jc w:val="both"/>
        <w:rPr>
          <w:rFonts w:ascii="Baskerville Old Face" w:hAnsi="Baskerville Old Face"/>
          <w:lang w:eastAsia="en-GB"/>
        </w:rPr>
      </w:pPr>
      <m:oMath>
        <m:r>
          <w:rPr>
            <w:rFonts w:ascii="Cambria Math" w:hAnsi="Cambria Math"/>
            <w:lang w:eastAsia="en-GB"/>
          </w:rPr>
          <m:t>S</m:t>
        </m:r>
      </m:oMath>
      <w:r w:rsidRPr="007C2CB7">
        <w:rPr>
          <w:rFonts w:ascii="Baskerville Old Face" w:hAnsi="Baskerville Old Face"/>
          <w:lang w:eastAsia="en-GB"/>
        </w:rPr>
        <w:t xml:space="preserve"> </w:t>
      </w:r>
      <w:r w:rsidRPr="009A4988">
        <w:rPr>
          <w:rFonts w:ascii="Baskerville Old Face" w:hAnsi="Baskerville Old Face"/>
          <w:lang w:eastAsia="en-GB"/>
        </w:rPr>
        <w:t>: Underlying Asset Price,</w:t>
      </w:r>
    </w:p>
    <w:p w14:paraId="21797311" w14:textId="0F6B9DC8" w:rsidR="006F4C94" w:rsidRPr="007C2CB7" w:rsidRDefault="006F4C94" w:rsidP="007C2CB7">
      <w:pPr>
        <w:jc w:val="both"/>
        <w:rPr>
          <w:rFonts w:ascii="Baskerville Old Face" w:hAnsi="Baskerville Old Face"/>
          <w:lang w:eastAsia="en-GB"/>
        </w:rPr>
      </w:pPr>
      <m:oMath>
        <m:r>
          <w:rPr>
            <w:rFonts w:ascii="Cambria Math" w:hAnsi="Cambria Math"/>
            <w:lang w:eastAsia="en-GB"/>
          </w:rPr>
          <m:t>t</m:t>
        </m:r>
        <m:r>
          <m:rPr>
            <m:sty m:val="p"/>
          </m:rPr>
          <w:rPr>
            <w:rFonts w:ascii="Cambria Math" w:hAnsi="Cambria Math"/>
            <w:lang w:eastAsia="en-GB"/>
          </w:rPr>
          <m:t xml:space="preserve"> </m:t>
        </m:r>
      </m:oMath>
      <w:r w:rsidRPr="009A4988">
        <w:rPr>
          <w:rFonts w:ascii="Baskerville Old Face" w:hAnsi="Baskerville Old Face"/>
          <w:lang w:eastAsia="en-GB"/>
        </w:rPr>
        <w:t xml:space="preserve">: time, </w:t>
      </w:r>
    </w:p>
    <w:p w14:paraId="4B40297E" w14:textId="4CAD4EF3" w:rsidR="006F4C94" w:rsidRPr="007C2CB7" w:rsidRDefault="006F4C94" w:rsidP="007C2CB7">
      <w:pPr>
        <w:jc w:val="both"/>
        <w:rPr>
          <w:rFonts w:ascii="Baskerville Old Face" w:hAnsi="Baskerville Old Face"/>
          <w:lang w:eastAsia="en-GB"/>
        </w:rPr>
      </w:pPr>
      <m:oMath>
        <m:r>
          <w:rPr>
            <w:rFonts w:ascii="Cambria Math" w:hAnsi="Cambria Math"/>
            <w:lang w:eastAsia="en-GB"/>
          </w:rPr>
          <m:t>r</m:t>
        </m:r>
        <m:r>
          <m:rPr>
            <m:sty m:val="p"/>
          </m:rPr>
          <w:rPr>
            <w:rFonts w:ascii="Cambria Math" w:hAnsi="Cambria Math"/>
            <w:lang w:eastAsia="en-GB"/>
          </w:rPr>
          <m:t xml:space="preserve"> </m:t>
        </m:r>
      </m:oMath>
      <w:r w:rsidRPr="009A4988">
        <w:rPr>
          <w:rFonts w:ascii="Baskerville Old Face" w:hAnsi="Baskerville Old Face"/>
          <w:lang w:eastAsia="en-GB"/>
        </w:rPr>
        <w:t>: risk-free interest rate,</w:t>
      </w:r>
    </w:p>
    <w:p w14:paraId="7784AA33" w14:textId="29E337EE" w:rsidR="006F4C94" w:rsidRPr="007C2CB7" w:rsidRDefault="006F4C94" w:rsidP="007C2CB7">
      <w:pPr>
        <w:jc w:val="both"/>
        <w:rPr>
          <w:rFonts w:ascii="Baskerville Old Face" w:hAnsi="Baskerville Old Face"/>
          <w:lang w:eastAsia="en-GB"/>
        </w:rPr>
      </w:pPr>
      <m:oMath>
        <m:r>
          <w:rPr>
            <w:rFonts w:ascii="Cambria Math" w:hAnsi="Cambria Math"/>
            <w:lang w:eastAsia="en-GB"/>
          </w:rPr>
          <m:t>σ</m:t>
        </m:r>
        <m:d>
          <m:dPr>
            <m:ctrlPr>
              <w:rPr>
                <w:rFonts w:ascii="Cambria Math" w:hAnsi="Cambria Math"/>
                <w:lang w:eastAsia="en-GB"/>
              </w:rPr>
            </m:ctrlPr>
          </m:dPr>
          <m:e>
            <m:r>
              <w:rPr>
                <w:rFonts w:ascii="Cambria Math" w:hAnsi="Cambria Math"/>
                <w:lang w:eastAsia="en-GB"/>
              </w:rPr>
              <m:t>S</m:t>
            </m:r>
            <m:r>
              <m:rPr>
                <m:sty m:val="p"/>
              </m:rPr>
              <w:rPr>
                <w:rFonts w:ascii="Cambria Math" w:hAnsi="Cambria Math"/>
                <w:lang w:eastAsia="en-GB"/>
              </w:rPr>
              <m:t>,</m:t>
            </m:r>
            <m:r>
              <w:rPr>
                <w:rFonts w:ascii="Cambria Math" w:hAnsi="Cambria Math"/>
                <w:lang w:eastAsia="en-GB"/>
              </w:rPr>
              <m:t>t</m:t>
            </m:r>
            <m:r>
              <m:rPr>
                <m:sty m:val="p"/>
              </m:rPr>
              <w:rPr>
                <w:rFonts w:ascii="Cambria Math" w:hAnsi="Cambria Math"/>
                <w:lang w:eastAsia="en-GB"/>
              </w:rPr>
              <m:t>,</m:t>
            </m:r>
            <m:sSub>
              <m:sSubPr>
                <m:ctrlPr>
                  <w:rPr>
                    <w:rFonts w:ascii="Cambria Math" w:hAnsi="Cambria Math"/>
                    <w:lang w:eastAsia="en-GB"/>
                  </w:rPr>
                </m:ctrlPr>
              </m:sSubPr>
              <m:e>
                <m:r>
                  <w:rPr>
                    <w:rFonts w:ascii="Cambria Math" w:hAnsi="Cambria Math"/>
                    <w:lang w:eastAsia="en-GB"/>
                  </w:rPr>
                  <m:t>V</m:t>
                </m:r>
              </m:e>
              <m:sub>
                <m:r>
                  <w:rPr>
                    <w:rFonts w:ascii="Cambria Math" w:hAnsi="Cambria Math"/>
                    <w:lang w:eastAsia="en-GB"/>
                  </w:rPr>
                  <m:t>SS</m:t>
                </m:r>
              </m:sub>
            </m:sSub>
          </m:e>
        </m:d>
        <m:r>
          <m:rPr>
            <m:sty m:val="p"/>
          </m:rPr>
          <w:rPr>
            <w:rFonts w:ascii="Cambria Math" w:hAnsi="Cambria Math"/>
            <w:lang w:eastAsia="en-GB"/>
          </w:rPr>
          <m:t xml:space="preserve"> </m:t>
        </m:r>
      </m:oMath>
      <w:r w:rsidRPr="009A4988">
        <w:rPr>
          <w:rFonts w:ascii="Baskerville Old Face" w:hAnsi="Baskerville Old Face"/>
          <w:lang w:eastAsia="en-GB"/>
        </w:rPr>
        <w:t>: Nonlinear Volatility</w:t>
      </w:r>
    </w:p>
    <w:p w14:paraId="37826827" w14:textId="77777777" w:rsidR="006F4C94" w:rsidRDefault="00000000" w:rsidP="007C2CB7">
      <w:pPr>
        <w:jc w:val="both"/>
        <w:rPr>
          <w:rFonts w:ascii="Baskerville Old Face" w:hAnsi="Baskerville Old Face"/>
          <w:lang w:eastAsia="en-GB"/>
        </w:rPr>
      </w:pPr>
      <m:oMath>
        <m:sSub>
          <m:sSubPr>
            <m:ctrlPr>
              <w:rPr>
                <w:rFonts w:ascii="Cambria Math" w:hAnsi="Cambria Math"/>
                <w:lang w:eastAsia="en-GB"/>
              </w:rPr>
            </m:ctrlPr>
          </m:sSubPr>
          <m:e>
            <m:r>
              <w:rPr>
                <w:rFonts w:ascii="Cambria Math" w:hAnsi="Cambria Math"/>
                <w:lang w:eastAsia="en-GB"/>
              </w:rPr>
              <m:t>V</m:t>
            </m:r>
          </m:e>
          <m:sub>
            <m:r>
              <w:rPr>
                <w:rFonts w:ascii="Cambria Math" w:hAnsi="Cambria Math"/>
                <w:lang w:eastAsia="en-GB"/>
              </w:rPr>
              <m:t>SS</m:t>
            </m:r>
          </m:sub>
        </m:sSub>
        <m:r>
          <m:rPr>
            <m:sty m:val="p"/>
          </m:rPr>
          <w:rPr>
            <w:rFonts w:ascii="Cambria Math" w:hAnsi="Cambria Math"/>
            <w:lang w:eastAsia="en-GB"/>
          </w:rPr>
          <m:t>=</m:t>
        </m:r>
        <m:f>
          <m:fPr>
            <m:ctrlPr>
              <w:rPr>
                <w:rFonts w:ascii="Cambria Math" w:hAnsi="Cambria Math"/>
                <w:lang w:eastAsia="en-GB"/>
              </w:rPr>
            </m:ctrlPr>
          </m:fPr>
          <m:num>
            <m:sSup>
              <m:sSupPr>
                <m:ctrlPr>
                  <w:rPr>
                    <w:rFonts w:ascii="Cambria Math" w:hAnsi="Cambria Math"/>
                    <w:lang w:eastAsia="en-GB"/>
                  </w:rPr>
                </m:ctrlPr>
              </m:sSupPr>
              <m:e>
                <m:r>
                  <w:rPr>
                    <w:rFonts w:ascii="Cambria Math" w:hAnsi="Cambria Math"/>
                    <w:lang w:eastAsia="en-GB"/>
                  </w:rPr>
                  <m:t>∂</m:t>
                </m:r>
              </m:e>
              <m:sup>
                <m:r>
                  <m:rPr>
                    <m:sty m:val="p"/>
                  </m:rPr>
                  <w:rPr>
                    <w:rFonts w:ascii="Cambria Math" w:hAnsi="Cambria Math"/>
                    <w:lang w:eastAsia="en-GB"/>
                  </w:rPr>
                  <m:t>2</m:t>
                </m:r>
              </m:sup>
            </m:sSup>
            <m:r>
              <w:rPr>
                <w:rFonts w:ascii="Cambria Math" w:hAnsi="Cambria Math"/>
                <w:lang w:eastAsia="en-GB"/>
              </w:rPr>
              <m:t>V</m:t>
            </m:r>
          </m:num>
          <m:den>
            <m:r>
              <w:rPr>
                <w:rFonts w:ascii="Cambria Math" w:hAnsi="Cambria Math"/>
                <w:lang w:eastAsia="en-GB"/>
              </w:rPr>
              <m:t>∂</m:t>
            </m:r>
            <m:sSup>
              <m:sSupPr>
                <m:ctrlPr>
                  <w:rPr>
                    <w:rFonts w:ascii="Cambria Math" w:hAnsi="Cambria Math"/>
                    <w:lang w:eastAsia="en-GB"/>
                  </w:rPr>
                </m:ctrlPr>
              </m:sSupPr>
              <m:e>
                <m:r>
                  <w:rPr>
                    <w:rFonts w:ascii="Cambria Math" w:hAnsi="Cambria Math"/>
                    <w:lang w:eastAsia="en-GB"/>
                  </w:rPr>
                  <m:t>S</m:t>
                </m:r>
              </m:e>
              <m:sup>
                <m:r>
                  <m:rPr>
                    <m:sty m:val="p"/>
                  </m:rPr>
                  <w:rPr>
                    <w:rFonts w:ascii="Cambria Math" w:hAnsi="Cambria Math"/>
                    <w:lang w:eastAsia="en-GB"/>
                  </w:rPr>
                  <m:t>2</m:t>
                </m:r>
              </m:sup>
            </m:sSup>
          </m:den>
        </m:f>
        <m:r>
          <m:rPr>
            <m:sty m:val="p"/>
          </m:rPr>
          <w:rPr>
            <w:rFonts w:ascii="Cambria Math" w:hAnsi="Cambria Math"/>
            <w:lang w:eastAsia="en-GB"/>
          </w:rPr>
          <m:t xml:space="preserve"> </m:t>
        </m:r>
      </m:oMath>
      <w:r w:rsidR="006F4C94" w:rsidRPr="007C2CB7">
        <w:rPr>
          <w:rFonts w:ascii="Baskerville Old Face" w:hAnsi="Baskerville Old Face"/>
          <w:lang w:eastAsia="en-GB"/>
        </w:rPr>
        <w:t>.</w:t>
      </w:r>
    </w:p>
    <w:p w14:paraId="2AA944AE" w14:textId="77777777" w:rsidR="00BE3FB1" w:rsidRPr="007C2CB7" w:rsidRDefault="00BE3FB1" w:rsidP="007C2CB7">
      <w:pPr>
        <w:jc w:val="both"/>
        <w:rPr>
          <w:rFonts w:ascii="Baskerville Old Face" w:hAnsi="Baskerville Old Face"/>
          <w:lang w:eastAsia="en-GB"/>
        </w:rPr>
      </w:pPr>
    </w:p>
    <w:p w14:paraId="0E2D5213" w14:textId="540679D9" w:rsidR="00EB4548" w:rsidRPr="00A76B1C" w:rsidRDefault="00EB4548" w:rsidP="007C2CB7">
      <w:pPr>
        <w:spacing w:after="240"/>
        <w:ind w:firstLine="426"/>
        <w:jc w:val="both"/>
        <w:rPr>
          <w:rFonts w:ascii="Baskerville Old Face" w:hAnsi="Baskerville Old Face"/>
          <w:b/>
          <w:bCs/>
          <w:lang w:eastAsia="en-GB"/>
        </w:rPr>
      </w:pPr>
      <w:r w:rsidRPr="00A76B1C">
        <w:rPr>
          <w:rFonts w:ascii="Baskerville Old Face" w:hAnsi="Baskerville Old Face"/>
          <w:lang w:eastAsia="en-GB"/>
        </w:rPr>
        <w:t>The equation is able to show that the change in the price of options is influenced by fluctuations in stock prices or diffusion components as well as deterministic growth that arises due to the rate of interest and discount effects on the value of options.</w:t>
      </w:r>
    </w:p>
    <w:p w14:paraId="46E14AA6" w14:textId="37998507" w:rsidR="006F4C94" w:rsidRPr="00A76B1C" w:rsidRDefault="009A4988" w:rsidP="007C2CB7">
      <w:pPr>
        <w:pStyle w:val="Heading1"/>
        <w:spacing w:line="276" w:lineRule="auto"/>
        <w:jc w:val="both"/>
        <w:rPr>
          <w:rFonts w:ascii="Baskerville Old Face" w:hAnsi="Baskerville Old Face"/>
          <w:lang w:val="id-ID"/>
        </w:rPr>
      </w:pPr>
      <w:r w:rsidRPr="00A76B1C">
        <w:rPr>
          <w:rFonts w:ascii="Baskerville Old Face" w:hAnsi="Baskerville Old Face"/>
        </w:rPr>
        <w:t>2.3.2 Volatility as a Representation of Transaction Costs</w:t>
      </w:r>
    </w:p>
    <w:p w14:paraId="4EEA5AB3" w14:textId="066E9BC4" w:rsidR="00D05022" w:rsidRPr="00A76B1C" w:rsidRDefault="00D05022" w:rsidP="007C2CB7">
      <w:pPr>
        <w:spacing w:after="240"/>
        <w:ind w:firstLine="426"/>
        <w:jc w:val="both"/>
        <w:rPr>
          <w:rFonts w:ascii="Baskerville Old Face" w:hAnsi="Baskerville Old Face"/>
          <w:lang w:eastAsia="en-GB"/>
        </w:rPr>
      </w:pPr>
      <w:r w:rsidRPr="00A76B1C">
        <w:rPr>
          <w:rFonts w:ascii="Baskerville Old Face" w:hAnsi="Baskerville Old Face"/>
          <w:lang w:eastAsia="en-GB"/>
        </w:rPr>
        <w:t xml:space="preserve">In the </w:t>
      </w:r>
      <w:proofErr w:type="spellStart"/>
      <w:r w:rsidRPr="00A76B1C">
        <w:rPr>
          <w:rFonts w:ascii="Baskerville Old Face" w:hAnsi="Baskerville Old Face"/>
          <w:lang w:eastAsia="en-GB"/>
        </w:rPr>
        <w:t>Barles</w:t>
      </w:r>
      <w:proofErr w:type="spellEnd"/>
      <w:r w:rsidRPr="00A76B1C">
        <w:rPr>
          <w:rFonts w:ascii="Baskerville Old Face" w:hAnsi="Baskerville Old Face"/>
          <w:lang w:eastAsia="en-GB"/>
        </w:rPr>
        <w:t xml:space="preserve">-Soner </w:t>
      </w:r>
      <w:proofErr w:type="gramStart"/>
      <w:r w:rsidRPr="00A76B1C">
        <w:rPr>
          <w:rFonts w:ascii="Baskerville Old Face" w:hAnsi="Baskerville Old Face"/>
          <w:lang w:eastAsia="en-GB"/>
        </w:rPr>
        <w:t>model,  it</w:t>
      </w:r>
      <w:proofErr w:type="gramEnd"/>
      <w:r w:rsidRPr="00A76B1C">
        <w:rPr>
          <w:rFonts w:ascii="Baskerville Old Face" w:hAnsi="Baskerville Old Face"/>
          <w:lang w:eastAsia="en-GB"/>
        </w:rPr>
        <w:t xml:space="preserve"> indicates </w:t>
      </w:r>
      <w:r w:rsidRPr="00A76B1C">
        <w:rPr>
          <w:rFonts w:ascii="Cambria" w:hAnsi="Cambria" w:cs="Cambria"/>
          <w:lang w:eastAsia="en-GB"/>
        </w:rPr>
        <w:t xml:space="preserve">that volatility σ </w:t>
      </w:r>
      <w:r w:rsidRPr="00A76B1C">
        <w:rPr>
          <w:rFonts w:ascii="Baskerville Old Face" w:hAnsi="Baskerville Old Face" w:cs="Cambria"/>
          <w:lang w:eastAsia="en-GB"/>
        </w:rPr>
        <w:t xml:space="preserve">no longer has a constant property but rather becomes a nonlinear function </w:t>
      </w:r>
      <w:r w:rsidRPr="00A76B1C">
        <w:rPr>
          <w:rFonts w:ascii="Baskerville Old Face" w:hAnsi="Baskerville Old Face"/>
          <w:lang w:eastAsia="en-GB"/>
        </w:rPr>
        <w:t>of the second derivative of the option price</w:t>
      </w:r>
      <w:r w:rsidR="009B1E03">
        <w:rPr>
          <w:rFonts w:ascii="Baskerville Old Face" w:hAnsi="Baskerville Old Face"/>
          <w:lang w:eastAsia="en-GB"/>
        </w:rPr>
        <w:t xml:space="preserve"> </w:t>
      </w:r>
      <m:oMath>
        <m:sSub>
          <m:sSubPr>
            <m:ctrlPr>
              <w:rPr>
                <w:rFonts w:ascii="Cambria Math" w:hAnsi="Cambria Math"/>
                <w:i/>
                <w:lang w:eastAsia="en-GB"/>
              </w:rPr>
            </m:ctrlPr>
          </m:sSubPr>
          <m:e>
            <m:r>
              <w:rPr>
                <w:rFonts w:ascii="Cambria Math" w:hAnsi="Cambria Math"/>
                <w:lang w:eastAsia="en-GB"/>
              </w:rPr>
              <m:t>(V</m:t>
            </m:r>
          </m:e>
          <m:sub>
            <m:r>
              <w:rPr>
                <w:rFonts w:ascii="Cambria Math" w:hAnsi="Cambria Math"/>
                <w:lang w:eastAsia="en-GB"/>
              </w:rPr>
              <m:t>SS</m:t>
            </m:r>
          </m:sub>
        </m:sSub>
        <m:r>
          <w:rPr>
            <w:rFonts w:ascii="Cambria Math" w:hAnsi="Cambria Math"/>
            <w:lang w:eastAsia="en-GB"/>
          </w:rPr>
          <m:t>)</m:t>
        </m:r>
      </m:oMath>
      <w:r w:rsidRPr="00A76B1C">
        <w:rPr>
          <w:rFonts w:ascii="Baskerville Old Face" w:hAnsi="Baskerville Old Face"/>
          <w:lang w:eastAsia="en-GB"/>
        </w:rPr>
        <w:t>. Transaction fees are calculated through adjustments to volatility which are expressed as:</w:t>
      </w:r>
    </w:p>
    <w:p w14:paraId="2A09A27B" w14:textId="77777777" w:rsidR="00D05022" w:rsidRDefault="00D05022" w:rsidP="00D05022">
      <w:pPr>
        <w:ind w:left="426" w:firstLine="294"/>
        <w:jc w:val="both"/>
        <w:rPr>
          <w:rFonts w:ascii="Baskerville Old Face" w:hAnsi="Baskerville Old Face"/>
          <w:lang w:eastAsia="en-GB"/>
        </w:rPr>
      </w:pPr>
    </w:p>
    <w:p w14:paraId="40D6F566" w14:textId="6448595B" w:rsidR="006F4C94" w:rsidRPr="00243268" w:rsidRDefault="00000000" w:rsidP="00585BF8">
      <w:pPr>
        <w:spacing w:line="276" w:lineRule="auto"/>
        <w:ind w:left="426" w:firstLine="720"/>
        <w:jc w:val="both"/>
        <w:rPr>
          <w:lang w:val="id-ID" w:eastAsia="en-GB"/>
        </w:rPr>
      </w:pPr>
      <m:oMathPara>
        <m:oMath>
          <m:sSup>
            <m:sSupPr>
              <m:ctrlPr>
                <w:rPr>
                  <w:rFonts w:ascii="Cambria Math" w:hAnsi="Cambria Math"/>
                  <w:i/>
                  <w:lang w:eastAsia="en-GB"/>
                </w:rPr>
              </m:ctrlPr>
            </m:sSupPr>
            <m:e>
              <m:r>
                <w:rPr>
                  <w:rFonts w:ascii="Cambria Math" w:hAnsi="Cambria Math"/>
                  <w:lang w:eastAsia="en-GB"/>
                </w:rPr>
                <m:t>σ</m:t>
              </m:r>
            </m:e>
            <m:sup>
              <m:r>
                <w:rPr>
                  <w:rFonts w:ascii="Cambria Math" w:hAnsi="Cambria Math"/>
                  <w:lang w:eastAsia="en-GB"/>
                </w:rPr>
                <m:t>2</m:t>
              </m:r>
            </m:sup>
          </m:sSup>
          <m:r>
            <w:rPr>
              <w:rFonts w:ascii="Cambria Math" w:hAnsi="Cambria Math"/>
              <w:lang w:val="id-ID" w:eastAsia="en-GB"/>
            </w:rPr>
            <m:t>=</m:t>
          </m:r>
          <m:sSubSup>
            <m:sSubSupPr>
              <m:ctrlPr>
                <w:rPr>
                  <w:rFonts w:ascii="Cambria Math" w:hAnsi="Cambria Math"/>
                  <w:i/>
                  <w:lang w:val="id-ID" w:eastAsia="en-GB"/>
                </w:rPr>
              </m:ctrlPr>
            </m:sSubSupPr>
            <m:e>
              <m:r>
                <w:rPr>
                  <w:rFonts w:ascii="Cambria Math" w:hAnsi="Cambria Math"/>
                  <w:lang w:eastAsia="en-GB"/>
                </w:rPr>
                <m:t>σ</m:t>
              </m:r>
            </m:e>
            <m:sub>
              <m:r>
                <w:rPr>
                  <w:rFonts w:ascii="Cambria Math" w:hAnsi="Cambria Math"/>
                  <w:lang w:val="id-ID" w:eastAsia="en-GB"/>
                </w:rPr>
                <m:t>0</m:t>
              </m:r>
            </m:sub>
            <m:sup>
              <m:r>
                <w:rPr>
                  <w:rFonts w:ascii="Cambria Math" w:hAnsi="Cambria Math"/>
                  <w:lang w:val="id-ID" w:eastAsia="en-GB"/>
                </w:rPr>
                <m:t>2</m:t>
              </m:r>
            </m:sup>
          </m:sSubSup>
          <m:r>
            <w:rPr>
              <w:rFonts w:ascii="Cambria Math" w:hAnsi="Cambria Math"/>
              <w:lang w:val="id-ID" w:eastAsia="en-GB"/>
            </w:rPr>
            <m:t>(1+</m:t>
          </m:r>
          <m:r>
            <m:rPr>
              <m:sty m:val="p"/>
            </m:rPr>
            <w:rPr>
              <w:rFonts w:ascii="Cambria Math" w:hAnsi="Cambria Math"/>
              <w:lang w:eastAsia="en-GB"/>
            </w:rPr>
            <m:t>Ψ</m:t>
          </m:r>
          <m:d>
            <m:dPr>
              <m:ctrlPr>
                <w:rPr>
                  <w:rFonts w:ascii="Cambria Math" w:hAnsi="Cambria Math"/>
                  <w:iCs/>
                  <w:lang w:eastAsia="en-GB"/>
                </w:rPr>
              </m:ctrlPr>
            </m:dPr>
            <m:e>
              <m:sSup>
                <m:sSupPr>
                  <m:ctrlPr>
                    <w:rPr>
                      <w:rFonts w:ascii="Cambria Math" w:hAnsi="Cambria Math"/>
                      <w:iCs/>
                      <w:lang w:eastAsia="en-GB"/>
                    </w:rPr>
                  </m:ctrlPr>
                </m:sSupPr>
                <m:e>
                  <m:r>
                    <w:rPr>
                      <w:rFonts w:ascii="Cambria Math" w:hAnsi="Cambria Math"/>
                      <w:lang w:eastAsia="en-GB"/>
                    </w:rPr>
                    <m:t>e</m:t>
                  </m:r>
                </m:e>
                <m:sup>
                  <m:r>
                    <w:rPr>
                      <w:rFonts w:ascii="Cambria Math" w:hAnsi="Cambria Math"/>
                      <w:lang w:eastAsia="en-GB"/>
                    </w:rPr>
                    <m:t>r</m:t>
                  </m:r>
                  <m:d>
                    <m:dPr>
                      <m:ctrlPr>
                        <w:rPr>
                          <w:rFonts w:ascii="Cambria Math" w:hAnsi="Cambria Math"/>
                          <w:i/>
                          <w:iCs/>
                          <w:lang w:eastAsia="en-GB"/>
                        </w:rPr>
                      </m:ctrlPr>
                    </m:dPr>
                    <m:e>
                      <m:r>
                        <w:rPr>
                          <w:rFonts w:ascii="Cambria Math" w:hAnsi="Cambria Math"/>
                          <w:lang w:eastAsia="en-GB"/>
                        </w:rPr>
                        <m:t>T-t</m:t>
                      </m:r>
                    </m:e>
                  </m:d>
                </m:sup>
              </m:sSup>
              <m:sSup>
                <m:sSupPr>
                  <m:ctrlPr>
                    <w:rPr>
                      <w:rFonts w:ascii="Cambria Math" w:hAnsi="Cambria Math"/>
                      <w:i/>
                      <w:lang w:eastAsia="en-GB"/>
                    </w:rPr>
                  </m:ctrlPr>
                </m:sSupPr>
                <m:e>
                  <m:r>
                    <w:rPr>
                      <w:rFonts w:ascii="Cambria Math" w:hAnsi="Cambria Math"/>
                      <w:lang w:eastAsia="en-GB"/>
                    </w:rPr>
                    <m:t>a</m:t>
                  </m:r>
                </m:e>
                <m:sup>
                  <m:r>
                    <w:rPr>
                      <w:rFonts w:ascii="Cambria Math" w:hAnsi="Cambria Math"/>
                      <w:lang w:eastAsia="en-GB"/>
                    </w:rPr>
                    <m:t>2</m:t>
                  </m:r>
                </m:sup>
              </m:sSup>
              <m:sSup>
                <m:sSupPr>
                  <m:ctrlPr>
                    <w:rPr>
                      <w:rFonts w:ascii="Cambria Math" w:hAnsi="Cambria Math"/>
                      <w:i/>
                      <w:lang w:eastAsia="en-GB"/>
                    </w:rPr>
                  </m:ctrlPr>
                </m:sSupPr>
                <m:e>
                  <m:r>
                    <w:rPr>
                      <w:rFonts w:ascii="Cambria Math" w:hAnsi="Cambria Math"/>
                      <w:lang w:eastAsia="en-GB"/>
                    </w:rPr>
                    <m:t>S</m:t>
                  </m:r>
                </m:e>
                <m:sup>
                  <m:r>
                    <w:rPr>
                      <w:rFonts w:ascii="Cambria Math" w:hAnsi="Cambria Math"/>
                      <w:lang w:eastAsia="en-GB"/>
                    </w:rPr>
                    <m:t>2</m:t>
                  </m:r>
                </m:sup>
              </m:sSup>
              <m:sSub>
                <m:sSubPr>
                  <m:ctrlPr>
                    <w:rPr>
                      <w:rFonts w:ascii="Cambria Math" w:hAnsi="Cambria Math"/>
                      <w:i/>
                      <w:lang w:eastAsia="en-GB"/>
                    </w:rPr>
                  </m:ctrlPr>
                </m:sSubPr>
                <m:e>
                  <m:r>
                    <w:rPr>
                      <w:rFonts w:ascii="Cambria Math" w:hAnsi="Cambria Math"/>
                      <w:lang w:eastAsia="en-GB"/>
                    </w:rPr>
                    <m:t>V</m:t>
                  </m:r>
                </m:e>
                <m:sub>
                  <m:r>
                    <w:rPr>
                      <w:rFonts w:ascii="Cambria Math" w:hAnsi="Cambria Math"/>
                      <w:lang w:eastAsia="en-GB"/>
                    </w:rPr>
                    <m:t>SS</m:t>
                  </m:r>
                </m:sub>
              </m:sSub>
              <m:ctrlPr>
                <w:rPr>
                  <w:rFonts w:ascii="Cambria Math" w:hAnsi="Cambria Math"/>
                  <w:i/>
                  <w:lang w:eastAsia="en-GB"/>
                </w:rPr>
              </m:ctrlPr>
            </m:e>
          </m:d>
          <m:r>
            <w:rPr>
              <w:rFonts w:ascii="Cambria Math" w:hAnsi="Cambria Math"/>
              <w:lang w:eastAsia="en-GB"/>
            </w:rPr>
            <m:t>)</m:t>
          </m:r>
        </m:oMath>
      </m:oMathPara>
    </w:p>
    <w:p w14:paraId="6BB891E9" w14:textId="77777777" w:rsidR="009B1E03" w:rsidRDefault="009B1E03" w:rsidP="00847ACA">
      <w:pPr>
        <w:jc w:val="both"/>
        <w:rPr>
          <w:rFonts w:ascii="Baskerville Old Face" w:hAnsi="Baskerville Old Face"/>
          <w:lang w:eastAsia="en-GB"/>
        </w:rPr>
      </w:pPr>
    </w:p>
    <w:p w14:paraId="2B58DE93" w14:textId="01D42E95" w:rsidR="006F4C94" w:rsidRPr="00847ACA" w:rsidRDefault="009B1E03" w:rsidP="00847ACA">
      <w:pPr>
        <w:jc w:val="both"/>
        <w:rPr>
          <w:rFonts w:ascii="Baskerville Old Face" w:hAnsi="Baskerville Old Face"/>
          <w:lang w:eastAsia="en-GB"/>
        </w:rPr>
      </w:pPr>
      <w:proofErr w:type="gramStart"/>
      <w:r>
        <w:rPr>
          <w:rFonts w:ascii="Baskerville Old Face" w:hAnsi="Baskerville Old Face"/>
          <w:lang w:eastAsia="en-GB"/>
        </w:rPr>
        <w:lastRenderedPageBreak/>
        <w:t>With :</w:t>
      </w:r>
      <w:proofErr w:type="gramEnd"/>
    </w:p>
    <w:p w14:paraId="703732E5" w14:textId="1E978D73" w:rsidR="006F4C94" w:rsidRPr="00847ACA" w:rsidRDefault="00000000" w:rsidP="00847ACA">
      <w:pPr>
        <w:jc w:val="both"/>
        <w:rPr>
          <w:rFonts w:ascii="Baskerville Old Face" w:hAnsi="Baskerville Old Face"/>
          <w:lang w:eastAsia="en-GB"/>
        </w:rPr>
      </w:pPr>
      <m:oMath>
        <m:sSub>
          <m:sSubPr>
            <m:ctrlPr>
              <w:rPr>
                <w:rFonts w:ascii="Cambria Math" w:hAnsi="Cambria Math"/>
                <w:lang w:eastAsia="en-GB"/>
              </w:rPr>
            </m:ctrlPr>
          </m:sSubPr>
          <m:e>
            <m:r>
              <w:rPr>
                <w:rFonts w:ascii="Cambria Math" w:hAnsi="Cambria Math"/>
                <w:lang w:eastAsia="en-GB"/>
              </w:rPr>
              <m:t>σ</m:t>
            </m:r>
          </m:e>
          <m:sub>
            <m:r>
              <m:rPr>
                <m:sty m:val="p"/>
              </m:rPr>
              <w:rPr>
                <w:rFonts w:ascii="Cambria Math" w:hAnsi="Cambria Math"/>
                <w:lang w:eastAsia="en-GB"/>
              </w:rPr>
              <m:t>0</m:t>
            </m:r>
          </m:sub>
        </m:sSub>
      </m:oMath>
      <w:r w:rsidR="006F4C94" w:rsidRPr="00847ACA">
        <w:rPr>
          <w:rFonts w:ascii="Baskerville Old Face" w:hAnsi="Baskerville Old Face"/>
          <w:lang w:eastAsia="en-GB"/>
        </w:rPr>
        <w:t xml:space="preserve"> </w:t>
      </w:r>
      <w:r w:rsidR="00585BF8" w:rsidRPr="009A4988">
        <w:rPr>
          <w:rFonts w:ascii="Baskerville Old Face" w:hAnsi="Baskerville Old Face"/>
          <w:lang w:eastAsia="en-GB"/>
        </w:rPr>
        <w:t>is the basic volatility without transaction costs,</w:t>
      </w:r>
    </w:p>
    <w:p w14:paraId="1DD5AFEF" w14:textId="657101D5" w:rsidR="006F4C94" w:rsidRPr="00847ACA" w:rsidRDefault="006F4C94" w:rsidP="00847ACA">
      <w:pPr>
        <w:jc w:val="both"/>
        <w:rPr>
          <w:rFonts w:ascii="Baskerville Old Face" w:hAnsi="Baskerville Old Face"/>
          <w:lang w:eastAsia="en-GB"/>
        </w:rPr>
      </w:pPr>
      <m:oMath>
        <m:r>
          <w:rPr>
            <w:rFonts w:ascii="Cambria Math" w:hAnsi="Cambria Math"/>
            <w:lang w:eastAsia="en-GB"/>
          </w:rPr>
          <m:t>a</m:t>
        </m:r>
        <m:r>
          <m:rPr>
            <m:sty m:val="p"/>
          </m:rPr>
          <w:rPr>
            <w:rFonts w:ascii="Cambria Math" w:hAnsi="Cambria Math"/>
            <w:lang w:eastAsia="en-GB"/>
          </w:rPr>
          <m:t>=</m:t>
        </m:r>
        <m:r>
          <w:rPr>
            <w:rFonts w:ascii="Cambria Math" w:hAnsi="Cambria Math"/>
            <w:lang w:eastAsia="en-GB"/>
          </w:rPr>
          <m:t>μ</m:t>
        </m:r>
        <m:rad>
          <m:radPr>
            <m:degHide m:val="1"/>
            <m:ctrlPr>
              <w:rPr>
                <w:rFonts w:ascii="Cambria Math" w:hAnsi="Cambria Math"/>
                <w:lang w:eastAsia="en-GB"/>
              </w:rPr>
            </m:ctrlPr>
          </m:radPr>
          <m:deg/>
          <m:e>
            <m:r>
              <w:rPr>
                <w:rFonts w:ascii="Cambria Math" w:hAnsi="Cambria Math"/>
                <w:lang w:eastAsia="en-GB"/>
              </w:rPr>
              <m:t>γN</m:t>
            </m:r>
          </m:e>
        </m:rad>
        <m:r>
          <m:rPr>
            <m:sty m:val="p"/>
          </m:rPr>
          <w:rPr>
            <w:rFonts w:ascii="Cambria Math" w:hAnsi="Cambria Math"/>
            <w:lang w:eastAsia="en-GB"/>
          </w:rPr>
          <m:t xml:space="preserve"> </m:t>
        </m:r>
      </m:oMath>
      <w:r w:rsidR="002E54F1" w:rsidRPr="009A4988">
        <w:rPr>
          <w:rFonts w:ascii="Baskerville Old Face" w:hAnsi="Baskerville Old Face"/>
          <w:lang w:eastAsia="en-GB"/>
        </w:rPr>
        <w:t>is a parameter of transaction cost intensity and risk aversion,</w:t>
      </w:r>
    </w:p>
    <w:p w14:paraId="2A4FDB26" w14:textId="63AD9CF1" w:rsidR="006F4C94" w:rsidRPr="00847ACA" w:rsidRDefault="006F4C94" w:rsidP="00847ACA">
      <w:pPr>
        <w:jc w:val="both"/>
        <w:rPr>
          <w:rFonts w:ascii="Baskerville Old Face" w:hAnsi="Baskerville Old Face"/>
          <w:lang w:eastAsia="en-GB"/>
        </w:rPr>
      </w:pPr>
      <w:r w:rsidRPr="00847ACA">
        <w:rPr>
          <w:rFonts w:ascii="Cambria" w:hAnsi="Cambria" w:cs="Cambria"/>
          <w:lang w:eastAsia="en-GB"/>
        </w:rPr>
        <w:t>Ψ</w:t>
      </w:r>
      <w:r w:rsidRPr="00847ACA">
        <w:rPr>
          <w:rFonts w:ascii="Baskerville Old Face" w:hAnsi="Baskerville Old Face"/>
          <w:lang w:eastAsia="en-GB"/>
        </w:rPr>
        <w:t>(</w:t>
      </w:r>
      <w:r w:rsidRPr="00847ACA">
        <w:rPr>
          <w:rFonts w:ascii="Cambria Math" w:hAnsi="Cambria Math" w:cs="Cambria Math"/>
          <w:lang w:eastAsia="en-GB"/>
        </w:rPr>
        <w:t>⋅</w:t>
      </w:r>
      <w:r w:rsidRPr="00847ACA">
        <w:rPr>
          <w:rFonts w:ascii="Baskerville Old Face" w:hAnsi="Baskerville Old Face"/>
          <w:lang w:eastAsia="en-GB"/>
        </w:rPr>
        <w:t xml:space="preserve">) </w:t>
      </w:r>
      <w:r w:rsidR="002E54F1" w:rsidRPr="009A4988">
        <w:rPr>
          <w:rFonts w:ascii="Baskerville Old Face" w:hAnsi="Baskerville Old Face"/>
          <w:lang w:eastAsia="en-GB"/>
        </w:rPr>
        <w:t>is a volatility correction function that satisfies an implicit nonlinear differential equation.</w:t>
      </w:r>
    </w:p>
    <w:p w14:paraId="739F44B9" w14:textId="77777777" w:rsidR="006F4C94" w:rsidRPr="002E54F1" w:rsidRDefault="006F4C94" w:rsidP="0057622A">
      <w:pPr>
        <w:ind w:left="426" w:firstLine="720"/>
        <w:jc w:val="both"/>
        <w:rPr>
          <w:lang w:val="en-ID" w:eastAsia="en-GB"/>
        </w:rPr>
      </w:pPr>
    </w:p>
    <w:p w14:paraId="31B0251C" w14:textId="63F5445C" w:rsidR="002E54F1" w:rsidRPr="009A4988" w:rsidRDefault="002E54F1" w:rsidP="00847ACA">
      <w:pPr>
        <w:spacing w:after="240"/>
        <w:ind w:firstLine="426"/>
        <w:jc w:val="both"/>
        <w:rPr>
          <w:rFonts w:ascii="Baskerville Old Face" w:hAnsi="Baskerville Old Face"/>
          <w:b/>
          <w:bCs/>
          <w:lang w:val="id-ID" w:eastAsia="en-GB"/>
        </w:rPr>
      </w:pPr>
      <w:r w:rsidRPr="009A4988">
        <w:rPr>
          <w:rFonts w:ascii="Baskerville Old Face" w:hAnsi="Baskerville Old Face"/>
          <w:lang w:eastAsia="en-GB"/>
        </w:rPr>
        <w:t xml:space="preserve">When transaction costs increase, investors cannot hedge continuously, increasing portfolio risk (Leland, </w:t>
      </w:r>
      <w:r w:rsidRPr="00847ACA">
        <w:rPr>
          <w:rFonts w:ascii="Baskerville Old Face" w:hAnsi="Baskerville Old Face" w:cs="Cambria"/>
          <w:lang w:eastAsia="en-GB"/>
        </w:rPr>
        <w:t>1985</w:t>
      </w:r>
      <w:r w:rsidRPr="009A4988">
        <w:rPr>
          <w:rFonts w:ascii="Baskerville Old Face" w:hAnsi="Baskerville Old Face"/>
          <w:lang w:eastAsia="en-GB"/>
        </w:rPr>
        <w:t xml:space="preserve">; Boyle and Vorst, 1992). This additional risk is modeled as an increase in effective volatility (Avellaneda and Parás, 1994; </w:t>
      </w:r>
      <w:proofErr w:type="spellStart"/>
      <w:r w:rsidRPr="009A4988">
        <w:rPr>
          <w:rFonts w:ascii="Baskerville Old Face" w:hAnsi="Baskerville Old Face"/>
          <w:lang w:eastAsia="en-GB"/>
        </w:rPr>
        <w:t>Barles</w:t>
      </w:r>
      <w:proofErr w:type="spellEnd"/>
      <w:r w:rsidRPr="009A4988">
        <w:rPr>
          <w:rFonts w:ascii="Baskerville Old Face" w:hAnsi="Baskerville Old Face"/>
          <w:lang w:eastAsia="en-GB"/>
        </w:rPr>
        <w:t xml:space="preserve"> and Soner, 1998). The function </w:t>
      </w:r>
      <w:r w:rsidRPr="009A4988">
        <w:rPr>
          <w:rFonts w:ascii="Cambria" w:hAnsi="Cambria" w:cs="Cambria"/>
          <w:lang w:eastAsia="en-GB"/>
        </w:rPr>
        <w:t>Ψ</w:t>
      </w:r>
      <w:r w:rsidRPr="009A4988">
        <w:rPr>
          <w:rFonts w:ascii="Baskerville Old Face" w:hAnsi="Baskerville Old Face"/>
          <w:lang w:eastAsia="en-GB"/>
        </w:rPr>
        <w:t>(</w:t>
      </w:r>
      <w:r w:rsidRPr="009A4988">
        <w:rPr>
          <w:rFonts w:ascii="Cambria Math" w:hAnsi="Cambria Math" w:cs="Cambria Math"/>
          <w:lang w:eastAsia="en-GB"/>
        </w:rPr>
        <w:t>⋅</w:t>
      </w:r>
      <w:r w:rsidRPr="009A4988">
        <w:rPr>
          <w:rFonts w:ascii="Baskerville Old Face" w:hAnsi="Baskerville Old Face"/>
          <w:lang w:eastAsia="en-GB"/>
        </w:rPr>
        <w:t>) measures the magnitude of the volatility correction due to transaction costs, while the parameter a controls the intensity of these costs.</w:t>
      </w:r>
    </w:p>
    <w:p w14:paraId="6A0D6C78" w14:textId="11ED0273" w:rsidR="006F4C94" w:rsidRPr="009A4988" w:rsidRDefault="006F4C94" w:rsidP="00847ACA">
      <w:pPr>
        <w:pStyle w:val="Heading1"/>
        <w:spacing w:line="276" w:lineRule="auto"/>
        <w:jc w:val="both"/>
        <w:rPr>
          <w:rFonts w:ascii="Baskerville Old Face" w:hAnsi="Baskerville Old Face"/>
          <w:lang w:val="id-ID"/>
        </w:rPr>
      </w:pPr>
      <w:r w:rsidRPr="009A4988">
        <w:rPr>
          <w:rFonts w:ascii="Baskerville Old Face" w:hAnsi="Baskerville Old Face"/>
        </w:rPr>
        <w:t>2.3.3 Transformation of Initial Value Problems</w:t>
      </w:r>
    </w:p>
    <w:p w14:paraId="07354510" w14:textId="3C4CEF59" w:rsidR="00847ACA" w:rsidRDefault="002E54F1" w:rsidP="00847ACA">
      <w:pPr>
        <w:spacing w:after="240"/>
        <w:ind w:firstLine="426"/>
        <w:jc w:val="both"/>
        <w:rPr>
          <w:rFonts w:ascii="Baskerville Old Face" w:hAnsi="Baskerville Old Face"/>
          <w:lang w:eastAsia="en-GB"/>
        </w:rPr>
      </w:pPr>
      <w:r w:rsidRPr="009A4988">
        <w:rPr>
          <w:rFonts w:ascii="Baskerville Old Face" w:hAnsi="Baskerville Old Face"/>
          <w:lang w:eastAsia="en-GB"/>
        </w:rPr>
        <w:t xml:space="preserve">To simplify the numerical problem solving, the boundary value problem (because the payoff condition is known at maturity </w:t>
      </w:r>
      <m:oMath>
        <m:r>
          <w:rPr>
            <w:rFonts w:ascii="Cambria Math" w:hAnsi="Cambria Math"/>
            <w:lang w:val="id-ID" w:eastAsia="en-GB"/>
          </w:rPr>
          <m:t>t=T</m:t>
        </m:r>
      </m:oMath>
      <w:r w:rsidR="006F4C94">
        <w:rPr>
          <w:lang w:eastAsia="en-GB"/>
        </w:rPr>
        <w:t xml:space="preserve">) </w:t>
      </w:r>
      <w:r w:rsidRPr="009A4988">
        <w:rPr>
          <w:rFonts w:ascii="Baskerville Old Face" w:hAnsi="Baskerville Old Face"/>
          <w:lang w:eastAsia="en-GB"/>
        </w:rPr>
        <w:t xml:space="preserve">is transformed into an initial value problem , as commonly applied in numerical solutions of nonlinear Black–Scholes equations using the semi-discretization approach (Company et al., 2009). The transformation is performed using the time variable </w:t>
      </w:r>
      <m:oMath>
        <m:r>
          <w:rPr>
            <w:rFonts w:ascii="Cambria Math" w:hAnsi="Cambria Math"/>
            <w:lang w:val="id-ID" w:eastAsia="en-GB"/>
          </w:rPr>
          <m:t>τ=T-t</m:t>
        </m:r>
      </m:oMath>
      <w:r w:rsidR="009B1E03">
        <w:rPr>
          <w:rFonts w:ascii="Baskerville Old Face" w:hAnsi="Baskerville Old Face"/>
          <w:lang w:val="id-ID" w:eastAsia="en-GB"/>
        </w:rPr>
        <w:t xml:space="preserve"> </w:t>
      </w:r>
      <w:r w:rsidRPr="009A4988">
        <w:rPr>
          <w:rFonts w:ascii="Baskerville Old Face" w:hAnsi="Baskerville Old Face"/>
          <w:lang w:eastAsia="en-GB"/>
        </w:rPr>
        <w:t xml:space="preserve">and the function </w:t>
      </w:r>
      <m:oMath>
        <m:r>
          <w:rPr>
            <w:rFonts w:ascii="Cambria Math" w:hAnsi="Cambria Math"/>
            <w:lang w:val="id-ID" w:eastAsia="en-GB"/>
          </w:rPr>
          <m:t>U</m:t>
        </m:r>
        <m:d>
          <m:dPr>
            <m:ctrlPr>
              <w:rPr>
                <w:rFonts w:ascii="Cambria Math" w:hAnsi="Cambria Math"/>
                <w:i/>
                <w:lang w:val="id-ID" w:eastAsia="en-GB"/>
              </w:rPr>
            </m:ctrlPr>
          </m:dPr>
          <m:e>
            <m:r>
              <w:rPr>
                <w:rFonts w:ascii="Cambria Math" w:hAnsi="Cambria Math"/>
                <w:lang w:val="id-ID" w:eastAsia="en-GB"/>
              </w:rPr>
              <m:t>S,τ</m:t>
            </m:r>
          </m:e>
        </m:d>
        <m:r>
          <w:rPr>
            <w:rFonts w:ascii="Cambria Math" w:hAnsi="Cambria Math"/>
            <w:lang w:val="id-ID" w:eastAsia="en-GB"/>
          </w:rPr>
          <m:t>=V</m:t>
        </m:r>
        <m:d>
          <m:dPr>
            <m:ctrlPr>
              <w:rPr>
                <w:rFonts w:ascii="Cambria Math" w:hAnsi="Cambria Math"/>
                <w:i/>
                <w:lang w:val="id-ID" w:eastAsia="en-GB"/>
              </w:rPr>
            </m:ctrlPr>
          </m:dPr>
          <m:e>
            <m:r>
              <w:rPr>
                <w:rFonts w:ascii="Cambria Math" w:hAnsi="Cambria Math"/>
                <w:lang w:val="id-ID" w:eastAsia="en-GB"/>
              </w:rPr>
              <m:t>S,t</m:t>
            </m:r>
          </m:e>
        </m:d>
      </m:oMath>
      <w:r w:rsidR="009B1E03">
        <w:rPr>
          <w:rFonts w:ascii="Baskerville Old Face" w:hAnsi="Baskerville Old Face"/>
          <w:lang w:val="id-ID" w:eastAsia="en-GB"/>
        </w:rPr>
        <w:t xml:space="preserve"> </w:t>
      </w:r>
      <w:r w:rsidRPr="009A4988">
        <w:rPr>
          <w:rFonts w:ascii="Baskerville Old Face" w:hAnsi="Baskerville Old Face"/>
          <w:lang w:eastAsia="en-GB"/>
        </w:rPr>
        <w:t>Which allows the problem to be solved backward in time in a stable numerical framework (Company et al., 2009; Al-Zoubi, 2022).</w:t>
      </w:r>
      <m:oMath>
        <m:r>
          <w:rPr>
            <w:rFonts w:ascii="Cambria Math" w:hAnsi="Cambria Math"/>
            <w:lang w:val="id-ID" w:eastAsia="en-GB"/>
          </w:rPr>
          <m:t xml:space="preserve">. </m:t>
        </m:r>
      </m:oMath>
    </w:p>
    <w:p w14:paraId="1E1E6B37" w14:textId="028B546C" w:rsidR="006F4C94" w:rsidRPr="00847ACA" w:rsidRDefault="00000000" w:rsidP="00847ACA">
      <w:pPr>
        <w:spacing w:after="240"/>
        <w:ind w:firstLine="426"/>
        <w:jc w:val="both"/>
        <w:rPr>
          <w:rFonts w:ascii="Baskerville Old Face" w:hAnsi="Baskerville Old Face"/>
          <w:lang w:eastAsia="en-GB"/>
        </w:rPr>
      </w:pPr>
      <m:oMathPara>
        <m:oMath>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τ</m:t>
              </m:r>
            </m:sub>
          </m:sSub>
          <m:r>
            <w:rPr>
              <w:rFonts w:ascii="Cambria Math" w:hAnsi="Cambria Math"/>
              <w:lang w:val="id-ID" w:eastAsia="en-GB"/>
            </w:rPr>
            <m:t>=</m:t>
          </m:r>
          <m:f>
            <m:fPr>
              <m:ctrlPr>
                <w:rPr>
                  <w:rFonts w:ascii="Cambria Math" w:hAnsi="Cambria Math"/>
                  <w:i/>
                  <w:lang w:val="id-ID" w:eastAsia="en-GB"/>
                </w:rPr>
              </m:ctrlPr>
            </m:fPr>
            <m:num>
              <m:sSup>
                <m:sSupPr>
                  <m:ctrlPr>
                    <w:rPr>
                      <w:rFonts w:ascii="Cambria Math" w:hAnsi="Cambria Math"/>
                      <w:i/>
                      <w:lang w:val="id-ID" w:eastAsia="en-GB"/>
                    </w:rPr>
                  </m:ctrlPr>
                </m:sSupPr>
                <m:e>
                  <m:r>
                    <w:rPr>
                      <w:rFonts w:ascii="Cambria Math" w:hAnsi="Cambria Math"/>
                      <w:lang w:val="id-ID" w:eastAsia="en-GB"/>
                    </w:rPr>
                    <m:t>S</m:t>
                  </m:r>
                </m:e>
                <m:sup>
                  <m:r>
                    <w:rPr>
                      <w:rFonts w:ascii="Cambria Math" w:hAnsi="Cambria Math"/>
                      <w:lang w:val="id-ID" w:eastAsia="en-GB"/>
                    </w:rPr>
                    <m:t>2</m:t>
                  </m:r>
                </m:sup>
              </m:sSup>
            </m:num>
            <m:den>
              <m:r>
                <w:rPr>
                  <w:rFonts w:ascii="Cambria Math" w:hAnsi="Cambria Math"/>
                  <w:lang w:val="id-ID" w:eastAsia="en-GB"/>
                </w:rPr>
                <m:t>2</m:t>
              </m:r>
            </m:den>
          </m:f>
          <m:sSup>
            <m:sSupPr>
              <m:ctrlPr>
                <w:rPr>
                  <w:rFonts w:ascii="Cambria Math" w:hAnsi="Cambria Math"/>
                  <w:i/>
                  <w:lang w:eastAsia="en-GB"/>
                </w:rPr>
              </m:ctrlPr>
            </m:sSupPr>
            <m:e>
              <m:r>
                <w:rPr>
                  <w:rFonts w:ascii="Cambria Math" w:hAnsi="Cambria Math"/>
                  <w:lang w:eastAsia="en-GB"/>
                </w:rPr>
                <m:t>σ</m:t>
              </m:r>
            </m:e>
            <m:sup>
              <m:r>
                <w:rPr>
                  <w:rFonts w:ascii="Cambria Math" w:hAnsi="Cambria Math"/>
                  <w:lang w:eastAsia="en-GB"/>
                </w:rPr>
                <m:t>2</m:t>
              </m:r>
            </m:sup>
          </m:sSup>
          <m:sSub>
            <m:sSubPr>
              <m:ctrlPr>
                <w:rPr>
                  <w:rFonts w:ascii="Cambria Math" w:hAnsi="Cambria Math"/>
                  <w:i/>
                  <w:lang w:eastAsia="en-GB"/>
                </w:rPr>
              </m:ctrlPr>
            </m:sSubPr>
            <m:e>
              <m:r>
                <w:rPr>
                  <w:rFonts w:ascii="Cambria Math" w:hAnsi="Cambria Math"/>
                  <w:lang w:eastAsia="en-GB"/>
                </w:rPr>
                <m:t>U</m:t>
              </m:r>
            </m:e>
            <m:sub>
              <m:r>
                <w:rPr>
                  <w:rFonts w:ascii="Cambria Math" w:hAnsi="Cambria Math"/>
                  <w:lang w:eastAsia="en-GB"/>
                </w:rPr>
                <m:t>SS</m:t>
              </m:r>
            </m:sub>
          </m:sSub>
          <m:r>
            <w:rPr>
              <w:rFonts w:ascii="Cambria Math" w:hAnsi="Cambria Math"/>
              <w:lang w:eastAsia="en-GB"/>
            </w:rPr>
            <m:t>+r</m:t>
          </m:r>
          <m:sSub>
            <m:sSubPr>
              <m:ctrlPr>
                <w:rPr>
                  <w:rFonts w:ascii="Cambria Math" w:hAnsi="Cambria Math"/>
                  <w:i/>
                  <w:lang w:eastAsia="en-GB"/>
                </w:rPr>
              </m:ctrlPr>
            </m:sSubPr>
            <m:e>
              <m:r>
                <w:rPr>
                  <w:rFonts w:ascii="Cambria Math" w:hAnsi="Cambria Math"/>
                  <w:lang w:eastAsia="en-GB"/>
                </w:rPr>
                <m:t>SU</m:t>
              </m:r>
            </m:e>
            <m:sub>
              <m:r>
                <w:rPr>
                  <w:rFonts w:ascii="Cambria Math" w:hAnsi="Cambria Math"/>
                  <w:lang w:eastAsia="en-GB"/>
                </w:rPr>
                <m:t>S</m:t>
              </m:r>
            </m:sub>
          </m:sSub>
          <m:r>
            <w:rPr>
              <w:rFonts w:ascii="Cambria Math" w:hAnsi="Cambria Math"/>
              <w:lang w:eastAsia="en-GB"/>
            </w:rPr>
            <m:t>-rU</m:t>
          </m:r>
        </m:oMath>
      </m:oMathPara>
    </w:p>
    <w:p w14:paraId="1003CE5D" w14:textId="59A2B080" w:rsidR="006F4C94" w:rsidRDefault="002E54F1" w:rsidP="00847ACA">
      <w:pPr>
        <w:jc w:val="both"/>
        <w:rPr>
          <w:rFonts w:ascii="Baskerville Old Face" w:hAnsi="Baskerville Old Face"/>
          <w:lang w:eastAsia="en-GB"/>
        </w:rPr>
      </w:pPr>
      <w:r w:rsidRPr="009A4988">
        <w:rPr>
          <w:rFonts w:ascii="Baskerville Old Face" w:hAnsi="Baskerville Old Face"/>
          <w:lang w:eastAsia="en-GB"/>
        </w:rPr>
        <w:t xml:space="preserve">For domain and </w:t>
      </w:r>
      <m:oMath>
        <m:r>
          <w:rPr>
            <w:rFonts w:ascii="Cambria Math" w:hAnsi="Cambria Math"/>
            <w:lang w:eastAsia="en-GB"/>
          </w:rPr>
          <m:t>S&gt;0</m:t>
        </m:r>
      </m:oMath>
      <w:r w:rsidR="009B1E03">
        <w:rPr>
          <w:rFonts w:ascii="Baskerville Old Face" w:hAnsi="Baskerville Old Face"/>
          <w:lang w:eastAsia="en-GB"/>
        </w:rPr>
        <w:t xml:space="preserve"> and </w:t>
      </w:r>
      <m:oMath>
        <m:r>
          <w:rPr>
            <w:rFonts w:ascii="Cambria Math" w:hAnsi="Cambria Math"/>
            <w:lang w:eastAsia="en-GB"/>
          </w:rPr>
          <m:t>0&lt;τ≤T</m:t>
        </m:r>
      </m:oMath>
    </w:p>
    <w:p w14:paraId="34D781D3" w14:textId="77777777" w:rsidR="00847ACA" w:rsidRDefault="00847ACA" w:rsidP="00847ACA">
      <w:pPr>
        <w:jc w:val="both"/>
        <w:rPr>
          <w:lang w:eastAsia="en-GB"/>
        </w:rPr>
      </w:pPr>
    </w:p>
    <w:p w14:paraId="78DDDABD" w14:textId="4B54C2ED" w:rsidR="007B4E62" w:rsidRPr="00C074EC" w:rsidRDefault="007B4E62" w:rsidP="00847ACA">
      <w:pPr>
        <w:pStyle w:val="Heading1"/>
        <w:spacing w:line="276" w:lineRule="auto"/>
        <w:jc w:val="both"/>
        <w:rPr>
          <w:rFonts w:ascii="Baskerville Old Face" w:hAnsi="Baskerville Old Face"/>
        </w:rPr>
      </w:pPr>
      <w:r w:rsidRPr="00C074EC">
        <w:rPr>
          <w:rFonts w:ascii="Baskerville Old Face" w:hAnsi="Baskerville Old Face"/>
        </w:rPr>
        <w:t>2.3.4 Initial and Boundary Conditions</w:t>
      </w:r>
    </w:p>
    <w:p w14:paraId="721D6AC9" w14:textId="6E9EEB0D" w:rsidR="007B4E62" w:rsidRPr="009A4988" w:rsidRDefault="002E54F1" w:rsidP="00847ACA">
      <w:pPr>
        <w:spacing w:line="276" w:lineRule="auto"/>
        <w:rPr>
          <w:rFonts w:ascii="Baskerville Old Face" w:hAnsi="Baskerville Old Face"/>
          <w:lang w:val="id-ID" w:eastAsia="en-GB"/>
        </w:rPr>
      </w:pPr>
      <w:r w:rsidRPr="009A4988">
        <w:rPr>
          <w:rFonts w:ascii="Baskerville Old Face" w:hAnsi="Baskerville Old Face"/>
          <w:lang w:eastAsia="en-GB"/>
        </w:rPr>
        <w:t>Initial Conditions (Payoff Option)</w:t>
      </w:r>
    </w:p>
    <w:p w14:paraId="5C4F1559" w14:textId="77777777" w:rsidR="00847ACA" w:rsidRDefault="00F3444A" w:rsidP="00847ACA">
      <w:pPr>
        <w:spacing w:after="240"/>
        <w:ind w:firstLine="426"/>
        <w:jc w:val="both"/>
        <w:rPr>
          <w:rFonts w:ascii="Baskerville Old Face" w:hAnsi="Baskerville Old Face"/>
          <w:lang w:eastAsia="en-GB"/>
        </w:rPr>
      </w:pPr>
      <w:r w:rsidRPr="00A76B1C">
        <w:rPr>
          <w:rFonts w:ascii="Baskerville Old Face" w:hAnsi="Baskerville Old Face"/>
          <w:lang w:eastAsia="en-GB"/>
        </w:rPr>
        <w:t xml:space="preserve">Since the instrument used by the analysis is a European call option, the value of the option at maturity is determined only by the difference between the share price and the strike price that is capable of being in line with the standard payoff definition for European options within the framework of the Black-Scholes model </w:t>
      </w:r>
      <w:r w:rsidR="00DC4D0D" w:rsidRPr="00A76B1C">
        <w:rPr>
          <w:rFonts w:ascii="Baskerville Old Face" w:hAnsi="Baskerville Old Face"/>
          <w:lang w:eastAsia="en-GB"/>
        </w:rPr>
        <w:t>(Black and Scholes, 1973).</w:t>
      </w:r>
    </w:p>
    <w:p w14:paraId="4446F563" w14:textId="65612ED9" w:rsidR="007B4E62" w:rsidRPr="00847ACA" w:rsidRDefault="007B4E62" w:rsidP="00847ACA">
      <w:pPr>
        <w:spacing w:after="240"/>
        <w:ind w:firstLine="426"/>
        <w:jc w:val="both"/>
        <w:rPr>
          <w:rFonts w:ascii="Baskerville Old Face" w:hAnsi="Baskerville Old Face"/>
          <w:lang w:eastAsia="en-GB"/>
        </w:rPr>
      </w:pPr>
      <m:oMathPara>
        <m:oMath>
          <m:r>
            <w:rPr>
              <w:rFonts w:ascii="Cambria Math" w:hAnsi="Cambria Math"/>
              <w:lang w:val="id-ID" w:eastAsia="en-GB"/>
            </w:rPr>
            <m:t>V</m:t>
          </m:r>
          <m:d>
            <m:dPr>
              <m:ctrlPr>
                <w:rPr>
                  <w:rFonts w:ascii="Cambria Math" w:hAnsi="Cambria Math"/>
                  <w:i/>
                  <w:lang w:val="id-ID" w:eastAsia="en-GB"/>
                </w:rPr>
              </m:ctrlPr>
            </m:dPr>
            <m:e>
              <m:r>
                <w:rPr>
                  <w:rFonts w:ascii="Cambria Math" w:hAnsi="Cambria Math"/>
                  <w:lang w:val="id-ID" w:eastAsia="en-GB"/>
                </w:rPr>
                <m:t>S,T</m:t>
              </m:r>
            </m:e>
          </m:d>
          <m:r>
            <w:rPr>
              <w:rFonts w:ascii="Cambria Math" w:hAnsi="Cambria Math"/>
              <w:lang w:val="id-ID" w:eastAsia="en-GB"/>
            </w:rPr>
            <m:t>=</m:t>
          </m:r>
          <m:func>
            <m:funcPr>
              <m:ctrlPr>
                <w:rPr>
                  <w:rFonts w:ascii="Cambria Math" w:hAnsi="Cambria Math"/>
                  <w:lang w:val="id-ID" w:eastAsia="en-GB"/>
                </w:rPr>
              </m:ctrlPr>
            </m:funcPr>
            <m:fName>
              <m:r>
                <m:rPr>
                  <m:sty m:val="p"/>
                </m:rPr>
                <w:rPr>
                  <w:rFonts w:ascii="Cambria Math" w:hAnsi="Cambria Math"/>
                  <w:lang w:val="id-ID" w:eastAsia="en-GB"/>
                </w:rPr>
                <m:t>max</m:t>
              </m:r>
              <m:ctrlPr>
                <w:rPr>
                  <w:rFonts w:ascii="Cambria Math" w:hAnsi="Cambria Math"/>
                  <w:i/>
                  <w:lang w:val="id-ID" w:eastAsia="en-GB"/>
                </w:rPr>
              </m:ctrlPr>
            </m:fName>
            <m:e>
              <m:d>
                <m:dPr>
                  <m:ctrlPr>
                    <w:rPr>
                      <w:rFonts w:ascii="Cambria Math" w:hAnsi="Cambria Math"/>
                      <w:i/>
                      <w:lang w:val="id-ID" w:eastAsia="en-GB"/>
                    </w:rPr>
                  </m:ctrlPr>
                </m:dPr>
                <m:e>
                  <m:r>
                    <w:rPr>
                      <w:rFonts w:ascii="Cambria Math" w:hAnsi="Cambria Math"/>
                      <w:lang w:val="id-ID" w:eastAsia="en-GB"/>
                    </w:rPr>
                    <m:t>S-E,0</m:t>
                  </m:r>
                </m:e>
              </m:d>
            </m:e>
          </m:func>
        </m:oMath>
      </m:oMathPara>
    </w:p>
    <w:p w14:paraId="29A43102" w14:textId="77777777" w:rsidR="00847ACA" w:rsidRDefault="00F3444A" w:rsidP="00847ACA">
      <w:pPr>
        <w:spacing w:after="240"/>
        <w:ind w:firstLine="426"/>
        <w:jc w:val="both"/>
        <w:rPr>
          <w:rFonts w:ascii="Baskerville Old Face" w:hAnsi="Baskerville Old Face"/>
          <w:lang w:eastAsia="en-GB"/>
        </w:rPr>
      </w:pPr>
      <w:r w:rsidRPr="00A76B1C">
        <w:rPr>
          <w:rFonts w:ascii="Baskerville Old Face" w:hAnsi="Baskerville Old Face"/>
          <w:lang w:eastAsia="en-GB"/>
        </w:rPr>
        <w:t>This condition is used as a starting point in numerical simulation because the calculation of the solution can be done backwards from the due date to the initial time.</w:t>
      </w:r>
    </w:p>
    <w:p w14:paraId="56C4DFA2" w14:textId="07CEF546" w:rsidR="00A073BD" w:rsidRPr="00847ACA" w:rsidRDefault="00A073BD" w:rsidP="00847ACA">
      <w:pPr>
        <w:jc w:val="both"/>
        <w:rPr>
          <w:rFonts w:ascii="Baskerville Old Face" w:hAnsi="Baskerville Old Face"/>
          <w:lang w:eastAsia="en-GB"/>
        </w:rPr>
      </w:pPr>
      <w:r w:rsidRPr="00A76B1C">
        <w:rPr>
          <w:rFonts w:ascii="Baskerville Old Face" w:hAnsi="Baskerville Old Face"/>
          <w:lang w:eastAsia="en-GB"/>
        </w:rPr>
        <w:t>Stock Price Limit Conditions</w:t>
      </w:r>
    </w:p>
    <w:p w14:paraId="0DB09360" w14:textId="77777777" w:rsidR="00847ACA" w:rsidRDefault="00F3444A" w:rsidP="00847ACA">
      <w:pPr>
        <w:spacing w:after="240"/>
        <w:ind w:firstLine="426"/>
        <w:jc w:val="both"/>
        <w:rPr>
          <w:rFonts w:ascii="Baskerville Old Face" w:hAnsi="Baskerville Old Face"/>
          <w:lang w:eastAsia="en-GB"/>
        </w:rPr>
      </w:pPr>
      <w:r w:rsidRPr="00A76B1C">
        <w:rPr>
          <w:rFonts w:ascii="Baskerville Old Face" w:hAnsi="Baskerville Old Face"/>
          <w:lang w:eastAsia="en-GB"/>
        </w:rPr>
        <w:t xml:space="preserve">In order for the numerical solution to remain realistic, the limit condition is applied on the stock price side where the value of the option will be close to zero when the stock price is close to zero and will converge to its intrinsic value when the stock price increases sufficiently high in accordance with general practice in research regarding the determination of option prices numerically </w:t>
      </w:r>
      <w:r w:rsidR="00DC4D0D" w:rsidRPr="00A76B1C">
        <w:rPr>
          <w:rFonts w:ascii="Baskerville Old Face" w:hAnsi="Baskerville Old Face"/>
          <w:lang w:eastAsia="en-GB"/>
        </w:rPr>
        <w:t>(Zhang and Wang, 2021; Gonzalez-Pinto et al., 2021).</w:t>
      </w:r>
    </w:p>
    <w:p w14:paraId="35C9A71D" w14:textId="45A95F0F" w:rsidR="00A073BD" w:rsidRPr="00847ACA" w:rsidRDefault="007B4E62" w:rsidP="00847ACA">
      <w:pPr>
        <w:spacing w:after="240"/>
        <w:ind w:firstLine="426"/>
        <w:jc w:val="both"/>
        <w:rPr>
          <w:rFonts w:ascii="Baskerville Old Face" w:hAnsi="Baskerville Old Face"/>
          <w:lang w:eastAsia="en-GB"/>
        </w:rPr>
      </w:pPr>
      <m:oMathPara>
        <m:oMath>
          <m:r>
            <w:rPr>
              <w:rFonts w:ascii="Cambria Math" w:hAnsi="Cambria Math"/>
              <w:lang w:val="id-ID" w:eastAsia="en-GB"/>
            </w:rPr>
            <m:t>V</m:t>
          </m:r>
          <m:d>
            <m:dPr>
              <m:ctrlPr>
                <w:rPr>
                  <w:rFonts w:ascii="Cambria Math" w:hAnsi="Cambria Math"/>
                  <w:i/>
                  <w:lang w:val="id-ID" w:eastAsia="en-GB"/>
                </w:rPr>
              </m:ctrlPr>
            </m:dPr>
            <m:e>
              <m:r>
                <w:rPr>
                  <w:rFonts w:ascii="Cambria Math" w:hAnsi="Cambria Math"/>
                  <w:lang w:val="id-ID" w:eastAsia="en-GB"/>
                </w:rPr>
                <m:t>0,t</m:t>
              </m:r>
            </m:e>
          </m:d>
          <m:r>
            <w:rPr>
              <w:rFonts w:ascii="Cambria Math" w:hAnsi="Cambria Math"/>
              <w:lang w:val="id-ID" w:eastAsia="en-GB"/>
            </w:rPr>
            <m:t xml:space="preserve">=0, </m:t>
          </m:r>
          <m:func>
            <m:funcPr>
              <m:ctrlPr>
                <w:rPr>
                  <w:rFonts w:ascii="Cambria Math" w:hAnsi="Cambria Math"/>
                  <w:i/>
                  <w:lang w:val="id-ID" w:eastAsia="en-GB"/>
                </w:rPr>
              </m:ctrlPr>
            </m:funcPr>
            <m:fName>
              <m:limLow>
                <m:limLowPr>
                  <m:ctrlPr>
                    <w:rPr>
                      <w:rFonts w:ascii="Cambria Math" w:hAnsi="Cambria Math"/>
                      <w:i/>
                      <w:lang w:val="id-ID" w:eastAsia="en-GB"/>
                    </w:rPr>
                  </m:ctrlPr>
                </m:limLowPr>
                <m:e>
                  <m:r>
                    <m:rPr>
                      <m:sty m:val="p"/>
                    </m:rPr>
                    <w:rPr>
                      <w:rFonts w:ascii="Cambria Math" w:hAnsi="Cambria Math"/>
                      <w:lang w:val="id-ID" w:eastAsia="en-GB"/>
                    </w:rPr>
                    <m:t>lim</m:t>
                  </m:r>
                </m:e>
                <m:lim>
                  <m:r>
                    <w:rPr>
                      <w:rFonts w:ascii="Cambria Math" w:hAnsi="Cambria Math"/>
                      <w:lang w:val="id-ID" w:eastAsia="en-GB"/>
                    </w:rPr>
                    <m:t>s→∞</m:t>
                  </m:r>
                </m:lim>
              </m:limLow>
            </m:fName>
            <m:e>
              <m:f>
                <m:fPr>
                  <m:ctrlPr>
                    <w:rPr>
                      <w:rFonts w:ascii="Cambria Math" w:hAnsi="Cambria Math"/>
                      <w:i/>
                      <w:lang w:val="id-ID" w:eastAsia="en-GB"/>
                    </w:rPr>
                  </m:ctrlPr>
                </m:fPr>
                <m:num>
                  <m:r>
                    <w:rPr>
                      <w:rFonts w:ascii="Cambria Math" w:hAnsi="Cambria Math"/>
                      <w:lang w:val="id-ID" w:eastAsia="en-GB"/>
                    </w:rPr>
                    <m:t>V</m:t>
                  </m:r>
                  <m:d>
                    <m:dPr>
                      <m:ctrlPr>
                        <w:rPr>
                          <w:rFonts w:ascii="Cambria Math" w:hAnsi="Cambria Math"/>
                          <w:i/>
                          <w:lang w:val="id-ID" w:eastAsia="en-GB"/>
                        </w:rPr>
                      </m:ctrlPr>
                    </m:dPr>
                    <m:e>
                      <m:r>
                        <w:rPr>
                          <w:rFonts w:ascii="Cambria Math" w:hAnsi="Cambria Math"/>
                          <w:lang w:val="id-ID" w:eastAsia="en-GB"/>
                        </w:rPr>
                        <m:t>S,t</m:t>
                      </m:r>
                    </m:e>
                  </m:d>
                </m:num>
                <m:den>
                  <m:r>
                    <w:rPr>
                      <w:rFonts w:ascii="Cambria Math" w:hAnsi="Cambria Math"/>
                      <w:lang w:val="id-ID" w:eastAsia="en-GB"/>
                    </w:rPr>
                    <m:t>S-E</m:t>
                  </m:r>
                  <m:sSup>
                    <m:sSupPr>
                      <m:ctrlPr>
                        <w:rPr>
                          <w:rFonts w:ascii="Cambria Math" w:hAnsi="Cambria Math"/>
                          <w:i/>
                          <w:lang w:val="id-ID" w:eastAsia="en-GB"/>
                        </w:rPr>
                      </m:ctrlPr>
                    </m:sSupPr>
                    <m:e>
                      <m:r>
                        <w:rPr>
                          <w:rFonts w:ascii="Cambria Math" w:hAnsi="Cambria Math"/>
                          <w:lang w:val="id-ID" w:eastAsia="en-GB"/>
                        </w:rPr>
                        <m:t>e</m:t>
                      </m:r>
                    </m:e>
                    <m:sup>
                      <m:r>
                        <w:rPr>
                          <w:rFonts w:ascii="Cambria Math" w:hAnsi="Cambria Math"/>
                          <w:lang w:val="id-ID" w:eastAsia="en-GB"/>
                        </w:rPr>
                        <m:t>-r</m:t>
                      </m:r>
                      <m:d>
                        <m:dPr>
                          <m:ctrlPr>
                            <w:rPr>
                              <w:rFonts w:ascii="Cambria Math" w:hAnsi="Cambria Math"/>
                              <w:i/>
                              <w:lang w:val="id-ID" w:eastAsia="en-GB"/>
                            </w:rPr>
                          </m:ctrlPr>
                        </m:dPr>
                        <m:e>
                          <m:r>
                            <w:rPr>
                              <w:rFonts w:ascii="Cambria Math" w:hAnsi="Cambria Math"/>
                              <w:lang w:val="id-ID" w:eastAsia="en-GB"/>
                            </w:rPr>
                            <m:t>T-t</m:t>
                          </m:r>
                        </m:e>
                      </m:d>
                    </m:sup>
                  </m:sSup>
                </m:den>
              </m:f>
              <m:r>
                <w:rPr>
                  <w:rFonts w:ascii="Cambria Math" w:hAnsi="Cambria Math"/>
                  <w:lang w:val="id-ID" w:eastAsia="en-GB"/>
                </w:rPr>
                <m:t>=1</m:t>
              </m:r>
            </m:e>
          </m:func>
        </m:oMath>
      </m:oMathPara>
    </w:p>
    <w:p w14:paraId="2E9AB89F" w14:textId="6CD3805F" w:rsidR="000762DE" w:rsidRPr="00A76B1C" w:rsidRDefault="000762DE" w:rsidP="00847ACA">
      <w:pPr>
        <w:spacing w:after="240"/>
        <w:ind w:firstLine="426"/>
        <w:jc w:val="both"/>
        <w:rPr>
          <w:rFonts w:ascii="Baskerville Old Face" w:hAnsi="Baskerville Old Face"/>
        </w:rPr>
      </w:pPr>
      <w:r w:rsidRPr="00A76B1C">
        <w:rPr>
          <w:rFonts w:ascii="Baskerville Old Face" w:hAnsi="Baskerville Old Face"/>
          <w:lang w:eastAsia="en-GB"/>
        </w:rPr>
        <w:t>The</w:t>
      </w:r>
      <w:r w:rsidRPr="00A76B1C">
        <w:rPr>
          <w:rFonts w:ascii="Baskerville Old Face" w:hAnsi="Baskerville Old Face"/>
        </w:rPr>
        <w:t xml:space="preserve"> right boundary condition is designed to be a representation of the asymptotic behavior of the option price. When the stock price is close to zero, the value of the option will have a tendency to be zero, while when the stock price increases to high enough, the value of the option will be close to its intrinsic value. The application of these conditions aims to ensure that the resulting numerical solutions remain in harmony with economically and financially reasonable behavior.</w:t>
      </w:r>
    </w:p>
    <w:p w14:paraId="7E7052B6" w14:textId="4A1B55DD" w:rsidR="007B4E62" w:rsidRPr="00C074EC" w:rsidRDefault="00A073BD" w:rsidP="00847ACA">
      <w:pPr>
        <w:pStyle w:val="ListParagraph"/>
        <w:numPr>
          <w:ilvl w:val="1"/>
          <w:numId w:val="15"/>
        </w:numPr>
        <w:tabs>
          <w:tab w:val="left" w:pos="426"/>
        </w:tabs>
        <w:spacing w:after="0" w:line="240" w:lineRule="auto"/>
        <w:ind w:hanging="786"/>
        <w:jc w:val="both"/>
        <w:rPr>
          <w:rFonts w:ascii="Baskerville Old Face" w:hAnsi="Baskerville Old Face"/>
          <w:b/>
          <w:bCs/>
          <w:sz w:val="20"/>
          <w:szCs w:val="20"/>
        </w:rPr>
      </w:pPr>
      <w:r w:rsidRPr="00C074EC">
        <w:rPr>
          <w:rFonts w:ascii="Baskerville Old Face" w:hAnsi="Baskerville Old Face"/>
          <w:b/>
          <w:bCs/>
          <w:sz w:val="20"/>
          <w:szCs w:val="20"/>
        </w:rPr>
        <w:t>Numerical Method</w:t>
      </w:r>
    </w:p>
    <w:p w14:paraId="2A49D225" w14:textId="159A842A" w:rsidR="007B4E62" w:rsidRPr="00847ACA" w:rsidRDefault="007B4E62" w:rsidP="00847ACA">
      <w:pPr>
        <w:pStyle w:val="Heading1"/>
        <w:spacing w:line="276" w:lineRule="auto"/>
        <w:jc w:val="left"/>
        <w:rPr>
          <w:rFonts w:ascii="Baskerville Old Face" w:hAnsi="Baskerville Old Face"/>
          <w:sz w:val="22"/>
          <w:szCs w:val="22"/>
        </w:rPr>
      </w:pPr>
      <w:r w:rsidRPr="00C074EC">
        <w:rPr>
          <w:rFonts w:ascii="Baskerville Old Face" w:hAnsi="Baskerville Old Face"/>
          <w:lang w:eastAsia="en-GB"/>
        </w:rPr>
        <w:t>2.4.1</w:t>
      </w:r>
      <w:r w:rsidR="00847ACA" w:rsidRPr="00C074EC">
        <w:rPr>
          <w:rFonts w:ascii="Baskerville Old Face" w:hAnsi="Baskerville Old Face"/>
          <w:lang w:eastAsia="en-GB"/>
        </w:rPr>
        <w:t xml:space="preserve"> </w:t>
      </w:r>
      <w:r w:rsidRPr="00C074EC">
        <w:rPr>
          <w:rFonts w:ascii="Baskerville Old Face" w:hAnsi="Baskerville Old Face"/>
          <w:lang w:eastAsia="en-GB"/>
        </w:rPr>
        <w:t>Finite Difference Spatial Discretization</w:t>
      </w:r>
    </w:p>
    <w:p w14:paraId="08C46F67" w14:textId="1C28684C" w:rsidR="00A073BD" w:rsidRPr="00A76B1C" w:rsidRDefault="000762DE" w:rsidP="00847ACA">
      <w:pPr>
        <w:ind w:firstLine="426"/>
        <w:jc w:val="both"/>
        <w:rPr>
          <w:rFonts w:ascii="Baskerville Old Face" w:hAnsi="Baskerville Old Face"/>
          <w:lang w:eastAsia="en-GB"/>
        </w:rPr>
      </w:pPr>
      <w:r w:rsidRPr="00A76B1C">
        <w:rPr>
          <w:rFonts w:ascii="Baskerville Old Face" w:hAnsi="Baskerville Old Face"/>
          <w:lang w:eastAsia="en-GB"/>
        </w:rPr>
        <w:t xml:space="preserve">The discrete process of the regulatory equation is carried out by being able to approach partial derivatives through the development of the Taylor series (Company et al., 2009; Nuwairan and Alqarni, 2022). This approach known as the Till Difference Method provides the conversion of a continuous domain into a set of discrete </w:t>
      </w:r>
      <w:proofErr w:type="spellStart"/>
      <w:r w:rsidRPr="00A76B1C">
        <w:rPr>
          <w:rFonts w:ascii="Baskerville Old Face" w:hAnsi="Baskerville Old Face"/>
          <w:lang w:eastAsia="en-GB"/>
        </w:rPr>
        <w:t>sidepoints</w:t>
      </w:r>
      <w:proofErr w:type="spellEnd"/>
      <w:r w:rsidRPr="00A76B1C">
        <w:rPr>
          <w:rFonts w:ascii="Baskerville Old Face" w:hAnsi="Baskerville Old Face"/>
          <w:lang w:eastAsia="en-GB"/>
        </w:rPr>
        <w:t xml:space="preserve"> so that partial differential equations can be represented in algebraic form and subsequently used for numerical calculation purposes (Nuwairan and Alqarni, 2022).</w:t>
      </w:r>
    </w:p>
    <w:p w14:paraId="2F91634E" w14:textId="24598B7B" w:rsidR="00847ACA" w:rsidRDefault="0051240B" w:rsidP="00847ACA">
      <w:pPr>
        <w:ind w:firstLine="426"/>
        <w:jc w:val="both"/>
        <w:rPr>
          <w:rFonts w:ascii="Baskerville Old Face" w:hAnsi="Baskerville Old Face"/>
          <w:lang w:val="en-ID" w:eastAsia="en-GB"/>
        </w:rPr>
      </w:pPr>
      <w:r w:rsidRPr="009A4988">
        <w:rPr>
          <w:rFonts w:ascii="Baskerville Old Face" w:hAnsi="Baskerville Old Face"/>
          <w:lang w:eastAsia="en-GB"/>
        </w:rPr>
        <w:lastRenderedPageBreak/>
        <w:t>Let</w:t>
      </w:r>
      <w:r w:rsidR="009B1E03">
        <w:rPr>
          <w:rFonts w:ascii="Baskerville Old Face" w:hAnsi="Baskerville Old Face"/>
          <w:lang w:eastAsia="en-GB"/>
        </w:rPr>
        <w:t xml:space="preserve"> </w:t>
      </w:r>
      <m:oMath>
        <m:r>
          <w:rPr>
            <w:rFonts w:ascii="Cambria Math" w:hAnsi="Cambria Math"/>
            <w:lang w:val="en-ID" w:eastAsia="en-GB"/>
          </w:rPr>
          <m:t>h=∆</m:t>
        </m:r>
        <m:r>
          <w:rPr>
            <w:rFonts w:ascii="Cambria Math" w:hAnsi="Cambria Math"/>
            <w:lang w:val="nb-NO" w:eastAsia="en-GB"/>
          </w:rPr>
          <m:t>S</m:t>
        </m:r>
      </m:oMath>
      <w:r w:rsidRPr="009A4988">
        <w:rPr>
          <w:rFonts w:ascii="Baskerville Old Face" w:hAnsi="Baskerville Old Face"/>
          <w:lang w:eastAsia="en-GB"/>
        </w:rPr>
        <w:t xml:space="preserve"> denote the grid spacing between adjacent points. The Taylor series expansion of the function </w:t>
      </w:r>
      <m:oMath>
        <m:r>
          <w:rPr>
            <w:rFonts w:ascii="Cambria Math" w:hAnsi="Cambria Math"/>
            <w:lang w:val="nb-NO" w:eastAsia="en-GB"/>
          </w:rPr>
          <m:t>U</m:t>
        </m:r>
      </m:oMath>
      <w:r w:rsidR="009B1E03" w:rsidRPr="009A4988">
        <w:rPr>
          <w:rFonts w:ascii="Baskerville Old Face" w:hAnsi="Baskerville Old Face"/>
          <w:lang w:eastAsia="en-GB"/>
        </w:rPr>
        <w:t xml:space="preserve"> </w:t>
      </w:r>
      <w:r w:rsidRPr="009A4988">
        <w:rPr>
          <w:rFonts w:ascii="Baskerville Old Face" w:hAnsi="Baskerville Old Face"/>
          <w:lang w:eastAsia="en-GB"/>
        </w:rPr>
        <w:t xml:space="preserve">around the point </w:t>
      </w:r>
      <m:oMath>
        <m:sSub>
          <m:sSubPr>
            <m:ctrlPr>
              <w:rPr>
                <w:rFonts w:ascii="Cambria Math" w:hAnsi="Cambria Math"/>
                <w:i/>
                <w:lang w:val="nb-NO" w:eastAsia="en-GB"/>
              </w:rPr>
            </m:ctrlPr>
          </m:sSubPr>
          <m:e>
            <m:r>
              <w:rPr>
                <w:rFonts w:ascii="Cambria Math" w:hAnsi="Cambria Math"/>
                <w:lang w:val="nb-NO" w:eastAsia="en-GB"/>
              </w:rPr>
              <m:t>S</m:t>
            </m:r>
          </m:e>
          <m:sub>
            <m:r>
              <w:rPr>
                <w:rFonts w:ascii="Cambria Math" w:hAnsi="Cambria Math"/>
                <w:lang w:val="nb-NO" w:eastAsia="en-GB"/>
              </w:rPr>
              <m:t>i</m:t>
            </m:r>
            <m:r>
              <w:rPr>
                <w:rFonts w:ascii="Cambria Math" w:hAnsi="Cambria Math"/>
                <w:lang w:val="en-ID" w:eastAsia="en-GB"/>
              </w:rPr>
              <m:t xml:space="preserve"> </m:t>
            </m:r>
          </m:sub>
        </m:sSub>
      </m:oMath>
      <w:r w:rsidR="009B1E03" w:rsidRPr="009B1E03">
        <w:rPr>
          <w:rFonts w:ascii="Baskerville Old Face" w:hAnsi="Baskerville Old Face"/>
          <w:lang w:val="en-ID" w:eastAsia="en-GB"/>
        </w:rPr>
        <w:t xml:space="preserve"> </w:t>
      </w:r>
      <w:r w:rsidRPr="009A4988">
        <w:rPr>
          <w:rFonts w:ascii="Baskerville Old Face" w:hAnsi="Baskerville Old Face"/>
          <w:lang w:eastAsia="en-GB"/>
        </w:rPr>
        <w:t>can be expressed as:</w:t>
      </w:r>
    </w:p>
    <w:p w14:paraId="688C3A6D" w14:textId="77777777" w:rsidR="00847ACA" w:rsidRPr="00847ACA" w:rsidRDefault="007B4E62" w:rsidP="00847ACA">
      <w:pPr>
        <w:ind w:firstLine="426"/>
        <w:jc w:val="both"/>
        <w:rPr>
          <w:rFonts w:ascii="Baskerville Old Face" w:hAnsi="Baskerville Old Face"/>
          <w:lang w:val="en-ID" w:eastAsia="en-GB"/>
        </w:rPr>
      </w:pPr>
      <m:oMathPara>
        <m:oMath>
          <m:r>
            <w:rPr>
              <w:rFonts w:ascii="Cambria Math" w:hAnsi="Cambria Math"/>
              <w:lang w:val="nb-NO" w:eastAsia="en-GB"/>
            </w:rPr>
            <m:t>U</m:t>
          </m:r>
          <m:d>
            <m:dPr>
              <m:ctrlPr>
                <w:rPr>
                  <w:rFonts w:ascii="Cambria Math" w:hAnsi="Cambria Math"/>
                  <w:i/>
                  <w:lang w:val="nb-NO" w:eastAsia="en-GB"/>
                </w:rPr>
              </m:ctrlPr>
            </m:dPr>
            <m:e>
              <m:sSub>
                <m:sSubPr>
                  <m:ctrlPr>
                    <w:rPr>
                      <w:rFonts w:ascii="Cambria Math" w:hAnsi="Cambria Math"/>
                      <w:i/>
                      <w:lang w:val="nb-NO" w:eastAsia="en-GB"/>
                    </w:rPr>
                  </m:ctrlPr>
                </m:sSubPr>
                <m:e>
                  <m:r>
                    <w:rPr>
                      <w:rFonts w:ascii="Cambria Math" w:hAnsi="Cambria Math"/>
                      <w:lang w:val="nb-NO" w:eastAsia="en-GB"/>
                    </w:rPr>
                    <m:t>S</m:t>
                  </m:r>
                </m:e>
                <m:sub>
                  <m:r>
                    <w:rPr>
                      <w:rFonts w:ascii="Cambria Math" w:hAnsi="Cambria Math"/>
                      <w:lang w:val="nb-NO" w:eastAsia="en-GB"/>
                    </w:rPr>
                    <m:t xml:space="preserve">i+1 </m:t>
                  </m:r>
                </m:sub>
              </m:sSub>
            </m:e>
          </m:d>
          <m:r>
            <w:rPr>
              <w:rFonts w:ascii="Cambria Math" w:hAnsi="Cambria Math"/>
              <w:lang w:val="nb-NO" w:eastAsia="en-GB"/>
            </w:rPr>
            <m:t>=U(</m:t>
          </m:r>
          <m:sSub>
            <m:sSubPr>
              <m:ctrlPr>
                <w:rPr>
                  <w:rFonts w:ascii="Cambria Math" w:hAnsi="Cambria Math"/>
                  <w:i/>
                  <w:lang w:val="nb-NO" w:eastAsia="en-GB"/>
                </w:rPr>
              </m:ctrlPr>
            </m:sSubPr>
            <m:e>
              <m:r>
                <w:rPr>
                  <w:rFonts w:ascii="Cambria Math" w:hAnsi="Cambria Math"/>
                  <w:lang w:val="nb-NO" w:eastAsia="en-GB"/>
                </w:rPr>
                <m:t>S</m:t>
              </m:r>
            </m:e>
            <m:sub>
              <m:r>
                <w:rPr>
                  <w:rFonts w:ascii="Cambria Math" w:hAnsi="Cambria Math"/>
                  <w:lang w:val="nb-NO" w:eastAsia="en-GB"/>
                </w:rPr>
                <m:t>i</m:t>
              </m:r>
            </m:sub>
          </m:sSub>
          <m:r>
            <w:rPr>
              <w:rFonts w:ascii="Cambria Math" w:hAnsi="Cambria Math"/>
              <w:lang w:val="nb-NO" w:eastAsia="en-GB"/>
            </w:rPr>
            <m:t>)+h</m:t>
          </m:r>
          <m:f>
            <m:fPr>
              <m:ctrlPr>
                <w:rPr>
                  <w:rFonts w:ascii="Cambria Math" w:hAnsi="Cambria Math"/>
                  <w:i/>
                  <w:lang w:val="nb-NO" w:eastAsia="en-GB"/>
                </w:rPr>
              </m:ctrlPr>
            </m:fPr>
            <m:num>
              <m:r>
                <w:rPr>
                  <w:rFonts w:ascii="Cambria Math" w:hAnsi="Cambria Math"/>
                  <w:lang w:val="nb-NO" w:eastAsia="en-GB"/>
                </w:rPr>
                <m:t>∂U</m:t>
              </m:r>
            </m:num>
            <m:den>
              <m:r>
                <w:rPr>
                  <w:rFonts w:ascii="Cambria Math" w:hAnsi="Cambria Math"/>
                  <w:lang w:val="nb-NO" w:eastAsia="en-GB"/>
                </w:rPr>
                <m:t>∂S</m:t>
              </m:r>
            </m:den>
          </m:f>
          <m:r>
            <w:rPr>
              <w:rFonts w:ascii="Cambria Math" w:hAnsi="Cambria Math"/>
              <w:lang w:val="nb-NO" w:eastAsia="en-GB"/>
            </w:rPr>
            <m:t>+</m:t>
          </m:r>
          <m:f>
            <m:fPr>
              <m:ctrlPr>
                <w:rPr>
                  <w:rFonts w:ascii="Cambria Math" w:hAnsi="Cambria Math"/>
                  <w:i/>
                  <w:lang w:val="nb-NO" w:eastAsia="en-GB"/>
                </w:rPr>
              </m:ctrlPr>
            </m:fPr>
            <m:num>
              <m:sSup>
                <m:sSupPr>
                  <m:ctrlPr>
                    <w:rPr>
                      <w:rFonts w:ascii="Cambria Math" w:hAnsi="Cambria Math"/>
                      <w:i/>
                      <w:lang w:val="nb-NO" w:eastAsia="en-GB"/>
                    </w:rPr>
                  </m:ctrlPr>
                </m:sSupPr>
                <m:e>
                  <m:r>
                    <w:rPr>
                      <w:rFonts w:ascii="Cambria Math" w:hAnsi="Cambria Math"/>
                      <w:lang w:val="nb-NO" w:eastAsia="en-GB"/>
                    </w:rPr>
                    <m:t>h</m:t>
                  </m:r>
                </m:e>
                <m:sup>
                  <m:r>
                    <w:rPr>
                      <w:rFonts w:ascii="Cambria Math" w:hAnsi="Cambria Math"/>
                      <w:lang w:val="nb-NO" w:eastAsia="en-GB"/>
                    </w:rPr>
                    <m:t>2</m:t>
                  </m:r>
                </m:sup>
              </m:sSup>
            </m:num>
            <m:den>
              <m:r>
                <w:rPr>
                  <w:rFonts w:ascii="Cambria Math" w:hAnsi="Cambria Math"/>
                  <w:lang w:val="nb-NO" w:eastAsia="en-GB"/>
                </w:rPr>
                <m:t>2!</m:t>
              </m:r>
            </m:den>
          </m:f>
          <m:f>
            <m:fPr>
              <m:ctrlPr>
                <w:rPr>
                  <w:rFonts w:ascii="Cambria Math" w:hAnsi="Cambria Math"/>
                  <w:i/>
                  <w:lang w:val="nb-NO" w:eastAsia="en-GB"/>
                </w:rPr>
              </m:ctrlPr>
            </m:fPr>
            <m:num>
              <m:sSup>
                <m:sSupPr>
                  <m:ctrlPr>
                    <w:rPr>
                      <w:rFonts w:ascii="Cambria Math" w:hAnsi="Cambria Math"/>
                      <w:i/>
                      <w:lang w:val="nb-NO" w:eastAsia="en-GB"/>
                    </w:rPr>
                  </m:ctrlPr>
                </m:sSupPr>
                <m:e>
                  <m:r>
                    <w:rPr>
                      <w:rFonts w:ascii="Cambria Math" w:hAnsi="Cambria Math"/>
                      <w:lang w:val="nb-NO" w:eastAsia="en-GB"/>
                    </w:rPr>
                    <m:t>∂</m:t>
                  </m:r>
                </m:e>
                <m:sup>
                  <m:r>
                    <w:rPr>
                      <w:rFonts w:ascii="Cambria Math" w:hAnsi="Cambria Math"/>
                      <w:lang w:val="nb-NO" w:eastAsia="en-GB"/>
                    </w:rPr>
                    <m:t>2</m:t>
                  </m:r>
                </m:sup>
              </m:sSup>
              <m:r>
                <w:rPr>
                  <w:rFonts w:ascii="Cambria Math" w:hAnsi="Cambria Math"/>
                  <w:lang w:val="nb-NO" w:eastAsia="en-GB"/>
                </w:rPr>
                <m:t>U</m:t>
              </m:r>
            </m:num>
            <m:den>
              <m:r>
                <w:rPr>
                  <w:rFonts w:ascii="Cambria Math" w:hAnsi="Cambria Math"/>
                  <w:lang w:val="nb-NO" w:eastAsia="en-GB"/>
                </w:rPr>
                <m:t>∂</m:t>
              </m:r>
              <m:sSup>
                <m:sSupPr>
                  <m:ctrlPr>
                    <w:rPr>
                      <w:rFonts w:ascii="Cambria Math" w:hAnsi="Cambria Math"/>
                      <w:i/>
                      <w:lang w:val="nb-NO" w:eastAsia="en-GB"/>
                    </w:rPr>
                  </m:ctrlPr>
                </m:sSupPr>
                <m:e>
                  <m:r>
                    <w:rPr>
                      <w:rFonts w:ascii="Cambria Math" w:hAnsi="Cambria Math"/>
                      <w:lang w:val="nb-NO" w:eastAsia="en-GB"/>
                    </w:rPr>
                    <m:t>S</m:t>
                  </m:r>
                </m:e>
                <m:sup>
                  <m:r>
                    <w:rPr>
                      <w:rFonts w:ascii="Cambria Math" w:hAnsi="Cambria Math"/>
                      <w:lang w:val="nb-NO" w:eastAsia="en-GB"/>
                    </w:rPr>
                    <m:t>2</m:t>
                  </m:r>
                </m:sup>
              </m:sSup>
            </m:den>
          </m:f>
          <m:r>
            <w:rPr>
              <w:rFonts w:ascii="Cambria Math" w:hAnsi="Cambria Math"/>
              <w:lang w:val="nb-NO" w:eastAsia="en-GB"/>
            </w:rPr>
            <m:t>+O(</m:t>
          </m:r>
          <m:sSup>
            <m:sSupPr>
              <m:ctrlPr>
                <w:rPr>
                  <w:rFonts w:ascii="Cambria Math" w:hAnsi="Cambria Math"/>
                  <w:i/>
                  <w:lang w:val="nb-NO" w:eastAsia="en-GB"/>
                </w:rPr>
              </m:ctrlPr>
            </m:sSupPr>
            <m:e>
              <m:r>
                <w:rPr>
                  <w:rFonts w:ascii="Cambria Math" w:hAnsi="Cambria Math"/>
                  <w:lang w:val="nb-NO" w:eastAsia="en-GB"/>
                </w:rPr>
                <m:t>h</m:t>
              </m:r>
            </m:e>
            <m:sup>
              <m:r>
                <w:rPr>
                  <w:rFonts w:ascii="Cambria Math" w:hAnsi="Cambria Math"/>
                  <w:lang w:val="nb-NO" w:eastAsia="en-GB"/>
                </w:rPr>
                <m:t>3</m:t>
              </m:r>
            </m:sup>
          </m:sSup>
          <m:r>
            <w:rPr>
              <w:rFonts w:ascii="Cambria Math" w:hAnsi="Cambria Math"/>
              <w:lang w:val="nb-NO" w:eastAsia="en-GB"/>
            </w:rPr>
            <m:t>)</m:t>
          </m:r>
        </m:oMath>
      </m:oMathPara>
    </w:p>
    <w:p w14:paraId="55972ACD" w14:textId="49A56122" w:rsidR="007B4E62" w:rsidRPr="00847ACA" w:rsidRDefault="007B4E62" w:rsidP="00847ACA">
      <w:pPr>
        <w:spacing w:before="240"/>
        <w:ind w:firstLine="426"/>
        <w:jc w:val="both"/>
        <w:rPr>
          <w:rFonts w:ascii="Baskerville Old Face" w:hAnsi="Baskerville Old Face"/>
          <w:lang w:val="en-ID" w:eastAsia="en-GB"/>
        </w:rPr>
      </w:pPr>
      <m:oMathPara>
        <m:oMath>
          <m:r>
            <w:rPr>
              <w:rFonts w:ascii="Cambria Math" w:hAnsi="Cambria Math"/>
              <w:lang w:val="nb-NO" w:eastAsia="en-GB"/>
            </w:rPr>
            <m:t>U</m:t>
          </m:r>
          <m:d>
            <m:dPr>
              <m:ctrlPr>
                <w:rPr>
                  <w:rFonts w:ascii="Cambria Math" w:hAnsi="Cambria Math"/>
                  <w:i/>
                  <w:lang w:val="nb-NO" w:eastAsia="en-GB"/>
                </w:rPr>
              </m:ctrlPr>
            </m:dPr>
            <m:e>
              <m:sSub>
                <m:sSubPr>
                  <m:ctrlPr>
                    <w:rPr>
                      <w:rFonts w:ascii="Cambria Math" w:hAnsi="Cambria Math"/>
                      <w:i/>
                      <w:lang w:val="nb-NO" w:eastAsia="en-GB"/>
                    </w:rPr>
                  </m:ctrlPr>
                </m:sSubPr>
                <m:e>
                  <m:r>
                    <w:rPr>
                      <w:rFonts w:ascii="Cambria Math" w:hAnsi="Cambria Math"/>
                      <w:lang w:val="nb-NO" w:eastAsia="en-GB"/>
                    </w:rPr>
                    <m:t>S</m:t>
                  </m:r>
                </m:e>
                <m:sub>
                  <m:r>
                    <w:rPr>
                      <w:rFonts w:ascii="Cambria Math" w:hAnsi="Cambria Math"/>
                      <w:lang w:val="nb-NO" w:eastAsia="en-GB"/>
                    </w:rPr>
                    <m:t xml:space="preserve">i-1 </m:t>
                  </m:r>
                </m:sub>
              </m:sSub>
            </m:e>
          </m:d>
          <m:r>
            <w:rPr>
              <w:rFonts w:ascii="Cambria Math" w:hAnsi="Cambria Math"/>
              <w:lang w:val="nb-NO" w:eastAsia="en-GB"/>
            </w:rPr>
            <m:t>=U</m:t>
          </m:r>
          <m:sSub>
            <m:sSubPr>
              <m:ctrlPr>
                <w:rPr>
                  <w:rFonts w:ascii="Cambria Math" w:hAnsi="Cambria Math"/>
                  <w:i/>
                  <w:lang w:val="nb-NO" w:eastAsia="en-GB"/>
                </w:rPr>
              </m:ctrlPr>
            </m:sSubPr>
            <m:e>
              <m:r>
                <w:rPr>
                  <w:rFonts w:ascii="Cambria Math" w:hAnsi="Cambria Math"/>
                  <w:lang w:val="nb-NO" w:eastAsia="en-GB"/>
                </w:rPr>
                <m:t>(S</m:t>
              </m:r>
            </m:e>
            <m:sub>
              <m:r>
                <w:rPr>
                  <w:rFonts w:ascii="Cambria Math" w:hAnsi="Cambria Math"/>
                  <w:lang w:val="nb-NO" w:eastAsia="en-GB"/>
                </w:rPr>
                <m:t xml:space="preserve">i </m:t>
              </m:r>
            </m:sub>
          </m:sSub>
          <m:r>
            <w:rPr>
              <w:rFonts w:ascii="Cambria Math" w:hAnsi="Cambria Math"/>
              <w:lang w:val="nb-NO" w:eastAsia="en-GB"/>
            </w:rPr>
            <m:t>)-h</m:t>
          </m:r>
          <m:f>
            <m:fPr>
              <m:ctrlPr>
                <w:rPr>
                  <w:rFonts w:ascii="Cambria Math" w:hAnsi="Cambria Math"/>
                  <w:i/>
                  <w:lang w:val="nb-NO" w:eastAsia="en-GB"/>
                </w:rPr>
              </m:ctrlPr>
            </m:fPr>
            <m:num>
              <m:r>
                <w:rPr>
                  <w:rFonts w:ascii="Cambria Math" w:hAnsi="Cambria Math"/>
                  <w:lang w:val="nb-NO" w:eastAsia="en-GB"/>
                </w:rPr>
                <m:t>∂U</m:t>
              </m:r>
            </m:num>
            <m:den>
              <m:r>
                <w:rPr>
                  <w:rFonts w:ascii="Cambria Math" w:hAnsi="Cambria Math"/>
                  <w:lang w:val="nb-NO" w:eastAsia="en-GB"/>
                </w:rPr>
                <m:t>∂S</m:t>
              </m:r>
            </m:den>
          </m:f>
          <m:r>
            <w:rPr>
              <w:rFonts w:ascii="Cambria Math" w:hAnsi="Cambria Math"/>
              <w:lang w:val="nb-NO" w:eastAsia="en-GB"/>
            </w:rPr>
            <m:t>+</m:t>
          </m:r>
          <m:f>
            <m:fPr>
              <m:ctrlPr>
                <w:rPr>
                  <w:rFonts w:ascii="Cambria Math" w:hAnsi="Cambria Math"/>
                  <w:i/>
                  <w:lang w:val="nb-NO" w:eastAsia="en-GB"/>
                </w:rPr>
              </m:ctrlPr>
            </m:fPr>
            <m:num>
              <m:sSup>
                <m:sSupPr>
                  <m:ctrlPr>
                    <w:rPr>
                      <w:rFonts w:ascii="Cambria Math" w:hAnsi="Cambria Math"/>
                      <w:i/>
                      <w:lang w:val="nb-NO" w:eastAsia="en-GB"/>
                    </w:rPr>
                  </m:ctrlPr>
                </m:sSupPr>
                <m:e>
                  <m:r>
                    <w:rPr>
                      <w:rFonts w:ascii="Cambria Math" w:hAnsi="Cambria Math"/>
                      <w:lang w:val="nb-NO" w:eastAsia="en-GB"/>
                    </w:rPr>
                    <m:t>h</m:t>
                  </m:r>
                </m:e>
                <m:sup>
                  <m:r>
                    <w:rPr>
                      <w:rFonts w:ascii="Cambria Math" w:hAnsi="Cambria Math"/>
                      <w:lang w:val="nb-NO" w:eastAsia="en-GB"/>
                    </w:rPr>
                    <m:t>2</m:t>
                  </m:r>
                </m:sup>
              </m:sSup>
            </m:num>
            <m:den>
              <m:r>
                <w:rPr>
                  <w:rFonts w:ascii="Cambria Math" w:hAnsi="Cambria Math"/>
                  <w:lang w:val="nb-NO" w:eastAsia="en-GB"/>
                </w:rPr>
                <m:t>2!</m:t>
              </m:r>
            </m:den>
          </m:f>
          <m:f>
            <m:fPr>
              <m:ctrlPr>
                <w:rPr>
                  <w:rFonts w:ascii="Cambria Math" w:hAnsi="Cambria Math"/>
                  <w:i/>
                  <w:lang w:val="nb-NO" w:eastAsia="en-GB"/>
                </w:rPr>
              </m:ctrlPr>
            </m:fPr>
            <m:num>
              <m:sSup>
                <m:sSupPr>
                  <m:ctrlPr>
                    <w:rPr>
                      <w:rFonts w:ascii="Cambria Math" w:hAnsi="Cambria Math"/>
                      <w:i/>
                      <w:lang w:val="nb-NO" w:eastAsia="en-GB"/>
                    </w:rPr>
                  </m:ctrlPr>
                </m:sSupPr>
                <m:e>
                  <m:r>
                    <w:rPr>
                      <w:rFonts w:ascii="Cambria Math" w:hAnsi="Cambria Math"/>
                      <w:lang w:val="nb-NO" w:eastAsia="en-GB"/>
                    </w:rPr>
                    <m:t>∂</m:t>
                  </m:r>
                </m:e>
                <m:sup>
                  <m:r>
                    <w:rPr>
                      <w:rFonts w:ascii="Cambria Math" w:hAnsi="Cambria Math"/>
                      <w:lang w:val="nb-NO" w:eastAsia="en-GB"/>
                    </w:rPr>
                    <m:t>2</m:t>
                  </m:r>
                </m:sup>
              </m:sSup>
              <m:r>
                <w:rPr>
                  <w:rFonts w:ascii="Cambria Math" w:hAnsi="Cambria Math"/>
                  <w:lang w:val="nb-NO" w:eastAsia="en-GB"/>
                </w:rPr>
                <m:t>U</m:t>
              </m:r>
            </m:num>
            <m:den>
              <m:r>
                <w:rPr>
                  <w:rFonts w:ascii="Cambria Math" w:hAnsi="Cambria Math"/>
                  <w:lang w:val="nb-NO" w:eastAsia="en-GB"/>
                </w:rPr>
                <m:t>∂</m:t>
              </m:r>
              <m:sSup>
                <m:sSupPr>
                  <m:ctrlPr>
                    <w:rPr>
                      <w:rFonts w:ascii="Cambria Math" w:hAnsi="Cambria Math"/>
                      <w:i/>
                      <w:lang w:val="nb-NO" w:eastAsia="en-GB"/>
                    </w:rPr>
                  </m:ctrlPr>
                </m:sSupPr>
                <m:e>
                  <m:r>
                    <w:rPr>
                      <w:rFonts w:ascii="Cambria Math" w:hAnsi="Cambria Math"/>
                      <w:lang w:val="nb-NO" w:eastAsia="en-GB"/>
                    </w:rPr>
                    <m:t>S</m:t>
                  </m:r>
                </m:e>
                <m:sup>
                  <m:r>
                    <w:rPr>
                      <w:rFonts w:ascii="Cambria Math" w:hAnsi="Cambria Math"/>
                      <w:lang w:val="nb-NO" w:eastAsia="en-GB"/>
                    </w:rPr>
                    <m:t>2</m:t>
                  </m:r>
                </m:sup>
              </m:sSup>
            </m:den>
          </m:f>
          <m:r>
            <w:rPr>
              <w:rFonts w:ascii="Cambria Math" w:hAnsi="Cambria Math"/>
              <w:lang w:val="nb-NO" w:eastAsia="en-GB"/>
            </w:rPr>
            <m:t>-O(</m:t>
          </m:r>
          <m:sSup>
            <m:sSupPr>
              <m:ctrlPr>
                <w:rPr>
                  <w:rFonts w:ascii="Cambria Math" w:hAnsi="Cambria Math"/>
                  <w:i/>
                  <w:lang w:val="nb-NO" w:eastAsia="en-GB"/>
                </w:rPr>
              </m:ctrlPr>
            </m:sSupPr>
            <m:e>
              <m:r>
                <w:rPr>
                  <w:rFonts w:ascii="Cambria Math" w:hAnsi="Cambria Math"/>
                  <w:lang w:val="nb-NO" w:eastAsia="en-GB"/>
                </w:rPr>
                <m:t>h</m:t>
              </m:r>
            </m:e>
            <m:sup>
              <m:r>
                <w:rPr>
                  <w:rFonts w:ascii="Cambria Math" w:hAnsi="Cambria Math"/>
                  <w:lang w:val="nb-NO" w:eastAsia="en-GB"/>
                </w:rPr>
                <m:t>3</m:t>
              </m:r>
            </m:sup>
          </m:sSup>
          <m:r>
            <w:rPr>
              <w:rFonts w:ascii="Cambria Math" w:hAnsi="Cambria Math"/>
              <w:lang w:val="nb-NO" w:eastAsia="en-GB"/>
            </w:rPr>
            <m:t>)</m:t>
          </m:r>
        </m:oMath>
      </m:oMathPara>
    </w:p>
    <w:p w14:paraId="07427479" w14:textId="52066680" w:rsidR="00EB4548" w:rsidRPr="00A76B1C" w:rsidRDefault="00EB4548" w:rsidP="00847ACA">
      <w:pPr>
        <w:spacing w:before="240"/>
        <w:jc w:val="both"/>
        <w:rPr>
          <w:rFonts w:ascii="Baskerville Old Face" w:hAnsi="Baskerville Old Face"/>
          <w:lang w:eastAsia="en-GB"/>
        </w:rPr>
      </w:pPr>
      <w:r w:rsidRPr="00A76B1C">
        <w:rPr>
          <w:rFonts w:ascii="Baskerville Old Face" w:hAnsi="Baskerville Old Face"/>
          <w:lang w:eastAsia="en-GB"/>
        </w:rPr>
        <w:t>By eliminating these two equations, the scheme of the second order center difference for the first and second derivatives can be derived.</w:t>
      </w:r>
    </w:p>
    <w:p w14:paraId="33C1902A" w14:textId="4D6928D1" w:rsidR="00847ACA" w:rsidRDefault="00A6345F" w:rsidP="00847ACA">
      <w:pPr>
        <w:jc w:val="both"/>
        <w:rPr>
          <w:lang w:val="id-ID" w:eastAsia="en-GB"/>
        </w:rPr>
      </w:pPr>
      <w:r w:rsidRPr="00A76B1C">
        <w:rPr>
          <w:rFonts w:ascii="Baskerville Old Face" w:hAnsi="Baskerville Old Face"/>
          <w:lang w:eastAsia="en-GB"/>
        </w:rPr>
        <w:t xml:space="preserve">First </w:t>
      </w:r>
      <w:proofErr w:type="spellStart"/>
      <w:r w:rsidRPr="00A76B1C">
        <w:rPr>
          <w:rFonts w:ascii="Baskerville Old Face" w:hAnsi="Baskerville Old Face"/>
          <w:lang w:eastAsia="en-GB"/>
        </w:rPr>
        <w:t>Deivative</w:t>
      </w:r>
      <w:proofErr w:type="spellEnd"/>
      <w:r w:rsidR="003A1D2D">
        <w:rPr>
          <w:rFonts w:ascii="Baskerville Old Face" w:hAnsi="Baskerville Old Face"/>
          <w:lang w:eastAsia="en-GB"/>
        </w:rPr>
        <w:t xml:space="preserve"> </w:t>
      </w:r>
      <m:oMath>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S</m:t>
            </m:r>
          </m:sub>
        </m:sSub>
        <m:r>
          <w:rPr>
            <w:rFonts w:ascii="Cambria Math" w:hAnsi="Cambria Math"/>
            <w:lang w:val="id-ID" w:eastAsia="en-GB"/>
          </w:rPr>
          <m:t>)</m:t>
        </m:r>
      </m:oMath>
      <w:r w:rsidRPr="00A76B1C">
        <w:rPr>
          <w:rFonts w:ascii="Baskerville Old Face" w:hAnsi="Baskerville Old Face"/>
          <w:lang w:eastAsia="en-GB"/>
        </w:rPr>
        <w:t>:</w:t>
      </w:r>
    </w:p>
    <w:p w14:paraId="2F4BA245" w14:textId="3BF1511D" w:rsidR="007B4E62" w:rsidRPr="00925C5F" w:rsidRDefault="00000000" w:rsidP="00847ACA">
      <w:pPr>
        <w:jc w:val="both"/>
        <w:rPr>
          <w:lang w:val="id-ID" w:eastAsia="en-GB"/>
        </w:rPr>
      </w:pPr>
      <m:oMathPara>
        <m:oMath>
          <m:f>
            <m:fPr>
              <m:ctrlPr>
                <w:rPr>
                  <w:rFonts w:ascii="Cambria Math" w:hAnsi="Cambria Math"/>
                  <w:i/>
                  <w:lang w:val="id-ID" w:eastAsia="en-GB"/>
                </w:rPr>
              </m:ctrlPr>
            </m:fPr>
            <m:num>
              <m:r>
                <w:rPr>
                  <w:rFonts w:ascii="Cambria Math" w:hAnsi="Cambria Math"/>
                  <w:lang w:eastAsia="en-GB"/>
                </w:rPr>
                <m:t>∂U</m:t>
              </m:r>
            </m:num>
            <m:den>
              <m:r>
                <w:rPr>
                  <w:rFonts w:ascii="Cambria Math" w:hAnsi="Cambria Math"/>
                  <w:lang w:eastAsia="en-GB"/>
                </w:rPr>
                <m:t>∂S</m:t>
              </m:r>
            </m:den>
          </m:f>
          <m:r>
            <w:rPr>
              <w:rFonts w:ascii="Cambria Math" w:hAnsi="Cambria Math"/>
              <w:lang w:val="id-ID" w:eastAsia="en-GB"/>
            </w:rPr>
            <m:t>(</m:t>
          </m:r>
          <m:sSub>
            <m:sSubPr>
              <m:ctrlPr>
                <w:rPr>
                  <w:rFonts w:ascii="Cambria Math" w:hAnsi="Cambria Math"/>
                  <w:i/>
                  <w:lang w:val="id-ID" w:eastAsia="en-GB"/>
                </w:rPr>
              </m:ctrlPr>
            </m:sSubPr>
            <m:e>
              <m:r>
                <w:rPr>
                  <w:rFonts w:ascii="Cambria Math" w:hAnsi="Cambria Math"/>
                  <w:lang w:val="id-ID" w:eastAsia="en-GB"/>
                </w:rPr>
                <m:t>S</m:t>
              </m:r>
            </m:e>
            <m:sub>
              <m:r>
                <w:rPr>
                  <w:rFonts w:ascii="Cambria Math" w:hAnsi="Cambria Math"/>
                  <w:lang w:val="id-ID" w:eastAsia="en-GB"/>
                </w:rPr>
                <m:t>i</m:t>
              </m:r>
            </m:sub>
          </m:sSub>
          <m:r>
            <w:rPr>
              <w:rFonts w:ascii="Cambria Math" w:hAnsi="Cambria Math"/>
              <w:lang w:val="id-ID" w:eastAsia="en-GB"/>
            </w:rPr>
            <m:t>,τ)≈</m:t>
          </m:r>
          <m:f>
            <m:fPr>
              <m:ctrlPr>
                <w:rPr>
                  <w:rFonts w:ascii="Cambria Math" w:hAnsi="Cambria Math"/>
                  <w:i/>
                  <w:lang w:val="id-ID" w:eastAsia="en-GB"/>
                </w:rPr>
              </m:ctrlPr>
            </m:fPr>
            <m:num>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i+1</m:t>
                  </m:r>
                </m:sub>
              </m:sSub>
              <m:d>
                <m:dPr>
                  <m:ctrlPr>
                    <w:rPr>
                      <w:rFonts w:ascii="Cambria Math" w:hAnsi="Cambria Math"/>
                      <w:i/>
                      <w:lang w:val="id-ID" w:eastAsia="en-GB"/>
                    </w:rPr>
                  </m:ctrlPr>
                </m:dPr>
                <m:e>
                  <m:r>
                    <w:rPr>
                      <w:rFonts w:ascii="Cambria Math" w:hAnsi="Cambria Math"/>
                      <w:lang w:val="id-ID" w:eastAsia="en-GB"/>
                    </w:rPr>
                    <m:t>τ</m:t>
                  </m:r>
                </m:e>
              </m:d>
              <m:r>
                <w:rPr>
                  <w:rFonts w:ascii="Cambria Math" w:hAnsi="Cambria Math"/>
                  <w:lang w:val="id-ID" w:eastAsia="en-GB"/>
                </w:rPr>
                <m:t>-</m:t>
              </m:r>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i-1</m:t>
                  </m:r>
                </m:sub>
              </m:sSub>
              <m:r>
                <w:rPr>
                  <w:rFonts w:ascii="Cambria Math" w:hAnsi="Cambria Math"/>
                  <w:lang w:val="id-ID" w:eastAsia="en-GB"/>
                </w:rPr>
                <m:t>(τ)</m:t>
              </m:r>
            </m:num>
            <m:den>
              <m:r>
                <w:rPr>
                  <w:rFonts w:ascii="Cambria Math" w:hAnsi="Cambria Math"/>
                  <w:lang w:val="id-ID" w:eastAsia="en-GB"/>
                </w:rPr>
                <m:t>2</m:t>
              </m:r>
              <m:r>
                <w:rPr>
                  <w:rFonts w:ascii="Cambria Math" w:hAnsi="Cambria Math"/>
                  <w:lang w:val="id-ID" w:eastAsia="en-GB"/>
                </w:rPr>
                <m:t>h</m:t>
              </m:r>
            </m:den>
          </m:f>
        </m:oMath>
      </m:oMathPara>
    </w:p>
    <w:p w14:paraId="5C14BF50" w14:textId="74C51EFF" w:rsidR="00847ACA" w:rsidRDefault="00A6345F" w:rsidP="00847ACA">
      <w:pPr>
        <w:jc w:val="both"/>
        <w:rPr>
          <w:lang w:val="id-ID" w:eastAsia="en-GB"/>
        </w:rPr>
      </w:pPr>
      <w:r w:rsidRPr="00AD50B5">
        <w:rPr>
          <w:rFonts w:ascii="Baskerville Old Face" w:hAnsi="Baskerville Old Face"/>
          <w:lang w:eastAsia="en-GB"/>
        </w:rPr>
        <w:t>Second Derivative</w:t>
      </w:r>
      <m:oMath>
        <m:r>
          <w:rPr>
            <w:rFonts w:ascii="Cambria Math" w:hAnsi="Cambria Math"/>
            <w:lang w:eastAsia="en-GB"/>
          </w:rPr>
          <m:t xml:space="preserve"> </m:t>
        </m:r>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SS</m:t>
            </m:r>
          </m:sub>
        </m:sSub>
        <m:r>
          <w:rPr>
            <w:rFonts w:ascii="Cambria Math" w:hAnsi="Cambria Math"/>
            <w:lang w:val="id-ID" w:eastAsia="en-GB"/>
          </w:rPr>
          <m:t>)</m:t>
        </m:r>
      </m:oMath>
      <w:r w:rsidRPr="00AD50B5">
        <w:rPr>
          <w:rFonts w:ascii="Baskerville Old Face" w:hAnsi="Baskerville Old Face"/>
          <w:lang w:eastAsia="en-GB"/>
        </w:rPr>
        <w:t>:</w:t>
      </w:r>
    </w:p>
    <w:p w14:paraId="5033085D" w14:textId="424E9772" w:rsidR="007B4E62" w:rsidRDefault="00000000" w:rsidP="00847ACA">
      <w:pPr>
        <w:spacing w:after="240"/>
        <w:jc w:val="both"/>
        <w:rPr>
          <w:lang w:val="id-ID" w:eastAsia="en-GB"/>
        </w:rPr>
      </w:pPr>
      <m:oMathPara>
        <m:oMath>
          <m:f>
            <m:fPr>
              <m:ctrlPr>
                <w:rPr>
                  <w:rFonts w:ascii="Cambria Math" w:hAnsi="Cambria Math"/>
                  <w:i/>
                  <w:lang w:eastAsia="en-GB"/>
                </w:rPr>
              </m:ctrlPr>
            </m:fPr>
            <m:num>
              <m:sSup>
                <m:sSupPr>
                  <m:ctrlPr>
                    <w:rPr>
                      <w:rFonts w:ascii="Cambria Math" w:hAnsi="Cambria Math"/>
                      <w:i/>
                      <w:lang w:eastAsia="en-GB"/>
                    </w:rPr>
                  </m:ctrlPr>
                </m:sSupPr>
                <m:e>
                  <m:r>
                    <w:rPr>
                      <w:rFonts w:ascii="Cambria Math" w:hAnsi="Cambria Math"/>
                      <w:lang w:eastAsia="en-GB"/>
                    </w:rPr>
                    <m:t>∂</m:t>
                  </m:r>
                </m:e>
                <m:sup>
                  <m:r>
                    <w:rPr>
                      <w:rFonts w:ascii="Cambria Math" w:hAnsi="Cambria Math"/>
                      <w:lang w:eastAsia="en-GB"/>
                    </w:rPr>
                    <m:t>2</m:t>
                  </m:r>
                </m:sup>
              </m:sSup>
              <m:r>
                <w:rPr>
                  <w:rFonts w:ascii="Cambria Math" w:hAnsi="Cambria Math"/>
                  <w:lang w:eastAsia="en-GB"/>
                </w:rPr>
                <m:t>U</m:t>
              </m:r>
            </m:num>
            <m:den>
              <m:r>
                <w:rPr>
                  <w:rFonts w:ascii="Cambria Math" w:hAnsi="Cambria Math"/>
                  <w:lang w:eastAsia="en-GB"/>
                </w:rPr>
                <m:t>∂</m:t>
              </m:r>
              <m:sSup>
                <m:sSupPr>
                  <m:ctrlPr>
                    <w:rPr>
                      <w:rFonts w:ascii="Cambria Math" w:hAnsi="Cambria Math"/>
                      <w:i/>
                      <w:lang w:eastAsia="en-GB"/>
                    </w:rPr>
                  </m:ctrlPr>
                </m:sSupPr>
                <m:e>
                  <m:r>
                    <w:rPr>
                      <w:rFonts w:ascii="Cambria Math" w:hAnsi="Cambria Math"/>
                      <w:lang w:eastAsia="en-GB"/>
                    </w:rPr>
                    <m:t>S</m:t>
                  </m:r>
                </m:e>
                <m:sup>
                  <m:r>
                    <w:rPr>
                      <w:rFonts w:ascii="Cambria Math" w:hAnsi="Cambria Math"/>
                      <w:lang w:eastAsia="en-GB"/>
                    </w:rPr>
                    <m:t>2</m:t>
                  </m:r>
                </m:sup>
              </m:sSup>
            </m:den>
          </m:f>
          <m:r>
            <w:rPr>
              <w:rFonts w:ascii="Cambria Math" w:hAnsi="Cambria Math"/>
              <w:lang w:val="id-ID" w:eastAsia="en-GB"/>
            </w:rPr>
            <m:t>(</m:t>
          </m:r>
          <m:sSub>
            <m:sSubPr>
              <m:ctrlPr>
                <w:rPr>
                  <w:rFonts w:ascii="Cambria Math" w:hAnsi="Cambria Math"/>
                  <w:i/>
                  <w:lang w:val="id-ID" w:eastAsia="en-GB"/>
                </w:rPr>
              </m:ctrlPr>
            </m:sSubPr>
            <m:e>
              <m:r>
                <w:rPr>
                  <w:rFonts w:ascii="Cambria Math" w:hAnsi="Cambria Math"/>
                  <w:lang w:val="id-ID" w:eastAsia="en-GB"/>
                </w:rPr>
                <m:t>S</m:t>
              </m:r>
            </m:e>
            <m:sub>
              <m:r>
                <w:rPr>
                  <w:rFonts w:ascii="Cambria Math" w:hAnsi="Cambria Math"/>
                  <w:lang w:val="id-ID" w:eastAsia="en-GB"/>
                </w:rPr>
                <m:t>i</m:t>
              </m:r>
            </m:sub>
          </m:sSub>
          <m:r>
            <w:rPr>
              <w:rFonts w:ascii="Cambria Math" w:hAnsi="Cambria Math"/>
              <w:lang w:val="id-ID" w:eastAsia="en-GB"/>
            </w:rPr>
            <m:t>,τ)≈</m:t>
          </m:r>
          <m:f>
            <m:fPr>
              <m:ctrlPr>
                <w:rPr>
                  <w:rFonts w:ascii="Cambria Math" w:hAnsi="Cambria Math"/>
                  <w:i/>
                  <w:lang w:val="id-ID" w:eastAsia="en-GB"/>
                </w:rPr>
              </m:ctrlPr>
            </m:fPr>
            <m:num>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i-1</m:t>
                  </m:r>
                </m:sub>
              </m:sSub>
              <m:d>
                <m:dPr>
                  <m:ctrlPr>
                    <w:rPr>
                      <w:rFonts w:ascii="Cambria Math" w:hAnsi="Cambria Math"/>
                      <w:i/>
                      <w:lang w:val="id-ID" w:eastAsia="en-GB"/>
                    </w:rPr>
                  </m:ctrlPr>
                </m:dPr>
                <m:e>
                  <m:r>
                    <w:rPr>
                      <w:rFonts w:ascii="Cambria Math" w:hAnsi="Cambria Math"/>
                      <w:lang w:val="id-ID" w:eastAsia="en-GB"/>
                    </w:rPr>
                    <m:t>τ</m:t>
                  </m:r>
                </m:e>
              </m:d>
              <m:r>
                <w:rPr>
                  <w:rFonts w:ascii="Cambria Math" w:hAnsi="Cambria Math"/>
                  <w:lang w:val="id-ID" w:eastAsia="en-GB"/>
                </w:rPr>
                <m:t>-2</m:t>
              </m:r>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i</m:t>
                  </m:r>
                </m:sub>
              </m:sSub>
              <m:d>
                <m:dPr>
                  <m:ctrlPr>
                    <w:rPr>
                      <w:rFonts w:ascii="Cambria Math" w:hAnsi="Cambria Math"/>
                      <w:i/>
                      <w:lang w:val="id-ID" w:eastAsia="en-GB"/>
                    </w:rPr>
                  </m:ctrlPr>
                </m:dPr>
                <m:e>
                  <m:r>
                    <w:rPr>
                      <w:rFonts w:ascii="Cambria Math" w:hAnsi="Cambria Math"/>
                      <w:lang w:val="id-ID" w:eastAsia="en-GB"/>
                    </w:rPr>
                    <m:t>τ</m:t>
                  </m:r>
                </m:e>
              </m:d>
              <m:r>
                <w:rPr>
                  <w:rFonts w:ascii="Cambria Math" w:hAnsi="Cambria Math"/>
                  <w:lang w:val="id-ID" w:eastAsia="en-GB"/>
                </w:rPr>
                <m:t>+</m:t>
              </m:r>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i+1</m:t>
                  </m:r>
                </m:sub>
              </m:sSub>
              <m:d>
                <m:dPr>
                  <m:ctrlPr>
                    <w:rPr>
                      <w:rFonts w:ascii="Cambria Math" w:hAnsi="Cambria Math"/>
                      <w:i/>
                      <w:lang w:val="id-ID" w:eastAsia="en-GB"/>
                    </w:rPr>
                  </m:ctrlPr>
                </m:dPr>
                <m:e>
                  <m:r>
                    <w:rPr>
                      <w:rFonts w:ascii="Cambria Math" w:hAnsi="Cambria Math"/>
                      <w:lang w:val="id-ID" w:eastAsia="en-GB"/>
                    </w:rPr>
                    <m:t>τ</m:t>
                  </m:r>
                </m:e>
              </m:d>
            </m:num>
            <m:den>
              <m:sSup>
                <m:sSupPr>
                  <m:ctrlPr>
                    <w:rPr>
                      <w:rFonts w:ascii="Cambria Math" w:hAnsi="Cambria Math"/>
                      <w:i/>
                      <w:lang w:val="id-ID" w:eastAsia="en-GB"/>
                    </w:rPr>
                  </m:ctrlPr>
                </m:sSupPr>
                <m:e>
                  <m:r>
                    <w:rPr>
                      <w:rFonts w:ascii="Cambria Math" w:hAnsi="Cambria Math"/>
                      <w:lang w:val="id-ID" w:eastAsia="en-GB"/>
                    </w:rPr>
                    <m:t>h</m:t>
                  </m:r>
                </m:e>
                <m:sup>
                  <m:r>
                    <w:rPr>
                      <w:rFonts w:ascii="Cambria Math" w:hAnsi="Cambria Math"/>
                      <w:lang w:val="id-ID" w:eastAsia="en-GB"/>
                    </w:rPr>
                    <m:t>2</m:t>
                  </m:r>
                </m:sup>
              </m:sSup>
            </m:den>
          </m:f>
        </m:oMath>
      </m:oMathPara>
    </w:p>
    <w:p w14:paraId="26BB1CE1" w14:textId="62357CE2" w:rsidR="007B4E62" w:rsidRPr="00C074EC" w:rsidRDefault="007B4E62" w:rsidP="00847ACA">
      <w:pPr>
        <w:pStyle w:val="Heading1"/>
        <w:spacing w:line="276" w:lineRule="auto"/>
        <w:jc w:val="left"/>
        <w:rPr>
          <w:rFonts w:ascii="Baskerville Old Face" w:hAnsi="Baskerville Old Face"/>
          <w:b w:val="0"/>
          <w:bCs w:val="0"/>
          <w:lang w:val="en-ID" w:eastAsia="en-GB"/>
        </w:rPr>
      </w:pPr>
      <w:r w:rsidRPr="00C074EC">
        <w:rPr>
          <w:rFonts w:ascii="Baskerville Old Face" w:hAnsi="Baskerville Old Face"/>
          <w:lang w:eastAsia="en-GB"/>
        </w:rPr>
        <w:t>2.4.2 Formation of a system of Ordinary Differential Equations</w:t>
      </w:r>
    </w:p>
    <w:p w14:paraId="10034D14" w14:textId="46188CDD" w:rsidR="00A6345F" w:rsidRPr="00A76B1C" w:rsidRDefault="00EB4548" w:rsidP="00C074EC">
      <w:pPr>
        <w:spacing w:after="240"/>
        <w:ind w:firstLine="426"/>
        <w:jc w:val="both"/>
        <w:rPr>
          <w:rFonts w:ascii="Baskerville Old Face" w:hAnsi="Baskerville Old Face"/>
          <w:lang w:eastAsia="en-GB"/>
        </w:rPr>
      </w:pPr>
      <w:r w:rsidRPr="00A76B1C">
        <w:rPr>
          <w:rFonts w:ascii="Baskerville Old Face" w:hAnsi="Baskerville Old Face"/>
          <w:lang w:eastAsia="en-GB"/>
        </w:rPr>
        <w:t xml:space="preserve">After the substitution of the difference estimate until the application of partial differential equations is carried out, changes are made to a system of ordinary differential equations in the form of a matrix for time which is a characteristic of the Line Method approach </w:t>
      </w:r>
      <w:r w:rsidR="00DC4D0D" w:rsidRPr="00A76B1C">
        <w:rPr>
          <w:rFonts w:ascii="Baskerville Old Face" w:hAnsi="Baskerville Old Face"/>
          <w:lang w:eastAsia="en-GB"/>
        </w:rPr>
        <w:t>(Company et al., 2009).</w:t>
      </w:r>
    </w:p>
    <w:p w14:paraId="4FCD8620" w14:textId="144E042F" w:rsidR="007B4E62" w:rsidRPr="00A3578E" w:rsidRDefault="00000000" w:rsidP="00C074EC">
      <w:pPr>
        <w:spacing w:before="240" w:after="240"/>
        <w:ind w:left="426" w:firstLine="720"/>
        <w:jc w:val="both"/>
        <w:rPr>
          <w:lang w:val="id-ID" w:eastAsia="en-GB"/>
        </w:rPr>
      </w:pPr>
      <m:oMathPara>
        <m:oMath>
          <m:f>
            <m:fPr>
              <m:ctrlPr>
                <w:rPr>
                  <w:rFonts w:ascii="Cambria Math" w:hAnsi="Cambria Math"/>
                  <w:i/>
                  <w:lang w:val="id-ID" w:eastAsia="en-GB"/>
                </w:rPr>
              </m:ctrlPr>
            </m:fPr>
            <m:num>
              <m:r>
                <w:rPr>
                  <w:rFonts w:ascii="Cambria Math" w:hAnsi="Cambria Math"/>
                  <w:lang w:val="id-ID" w:eastAsia="en-GB"/>
                </w:rPr>
                <m:t>d</m:t>
              </m:r>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i</m:t>
                  </m:r>
                </m:sub>
              </m:sSub>
            </m:num>
            <m:den>
              <m:r>
                <w:rPr>
                  <w:rFonts w:ascii="Cambria Math" w:hAnsi="Cambria Math"/>
                  <w:lang w:val="id-ID" w:eastAsia="en-GB"/>
                </w:rPr>
                <m:t>dτ</m:t>
              </m:r>
            </m:den>
          </m:f>
          <m:r>
            <w:rPr>
              <w:rFonts w:ascii="Cambria Math" w:hAnsi="Cambria Math"/>
              <w:lang w:val="id-ID" w:eastAsia="en-GB"/>
            </w:rPr>
            <m:t>=</m:t>
          </m:r>
          <m:f>
            <m:fPr>
              <m:ctrlPr>
                <w:rPr>
                  <w:rFonts w:ascii="Cambria Math" w:hAnsi="Cambria Math"/>
                  <w:i/>
                  <w:lang w:val="id-ID" w:eastAsia="en-GB"/>
                </w:rPr>
              </m:ctrlPr>
            </m:fPr>
            <m:num>
              <m:sSubSup>
                <m:sSubSupPr>
                  <m:ctrlPr>
                    <w:rPr>
                      <w:rFonts w:ascii="Cambria Math" w:hAnsi="Cambria Math"/>
                      <w:i/>
                      <w:lang w:eastAsia="en-GB"/>
                    </w:rPr>
                  </m:ctrlPr>
                </m:sSubSupPr>
                <m:e>
                  <m:r>
                    <w:rPr>
                      <w:rFonts w:ascii="Cambria Math" w:hAnsi="Cambria Math"/>
                      <w:lang w:eastAsia="en-GB"/>
                    </w:rPr>
                    <m:t>S</m:t>
                  </m:r>
                </m:e>
                <m:sub>
                  <m:r>
                    <w:rPr>
                      <w:rFonts w:ascii="Cambria Math" w:hAnsi="Cambria Math"/>
                      <w:lang w:eastAsia="en-GB"/>
                    </w:rPr>
                    <m:t>2</m:t>
                  </m:r>
                </m:sub>
                <m:sup>
                  <m:r>
                    <w:rPr>
                      <w:rFonts w:ascii="Cambria Math" w:hAnsi="Cambria Math"/>
                      <w:lang w:eastAsia="en-GB"/>
                    </w:rPr>
                    <m:t>i</m:t>
                  </m:r>
                </m:sup>
              </m:sSubSup>
              <m:sSubSup>
                <m:sSubSupPr>
                  <m:ctrlPr>
                    <w:rPr>
                      <w:rFonts w:ascii="Cambria Math" w:hAnsi="Cambria Math"/>
                      <w:i/>
                      <w:lang w:eastAsia="en-GB"/>
                    </w:rPr>
                  </m:ctrlPr>
                </m:sSubSupPr>
                <m:e>
                  <m:r>
                    <w:rPr>
                      <w:rFonts w:ascii="Cambria Math" w:hAnsi="Cambria Math"/>
                      <w:lang w:eastAsia="en-GB"/>
                    </w:rPr>
                    <m:t>σ</m:t>
                  </m:r>
                </m:e>
                <m:sub>
                  <m:r>
                    <w:rPr>
                      <w:rFonts w:ascii="Cambria Math" w:hAnsi="Cambria Math"/>
                      <w:lang w:eastAsia="en-GB"/>
                    </w:rPr>
                    <m:t>2</m:t>
                  </m:r>
                </m:sub>
                <m:sup>
                  <m:r>
                    <w:rPr>
                      <w:rFonts w:ascii="Cambria Math" w:hAnsi="Cambria Math"/>
                      <w:lang w:eastAsia="en-GB"/>
                    </w:rPr>
                    <m:t>i</m:t>
                  </m:r>
                </m:sup>
              </m:sSubSup>
            </m:num>
            <m:den>
              <m:r>
                <w:rPr>
                  <w:rFonts w:ascii="Cambria Math" w:hAnsi="Cambria Math"/>
                  <w:lang w:val="id-ID" w:eastAsia="en-GB"/>
                </w:rPr>
                <m:t>2</m:t>
              </m:r>
            </m:den>
          </m:f>
          <m:d>
            <m:dPr>
              <m:ctrlPr>
                <w:rPr>
                  <w:rFonts w:ascii="Cambria Math" w:hAnsi="Cambria Math"/>
                  <w:i/>
                  <w:lang w:val="id-ID" w:eastAsia="en-GB"/>
                </w:rPr>
              </m:ctrlPr>
            </m:dPr>
            <m:e>
              <m:f>
                <m:fPr>
                  <m:ctrlPr>
                    <w:rPr>
                      <w:rFonts w:ascii="Cambria Math" w:hAnsi="Cambria Math"/>
                      <w:i/>
                      <w:lang w:val="id-ID" w:eastAsia="en-GB"/>
                    </w:rPr>
                  </m:ctrlPr>
                </m:fPr>
                <m:num>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i-1</m:t>
                      </m:r>
                    </m:sub>
                  </m:sSub>
                  <m:r>
                    <w:rPr>
                      <w:rFonts w:ascii="Cambria Math" w:hAnsi="Cambria Math"/>
                      <w:lang w:val="id-ID" w:eastAsia="en-GB"/>
                    </w:rPr>
                    <m:t>-2</m:t>
                  </m:r>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i</m:t>
                      </m:r>
                    </m:sub>
                  </m:sSub>
                  <m:r>
                    <w:rPr>
                      <w:rFonts w:ascii="Cambria Math" w:hAnsi="Cambria Math"/>
                      <w:lang w:val="id-ID" w:eastAsia="en-GB"/>
                    </w:rPr>
                    <m:t>+</m:t>
                  </m:r>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i+1</m:t>
                      </m:r>
                    </m:sub>
                  </m:sSub>
                </m:num>
                <m:den>
                  <m:sSup>
                    <m:sSupPr>
                      <m:ctrlPr>
                        <w:rPr>
                          <w:rFonts w:ascii="Cambria Math" w:hAnsi="Cambria Math"/>
                          <w:i/>
                          <w:lang w:val="id-ID" w:eastAsia="en-GB"/>
                        </w:rPr>
                      </m:ctrlPr>
                    </m:sSupPr>
                    <m:e>
                      <m:r>
                        <w:rPr>
                          <w:rFonts w:ascii="Cambria Math" w:hAnsi="Cambria Math"/>
                          <w:lang w:val="id-ID" w:eastAsia="en-GB"/>
                        </w:rPr>
                        <m:t>h</m:t>
                      </m:r>
                    </m:e>
                    <m:sup>
                      <m:r>
                        <w:rPr>
                          <w:rFonts w:ascii="Cambria Math" w:hAnsi="Cambria Math"/>
                          <w:lang w:val="id-ID" w:eastAsia="en-GB"/>
                        </w:rPr>
                        <m:t>2</m:t>
                      </m:r>
                    </m:sup>
                  </m:sSup>
                </m:den>
              </m:f>
            </m:e>
          </m:d>
          <m:r>
            <w:rPr>
              <w:rFonts w:ascii="Cambria Math" w:hAnsi="Cambria Math"/>
              <w:lang w:val="id-ID" w:eastAsia="en-GB"/>
            </w:rPr>
            <m:t>+r</m:t>
          </m:r>
          <m:sSub>
            <m:sSubPr>
              <m:ctrlPr>
                <w:rPr>
                  <w:rFonts w:ascii="Cambria Math" w:hAnsi="Cambria Math"/>
                  <w:i/>
                  <w:lang w:val="id-ID" w:eastAsia="en-GB"/>
                </w:rPr>
              </m:ctrlPr>
            </m:sSubPr>
            <m:e>
              <m:r>
                <w:rPr>
                  <w:rFonts w:ascii="Cambria Math" w:hAnsi="Cambria Math"/>
                  <w:lang w:val="id-ID" w:eastAsia="en-GB"/>
                </w:rPr>
                <m:t>S</m:t>
              </m:r>
            </m:e>
            <m:sub>
              <m:r>
                <w:rPr>
                  <w:rFonts w:ascii="Cambria Math" w:hAnsi="Cambria Math"/>
                  <w:lang w:val="id-ID" w:eastAsia="en-GB"/>
                </w:rPr>
                <m:t>i</m:t>
              </m:r>
            </m:sub>
          </m:sSub>
          <m:f>
            <m:fPr>
              <m:ctrlPr>
                <w:rPr>
                  <w:rFonts w:ascii="Cambria Math" w:hAnsi="Cambria Math"/>
                  <w:i/>
                  <w:lang w:val="id-ID" w:eastAsia="en-GB"/>
                </w:rPr>
              </m:ctrlPr>
            </m:fPr>
            <m:num>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i+1</m:t>
                  </m:r>
                </m:sub>
              </m:sSub>
              <m:r>
                <w:rPr>
                  <w:rFonts w:ascii="Cambria Math" w:hAnsi="Cambria Math"/>
                  <w:lang w:val="id-ID" w:eastAsia="en-GB"/>
                </w:rPr>
                <m:t>-</m:t>
              </m:r>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i-1</m:t>
                  </m:r>
                </m:sub>
              </m:sSub>
            </m:num>
            <m:den>
              <m:r>
                <w:rPr>
                  <w:rFonts w:ascii="Cambria Math" w:hAnsi="Cambria Math"/>
                  <w:lang w:val="id-ID" w:eastAsia="en-GB"/>
                </w:rPr>
                <m:t>2</m:t>
              </m:r>
              <m:r>
                <w:rPr>
                  <w:rFonts w:ascii="Cambria Math" w:hAnsi="Cambria Math"/>
                  <w:lang w:val="id-ID" w:eastAsia="en-GB"/>
                </w:rPr>
                <m:t>h</m:t>
              </m:r>
            </m:den>
          </m:f>
          <m:r>
            <w:rPr>
              <w:rFonts w:ascii="Cambria Math" w:hAnsi="Cambria Math"/>
              <w:lang w:val="id-ID" w:eastAsia="en-GB"/>
            </w:rPr>
            <m:t>-r</m:t>
          </m:r>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i</m:t>
              </m:r>
            </m:sub>
          </m:sSub>
        </m:oMath>
      </m:oMathPara>
    </w:p>
    <w:p w14:paraId="5F7DE0AB" w14:textId="15328970" w:rsidR="00A6345F" w:rsidRPr="00AD50B5" w:rsidRDefault="00A6345F" w:rsidP="00C074EC">
      <w:pPr>
        <w:jc w:val="both"/>
        <w:rPr>
          <w:rFonts w:ascii="Baskerville Old Face" w:hAnsi="Baskerville Old Face"/>
          <w:lang w:eastAsia="en-GB"/>
        </w:rPr>
      </w:pPr>
      <w:r w:rsidRPr="00AD50B5">
        <w:rPr>
          <w:rFonts w:ascii="Baskerville Old Face" w:hAnsi="Baskerville Old Face"/>
          <w:lang w:eastAsia="en-GB"/>
        </w:rPr>
        <w:t xml:space="preserve">This equation is grouped according to the coefficients of and </w:t>
      </w:r>
      <m:oMath>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i-1</m:t>
            </m:r>
          </m:sub>
        </m:sSub>
        <m:r>
          <w:rPr>
            <w:rFonts w:ascii="Cambria Math" w:hAnsi="Cambria Math"/>
            <w:lang w:val="id-ID" w:eastAsia="en-GB"/>
          </w:rPr>
          <m:t>,</m:t>
        </m:r>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i</m:t>
            </m:r>
          </m:sub>
        </m:sSub>
      </m:oMath>
      <w:r w:rsidR="009B1E03">
        <w:rPr>
          <w:rFonts w:ascii="Baskerville Old Face" w:hAnsi="Baskerville Old Face"/>
          <w:lang w:val="id-ID" w:eastAsia="en-GB"/>
        </w:rPr>
        <w:t xml:space="preserve"> and </w:t>
      </w:r>
      <m:oMath>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i+1</m:t>
            </m:r>
          </m:sub>
        </m:sSub>
      </m:oMath>
      <w:r w:rsidR="007B4E62">
        <w:rPr>
          <w:lang w:eastAsia="en-GB"/>
        </w:rPr>
        <w:t xml:space="preserve">, </w:t>
      </w:r>
      <w:r w:rsidRPr="00AD50B5">
        <w:rPr>
          <w:rFonts w:ascii="Baskerville Old Face" w:hAnsi="Baskerville Old Face"/>
          <w:lang w:eastAsia="en-GB"/>
        </w:rPr>
        <w:t>resulting in a linear system of equations:</w:t>
      </w:r>
    </w:p>
    <w:p w14:paraId="6EA4FEA4" w14:textId="65CF5F0A" w:rsidR="007B4E62" w:rsidRPr="00520E93" w:rsidRDefault="00000000" w:rsidP="007B4E62">
      <w:pPr>
        <w:ind w:left="426"/>
        <w:jc w:val="both"/>
        <w:rPr>
          <w:lang w:val="id-ID" w:eastAsia="en-GB"/>
        </w:rPr>
      </w:pPr>
      <m:oMathPara>
        <m:oMath>
          <m:f>
            <m:fPr>
              <m:ctrlPr>
                <w:rPr>
                  <w:rFonts w:ascii="Cambria Math" w:hAnsi="Cambria Math"/>
                  <w:i/>
                  <w:lang w:val="id-ID" w:eastAsia="en-GB"/>
                </w:rPr>
              </m:ctrlPr>
            </m:fPr>
            <m:num>
              <m:r>
                <w:rPr>
                  <w:rFonts w:ascii="Cambria Math" w:hAnsi="Cambria Math"/>
                  <w:lang w:val="id-ID" w:eastAsia="en-GB"/>
                </w:rPr>
                <m:t>d</m:t>
              </m:r>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i</m:t>
                  </m:r>
                </m:sub>
              </m:sSub>
            </m:num>
            <m:den>
              <m:r>
                <w:rPr>
                  <w:rFonts w:ascii="Cambria Math" w:hAnsi="Cambria Math"/>
                  <w:lang w:val="id-ID" w:eastAsia="en-GB"/>
                </w:rPr>
                <m:t>dτ</m:t>
              </m:r>
            </m:den>
          </m:f>
          <m:r>
            <w:rPr>
              <w:rFonts w:ascii="Cambria Math" w:hAnsi="Cambria Math"/>
              <w:lang w:val="id-ID" w:eastAsia="en-GB"/>
            </w:rPr>
            <m:t>=</m:t>
          </m:r>
          <m:sSub>
            <m:sSubPr>
              <m:ctrlPr>
                <w:rPr>
                  <w:rFonts w:ascii="Cambria Math" w:hAnsi="Cambria Math"/>
                  <w:i/>
                  <w:lang w:val="id-ID" w:eastAsia="en-GB"/>
                </w:rPr>
              </m:ctrlPr>
            </m:sSubPr>
            <m:e>
              <m:r>
                <w:rPr>
                  <w:rFonts w:ascii="Cambria Math" w:hAnsi="Cambria Math"/>
                  <w:lang w:val="id-ID" w:eastAsia="en-GB"/>
                </w:rPr>
                <m:t>α</m:t>
              </m:r>
            </m:e>
            <m:sub>
              <m:r>
                <w:rPr>
                  <w:rFonts w:ascii="Cambria Math" w:hAnsi="Cambria Math"/>
                  <w:lang w:val="id-ID" w:eastAsia="en-GB"/>
                </w:rPr>
                <m:t>i</m:t>
              </m:r>
            </m:sub>
          </m:sSub>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i-1</m:t>
              </m:r>
            </m:sub>
          </m:sSub>
          <m:r>
            <w:rPr>
              <w:rFonts w:ascii="Cambria Math" w:hAnsi="Cambria Math"/>
              <w:lang w:val="id-ID" w:eastAsia="en-GB"/>
            </w:rPr>
            <m:t>+</m:t>
          </m:r>
          <m:sSub>
            <m:sSubPr>
              <m:ctrlPr>
                <w:rPr>
                  <w:rFonts w:ascii="Cambria Math" w:hAnsi="Cambria Math"/>
                  <w:i/>
                  <w:lang w:val="id-ID" w:eastAsia="en-GB"/>
                </w:rPr>
              </m:ctrlPr>
            </m:sSubPr>
            <m:e>
              <m:r>
                <w:rPr>
                  <w:rFonts w:ascii="Cambria Math" w:hAnsi="Cambria Math"/>
                  <w:lang w:val="id-ID" w:eastAsia="en-GB"/>
                </w:rPr>
                <m:t>β</m:t>
              </m:r>
            </m:e>
            <m:sub>
              <m:r>
                <w:rPr>
                  <w:rFonts w:ascii="Cambria Math" w:hAnsi="Cambria Math"/>
                  <w:lang w:val="id-ID" w:eastAsia="en-GB"/>
                </w:rPr>
                <m:t>i</m:t>
              </m:r>
            </m:sub>
          </m:sSub>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i</m:t>
              </m:r>
            </m:sub>
          </m:sSub>
          <m:r>
            <w:rPr>
              <w:rFonts w:ascii="Cambria Math" w:hAnsi="Cambria Math"/>
              <w:lang w:val="id-ID" w:eastAsia="en-GB"/>
            </w:rPr>
            <m:t>+</m:t>
          </m:r>
          <m:sSub>
            <m:sSubPr>
              <m:ctrlPr>
                <w:rPr>
                  <w:rFonts w:ascii="Cambria Math" w:hAnsi="Cambria Math"/>
                  <w:i/>
                  <w:lang w:val="id-ID" w:eastAsia="en-GB"/>
                </w:rPr>
              </m:ctrlPr>
            </m:sSubPr>
            <m:e>
              <m:r>
                <w:rPr>
                  <w:rFonts w:ascii="Cambria Math" w:hAnsi="Cambria Math"/>
                  <w:lang w:val="id-ID" w:eastAsia="en-GB"/>
                </w:rPr>
                <m:t>γ</m:t>
              </m:r>
            </m:e>
            <m:sub>
              <m:r>
                <w:rPr>
                  <w:rFonts w:ascii="Cambria Math" w:hAnsi="Cambria Math"/>
                  <w:lang w:val="id-ID" w:eastAsia="en-GB"/>
                </w:rPr>
                <m:t>i</m:t>
              </m:r>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i+1</m:t>
                  </m:r>
                </m:sub>
              </m:sSub>
            </m:sub>
          </m:sSub>
        </m:oMath>
      </m:oMathPara>
    </w:p>
    <w:p w14:paraId="4AC9BF68" w14:textId="77777777" w:rsidR="007B4E62" w:rsidRPr="009C099D" w:rsidRDefault="007B4E62" w:rsidP="007B4E62">
      <w:pPr>
        <w:ind w:left="426"/>
        <w:jc w:val="both"/>
        <w:rPr>
          <w:lang w:val="id-ID" w:eastAsia="en-GB"/>
        </w:rPr>
      </w:pPr>
    </w:p>
    <w:p w14:paraId="38C0CCED" w14:textId="238440FC" w:rsidR="007B4E62" w:rsidRDefault="00A6345F" w:rsidP="00C074EC">
      <w:pPr>
        <w:jc w:val="both"/>
        <w:rPr>
          <w:lang w:val="id-ID" w:eastAsia="en-GB"/>
        </w:rPr>
      </w:pPr>
      <w:r w:rsidRPr="00AD50B5">
        <w:rPr>
          <w:rFonts w:ascii="Baskerville Old Face" w:hAnsi="Baskerville Old Face"/>
          <w:lang w:eastAsia="en-GB"/>
        </w:rPr>
        <w:t>The elements of the matrix</w:t>
      </w:r>
      <w:r w:rsidR="009B1E03">
        <w:rPr>
          <w:rFonts w:ascii="Baskerville Old Face" w:hAnsi="Baskerville Old Face"/>
          <w:lang w:eastAsia="en-GB"/>
        </w:rPr>
        <w:t xml:space="preserve"> </w:t>
      </w:r>
      <m:oMath>
        <m:r>
          <w:rPr>
            <w:rFonts w:ascii="Cambria Math" w:hAnsi="Cambria Math"/>
            <w:lang w:val="id-ID" w:eastAsia="en-GB"/>
          </w:rPr>
          <m:t>M</m:t>
        </m:r>
        <m:d>
          <m:dPr>
            <m:ctrlPr>
              <w:rPr>
                <w:rFonts w:ascii="Cambria Math" w:hAnsi="Cambria Math"/>
                <w:i/>
                <w:lang w:val="id-ID" w:eastAsia="en-GB"/>
              </w:rPr>
            </m:ctrlPr>
          </m:dPr>
          <m:e>
            <m:r>
              <w:rPr>
                <w:rFonts w:ascii="Cambria Math" w:hAnsi="Cambria Math"/>
                <w:lang w:val="id-ID" w:eastAsia="en-GB"/>
              </w:rPr>
              <m:t>τ</m:t>
            </m:r>
          </m:e>
        </m:d>
      </m:oMath>
      <w:r w:rsidRPr="00AD50B5">
        <w:rPr>
          <w:rFonts w:ascii="Baskerville Old Face" w:hAnsi="Baskerville Old Face"/>
          <w:lang w:eastAsia="en-GB"/>
        </w:rPr>
        <w:t xml:space="preserve"> consist of the following coefficients for each interior grid point</w:t>
      </w:r>
      <w:r w:rsidR="009B1E03">
        <w:rPr>
          <w:rFonts w:ascii="Baskerville Old Face" w:hAnsi="Baskerville Old Face"/>
          <w:lang w:eastAsia="en-GB"/>
        </w:rPr>
        <w:t xml:space="preserve"> </w:t>
      </w:r>
      <m:oMath>
        <m:r>
          <w:rPr>
            <w:rFonts w:ascii="Cambria Math" w:hAnsi="Cambria Math"/>
            <w:lang w:val="id-ID" w:eastAsia="en-GB"/>
          </w:rPr>
          <m:t>i</m:t>
        </m:r>
      </m:oMath>
      <w:r w:rsidRPr="00AD50B5">
        <w:rPr>
          <w:rFonts w:ascii="Baskerville Old Face" w:hAnsi="Baskerville Old Face"/>
          <w:lang w:eastAsia="en-GB"/>
        </w:rPr>
        <w:t xml:space="preserve"> :</w:t>
      </w:r>
      <m:oMath>
        <m:r>
          <w:rPr>
            <w:rFonts w:ascii="Cambria Math" w:hAnsi="Cambria Math"/>
            <w:lang w:val="id-ID" w:eastAsia="en-GB"/>
          </w:rPr>
          <m:t xml:space="preserve"> </m:t>
        </m:r>
      </m:oMath>
    </w:p>
    <w:p w14:paraId="57827943" w14:textId="77777777" w:rsidR="007B4E62" w:rsidRPr="004B3162" w:rsidRDefault="00000000" w:rsidP="00C074EC">
      <w:pPr>
        <w:jc w:val="both"/>
        <w:rPr>
          <w:lang w:val="id-ID" w:eastAsia="en-GB"/>
        </w:rPr>
      </w:pPr>
      <m:oMathPara>
        <m:oMathParaPr>
          <m:jc m:val="left"/>
        </m:oMathParaPr>
        <m:oMath>
          <m:sSub>
            <m:sSubPr>
              <m:ctrlPr>
                <w:rPr>
                  <w:rFonts w:ascii="Cambria Math" w:hAnsi="Cambria Math"/>
                  <w:i/>
                  <w:lang w:val="id-ID" w:eastAsia="en-GB"/>
                </w:rPr>
              </m:ctrlPr>
            </m:sSubPr>
            <m:e>
              <m:r>
                <w:rPr>
                  <w:rFonts w:ascii="Cambria Math" w:hAnsi="Cambria Math"/>
                  <w:lang w:val="id-ID" w:eastAsia="en-GB"/>
                </w:rPr>
                <m:t>a</m:t>
              </m:r>
            </m:e>
            <m:sub>
              <m:r>
                <w:rPr>
                  <w:rFonts w:ascii="Cambria Math" w:hAnsi="Cambria Math"/>
                  <w:lang w:val="id-ID" w:eastAsia="en-GB"/>
                </w:rPr>
                <m:t>i</m:t>
              </m:r>
            </m:sub>
          </m:sSub>
          <m:r>
            <w:rPr>
              <w:rFonts w:ascii="Cambria Math" w:hAnsi="Cambria Math"/>
              <w:lang w:val="id-ID" w:eastAsia="en-GB"/>
            </w:rPr>
            <m:t>=</m:t>
          </m:r>
          <m:f>
            <m:fPr>
              <m:ctrlPr>
                <w:rPr>
                  <w:rFonts w:ascii="Cambria Math" w:hAnsi="Cambria Math"/>
                  <w:i/>
                  <w:lang w:val="id-ID" w:eastAsia="en-GB"/>
                </w:rPr>
              </m:ctrlPr>
            </m:fPr>
            <m:num>
              <m:sSubSup>
                <m:sSubSupPr>
                  <m:ctrlPr>
                    <w:rPr>
                      <w:rFonts w:ascii="Cambria Math" w:hAnsi="Cambria Math"/>
                      <w:i/>
                      <w:lang w:val="id-ID" w:eastAsia="en-GB"/>
                    </w:rPr>
                  </m:ctrlPr>
                </m:sSubSupPr>
                <m:e>
                  <m:r>
                    <w:rPr>
                      <w:rFonts w:ascii="Cambria Math" w:hAnsi="Cambria Math"/>
                      <w:lang w:val="id-ID" w:eastAsia="en-GB"/>
                    </w:rPr>
                    <m:t>σ</m:t>
                  </m:r>
                </m:e>
                <m:sub>
                  <m:r>
                    <w:rPr>
                      <w:rFonts w:ascii="Cambria Math" w:hAnsi="Cambria Math"/>
                      <w:lang w:val="id-ID" w:eastAsia="en-GB"/>
                    </w:rPr>
                    <m:t>i</m:t>
                  </m:r>
                </m:sub>
                <m:sup>
                  <m:r>
                    <w:rPr>
                      <w:rFonts w:ascii="Cambria Math" w:hAnsi="Cambria Math"/>
                      <w:lang w:val="id-ID" w:eastAsia="en-GB"/>
                    </w:rPr>
                    <m:t>2</m:t>
                  </m:r>
                </m:sup>
              </m:sSubSup>
              <m:sSubSup>
                <m:sSubSupPr>
                  <m:ctrlPr>
                    <w:rPr>
                      <w:rFonts w:ascii="Cambria Math" w:hAnsi="Cambria Math"/>
                      <w:i/>
                      <w:lang w:val="id-ID" w:eastAsia="en-GB"/>
                    </w:rPr>
                  </m:ctrlPr>
                </m:sSubSupPr>
                <m:e>
                  <m:r>
                    <w:rPr>
                      <w:rFonts w:ascii="Cambria Math" w:hAnsi="Cambria Math"/>
                      <w:lang w:val="id-ID" w:eastAsia="en-GB"/>
                    </w:rPr>
                    <m:t>s</m:t>
                  </m:r>
                </m:e>
                <m:sub>
                  <m:r>
                    <w:rPr>
                      <w:rFonts w:ascii="Cambria Math" w:hAnsi="Cambria Math"/>
                      <w:lang w:val="id-ID" w:eastAsia="en-GB"/>
                    </w:rPr>
                    <m:t>i</m:t>
                  </m:r>
                </m:sub>
                <m:sup>
                  <m:r>
                    <w:rPr>
                      <w:rFonts w:ascii="Cambria Math" w:hAnsi="Cambria Math"/>
                      <w:lang w:val="id-ID" w:eastAsia="en-GB"/>
                    </w:rPr>
                    <m:t>2</m:t>
                  </m:r>
                </m:sup>
              </m:sSubSup>
            </m:num>
            <m:den>
              <m:r>
                <w:rPr>
                  <w:rFonts w:ascii="Cambria Math" w:hAnsi="Cambria Math"/>
                  <w:lang w:val="id-ID" w:eastAsia="en-GB"/>
                </w:rPr>
                <m:t>2</m:t>
              </m:r>
              <m:sSup>
                <m:sSupPr>
                  <m:ctrlPr>
                    <w:rPr>
                      <w:rFonts w:ascii="Cambria Math" w:hAnsi="Cambria Math"/>
                      <w:i/>
                      <w:lang w:val="id-ID" w:eastAsia="en-GB"/>
                    </w:rPr>
                  </m:ctrlPr>
                </m:sSupPr>
                <m:e>
                  <m:r>
                    <w:rPr>
                      <w:rFonts w:ascii="Cambria Math" w:hAnsi="Cambria Math"/>
                      <w:lang w:val="id-ID" w:eastAsia="en-GB"/>
                    </w:rPr>
                    <m:t>h</m:t>
                  </m:r>
                </m:e>
                <m:sup>
                  <m:r>
                    <w:rPr>
                      <w:rFonts w:ascii="Cambria Math" w:hAnsi="Cambria Math"/>
                      <w:lang w:val="id-ID" w:eastAsia="en-GB"/>
                    </w:rPr>
                    <m:t>2</m:t>
                  </m:r>
                </m:sup>
              </m:sSup>
            </m:den>
          </m:f>
          <m:r>
            <w:rPr>
              <w:rFonts w:ascii="Cambria Math" w:hAnsi="Cambria Math"/>
              <w:lang w:val="id-ID" w:eastAsia="en-GB"/>
            </w:rPr>
            <m:t>-</m:t>
          </m:r>
          <m:f>
            <m:fPr>
              <m:ctrlPr>
                <w:rPr>
                  <w:rFonts w:ascii="Cambria Math" w:hAnsi="Cambria Math"/>
                  <w:i/>
                  <w:lang w:val="id-ID" w:eastAsia="en-GB"/>
                </w:rPr>
              </m:ctrlPr>
            </m:fPr>
            <m:num>
              <m:sSub>
                <m:sSubPr>
                  <m:ctrlPr>
                    <w:rPr>
                      <w:rFonts w:ascii="Cambria Math" w:hAnsi="Cambria Math"/>
                      <w:i/>
                      <w:lang w:val="id-ID" w:eastAsia="en-GB"/>
                    </w:rPr>
                  </m:ctrlPr>
                </m:sSubPr>
                <m:e>
                  <m:r>
                    <w:rPr>
                      <w:rFonts w:ascii="Cambria Math" w:hAnsi="Cambria Math"/>
                      <w:lang w:val="id-ID" w:eastAsia="en-GB"/>
                    </w:rPr>
                    <m:t>rS</m:t>
                  </m:r>
                </m:e>
                <m:sub>
                  <m:r>
                    <w:rPr>
                      <w:rFonts w:ascii="Cambria Math" w:hAnsi="Cambria Math"/>
                      <w:lang w:val="id-ID" w:eastAsia="en-GB"/>
                    </w:rPr>
                    <m:t>i</m:t>
                  </m:r>
                </m:sub>
              </m:sSub>
            </m:num>
            <m:den>
              <m:r>
                <w:rPr>
                  <w:rFonts w:ascii="Cambria Math" w:hAnsi="Cambria Math"/>
                  <w:lang w:val="id-ID" w:eastAsia="en-GB"/>
                </w:rPr>
                <m:t>2</m:t>
              </m:r>
              <m:r>
                <w:rPr>
                  <w:rFonts w:ascii="Cambria Math" w:hAnsi="Cambria Math"/>
                  <w:lang w:val="id-ID" w:eastAsia="en-GB"/>
                </w:rPr>
                <m:t>h</m:t>
              </m:r>
            </m:den>
          </m:f>
        </m:oMath>
      </m:oMathPara>
    </w:p>
    <w:p w14:paraId="4372DF06" w14:textId="77777777" w:rsidR="007B4E62" w:rsidRPr="00E8420C" w:rsidRDefault="00000000" w:rsidP="00C074EC">
      <w:pPr>
        <w:jc w:val="both"/>
        <w:rPr>
          <w:lang w:val="id-ID" w:eastAsia="en-GB"/>
        </w:rPr>
      </w:pPr>
      <m:oMathPara>
        <m:oMathParaPr>
          <m:jc m:val="left"/>
        </m:oMathParaPr>
        <m:oMath>
          <m:sSub>
            <m:sSubPr>
              <m:ctrlPr>
                <w:rPr>
                  <w:rFonts w:ascii="Cambria Math" w:hAnsi="Cambria Math"/>
                  <w:i/>
                  <w:lang w:val="id-ID" w:eastAsia="en-GB"/>
                </w:rPr>
              </m:ctrlPr>
            </m:sSubPr>
            <m:e>
              <m:r>
                <w:rPr>
                  <w:rFonts w:ascii="Cambria Math" w:hAnsi="Cambria Math"/>
                  <w:lang w:val="id-ID" w:eastAsia="en-GB"/>
                </w:rPr>
                <m:t>β</m:t>
              </m:r>
            </m:e>
            <m:sub>
              <m:r>
                <w:rPr>
                  <w:rFonts w:ascii="Cambria Math" w:hAnsi="Cambria Math"/>
                  <w:lang w:val="id-ID" w:eastAsia="en-GB"/>
                </w:rPr>
                <m:t>i</m:t>
              </m:r>
            </m:sub>
          </m:sSub>
          <m:r>
            <w:rPr>
              <w:rFonts w:ascii="Cambria Math" w:hAnsi="Cambria Math"/>
              <w:lang w:val="id-ID" w:eastAsia="en-GB"/>
            </w:rPr>
            <m:t>=-</m:t>
          </m:r>
          <m:f>
            <m:fPr>
              <m:ctrlPr>
                <w:rPr>
                  <w:rFonts w:ascii="Cambria Math" w:hAnsi="Cambria Math"/>
                  <w:i/>
                  <w:lang w:val="id-ID" w:eastAsia="en-GB"/>
                </w:rPr>
              </m:ctrlPr>
            </m:fPr>
            <m:num>
              <m:sSubSup>
                <m:sSubSupPr>
                  <m:ctrlPr>
                    <w:rPr>
                      <w:rFonts w:ascii="Cambria Math" w:hAnsi="Cambria Math"/>
                      <w:i/>
                      <w:lang w:val="id-ID" w:eastAsia="en-GB"/>
                    </w:rPr>
                  </m:ctrlPr>
                </m:sSubSupPr>
                <m:e>
                  <m:r>
                    <w:rPr>
                      <w:rFonts w:ascii="Cambria Math" w:hAnsi="Cambria Math"/>
                      <w:lang w:val="id-ID" w:eastAsia="en-GB"/>
                    </w:rPr>
                    <m:t>σ</m:t>
                  </m:r>
                </m:e>
                <m:sub>
                  <m:r>
                    <w:rPr>
                      <w:rFonts w:ascii="Cambria Math" w:hAnsi="Cambria Math"/>
                      <w:lang w:val="id-ID" w:eastAsia="en-GB"/>
                    </w:rPr>
                    <m:t>i</m:t>
                  </m:r>
                </m:sub>
                <m:sup>
                  <m:r>
                    <w:rPr>
                      <w:rFonts w:ascii="Cambria Math" w:hAnsi="Cambria Math"/>
                      <w:lang w:val="id-ID" w:eastAsia="en-GB"/>
                    </w:rPr>
                    <m:t>2</m:t>
                  </m:r>
                </m:sup>
              </m:sSubSup>
              <m:sSubSup>
                <m:sSubSupPr>
                  <m:ctrlPr>
                    <w:rPr>
                      <w:rFonts w:ascii="Cambria Math" w:hAnsi="Cambria Math"/>
                      <w:i/>
                      <w:lang w:val="id-ID" w:eastAsia="en-GB"/>
                    </w:rPr>
                  </m:ctrlPr>
                </m:sSubSupPr>
                <m:e>
                  <m:r>
                    <w:rPr>
                      <w:rFonts w:ascii="Cambria Math" w:hAnsi="Cambria Math"/>
                      <w:lang w:val="id-ID" w:eastAsia="en-GB"/>
                    </w:rPr>
                    <m:t>s</m:t>
                  </m:r>
                </m:e>
                <m:sub>
                  <m:r>
                    <w:rPr>
                      <w:rFonts w:ascii="Cambria Math" w:hAnsi="Cambria Math"/>
                      <w:lang w:val="id-ID" w:eastAsia="en-GB"/>
                    </w:rPr>
                    <m:t>i</m:t>
                  </m:r>
                </m:sub>
                <m:sup>
                  <m:r>
                    <w:rPr>
                      <w:rFonts w:ascii="Cambria Math" w:hAnsi="Cambria Math"/>
                      <w:lang w:val="id-ID" w:eastAsia="en-GB"/>
                    </w:rPr>
                    <m:t>2</m:t>
                  </m:r>
                </m:sup>
              </m:sSubSup>
            </m:num>
            <m:den>
              <m:sSup>
                <m:sSupPr>
                  <m:ctrlPr>
                    <w:rPr>
                      <w:rFonts w:ascii="Cambria Math" w:hAnsi="Cambria Math"/>
                      <w:i/>
                      <w:lang w:val="id-ID" w:eastAsia="en-GB"/>
                    </w:rPr>
                  </m:ctrlPr>
                </m:sSupPr>
                <m:e>
                  <m:r>
                    <w:rPr>
                      <w:rFonts w:ascii="Cambria Math" w:hAnsi="Cambria Math"/>
                      <w:lang w:val="id-ID" w:eastAsia="en-GB"/>
                    </w:rPr>
                    <m:t>h</m:t>
                  </m:r>
                </m:e>
                <m:sup>
                  <m:r>
                    <w:rPr>
                      <w:rFonts w:ascii="Cambria Math" w:hAnsi="Cambria Math"/>
                      <w:lang w:val="id-ID" w:eastAsia="en-GB"/>
                    </w:rPr>
                    <m:t>2</m:t>
                  </m:r>
                </m:sup>
              </m:sSup>
            </m:den>
          </m:f>
          <m:r>
            <w:rPr>
              <w:rFonts w:ascii="Cambria Math" w:hAnsi="Cambria Math"/>
              <w:lang w:val="id-ID" w:eastAsia="en-GB"/>
            </w:rPr>
            <m:t>-r</m:t>
          </m:r>
        </m:oMath>
      </m:oMathPara>
    </w:p>
    <w:p w14:paraId="28E2C14C" w14:textId="77777777" w:rsidR="007B4E62" w:rsidRPr="00D00014" w:rsidRDefault="00000000" w:rsidP="00C074EC">
      <w:pPr>
        <w:jc w:val="both"/>
        <w:rPr>
          <w:lang w:val="id-ID" w:eastAsia="en-GB"/>
        </w:rPr>
      </w:pPr>
      <m:oMathPara>
        <m:oMathParaPr>
          <m:jc m:val="left"/>
        </m:oMathParaPr>
        <m:oMath>
          <m:sSub>
            <m:sSubPr>
              <m:ctrlPr>
                <w:rPr>
                  <w:rFonts w:ascii="Cambria Math" w:hAnsi="Cambria Math"/>
                  <w:i/>
                  <w:lang w:val="id-ID" w:eastAsia="en-GB"/>
                </w:rPr>
              </m:ctrlPr>
            </m:sSubPr>
            <m:e>
              <m:r>
                <w:rPr>
                  <w:rFonts w:ascii="Cambria Math" w:hAnsi="Cambria Math"/>
                  <w:lang w:val="id-ID" w:eastAsia="en-GB"/>
                </w:rPr>
                <m:t>γ</m:t>
              </m:r>
            </m:e>
            <m:sub>
              <m:r>
                <w:rPr>
                  <w:rFonts w:ascii="Cambria Math" w:hAnsi="Cambria Math"/>
                  <w:lang w:val="id-ID" w:eastAsia="en-GB"/>
                </w:rPr>
                <m:t>i</m:t>
              </m:r>
            </m:sub>
          </m:sSub>
          <m:r>
            <w:rPr>
              <w:rFonts w:ascii="Cambria Math" w:hAnsi="Cambria Math"/>
              <w:lang w:val="id-ID" w:eastAsia="en-GB"/>
            </w:rPr>
            <m:t>=</m:t>
          </m:r>
          <m:f>
            <m:fPr>
              <m:ctrlPr>
                <w:rPr>
                  <w:rFonts w:ascii="Cambria Math" w:hAnsi="Cambria Math"/>
                  <w:i/>
                  <w:lang w:val="id-ID" w:eastAsia="en-GB"/>
                </w:rPr>
              </m:ctrlPr>
            </m:fPr>
            <m:num>
              <m:sSubSup>
                <m:sSubSupPr>
                  <m:ctrlPr>
                    <w:rPr>
                      <w:rFonts w:ascii="Cambria Math" w:hAnsi="Cambria Math"/>
                      <w:i/>
                      <w:lang w:val="id-ID" w:eastAsia="en-GB"/>
                    </w:rPr>
                  </m:ctrlPr>
                </m:sSubSupPr>
                <m:e>
                  <m:r>
                    <w:rPr>
                      <w:rFonts w:ascii="Cambria Math" w:hAnsi="Cambria Math"/>
                      <w:lang w:val="id-ID" w:eastAsia="en-GB"/>
                    </w:rPr>
                    <m:t>σ</m:t>
                  </m:r>
                </m:e>
                <m:sub>
                  <m:r>
                    <w:rPr>
                      <w:rFonts w:ascii="Cambria Math" w:hAnsi="Cambria Math"/>
                      <w:lang w:val="id-ID" w:eastAsia="en-GB"/>
                    </w:rPr>
                    <m:t>i</m:t>
                  </m:r>
                </m:sub>
                <m:sup>
                  <m:r>
                    <w:rPr>
                      <w:rFonts w:ascii="Cambria Math" w:hAnsi="Cambria Math"/>
                      <w:lang w:val="id-ID" w:eastAsia="en-GB"/>
                    </w:rPr>
                    <m:t>2</m:t>
                  </m:r>
                </m:sup>
              </m:sSubSup>
              <m:sSubSup>
                <m:sSubSupPr>
                  <m:ctrlPr>
                    <w:rPr>
                      <w:rFonts w:ascii="Cambria Math" w:hAnsi="Cambria Math"/>
                      <w:i/>
                      <w:lang w:val="id-ID" w:eastAsia="en-GB"/>
                    </w:rPr>
                  </m:ctrlPr>
                </m:sSubSupPr>
                <m:e>
                  <m:r>
                    <w:rPr>
                      <w:rFonts w:ascii="Cambria Math" w:hAnsi="Cambria Math"/>
                      <w:lang w:val="id-ID" w:eastAsia="en-GB"/>
                    </w:rPr>
                    <m:t>s</m:t>
                  </m:r>
                </m:e>
                <m:sub>
                  <m:r>
                    <w:rPr>
                      <w:rFonts w:ascii="Cambria Math" w:hAnsi="Cambria Math"/>
                      <w:lang w:val="id-ID" w:eastAsia="en-GB"/>
                    </w:rPr>
                    <m:t>i</m:t>
                  </m:r>
                </m:sub>
                <m:sup>
                  <m:r>
                    <w:rPr>
                      <w:rFonts w:ascii="Cambria Math" w:hAnsi="Cambria Math"/>
                      <w:lang w:val="id-ID" w:eastAsia="en-GB"/>
                    </w:rPr>
                    <m:t>2</m:t>
                  </m:r>
                </m:sup>
              </m:sSubSup>
            </m:num>
            <m:den>
              <m:r>
                <w:rPr>
                  <w:rFonts w:ascii="Cambria Math" w:hAnsi="Cambria Math"/>
                  <w:lang w:val="id-ID" w:eastAsia="en-GB"/>
                </w:rPr>
                <m:t>2</m:t>
              </m:r>
              <m:sSup>
                <m:sSupPr>
                  <m:ctrlPr>
                    <w:rPr>
                      <w:rFonts w:ascii="Cambria Math" w:hAnsi="Cambria Math"/>
                      <w:i/>
                      <w:lang w:val="id-ID" w:eastAsia="en-GB"/>
                    </w:rPr>
                  </m:ctrlPr>
                </m:sSupPr>
                <m:e>
                  <m:r>
                    <w:rPr>
                      <w:rFonts w:ascii="Cambria Math" w:hAnsi="Cambria Math"/>
                      <w:lang w:val="id-ID" w:eastAsia="en-GB"/>
                    </w:rPr>
                    <m:t>h</m:t>
                  </m:r>
                </m:e>
                <m:sup>
                  <m:r>
                    <w:rPr>
                      <w:rFonts w:ascii="Cambria Math" w:hAnsi="Cambria Math"/>
                      <w:lang w:val="id-ID" w:eastAsia="en-GB"/>
                    </w:rPr>
                    <m:t>2</m:t>
                  </m:r>
                </m:sup>
              </m:sSup>
            </m:den>
          </m:f>
          <m:r>
            <w:rPr>
              <w:rFonts w:ascii="Cambria Math" w:hAnsi="Cambria Math"/>
              <w:lang w:val="id-ID" w:eastAsia="en-GB"/>
            </w:rPr>
            <m:t>-</m:t>
          </m:r>
          <m:f>
            <m:fPr>
              <m:ctrlPr>
                <w:rPr>
                  <w:rFonts w:ascii="Cambria Math" w:hAnsi="Cambria Math"/>
                  <w:i/>
                  <w:lang w:val="id-ID" w:eastAsia="en-GB"/>
                </w:rPr>
              </m:ctrlPr>
            </m:fPr>
            <m:num>
              <m:sSub>
                <m:sSubPr>
                  <m:ctrlPr>
                    <w:rPr>
                      <w:rFonts w:ascii="Cambria Math" w:hAnsi="Cambria Math"/>
                      <w:i/>
                      <w:lang w:val="id-ID" w:eastAsia="en-GB"/>
                    </w:rPr>
                  </m:ctrlPr>
                </m:sSubPr>
                <m:e>
                  <m:r>
                    <w:rPr>
                      <w:rFonts w:ascii="Cambria Math" w:hAnsi="Cambria Math"/>
                      <w:lang w:val="id-ID" w:eastAsia="en-GB"/>
                    </w:rPr>
                    <m:t>rS</m:t>
                  </m:r>
                </m:e>
                <m:sub>
                  <m:r>
                    <w:rPr>
                      <w:rFonts w:ascii="Cambria Math" w:hAnsi="Cambria Math"/>
                      <w:lang w:val="id-ID" w:eastAsia="en-GB"/>
                    </w:rPr>
                    <m:t>i</m:t>
                  </m:r>
                </m:sub>
              </m:sSub>
            </m:num>
            <m:den>
              <m:r>
                <w:rPr>
                  <w:rFonts w:ascii="Cambria Math" w:hAnsi="Cambria Math"/>
                  <w:lang w:val="id-ID" w:eastAsia="en-GB"/>
                </w:rPr>
                <m:t>2</m:t>
              </m:r>
              <m:r>
                <w:rPr>
                  <w:rFonts w:ascii="Cambria Math" w:hAnsi="Cambria Math"/>
                  <w:lang w:val="id-ID" w:eastAsia="en-GB"/>
                </w:rPr>
                <m:t>h</m:t>
              </m:r>
            </m:den>
          </m:f>
        </m:oMath>
      </m:oMathPara>
    </w:p>
    <w:p w14:paraId="6D0A5608" w14:textId="77777777" w:rsidR="007B4E62" w:rsidRDefault="007B4E62" w:rsidP="007B4E62">
      <w:pPr>
        <w:jc w:val="both"/>
        <w:rPr>
          <w:lang w:val="id-ID" w:eastAsia="en-GB"/>
        </w:rPr>
      </w:pPr>
    </w:p>
    <w:p w14:paraId="22D5CFD7" w14:textId="77777777" w:rsidR="00C074EC" w:rsidRDefault="00A6345F" w:rsidP="00C074EC">
      <w:pPr>
        <w:jc w:val="both"/>
        <w:rPr>
          <w:rFonts w:ascii="Baskerville Old Face" w:hAnsi="Baskerville Old Face"/>
          <w:lang w:val="id-ID" w:eastAsia="en-GB"/>
        </w:rPr>
      </w:pPr>
      <w:r w:rsidRPr="00AD50B5">
        <w:rPr>
          <w:rFonts w:ascii="Baskerville Old Face" w:hAnsi="Baskerville Old Face"/>
          <w:lang w:eastAsia="en-GB"/>
        </w:rPr>
        <w:t>In matrix form, this system can be written as:</w:t>
      </w:r>
    </w:p>
    <w:p w14:paraId="0FB829CA" w14:textId="466B70DE" w:rsidR="007B4E62" w:rsidRPr="00C074EC" w:rsidRDefault="00000000" w:rsidP="00C074EC">
      <w:pPr>
        <w:spacing w:before="240"/>
        <w:jc w:val="both"/>
        <w:rPr>
          <w:rFonts w:ascii="Baskerville Old Face" w:hAnsi="Baskerville Old Face"/>
          <w:lang w:val="id-ID" w:eastAsia="en-GB"/>
        </w:rPr>
      </w:pPr>
      <m:oMathPara>
        <m:oMath>
          <m:f>
            <m:fPr>
              <m:ctrlPr>
                <w:rPr>
                  <w:rFonts w:ascii="Cambria Math" w:hAnsi="Cambria Math"/>
                  <w:i/>
                  <w:lang w:val="id-ID" w:eastAsia="en-GB"/>
                </w:rPr>
              </m:ctrlPr>
            </m:fPr>
            <m:num>
              <m:r>
                <w:rPr>
                  <w:rFonts w:ascii="Cambria Math" w:hAnsi="Cambria Math"/>
                  <w:lang w:val="id-ID" w:eastAsia="en-GB"/>
                </w:rPr>
                <m:t>du(τ)</m:t>
              </m:r>
            </m:num>
            <m:den>
              <m:r>
                <w:rPr>
                  <w:rFonts w:ascii="Cambria Math" w:hAnsi="Cambria Math"/>
                  <w:lang w:val="id-ID" w:eastAsia="en-GB"/>
                </w:rPr>
                <m:t>dτ</m:t>
              </m:r>
            </m:den>
          </m:f>
          <m:r>
            <w:rPr>
              <w:rFonts w:ascii="Cambria Math" w:hAnsi="Cambria Math"/>
              <w:lang w:val="id-ID" w:eastAsia="en-GB"/>
            </w:rPr>
            <m:t>=M</m:t>
          </m:r>
          <m:d>
            <m:dPr>
              <m:ctrlPr>
                <w:rPr>
                  <w:rFonts w:ascii="Cambria Math" w:hAnsi="Cambria Math"/>
                  <w:i/>
                  <w:lang w:val="id-ID" w:eastAsia="en-GB"/>
                </w:rPr>
              </m:ctrlPr>
            </m:dPr>
            <m:e>
              <m:r>
                <w:rPr>
                  <w:rFonts w:ascii="Cambria Math" w:hAnsi="Cambria Math"/>
                  <w:lang w:val="id-ID" w:eastAsia="en-GB"/>
                </w:rPr>
                <m:t>τ</m:t>
              </m:r>
            </m:e>
          </m:d>
          <m:r>
            <w:rPr>
              <w:rFonts w:ascii="Cambria Math" w:hAnsi="Cambria Math"/>
              <w:lang w:val="id-ID" w:eastAsia="en-GB"/>
            </w:rPr>
            <m:t>u</m:t>
          </m:r>
          <m:d>
            <m:dPr>
              <m:ctrlPr>
                <w:rPr>
                  <w:rFonts w:ascii="Cambria Math" w:hAnsi="Cambria Math"/>
                  <w:i/>
                  <w:lang w:val="id-ID" w:eastAsia="en-GB"/>
                </w:rPr>
              </m:ctrlPr>
            </m:dPr>
            <m:e>
              <m:r>
                <w:rPr>
                  <w:rFonts w:ascii="Cambria Math" w:hAnsi="Cambria Math"/>
                  <w:lang w:val="id-ID" w:eastAsia="en-GB"/>
                </w:rPr>
                <m:t>τ</m:t>
              </m:r>
            </m:e>
          </m:d>
          <m:r>
            <w:rPr>
              <w:rFonts w:ascii="Cambria Math" w:hAnsi="Cambria Math"/>
              <w:lang w:val="id-ID" w:eastAsia="en-GB"/>
            </w:rPr>
            <m:t>+w(τ)</m:t>
          </m:r>
        </m:oMath>
      </m:oMathPara>
    </w:p>
    <w:p w14:paraId="2727E02F" w14:textId="77777777" w:rsidR="007B4E62" w:rsidRDefault="007B4E62" w:rsidP="007B4E62">
      <w:pPr>
        <w:ind w:left="426"/>
        <w:jc w:val="both"/>
        <w:rPr>
          <w:lang w:val="id-ID" w:eastAsia="en-GB"/>
        </w:rPr>
      </w:pPr>
    </w:p>
    <w:p w14:paraId="3FD03A16" w14:textId="590C0454" w:rsidR="007B4E62" w:rsidRPr="00AD50B5" w:rsidRDefault="00A6345F" w:rsidP="00C074EC">
      <w:pPr>
        <w:jc w:val="both"/>
        <w:rPr>
          <w:rFonts w:ascii="Baskerville Old Face" w:hAnsi="Baskerville Old Face"/>
          <w:lang w:val="id-ID" w:eastAsia="en-GB"/>
        </w:rPr>
      </w:pPr>
      <w:r w:rsidRPr="00AD50B5">
        <w:rPr>
          <w:rFonts w:ascii="Baskerville Old Face" w:hAnsi="Baskerville Old Face"/>
          <w:lang w:eastAsia="en-GB"/>
        </w:rPr>
        <w:t>Here</w:t>
      </w:r>
      <w:r w:rsidR="009B1E03">
        <w:rPr>
          <w:rFonts w:ascii="Baskerville Old Face" w:hAnsi="Baskerville Old Face"/>
          <w:lang w:eastAsia="en-GB"/>
        </w:rPr>
        <w:t xml:space="preserve"> </w:t>
      </w:r>
      <m:oMath>
        <m:r>
          <w:rPr>
            <w:rFonts w:ascii="Cambria Math" w:hAnsi="Cambria Math"/>
            <w:lang w:val="id-ID" w:eastAsia="en-GB"/>
          </w:rPr>
          <m:t>M</m:t>
        </m:r>
        <m:d>
          <m:dPr>
            <m:ctrlPr>
              <w:rPr>
                <w:rFonts w:ascii="Cambria Math" w:hAnsi="Cambria Math"/>
                <w:i/>
                <w:lang w:val="id-ID" w:eastAsia="en-GB"/>
              </w:rPr>
            </m:ctrlPr>
          </m:dPr>
          <m:e>
            <m:r>
              <w:rPr>
                <w:rFonts w:ascii="Cambria Math" w:hAnsi="Cambria Math"/>
                <w:lang w:val="id-ID" w:eastAsia="en-GB"/>
              </w:rPr>
              <m:t>τ</m:t>
            </m:r>
          </m:e>
        </m:d>
      </m:oMath>
      <w:r w:rsidRPr="00AD50B5">
        <w:rPr>
          <w:rFonts w:ascii="Baskerville Old Face" w:hAnsi="Baskerville Old Face"/>
          <w:lang w:eastAsia="en-GB"/>
        </w:rPr>
        <w:t xml:space="preserve"> is a tridiagonal matrix that depends on the current volatility solution, with </w:t>
      </w:r>
      <m:oMath>
        <m:r>
          <w:rPr>
            <w:rFonts w:ascii="Cambria Math" w:hAnsi="Cambria Math"/>
            <w:lang w:val="id-ID" w:eastAsia="en-GB"/>
          </w:rPr>
          <m:t>u</m:t>
        </m:r>
        <m:d>
          <m:dPr>
            <m:ctrlPr>
              <w:rPr>
                <w:rFonts w:ascii="Cambria Math" w:hAnsi="Cambria Math"/>
                <w:i/>
                <w:lang w:val="id-ID" w:eastAsia="en-GB"/>
              </w:rPr>
            </m:ctrlPr>
          </m:dPr>
          <m:e>
            <m:r>
              <w:rPr>
                <w:rFonts w:ascii="Cambria Math" w:hAnsi="Cambria Math"/>
                <w:lang w:val="id-ID" w:eastAsia="en-GB"/>
              </w:rPr>
              <m:t>τ</m:t>
            </m:r>
          </m:e>
        </m:d>
        <m:r>
          <w:rPr>
            <w:rFonts w:ascii="Cambria Math" w:hAnsi="Cambria Math"/>
            <w:lang w:val="id-ID" w:eastAsia="en-GB"/>
          </w:rPr>
          <m:t>=</m:t>
        </m:r>
        <m:sSup>
          <m:sSupPr>
            <m:ctrlPr>
              <w:rPr>
                <w:rFonts w:ascii="Cambria Math" w:hAnsi="Cambria Math"/>
                <w:i/>
                <w:lang w:val="id-ID" w:eastAsia="en-GB"/>
              </w:rPr>
            </m:ctrlPr>
          </m:sSupPr>
          <m:e>
            <m:r>
              <w:rPr>
                <w:rFonts w:ascii="Cambria Math" w:hAnsi="Cambria Math"/>
                <w:lang w:val="id-ID" w:eastAsia="en-GB"/>
              </w:rPr>
              <m:t>(</m:t>
            </m:r>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1</m:t>
                </m:r>
              </m:sub>
            </m:sSub>
            <m:d>
              <m:dPr>
                <m:ctrlPr>
                  <w:rPr>
                    <w:rFonts w:ascii="Cambria Math" w:hAnsi="Cambria Math"/>
                    <w:i/>
                    <w:lang w:val="id-ID" w:eastAsia="en-GB"/>
                  </w:rPr>
                </m:ctrlPr>
              </m:dPr>
              <m:e>
                <m:r>
                  <w:rPr>
                    <w:rFonts w:ascii="Cambria Math" w:hAnsi="Cambria Math"/>
                    <w:lang w:val="id-ID" w:eastAsia="en-GB"/>
                  </w:rPr>
                  <m:t>τ</m:t>
                </m:r>
              </m:e>
            </m:d>
            <m:r>
              <w:rPr>
                <w:rFonts w:ascii="Cambria Math" w:hAnsi="Cambria Math"/>
                <w:lang w:val="id-ID" w:eastAsia="en-GB"/>
              </w:rPr>
              <m:t xml:space="preserve">,… , </m:t>
            </m:r>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N-1</m:t>
                </m:r>
              </m:sub>
            </m:sSub>
            <m:d>
              <m:dPr>
                <m:ctrlPr>
                  <w:rPr>
                    <w:rFonts w:ascii="Cambria Math" w:hAnsi="Cambria Math"/>
                    <w:i/>
                    <w:lang w:val="id-ID" w:eastAsia="en-GB"/>
                  </w:rPr>
                </m:ctrlPr>
              </m:dPr>
              <m:e>
                <m:r>
                  <w:rPr>
                    <w:rFonts w:ascii="Cambria Math" w:hAnsi="Cambria Math"/>
                    <w:lang w:val="id-ID" w:eastAsia="en-GB"/>
                  </w:rPr>
                  <m:t>τ</m:t>
                </m:r>
              </m:e>
            </m:d>
            <m:r>
              <w:rPr>
                <w:rFonts w:ascii="Cambria Math" w:hAnsi="Cambria Math"/>
                <w:lang w:val="id-ID" w:eastAsia="en-GB"/>
              </w:rPr>
              <m:t>)</m:t>
            </m:r>
          </m:e>
          <m:sup>
            <m:r>
              <w:rPr>
                <w:rFonts w:ascii="Cambria Math" w:hAnsi="Cambria Math"/>
                <w:lang w:val="id-ID" w:eastAsia="en-GB"/>
              </w:rPr>
              <m:t>T</m:t>
            </m:r>
          </m:sup>
        </m:sSup>
      </m:oMath>
      <w:r w:rsidR="009B1E03">
        <w:rPr>
          <w:rFonts w:ascii="Baskerville Old Face" w:hAnsi="Baskerville Old Face"/>
          <w:lang w:val="id-ID" w:eastAsia="en-GB"/>
        </w:rPr>
        <w:t xml:space="preserve"> </w:t>
      </w:r>
      <w:r w:rsidRPr="00AD50B5">
        <w:rPr>
          <w:rFonts w:ascii="Baskerville Old Face" w:hAnsi="Baskerville Old Face"/>
          <w:lang w:eastAsia="en-GB"/>
        </w:rPr>
        <w:t>and the matrix</w:t>
      </w:r>
      <w:r w:rsidR="009B1E03">
        <w:rPr>
          <w:rFonts w:ascii="Baskerville Old Face" w:hAnsi="Baskerville Old Face"/>
          <w:lang w:eastAsia="en-GB"/>
        </w:rPr>
        <w:t xml:space="preserve"> </w:t>
      </w:r>
      <m:oMath>
        <m:r>
          <w:rPr>
            <w:rFonts w:ascii="Cambria Math" w:hAnsi="Cambria Math"/>
            <w:lang w:val="id-ID" w:eastAsia="en-GB"/>
          </w:rPr>
          <m:t>M</m:t>
        </m:r>
        <m:d>
          <m:dPr>
            <m:ctrlPr>
              <w:rPr>
                <w:rFonts w:ascii="Cambria Math" w:hAnsi="Cambria Math"/>
                <w:i/>
                <w:lang w:val="id-ID" w:eastAsia="en-GB"/>
              </w:rPr>
            </m:ctrlPr>
          </m:dPr>
          <m:e>
            <m:r>
              <w:rPr>
                <w:rFonts w:ascii="Cambria Math" w:hAnsi="Cambria Math"/>
                <w:lang w:val="id-ID" w:eastAsia="en-GB"/>
              </w:rPr>
              <m:t>τ</m:t>
            </m:r>
          </m:e>
        </m:d>
        <m:r>
          <w:rPr>
            <w:rFonts w:ascii="Cambria Math" w:hAnsi="Cambria Math"/>
            <w:lang w:val="id-ID" w:eastAsia="en-GB"/>
          </w:rPr>
          <m:t xml:space="preserve"> </m:t>
        </m:r>
      </m:oMath>
      <w:r w:rsidRPr="00AD50B5">
        <w:rPr>
          <w:rFonts w:ascii="Baskerville Old Face" w:hAnsi="Baskerville Old Face"/>
          <w:lang w:eastAsia="en-GB"/>
        </w:rPr>
        <w:t xml:space="preserve"> depends on the solution through the nonlinear volatility.</w:t>
      </w:r>
      <m:oMath>
        <m:r>
          <w:rPr>
            <w:rFonts w:ascii="Cambria Math" w:hAnsi="Cambria Math"/>
            <w:lang w:val="id-ID" w:eastAsia="en-GB"/>
          </w:rPr>
          <m:t xml:space="preserve"> </m:t>
        </m:r>
      </m:oMath>
    </w:p>
    <w:p w14:paraId="3251395E" w14:textId="77777777" w:rsidR="007B4E62" w:rsidRPr="00AD50B5" w:rsidRDefault="007B4E62" w:rsidP="007B4E62">
      <w:pPr>
        <w:rPr>
          <w:rFonts w:ascii="Baskerville Old Face" w:hAnsi="Baskerville Old Face"/>
          <w:lang w:val="id-ID" w:eastAsia="en-GB"/>
        </w:rPr>
      </w:pPr>
    </w:p>
    <w:p w14:paraId="7112A55C" w14:textId="77777777" w:rsidR="007B4E62" w:rsidRDefault="00000000" w:rsidP="007B4E62">
      <w:pPr>
        <w:rPr>
          <w:lang w:val="id-ID" w:eastAsia="en-GB"/>
        </w:rPr>
      </w:pPr>
      <m:oMathPara>
        <m:oMath>
          <m:sSubSup>
            <m:sSubSupPr>
              <m:ctrlPr>
                <w:rPr>
                  <w:rFonts w:ascii="Cambria Math" w:hAnsi="Cambria Math"/>
                  <w:i/>
                  <w:lang w:val="id-ID" w:eastAsia="en-GB"/>
                </w:rPr>
              </m:ctrlPr>
            </m:sSubSupPr>
            <m:e>
              <m:r>
                <w:rPr>
                  <w:rFonts w:ascii="Cambria Math" w:hAnsi="Cambria Math"/>
                  <w:lang w:eastAsia="en-GB"/>
                </w:rPr>
                <m:t>σ</m:t>
              </m:r>
            </m:e>
            <m:sub>
              <m:r>
                <w:rPr>
                  <w:rFonts w:ascii="Cambria Math" w:hAnsi="Cambria Math"/>
                  <w:lang w:val="id-ID" w:eastAsia="en-GB"/>
                </w:rPr>
                <m:t>i</m:t>
              </m:r>
            </m:sub>
            <m:sup>
              <m:r>
                <w:rPr>
                  <w:rFonts w:ascii="Cambria Math" w:hAnsi="Cambria Math"/>
                  <w:lang w:val="id-ID" w:eastAsia="en-GB"/>
                </w:rPr>
                <m:t>2</m:t>
              </m:r>
            </m:sup>
          </m:sSubSup>
          <m:d>
            <m:dPr>
              <m:ctrlPr>
                <w:rPr>
                  <w:rFonts w:ascii="Cambria Math" w:hAnsi="Cambria Math"/>
                  <w:i/>
                  <w:lang w:val="id-ID" w:eastAsia="en-GB"/>
                </w:rPr>
              </m:ctrlPr>
            </m:dPr>
            <m:e>
              <m:r>
                <w:rPr>
                  <w:rFonts w:ascii="Cambria Math" w:hAnsi="Cambria Math"/>
                  <w:lang w:val="id-ID" w:eastAsia="en-GB"/>
                </w:rPr>
                <m:t>τ</m:t>
              </m:r>
            </m:e>
          </m:d>
          <m:r>
            <w:rPr>
              <w:rFonts w:ascii="Cambria Math" w:hAnsi="Cambria Math"/>
              <w:lang w:val="id-ID" w:eastAsia="en-GB"/>
            </w:rPr>
            <m:t>=</m:t>
          </m:r>
          <m:sSubSup>
            <m:sSubSupPr>
              <m:ctrlPr>
                <w:rPr>
                  <w:rFonts w:ascii="Cambria Math" w:hAnsi="Cambria Math"/>
                  <w:i/>
                  <w:lang w:val="id-ID" w:eastAsia="en-GB"/>
                </w:rPr>
              </m:ctrlPr>
            </m:sSubSupPr>
            <m:e>
              <m:r>
                <w:rPr>
                  <w:rFonts w:ascii="Cambria Math" w:hAnsi="Cambria Math"/>
                  <w:lang w:eastAsia="en-GB"/>
                </w:rPr>
                <m:t>σ</m:t>
              </m:r>
            </m:e>
            <m:sub>
              <m:r>
                <w:rPr>
                  <w:rFonts w:ascii="Cambria Math" w:hAnsi="Cambria Math"/>
                  <w:lang w:val="id-ID" w:eastAsia="en-GB"/>
                </w:rPr>
                <m:t>0</m:t>
              </m:r>
            </m:sub>
            <m:sup>
              <m:r>
                <w:rPr>
                  <w:rFonts w:ascii="Cambria Math" w:hAnsi="Cambria Math"/>
                  <w:lang w:val="id-ID" w:eastAsia="en-GB"/>
                </w:rPr>
                <m:t>2</m:t>
              </m:r>
            </m:sup>
          </m:sSubSup>
          <m:r>
            <w:rPr>
              <w:rFonts w:ascii="Cambria Math" w:hAnsi="Cambria Math"/>
              <w:lang w:val="id-ID" w:eastAsia="en-GB"/>
            </w:rPr>
            <m:t>(1+</m:t>
          </m:r>
          <m:r>
            <w:rPr>
              <w:rFonts w:ascii="Cambria Math" w:hAnsi="Cambria Math"/>
              <w:lang w:eastAsia="en-GB"/>
            </w:rPr>
            <m:t>Ψ</m:t>
          </m:r>
          <m:d>
            <m:dPr>
              <m:ctrlPr>
                <w:rPr>
                  <w:rFonts w:ascii="Cambria Math" w:hAnsi="Cambria Math"/>
                  <w:i/>
                  <w:lang w:eastAsia="en-GB"/>
                </w:rPr>
              </m:ctrlPr>
            </m:dPr>
            <m:e>
              <m:sSup>
                <m:sSupPr>
                  <m:ctrlPr>
                    <w:rPr>
                      <w:rFonts w:ascii="Cambria Math" w:hAnsi="Cambria Math"/>
                      <w:i/>
                      <w:lang w:eastAsia="en-GB"/>
                    </w:rPr>
                  </m:ctrlPr>
                </m:sSupPr>
                <m:e>
                  <m:r>
                    <w:rPr>
                      <w:rFonts w:ascii="Cambria Math" w:hAnsi="Cambria Math"/>
                      <w:lang w:eastAsia="en-GB"/>
                    </w:rPr>
                    <m:t>e</m:t>
                  </m:r>
                </m:e>
                <m:sup>
                  <m:r>
                    <w:rPr>
                      <w:rFonts w:ascii="Cambria Math" w:hAnsi="Cambria Math"/>
                      <w:lang w:eastAsia="en-GB"/>
                    </w:rPr>
                    <m:t>rτ</m:t>
                  </m:r>
                </m:sup>
              </m:sSup>
              <m:sSup>
                <m:sSupPr>
                  <m:ctrlPr>
                    <w:rPr>
                      <w:rFonts w:ascii="Cambria Math" w:hAnsi="Cambria Math"/>
                      <w:i/>
                      <w:lang w:eastAsia="en-GB"/>
                    </w:rPr>
                  </m:ctrlPr>
                </m:sSupPr>
                <m:e>
                  <m:r>
                    <w:rPr>
                      <w:rFonts w:ascii="Cambria Math" w:hAnsi="Cambria Math"/>
                      <w:lang w:eastAsia="en-GB"/>
                    </w:rPr>
                    <m:t>a</m:t>
                  </m:r>
                </m:e>
                <m:sup>
                  <m:r>
                    <w:rPr>
                      <w:rFonts w:ascii="Cambria Math" w:hAnsi="Cambria Math"/>
                      <w:lang w:eastAsia="en-GB"/>
                    </w:rPr>
                    <m:t>2</m:t>
                  </m:r>
                </m:sup>
              </m:sSup>
              <m:sSubSup>
                <m:sSubSupPr>
                  <m:ctrlPr>
                    <w:rPr>
                      <w:rFonts w:ascii="Cambria Math" w:hAnsi="Cambria Math"/>
                      <w:i/>
                      <w:lang w:eastAsia="en-GB"/>
                    </w:rPr>
                  </m:ctrlPr>
                </m:sSubSupPr>
                <m:e>
                  <m:r>
                    <w:rPr>
                      <w:rFonts w:ascii="Cambria Math" w:hAnsi="Cambria Math"/>
                      <w:lang w:eastAsia="en-GB"/>
                    </w:rPr>
                    <m:t>S</m:t>
                  </m:r>
                </m:e>
                <m:sub>
                  <m:r>
                    <w:rPr>
                      <w:rFonts w:ascii="Cambria Math" w:hAnsi="Cambria Math"/>
                      <w:lang w:eastAsia="en-GB"/>
                    </w:rPr>
                    <m:t>2</m:t>
                  </m:r>
                </m:sub>
                <m:sup>
                  <m:r>
                    <w:rPr>
                      <w:rFonts w:ascii="Cambria Math" w:hAnsi="Cambria Math"/>
                      <w:lang w:eastAsia="en-GB"/>
                    </w:rPr>
                    <m:t>i</m:t>
                  </m:r>
                </m:sup>
              </m:sSubSup>
              <m:sSub>
                <m:sSubPr>
                  <m:ctrlPr>
                    <w:rPr>
                      <w:rFonts w:ascii="Cambria Math" w:hAnsi="Cambria Math"/>
                      <w:i/>
                      <w:lang w:eastAsia="en-GB"/>
                    </w:rPr>
                  </m:ctrlPr>
                </m:sSubPr>
                <m:e>
                  <m:r>
                    <w:rPr>
                      <w:rFonts w:ascii="Cambria Math" w:hAnsi="Cambria Math"/>
                      <w:lang w:eastAsia="en-GB"/>
                    </w:rPr>
                    <m:t>∆</m:t>
                  </m:r>
                </m:e>
                <m:sub>
                  <m:r>
                    <w:rPr>
                      <w:rFonts w:ascii="Cambria Math" w:hAnsi="Cambria Math"/>
                      <w:lang w:eastAsia="en-GB"/>
                    </w:rPr>
                    <m:t>i</m:t>
                  </m:r>
                </m:sub>
              </m:sSub>
              <m:d>
                <m:dPr>
                  <m:ctrlPr>
                    <w:rPr>
                      <w:rFonts w:ascii="Cambria Math" w:hAnsi="Cambria Math"/>
                      <w:i/>
                      <w:lang w:eastAsia="en-GB"/>
                    </w:rPr>
                  </m:ctrlPr>
                </m:dPr>
                <m:e>
                  <m:r>
                    <w:rPr>
                      <w:rFonts w:ascii="Cambria Math" w:hAnsi="Cambria Math"/>
                      <w:lang w:eastAsia="en-GB"/>
                    </w:rPr>
                    <m:t>u</m:t>
                  </m:r>
                </m:e>
              </m:d>
            </m:e>
          </m:d>
          <m:r>
            <w:rPr>
              <w:rFonts w:ascii="Cambria Math" w:hAnsi="Cambria Math"/>
              <w:lang w:eastAsia="en-GB"/>
            </w:rPr>
            <m:t>)</m:t>
          </m:r>
        </m:oMath>
      </m:oMathPara>
    </w:p>
    <w:p w14:paraId="735EAEEF" w14:textId="77777777" w:rsidR="007B4E62" w:rsidRDefault="007B4E62" w:rsidP="007B4E62">
      <w:pPr>
        <w:rPr>
          <w:lang w:val="id-ID" w:eastAsia="en-GB"/>
        </w:rPr>
      </w:pPr>
    </w:p>
    <w:p w14:paraId="1269F20D" w14:textId="700CCD2C" w:rsidR="007B4E62" w:rsidRDefault="00A6345F" w:rsidP="00C074EC">
      <w:pPr>
        <w:jc w:val="both"/>
        <w:rPr>
          <w:lang w:val="id-ID" w:eastAsia="en-GB"/>
        </w:rPr>
      </w:pPr>
      <w:r w:rsidRPr="00AD50B5">
        <w:rPr>
          <w:rFonts w:ascii="Baskerville Old Face" w:hAnsi="Baskerville Old Face"/>
          <w:lang w:eastAsia="en-GB"/>
        </w:rPr>
        <w:t>Here</w:t>
      </w:r>
      <w:r w:rsidR="009B1E03">
        <w:rPr>
          <w:rFonts w:ascii="Baskerville Old Face" w:hAnsi="Baskerville Old Face"/>
          <w:lang w:eastAsia="en-GB"/>
        </w:rPr>
        <w:t xml:space="preserve"> </w:t>
      </w:r>
      <m:oMath>
        <m:sSub>
          <m:sSubPr>
            <m:ctrlPr>
              <w:rPr>
                <w:rFonts w:ascii="Cambria Math" w:hAnsi="Cambria Math"/>
                <w:i/>
                <w:lang w:eastAsia="en-GB"/>
              </w:rPr>
            </m:ctrlPr>
          </m:sSubPr>
          <m:e>
            <m:r>
              <w:rPr>
                <w:rFonts w:ascii="Cambria Math" w:hAnsi="Cambria Math"/>
                <w:lang w:val="en-ID" w:eastAsia="en-GB"/>
              </w:rPr>
              <m:t>∆</m:t>
            </m:r>
          </m:e>
          <m:sub>
            <m:r>
              <w:rPr>
                <w:rFonts w:ascii="Cambria Math" w:hAnsi="Cambria Math"/>
                <w:lang w:eastAsia="en-GB"/>
              </w:rPr>
              <m:t>i</m:t>
            </m:r>
          </m:sub>
        </m:sSub>
        <m:d>
          <m:dPr>
            <m:ctrlPr>
              <w:rPr>
                <w:rFonts w:ascii="Cambria Math" w:hAnsi="Cambria Math"/>
                <w:i/>
                <w:lang w:eastAsia="en-GB"/>
              </w:rPr>
            </m:ctrlPr>
          </m:dPr>
          <m:e>
            <m:r>
              <w:rPr>
                <w:rFonts w:ascii="Cambria Math" w:hAnsi="Cambria Math"/>
                <w:lang w:eastAsia="en-GB"/>
              </w:rPr>
              <m:t>u</m:t>
            </m:r>
          </m:e>
        </m:d>
      </m:oMath>
      <w:r w:rsidRPr="00AD50B5">
        <w:rPr>
          <w:rFonts w:ascii="Baskerville Old Face" w:hAnsi="Baskerville Old Face"/>
          <w:lang w:eastAsia="en-GB"/>
        </w:rPr>
        <w:t xml:space="preserve"> represents an approximation of the second derivative at the point</w:t>
      </w:r>
      <m:oMath>
        <m:r>
          <w:rPr>
            <w:rFonts w:ascii="Cambria Math" w:hAnsi="Cambria Math"/>
            <w:lang w:val="en-ID" w:eastAsia="en-GB"/>
          </w:rPr>
          <m:t xml:space="preserve"> </m:t>
        </m:r>
        <m:sSub>
          <m:sSubPr>
            <m:ctrlPr>
              <w:rPr>
                <w:rFonts w:ascii="Cambria Math" w:hAnsi="Cambria Math"/>
                <w:i/>
                <w:lang w:val="id-ID" w:eastAsia="en-GB"/>
              </w:rPr>
            </m:ctrlPr>
          </m:sSubPr>
          <m:e>
            <m:r>
              <w:rPr>
                <w:rFonts w:ascii="Cambria Math" w:hAnsi="Cambria Math"/>
                <w:lang w:val="id-ID" w:eastAsia="en-GB"/>
              </w:rPr>
              <m:t>S</m:t>
            </m:r>
          </m:e>
          <m:sub>
            <m:r>
              <w:rPr>
                <w:rFonts w:ascii="Cambria Math" w:hAnsi="Cambria Math"/>
                <w:lang w:val="id-ID" w:eastAsia="en-GB"/>
              </w:rPr>
              <m:t>i</m:t>
            </m:r>
          </m:sub>
        </m:sSub>
      </m:oMath>
      <w:r w:rsidR="007B4E62">
        <w:rPr>
          <w:lang w:eastAsia="en-GB"/>
        </w:rPr>
        <w:t>.</w:t>
      </w:r>
    </w:p>
    <w:p w14:paraId="05778D81" w14:textId="77777777" w:rsidR="007B4E62" w:rsidRPr="00520E93" w:rsidRDefault="007B4E62" w:rsidP="007B4E62">
      <w:pPr>
        <w:ind w:left="426"/>
        <w:jc w:val="both"/>
        <w:rPr>
          <w:lang w:val="id-ID" w:eastAsia="en-GB"/>
        </w:rPr>
      </w:pPr>
    </w:p>
    <w:p w14:paraId="567C4ADB" w14:textId="0563C58A" w:rsidR="007B4E62" w:rsidRPr="00AD50B5" w:rsidRDefault="007B4E62" w:rsidP="00C074EC">
      <w:pPr>
        <w:rPr>
          <w:rFonts w:ascii="Baskerville Old Face" w:hAnsi="Baskerville Old Face"/>
          <w:b/>
          <w:bCs/>
          <w:lang w:val="id-ID"/>
        </w:rPr>
      </w:pPr>
      <w:r w:rsidRPr="00AD50B5">
        <w:rPr>
          <w:rFonts w:ascii="Baskerville Old Face" w:hAnsi="Baskerville Old Face"/>
          <w:b/>
          <w:bCs/>
        </w:rPr>
        <w:t>2.4.3 Numerical Boundary Condition Treatment</w:t>
      </w:r>
    </w:p>
    <w:p w14:paraId="3EAE5438" w14:textId="62CAF158" w:rsidR="00C074EC" w:rsidRDefault="0010053D" w:rsidP="00C074EC">
      <w:pPr>
        <w:ind w:firstLine="426"/>
        <w:jc w:val="both"/>
        <w:rPr>
          <w:b/>
          <w:bCs/>
          <w:lang w:val="id-ID"/>
        </w:rPr>
      </w:pPr>
      <w:r w:rsidRPr="00AD50B5">
        <w:rPr>
          <w:rFonts w:ascii="Baskerville Old Face" w:hAnsi="Baskerville Old Face"/>
          <w:lang w:eastAsia="en-GB"/>
        </w:rPr>
        <w:t xml:space="preserve">The solution of the ODE system is carried out with respect to time using the explicit Forward Euler scheme with time step </w:t>
      </w:r>
      <m:oMath>
        <m:r>
          <w:rPr>
            <w:rFonts w:ascii="Cambria Math" w:hAnsi="Cambria Math"/>
            <w:lang w:eastAsia="en-GB"/>
          </w:rPr>
          <m:t>τ</m:t>
        </m:r>
        <m:r>
          <m:rPr>
            <m:sty m:val="bi"/>
          </m:rPr>
          <w:rPr>
            <w:rFonts w:ascii="Cambria Math" w:hAnsi="Cambria Math"/>
            <w:lang w:val="id-ID"/>
          </w:rPr>
          <m:t>k=∆τ</m:t>
        </m:r>
      </m:oMath>
      <w:r w:rsidR="007B4E62" w:rsidRPr="007B4E62">
        <w:t xml:space="preserve">. </w:t>
      </w:r>
      <w:r w:rsidRPr="00AD50B5">
        <w:rPr>
          <w:rFonts w:ascii="Baskerville Old Face" w:hAnsi="Baskerville Old Face"/>
        </w:rPr>
        <w:t>The numerical iteration formula to obtain the option price at time step-</w:t>
      </w:r>
      <m:oMath>
        <m:d>
          <m:dPr>
            <m:ctrlPr>
              <w:rPr>
                <w:rFonts w:ascii="Cambria Math" w:hAnsi="Cambria Math"/>
                <w:i/>
              </w:rPr>
            </m:ctrlPr>
          </m:dPr>
          <m:e>
            <m:r>
              <m:rPr>
                <m:sty m:val="bi"/>
              </m:rPr>
              <w:rPr>
                <w:rFonts w:ascii="Cambria Math" w:hAnsi="Cambria Math"/>
                <w:lang w:val="id-ID"/>
              </w:rPr>
              <m:t>n+1</m:t>
            </m:r>
          </m:e>
        </m:d>
      </m:oMath>
      <w:r w:rsidR="009B1E03">
        <w:rPr>
          <w:rFonts w:ascii="Baskerville Old Face" w:hAnsi="Baskerville Old Face"/>
        </w:rPr>
        <w:t xml:space="preserve"> </w:t>
      </w:r>
      <w:r w:rsidRPr="00AD50B5">
        <w:rPr>
          <w:rFonts w:ascii="Baskerville Old Face" w:hAnsi="Baskerville Old Face"/>
        </w:rPr>
        <w:t>is given by:</w:t>
      </w:r>
      <m:oMath>
        <m:r>
          <m:rPr>
            <m:sty m:val="bi"/>
          </m:rPr>
          <w:rPr>
            <w:rFonts w:ascii="Cambria Math" w:hAnsi="Cambria Math"/>
            <w:lang w:val="id-ID"/>
          </w:rPr>
          <m:t xml:space="preserve"> </m:t>
        </m:r>
      </m:oMath>
    </w:p>
    <w:p w14:paraId="2B37440D" w14:textId="37F4A017" w:rsidR="007B4E62" w:rsidRPr="00C074EC" w:rsidRDefault="00000000" w:rsidP="00C074EC">
      <w:pPr>
        <w:spacing w:after="240"/>
        <w:ind w:firstLine="426"/>
        <w:jc w:val="both"/>
        <w:rPr>
          <w:b/>
          <w:bCs/>
          <w:lang w:val="id-ID"/>
        </w:rPr>
      </w:pPr>
      <m:oMathPara>
        <m:oMath>
          <m:sSup>
            <m:sSupPr>
              <m:ctrlPr>
                <w:rPr>
                  <w:rFonts w:ascii="Cambria Math" w:hAnsi="Cambria Math"/>
                  <w:i/>
                  <w:lang w:val="id-ID" w:eastAsia="en-GB"/>
                </w:rPr>
              </m:ctrlPr>
            </m:sSupPr>
            <m:e>
              <m:r>
                <w:rPr>
                  <w:rFonts w:ascii="Cambria Math" w:hAnsi="Cambria Math"/>
                  <w:lang w:val="id-ID" w:eastAsia="en-GB"/>
                </w:rPr>
                <m:t>u</m:t>
              </m:r>
            </m:e>
            <m:sup>
              <m:r>
                <w:rPr>
                  <w:rFonts w:ascii="Cambria Math" w:hAnsi="Cambria Math"/>
                  <w:lang w:val="id-ID" w:eastAsia="en-GB"/>
                </w:rPr>
                <m:t>n+1</m:t>
              </m:r>
            </m:sup>
          </m:sSup>
          <m:r>
            <w:rPr>
              <w:rFonts w:ascii="Cambria Math" w:hAnsi="Cambria Math"/>
              <w:lang w:val="id-ID" w:eastAsia="en-GB"/>
            </w:rPr>
            <m:t>=(I+k</m:t>
          </m:r>
          <m:sSup>
            <m:sSupPr>
              <m:ctrlPr>
                <w:rPr>
                  <w:rFonts w:ascii="Cambria Math" w:hAnsi="Cambria Math"/>
                  <w:i/>
                  <w:lang w:val="id-ID" w:eastAsia="en-GB"/>
                </w:rPr>
              </m:ctrlPr>
            </m:sSupPr>
            <m:e>
              <m:r>
                <w:rPr>
                  <w:rFonts w:ascii="Cambria Math" w:hAnsi="Cambria Math"/>
                  <w:lang w:val="id-ID" w:eastAsia="en-GB"/>
                </w:rPr>
                <m:t>M</m:t>
              </m:r>
            </m:e>
            <m:sup>
              <m:r>
                <w:rPr>
                  <w:rFonts w:ascii="Cambria Math" w:hAnsi="Cambria Math"/>
                  <w:lang w:val="id-ID" w:eastAsia="en-GB"/>
                </w:rPr>
                <m:t>n</m:t>
              </m:r>
            </m:sup>
          </m:sSup>
          <m:r>
            <w:rPr>
              <w:rFonts w:ascii="Cambria Math" w:hAnsi="Cambria Math"/>
              <w:lang w:val="id-ID" w:eastAsia="en-GB"/>
            </w:rPr>
            <m:t>)</m:t>
          </m:r>
          <m:sSup>
            <m:sSupPr>
              <m:ctrlPr>
                <w:rPr>
                  <w:rFonts w:ascii="Cambria Math" w:hAnsi="Cambria Math"/>
                  <w:i/>
                  <w:lang w:val="id-ID" w:eastAsia="en-GB"/>
                </w:rPr>
              </m:ctrlPr>
            </m:sSupPr>
            <m:e>
              <m:r>
                <w:rPr>
                  <w:rFonts w:ascii="Cambria Math" w:hAnsi="Cambria Math"/>
                  <w:lang w:val="id-ID" w:eastAsia="en-GB"/>
                </w:rPr>
                <m:t>u</m:t>
              </m:r>
            </m:e>
            <m:sup>
              <m:r>
                <w:rPr>
                  <w:rFonts w:ascii="Cambria Math" w:hAnsi="Cambria Math"/>
                  <w:lang w:val="id-ID" w:eastAsia="en-GB"/>
                </w:rPr>
                <m:t>n</m:t>
              </m:r>
            </m:sup>
          </m:sSup>
        </m:oMath>
      </m:oMathPara>
    </w:p>
    <w:p w14:paraId="193D87AB" w14:textId="4C593F88" w:rsidR="007B4E62" w:rsidRPr="00AD50B5" w:rsidRDefault="0010053D" w:rsidP="00C074EC">
      <w:pPr>
        <w:jc w:val="both"/>
        <w:rPr>
          <w:rFonts w:ascii="Baskerville Old Face" w:hAnsi="Baskerville Old Face"/>
          <w:lang w:val="id-ID" w:eastAsia="en-GB"/>
        </w:rPr>
      </w:pPr>
      <w:r w:rsidRPr="00AD50B5">
        <w:rPr>
          <w:rFonts w:ascii="Baskerville Old Face" w:hAnsi="Baskerville Old Face"/>
          <w:lang w:eastAsia="en-GB"/>
        </w:rPr>
        <w:t>At each time step, the nonlinear volatility value</w:t>
      </w:r>
      <w:r w:rsidR="009B1E03">
        <w:rPr>
          <w:rFonts w:ascii="Baskerville Old Face" w:hAnsi="Baskerville Old Face"/>
          <w:lang w:eastAsia="en-GB"/>
        </w:rPr>
        <w:t xml:space="preserve"> </w:t>
      </w:r>
      <m:oMath>
        <m:sSubSup>
          <m:sSubSupPr>
            <m:ctrlPr>
              <w:rPr>
                <w:rFonts w:ascii="Cambria Math" w:hAnsi="Cambria Math"/>
                <w:i/>
                <w:lang w:val="id-ID" w:eastAsia="en-GB"/>
              </w:rPr>
            </m:ctrlPr>
          </m:sSubSupPr>
          <m:e>
            <m:r>
              <w:rPr>
                <w:rFonts w:ascii="Cambria Math" w:hAnsi="Cambria Math"/>
                <w:lang w:val="id-ID" w:eastAsia="en-GB"/>
              </w:rPr>
              <m:t>σ</m:t>
            </m:r>
          </m:e>
          <m:sub>
            <m:r>
              <w:rPr>
                <w:rFonts w:ascii="Cambria Math" w:hAnsi="Cambria Math"/>
                <w:lang w:val="id-ID" w:eastAsia="en-GB"/>
              </w:rPr>
              <m:t>i</m:t>
            </m:r>
          </m:sub>
          <m:sup>
            <m:r>
              <w:rPr>
                <w:rFonts w:ascii="Cambria Math" w:hAnsi="Cambria Math"/>
                <w:lang w:val="id-ID" w:eastAsia="en-GB"/>
              </w:rPr>
              <m:t>2</m:t>
            </m:r>
          </m:sup>
        </m:sSubSup>
      </m:oMath>
      <w:r w:rsidRPr="00AD50B5">
        <w:rPr>
          <w:rFonts w:ascii="Baskerville Old Face" w:hAnsi="Baskerville Old Face"/>
          <w:lang w:eastAsia="en-GB"/>
        </w:rPr>
        <w:t xml:space="preserve"> is updated based on the gamma value </w:t>
      </w:r>
      <w:r w:rsidR="009B1E03" w:rsidRPr="00AD50B5">
        <w:rPr>
          <w:rFonts w:ascii="Baskerville Old Face" w:hAnsi="Baskerville Old Face"/>
          <w:lang w:eastAsia="en-GB"/>
        </w:rPr>
        <w:t xml:space="preserve">function </w:t>
      </w:r>
      <m:oMath>
        <m:r>
          <w:rPr>
            <w:rFonts w:ascii="Cambria Math" w:hAnsi="Cambria Math"/>
            <w:lang w:val="id-ID" w:eastAsia="en-GB"/>
          </w:rPr>
          <m:t xml:space="preserve"> (</m:t>
        </m:r>
        <m:sSub>
          <m:sSubPr>
            <m:ctrlPr>
              <w:rPr>
                <w:rFonts w:ascii="Cambria Math" w:hAnsi="Cambria Math"/>
                <w:i/>
                <w:lang w:val="id-ID" w:eastAsia="en-GB"/>
              </w:rPr>
            </m:ctrlPr>
          </m:sSubPr>
          <m:e>
            <m:r>
              <w:rPr>
                <w:rFonts w:ascii="Cambria Math" w:hAnsi="Cambria Math"/>
                <w:lang w:val="id-ID" w:eastAsia="en-GB"/>
              </w:rPr>
              <m:t>∆</m:t>
            </m:r>
          </m:e>
          <m:sub>
            <m:r>
              <w:rPr>
                <w:rFonts w:ascii="Cambria Math" w:hAnsi="Cambria Math"/>
                <w:lang w:val="id-ID" w:eastAsia="en-GB"/>
              </w:rPr>
              <m:t>i</m:t>
            </m:r>
          </m:sub>
        </m:sSub>
        <m:sSup>
          <m:sSupPr>
            <m:ctrlPr>
              <w:rPr>
                <w:rFonts w:ascii="Cambria Math" w:hAnsi="Cambria Math"/>
                <w:i/>
                <w:lang w:val="id-ID" w:eastAsia="en-GB"/>
              </w:rPr>
            </m:ctrlPr>
          </m:sSupPr>
          <m:e>
            <m:r>
              <w:rPr>
                <w:rFonts w:ascii="Cambria Math" w:hAnsi="Cambria Math"/>
                <w:lang w:val="id-ID" w:eastAsia="en-GB"/>
              </w:rPr>
              <m:t>u</m:t>
            </m:r>
          </m:e>
          <m:sup>
            <m:r>
              <w:rPr>
                <w:rFonts w:ascii="Cambria Math" w:hAnsi="Cambria Math"/>
                <w:lang w:val="id-ID" w:eastAsia="en-GB"/>
              </w:rPr>
              <m:t>n</m:t>
            </m:r>
          </m:sup>
        </m:sSup>
        <m:r>
          <w:rPr>
            <w:rFonts w:ascii="Cambria Math" w:hAnsi="Cambria Math"/>
            <w:lang w:val="id-ID" w:eastAsia="en-GB"/>
          </w:rPr>
          <m:t>)</m:t>
        </m:r>
      </m:oMath>
      <w:r w:rsidR="009B1E03">
        <w:rPr>
          <w:rFonts w:ascii="Baskerville Old Face" w:hAnsi="Baskerville Old Face"/>
          <w:lang w:val="id-ID" w:eastAsia="en-GB"/>
        </w:rPr>
        <w:t xml:space="preserve"> </w:t>
      </w:r>
      <w:r w:rsidRPr="00AD50B5">
        <w:rPr>
          <w:rFonts w:ascii="Baskerville Old Face" w:hAnsi="Baskerville Old Face"/>
          <w:lang w:eastAsia="en-GB"/>
        </w:rPr>
        <w:t xml:space="preserve">using the </w:t>
      </w:r>
      <m:oMath>
        <m:r>
          <w:rPr>
            <w:rFonts w:ascii="Cambria Math" w:hAnsi="Cambria Math"/>
            <w:lang w:val="id-ID" w:eastAsia="en-GB"/>
          </w:rPr>
          <m:t>Ψ</m:t>
        </m:r>
      </m:oMath>
    </w:p>
    <w:p w14:paraId="6510374F" w14:textId="77777777" w:rsidR="00C074EC" w:rsidRDefault="00D05022" w:rsidP="00C074EC">
      <w:pPr>
        <w:ind w:firstLine="426"/>
        <w:jc w:val="both"/>
        <w:rPr>
          <w:rFonts w:ascii="Baskerville Old Face" w:hAnsi="Baskerville Old Face"/>
          <w:lang w:eastAsia="en-GB"/>
        </w:rPr>
      </w:pPr>
      <w:r w:rsidRPr="00A76B1C">
        <w:rPr>
          <w:rFonts w:ascii="Baskerville Old Face" w:hAnsi="Baskerville Old Face"/>
          <w:lang w:eastAsia="en-GB"/>
        </w:rPr>
        <w:lastRenderedPageBreak/>
        <w:t xml:space="preserve">Since the stock price domain has a finite nature, the value of the solution at the limit points is calculated using second-order Lagrange </w:t>
      </w:r>
      <w:proofErr w:type="spellStart"/>
      <w:r w:rsidRPr="00A76B1C">
        <w:rPr>
          <w:rFonts w:ascii="Baskerville Old Face" w:hAnsi="Baskerville Old Face"/>
          <w:lang w:eastAsia="en-GB"/>
        </w:rPr>
        <w:t>polynormative</w:t>
      </w:r>
      <w:proofErr w:type="spellEnd"/>
      <w:r w:rsidRPr="00A76B1C">
        <w:rPr>
          <w:rFonts w:ascii="Baskerville Old Face" w:hAnsi="Baskerville Old Face"/>
          <w:lang w:eastAsia="en-GB"/>
        </w:rPr>
        <w:t xml:space="preserve"> extrapolation.</w:t>
      </w:r>
    </w:p>
    <w:p w14:paraId="2B45028E" w14:textId="6B60364E" w:rsidR="007B4E62" w:rsidRPr="00C074EC" w:rsidRDefault="00000000" w:rsidP="00C074EC">
      <w:pPr>
        <w:spacing w:after="240"/>
        <w:ind w:firstLine="426"/>
        <w:jc w:val="both"/>
        <w:rPr>
          <w:rFonts w:ascii="Baskerville Old Face" w:hAnsi="Baskerville Old Face"/>
          <w:lang w:eastAsia="en-GB"/>
        </w:rPr>
      </w:pPr>
      <m:oMathPara>
        <m:oMath>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0</m:t>
              </m:r>
            </m:sub>
          </m:sSub>
          <m:r>
            <w:rPr>
              <w:rFonts w:ascii="Cambria Math" w:hAnsi="Cambria Math"/>
              <w:lang w:val="id-ID" w:eastAsia="en-GB"/>
            </w:rPr>
            <m:t>=2</m:t>
          </m:r>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1</m:t>
              </m:r>
            </m:sub>
          </m:sSub>
          <m:r>
            <w:rPr>
              <w:rFonts w:ascii="Cambria Math" w:hAnsi="Cambria Math"/>
              <w:lang w:val="id-ID" w:eastAsia="en-GB"/>
            </w:rPr>
            <m:t>-</m:t>
          </m:r>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2</m:t>
              </m:r>
            </m:sub>
          </m:sSub>
          <m:r>
            <w:rPr>
              <w:rFonts w:ascii="Cambria Math" w:hAnsi="Cambria Math"/>
              <w:lang w:val="id-ID" w:eastAsia="en-GB"/>
            </w:rPr>
            <m:t xml:space="preserve">,   </m:t>
          </m:r>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N</m:t>
              </m:r>
            </m:sub>
          </m:sSub>
          <m:r>
            <w:rPr>
              <w:rFonts w:ascii="Cambria Math" w:hAnsi="Cambria Math"/>
              <w:lang w:val="id-ID" w:eastAsia="en-GB"/>
            </w:rPr>
            <m:t>=2</m:t>
          </m:r>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N-1</m:t>
              </m:r>
            </m:sub>
          </m:sSub>
          <m:r>
            <w:rPr>
              <w:rFonts w:ascii="Cambria Math" w:hAnsi="Cambria Math"/>
              <w:lang w:val="id-ID" w:eastAsia="en-GB"/>
            </w:rPr>
            <m:t>-</m:t>
          </m:r>
          <m:sSub>
            <m:sSubPr>
              <m:ctrlPr>
                <w:rPr>
                  <w:rFonts w:ascii="Cambria Math" w:hAnsi="Cambria Math"/>
                  <w:i/>
                  <w:lang w:val="id-ID" w:eastAsia="en-GB"/>
                </w:rPr>
              </m:ctrlPr>
            </m:sSubPr>
            <m:e>
              <m:r>
                <w:rPr>
                  <w:rFonts w:ascii="Cambria Math" w:hAnsi="Cambria Math"/>
                  <w:lang w:val="id-ID" w:eastAsia="en-GB"/>
                </w:rPr>
                <m:t>u</m:t>
              </m:r>
            </m:e>
            <m:sub>
              <m:r>
                <w:rPr>
                  <w:rFonts w:ascii="Cambria Math" w:hAnsi="Cambria Math"/>
                  <w:lang w:val="id-ID" w:eastAsia="en-GB"/>
                </w:rPr>
                <m:t xml:space="preserve">N-2 </m:t>
              </m:r>
            </m:sub>
          </m:sSub>
        </m:oMath>
      </m:oMathPara>
    </w:p>
    <w:p w14:paraId="4C1054BB" w14:textId="0B119F61" w:rsidR="00D05022" w:rsidRPr="00A76B1C" w:rsidRDefault="00D05022" w:rsidP="00C074EC">
      <w:pPr>
        <w:rPr>
          <w:rFonts w:ascii="Baskerville Old Face" w:hAnsi="Baskerville Old Face"/>
          <w:lang w:eastAsia="en-GB"/>
        </w:rPr>
      </w:pPr>
      <w:r w:rsidRPr="00A76B1C">
        <w:rPr>
          <w:rFonts w:ascii="Baskerville Old Face" w:hAnsi="Baskerville Old Face"/>
          <w:lang w:eastAsia="en-GB"/>
        </w:rPr>
        <w:t>This approach is able to maintain consistency in the accuracy level of the schema across domains.</w:t>
      </w:r>
    </w:p>
    <w:p w14:paraId="7AAC3F2E" w14:textId="77777777" w:rsidR="00305722" w:rsidRPr="00A76B1C" w:rsidRDefault="00305722" w:rsidP="007B4E62">
      <w:pPr>
        <w:ind w:left="284" w:firstLine="142"/>
        <w:rPr>
          <w:rFonts w:ascii="Baskerville Old Face" w:hAnsi="Baskerville Old Face"/>
          <w:lang w:eastAsia="en-GB"/>
        </w:rPr>
      </w:pPr>
    </w:p>
    <w:p w14:paraId="095EA4AA" w14:textId="56D1ABD6" w:rsidR="007B4E62" w:rsidRPr="00A76B1C" w:rsidRDefault="007B4E62" w:rsidP="00C074EC">
      <w:pPr>
        <w:rPr>
          <w:rFonts w:ascii="Baskerville Old Face" w:hAnsi="Baskerville Old Face"/>
          <w:b/>
          <w:bCs/>
          <w:lang w:val="en-ID"/>
        </w:rPr>
      </w:pPr>
      <w:r w:rsidRPr="00A76B1C">
        <w:rPr>
          <w:rFonts w:ascii="Baskerville Old Face" w:hAnsi="Baskerville Old Face"/>
          <w:b/>
          <w:bCs/>
        </w:rPr>
        <w:t>2.4.4 Stability and Consistency Analysis</w:t>
      </w:r>
    </w:p>
    <w:p w14:paraId="10F5C96D" w14:textId="002DB62E" w:rsidR="00FB713A" w:rsidRPr="00A76B1C" w:rsidRDefault="00FB713A" w:rsidP="00C074EC">
      <w:pPr>
        <w:ind w:firstLine="426"/>
        <w:jc w:val="both"/>
        <w:rPr>
          <w:rFonts w:ascii="Baskerville Old Face" w:hAnsi="Baskerville Old Face"/>
          <w:lang w:eastAsia="en-GB"/>
        </w:rPr>
      </w:pPr>
      <w:r w:rsidRPr="00A76B1C">
        <w:rPr>
          <w:rFonts w:ascii="Baskerville Old Face" w:hAnsi="Baskerville Old Face"/>
          <w:lang w:eastAsia="en-GB"/>
        </w:rPr>
        <w:t>Numerical stability analysis is carried out with reference to the spectral normals of the discrete system matrix used. The results of the analysis indicate that the numerical scheme has a conditional stable nature with respect to time (Soleymani, 2020; Kumar and Pandey, 2023) are stable when the spatial steps have been determined and the time steps chosen are quite small. This finding is consistent with the results of previous numerical analyses that language nonlinear Black-Scholes equations (Soleymani, 2020; Kumar and Pandey, 2023).</w:t>
      </w:r>
    </w:p>
    <w:p w14:paraId="2825E3C8" w14:textId="77777777" w:rsidR="00C074EC" w:rsidRDefault="00305722" w:rsidP="00C074EC">
      <w:pPr>
        <w:rPr>
          <w:rFonts w:ascii="Baskerville Old Face" w:hAnsi="Baskerville Old Face"/>
          <w:lang w:eastAsia="en-GB"/>
        </w:rPr>
      </w:pPr>
      <w:r w:rsidRPr="00A76B1C">
        <w:rPr>
          <w:rFonts w:ascii="Baskerville Old Face" w:hAnsi="Baskerville Old Face"/>
          <w:lang w:eastAsia="en-GB"/>
        </w:rPr>
        <w:t>The local truncation error is obtained through a Taylor expansion, resulting in:</w:t>
      </w:r>
    </w:p>
    <w:p w14:paraId="58D080EB" w14:textId="3205EB70" w:rsidR="007B4E62" w:rsidRPr="00C074EC" w:rsidRDefault="007B4E62" w:rsidP="00C074EC">
      <w:pPr>
        <w:spacing w:before="240" w:after="240"/>
        <w:rPr>
          <w:rFonts w:ascii="Baskerville Old Face" w:hAnsi="Baskerville Old Face"/>
          <w:lang w:eastAsia="en-GB"/>
        </w:rPr>
      </w:pPr>
      <m:oMathPara>
        <m:oMath>
          <m:r>
            <w:rPr>
              <w:rFonts w:ascii="Cambria Math" w:hAnsi="Cambria Math"/>
              <w:lang w:val="id-ID" w:eastAsia="en-GB"/>
            </w:rPr>
            <m:t>T=</m:t>
          </m:r>
          <m:r>
            <w:rPr>
              <w:rFonts w:ascii="Cambria Math" w:hAnsi="Cambria Math"/>
              <w:lang w:eastAsia="en-GB"/>
            </w:rPr>
            <m:t>O</m:t>
          </m:r>
          <m:d>
            <m:dPr>
              <m:ctrlPr>
                <w:rPr>
                  <w:rFonts w:ascii="Cambria Math" w:hAnsi="Cambria Math"/>
                  <w:i/>
                  <w:lang w:eastAsia="en-GB"/>
                </w:rPr>
              </m:ctrlPr>
            </m:dPr>
            <m:e>
              <m:sSup>
                <m:sSupPr>
                  <m:ctrlPr>
                    <w:rPr>
                      <w:rFonts w:ascii="Cambria Math" w:hAnsi="Cambria Math"/>
                      <w:i/>
                      <w:lang w:eastAsia="en-GB"/>
                    </w:rPr>
                  </m:ctrlPr>
                </m:sSupPr>
                <m:e>
                  <m:r>
                    <w:rPr>
                      <w:rFonts w:ascii="Cambria Math" w:hAnsi="Cambria Math"/>
                      <w:lang w:eastAsia="en-GB"/>
                    </w:rPr>
                    <m:t>h</m:t>
                  </m:r>
                </m:e>
                <m:sup>
                  <m:r>
                    <w:rPr>
                      <w:rFonts w:ascii="Cambria Math" w:hAnsi="Cambria Math"/>
                      <w:lang w:eastAsia="en-GB"/>
                    </w:rPr>
                    <m:t>2</m:t>
                  </m:r>
                </m:sup>
              </m:sSup>
            </m:e>
          </m:d>
          <m:r>
            <w:rPr>
              <w:rFonts w:ascii="Cambria Math" w:hAnsi="Cambria Math"/>
              <w:lang w:eastAsia="en-GB"/>
            </w:rPr>
            <m:t>+O(k)</m:t>
          </m:r>
        </m:oMath>
      </m:oMathPara>
    </w:p>
    <w:p w14:paraId="45A7D5C7" w14:textId="17E8E3EE" w:rsidR="003D5F5C" w:rsidRPr="00A76B1C" w:rsidRDefault="00305722" w:rsidP="00C074EC">
      <w:pPr>
        <w:jc w:val="both"/>
        <w:rPr>
          <w:rFonts w:ascii="Baskerville Old Face" w:hAnsi="Baskerville Old Face"/>
          <w:lang w:eastAsia="en-GB"/>
        </w:rPr>
      </w:pPr>
      <w:r w:rsidRPr="00A76B1C">
        <w:rPr>
          <w:rFonts w:ascii="Baskerville Old Face" w:hAnsi="Baskerville Old Face"/>
          <w:lang w:eastAsia="en-GB"/>
        </w:rPr>
        <w:t>which indicates that the method is second-order accurate in space and first-order accurate in time.</w:t>
      </w:r>
    </w:p>
    <w:p w14:paraId="69D129CD" w14:textId="77777777" w:rsidR="00305722" w:rsidRPr="00A76B1C" w:rsidRDefault="00305722" w:rsidP="00305722">
      <w:pPr>
        <w:ind w:firstLine="426"/>
        <w:jc w:val="both"/>
        <w:rPr>
          <w:rFonts w:ascii="Baskerville Old Face" w:hAnsi="Baskerville Old Face"/>
          <w:lang w:val="id-ID"/>
        </w:rPr>
      </w:pPr>
    </w:p>
    <w:p w14:paraId="24B33E71" w14:textId="173D81AC" w:rsidR="00734BE5" w:rsidRPr="00A76B1C" w:rsidRDefault="00534DFC" w:rsidP="00C074EC">
      <w:pPr>
        <w:numPr>
          <w:ilvl w:val="0"/>
          <w:numId w:val="15"/>
        </w:numPr>
        <w:tabs>
          <w:tab w:val="left" w:pos="426"/>
        </w:tabs>
        <w:ind w:left="426" w:hanging="426"/>
        <w:rPr>
          <w:rFonts w:ascii="Baskerville Old Face" w:hAnsi="Baskerville Old Face"/>
          <w:b/>
          <w:bCs/>
        </w:rPr>
      </w:pPr>
      <w:r w:rsidRPr="00A76B1C">
        <w:rPr>
          <w:rFonts w:ascii="Baskerville Old Face" w:hAnsi="Baskerville Old Face"/>
          <w:b/>
          <w:bCs/>
        </w:rPr>
        <w:t>RESULT AND ANALYSIS</w:t>
      </w:r>
    </w:p>
    <w:p w14:paraId="759117F5" w14:textId="5CAC521F" w:rsidR="00D25C3D" w:rsidRPr="00C074EC" w:rsidRDefault="00D25C3D" w:rsidP="00C074EC">
      <w:pPr>
        <w:pStyle w:val="ListParagraph"/>
        <w:numPr>
          <w:ilvl w:val="1"/>
          <w:numId w:val="15"/>
        </w:numPr>
        <w:tabs>
          <w:tab w:val="left" w:pos="426"/>
        </w:tabs>
        <w:spacing w:after="0" w:line="240" w:lineRule="auto"/>
        <w:ind w:hanging="786"/>
        <w:jc w:val="both"/>
        <w:rPr>
          <w:rFonts w:ascii="Baskerville Old Face" w:hAnsi="Baskerville Old Face"/>
          <w:b/>
          <w:bCs/>
          <w:sz w:val="20"/>
          <w:szCs w:val="20"/>
        </w:rPr>
      </w:pPr>
      <w:r w:rsidRPr="00C074EC">
        <w:rPr>
          <w:rFonts w:ascii="Baskerville Old Face" w:hAnsi="Baskerville Old Face"/>
          <w:b/>
          <w:bCs/>
          <w:sz w:val="20"/>
          <w:szCs w:val="20"/>
        </w:rPr>
        <w:t>Research Data and Simulation Parameters</w:t>
      </w:r>
    </w:p>
    <w:p w14:paraId="5A50FFEC" w14:textId="72A8FEFE" w:rsidR="00D25C3D" w:rsidRPr="00A76B1C" w:rsidRDefault="00EB4548" w:rsidP="00C074EC">
      <w:pPr>
        <w:pStyle w:val="Paragraf"/>
        <w:ind w:firstLine="426"/>
        <w:rPr>
          <w:rFonts w:ascii="Baskerville Old Face" w:hAnsi="Baskerville Old Face"/>
          <w:lang w:val="en-US"/>
        </w:rPr>
      </w:pPr>
      <w:r w:rsidRPr="00A76B1C">
        <w:rPr>
          <w:rFonts w:ascii="Baskerville Old Face" w:hAnsi="Baskerville Old Face"/>
        </w:rPr>
        <w:t xml:space="preserve">The data used in this simulation is in the form of the historical closing price of PT XYZ which is a company operating in the banking sector. The dataset covers a one-year trading period. From this data, the latest closing price was recorded at </w:t>
      </w:r>
      <m:oMath>
        <m:sSub>
          <m:sSubPr>
            <m:ctrlPr>
              <w:rPr>
                <w:rFonts w:ascii="Cambria Math" w:hAnsi="Cambria Math"/>
                <w:i/>
              </w:rPr>
            </m:ctrlPr>
          </m:sSubPr>
          <m:e>
            <m:r>
              <w:rPr>
                <w:rFonts w:ascii="Cambria Math" w:hAnsi="Cambria Math"/>
              </w:rPr>
              <m:t>S</m:t>
            </m:r>
          </m:e>
          <m:sub>
            <m:r>
              <w:rPr>
                <w:rFonts w:ascii="Cambria Math" w:hAnsi="Cambria Math"/>
              </w:rPr>
              <m:t>0</m:t>
            </m:r>
          </m:sub>
        </m:sSub>
        <m:r>
          <w:rPr>
            <w:rFonts w:ascii="Cambria Math" w:hAnsi="Cambria Math"/>
          </w:rPr>
          <m:t>=</m:t>
        </m:r>
        <m:r>
          <m:rPr>
            <m:sty m:val="p"/>
          </m:rPr>
          <w:rPr>
            <w:rFonts w:ascii="Cambria Math" w:hAnsi="Cambria Math"/>
          </w:rPr>
          <m:t>IDR</m:t>
        </m:r>
        <m:r>
          <w:rPr>
            <w:rFonts w:ascii="Cambria Math" w:hAnsi="Cambria Math"/>
          </w:rPr>
          <m:t xml:space="preserve"> 8025</m:t>
        </m:r>
      </m:oMath>
      <w:r w:rsidR="00D25C3D" w:rsidRPr="00A76B1C">
        <w:rPr>
          <w:rFonts w:ascii="Baskerville Old Face" w:hAnsi="Baskerville Old Face"/>
        </w:rPr>
        <w:t>.</w:t>
      </w:r>
    </w:p>
    <w:p w14:paraId="518F575D" w14:textId="2694F3E7" w:rsidR="00EB4548" w:rsidRPr="00A76B1C" w:rsidRDefault="00EB4548" w:rsidP="00C074EC">
      <w:pPr>
        <w:pStyle w:val="Paragraf"/>
        <w:ind w:firstLine="426"/>
        <w:rPr>
          <w:rFonts w:ascii="Baskerville Old Face" w:hAnsi="Baskerville Old Face"/>
          <w:lang w:val="en-US"/>
        </w:rPr>
      </w:pPr>
      <w:r w:rsidRPr="00A76B1C">
        <w:rPr>
          <w:rFonts w:ascii="Baskerville Old Face" w:hAnsi="Baskerville Old Face"/>
        </w:rPr>
        <w:t>For the purpose of numerical model simulation, the historical volatility (</w:t>
      </w:r>
      <w:r w:rsidRPr="00A76B1C">
        <w:rPr>
          <w:rFonts w:ascii="Cambria" w:hAnsi="Cambria" w:cs="Cambria"/>
        </w:rPr>
        <w:t>σ</w:t>
      </w:r>
      <w:r w:rsidRPr="00A76B1C">
        <w:rPr>
          <w:rFonts w:ascii="Baskerville Old Face" w:hAnsi="Baskerville Old Face"/>
        </w:rPr>
        <w:t>) of the underlying asset is estimated first. This volatility is calculated by being able to take the standard deviation from the daily log-return and then normalize it to an annual scale. Based on historical data from PT XYZ, the level of volatility obtained is 29.49%.</w:t>
      </w:r>
    </w:p>
    <w:p w14:paraId="35C478FE" w14:textId="106A1AB5" w:rsidR="00734BE5" w:rsidRPr="00A76B1C" w:rsidRDefault="00FB713A" w:rsidP="00C074EC">
      <w:pPr>
        <w:pStyle w:val="Paragraf"/>
        <w:ind w:firstLine="426"/>
        <w:rPr>
          <w:rFonts w:ascii="Baskerville Old Face" w:hAnsi="Baskerville Old Face"/>
          <w:lang w:val="en-US"/>
        </w:rPr>
      </w:pPr>
      <w:r w:rsidRPr="00A76B1C">
        <w:rPr>
          <w:rFonts w:ascii="Baskerville Old Face" w:hAnsi="Baskerville Old Face"/>
        </w:rPr>
        <w:t>Numerical solving of nonlinear Black-Scholes equations using different methods requires a determination of representative input parameters. In this study, the simulation parameters used are presented briefly and summarized in Table 1.</w:t>
      </w:r>
    </w:p>
    <w:p w14:paraId="5FD936BC" w14:textId="77777777" w:rsidR="00FB713A" w:rsidRPr="00A76B1C" w:rsidRDefault="00FB713A" w:rsidP="00FB713A">
      <w:pPr>
        <w:pStyle w:val="Paragraf"/>
        <w:rPr>
          <w:rFonts w:ascii="Baskerville Old Face" w:hAnsi="Baskerville Old Face"/>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992"/>
        <w:gridCol w:w="1276"/>
        <w:gridCol w:w="3255"/>
      </w:tblGrid>
      <w:tr w:rsidR="00A76B1C" w:rsidRPr="00A76B1C" w14:paraId="05F2F318" w14:textId="77777777" w:rsidTr="00CB6EDC">
        <w:tc>
          <w:tcPr>
            <w:tcW w:w="2972" w:type="dxa"/>
            <w:tcBorders>
              <w:top w:val="single" w:sz="4" w:space="0" w:color="auto"/>
              <w:bottom w:val="single" w:sz="4" w:space="0" w:color="auto"/>
            </w:tcBorders>
          </w:tcPr>
          <w:p w14:paraId="3F4A63D4" w14:textId="7A02E0BE" w:rsidR="007B4E62" w:rsidRPr="00A76B1C" w:rsidRDefault="007B4E62" w:rsidP="00CB6EDC">
            <w:pPr>
              <w:pStyle w:val="Paragraf"/>
              <w:ind w:firstLine="0"/>
              <w:jc w:val="center"/>
              <w:rPr>
                <w:rFonts w:ascii="Baskerville Old Face" w:hAnsi="Baskerville Old Face"/>
              </w:rPr>
            </w:pPr>
            <w:r w:rsidRPr="00A76B1C">
              <w:rPr>
                <w:rFonts w:ascii="Baskerville Old Face" w:hAnsi="Baskerville Old Face"/>
              </w:rPr>
              <w:t>Parameters</w:t>
            </w:r>
          </w:p>
        </w:tc>
        <w:tc>
          <w:tcPr>
            <w:tcW w:w="992" w:type="dxa"/>
            <w:tcBorders>
              <w:top w:val="single" w:sz="4" w:space="0" w:color="auto"/>
              <w:bottom w:val="single" w:sz="4" w:space="0" w:color="auto"/>
            </w:tcBorders>
          </w:tcPr>
          <w:p w14:paraId="23E490C3" w14:textId="2BD8622A" w:rsidR="007B4E62" w:rsidRPr="00A76B1C" w:rsidRDefault="007B4E62" w:rsidP="00CB6EDC">
            <w:pPr>
              <w:pStyle w:val="Paragraf"/>
              <w:ind w:firstLine="0"/>
              <w:jc w:val="center"/>
              <w:rPr>
                <w:rFonts w:ascii="Baskerville Old Face" w:hAnsi="Baskerville Old Face"/>
              </w:rPr>
            </w:pPr>
            <w:r w:rsidRPr="00A76B1C">
              <w:rPr>
                <w:rFonts w:ascii="Baskerville Old Face" w:hAnsi="Baskerville Old Face"/>
              </w:rPr>
              <w:t>Symbol</w:t>
            </w:r>
          </w:p>
        </w:tc>
        <w:tc>
          <w:tcPr>
            <w:tcW w:w="1276" w:type="dxa"/>
            <w:tcBorders>
              <w:top w:val="single" w:sz="4" w:space="0" w:color="auto"/>
              <w:bottom w:val="single" w:sz="4" w:space="0" w:color="auto"/>
            </w:tcBorders>
          </w:tcPr>
          <w:p w14:paraId="12924D07" w14:textId="56C07B57" w:rsidR="007B4E62" w:rsidRPr="00A76B1C" w:rsidRDefault="004E6F84" w:rsidP="00CB6EDC">
            <w:pPr>
              <w:pStyle w:val="Paragraf"/>
              <w:ind w:firstLine="0"/>
              <w:jc w:val="center"/>
              <w:rPr>
                <w:rFonts w:ascii="Baskerville Old Face" w:hAnsi="Baskerville Old Face"/>
              </w:rPr>
            </w:pPr>
            <w:r w:rsidRPr="00A76B1C">
              <w:rPr>
                <w:rFonts w:ascii="Baskerville Old Face" w:hAnsi="Baskerville Old Face"/>
              </w:rPr>
              <w:t>Value</w:t>
            </w:r>
          </w:p>
        </w:tc>
        <w:tc>
          <w:tcPr>
            <w:tcW w:w="3255" w:type="dxa"/>
            <w:tcBorders>
              <w:top w:val="single" w:sz="4" w:space="0" w:color="auto"/>
              <w:bottom w:val="single" w:sz="4" w:space="0" w:color="auto"/>
            </w:tcBorders>
          </w:tcPr>
          <w:p w14:paraId="11A1C443" w14:textId="710FEF64" w:rsidR="007B4E62" w:rsidRPr="00A76B1C" w:rsidRDefault="004E6F84" w:rsidP="00CB6EDC">
            <w:pPr>
              <w:pStyle w:val="Paragraf"/>
              <w:ind w:firstLine="0"/>
              <w:jc w:val="center"/>
              <w:rPr>
                <w:rFonts w:ascii="Baskerville Old Face" w:hAnsi="Baskerville Old Face"/>
              </w:rPr>
            </w:pPr>
            <w:r w:rsidRPr="00A76B1C">
              <w:rPr>
                <w:rFonts w:ascii="Baskerville Old Face" w:hAnsi="Baskerville Old Face"/>
              </w:rPr>
              <w:t>Information</w:t>
            </w:r>
          </w:p>
        </w:tc>
      </w:tr>
      <w:tr w:rsidR="00A76B1C" w:rsidRPr="00A76B1C" w14:paraId="04B3C0E8" w14:textId="77777777" w:rsidTr="00CB6EDC">
        <w:tc>
          <w:tcPr>
            <w:tcW w:w="2972" w:type="dxa"/>
            <w:tcBorders>
              <w:top w:val="single" w:sz="4" w:space="0" w:color="auto"/>
            </w:tcBorders>
          </w:tcPr>
          <w:p w14:paraId="54648E66" w14:textId="046FE350" w:rsidR="007B4E62" w:rsidRPr="00A76B1C" w:rsidRDefault="004E6F84" w:rsidP="00CB6EDC">
            <w:pPr>
              <w:pStyle w:val="Paragraf"/>
              <w:ind w:firstLine="0"/>
              <w:jc w:val="center"/>
              <w:rPr>
                <w:rFonts w:ascii="Baskerville Old Face" w:hAnsi="Baskerville Old Face"/>
              </w:rPr>
            </w:pPr>
            <w:r w:rsidRPr="00A76B1C">
              <w:rPr>
                <w:rFonts w:ascii="Baskerville Old Face" w:hAnsi="Baskerville Old Face"/>
              </w:rPr>
              <w:t>Initial Share Price</w:t>
            </w:r>
          </w:p>
        </w:tc>
        <w:tc>
          <w:tcPr>
            <w:tcW w:w="992" w:type="dxa"/>
            <w:tcBorders>
              <w:top w:val="single" w:sz="4" w:space="0" w:color="auto"/>
            </w:tcBorders>
          </w:tcPr>
          <w:p w14:paraId="30B7BF1D" w14:textId="77777777" w:rsidR="007B4E62" w:rsidRPr="00A76B1C" w:rsidRDefault="00000000" w:rsidP="00CB6EDC">
            <w:pPr>
              <w:pStyle w:val="Paragraf"/>
              <w:ind w:firstLine="0"/>
              <w:jc w:val="center"/>
              <w:rPr>
                <w:rFonts w:ascii="Baskerville Old Face" w:hAnsi="Baskerville Old Face"/>
              </w:rPr>
            </w:pPr>
            <m:oMathPara>
              <m:oMath>
                <m:sSub>
                  <m:sSubPr>
                    <m:ctrlPr>
                      <w:rPr>
                        <w:rFonts w:ascii="Cambria Math" w:hAnsi="Cambria Math"/>
                        <w:i/>
                      </w:rPr>
                    </m:ctrlPr>
                  </m:sSubPr>
                  <m:e>
                    <m:r>
                      <w:rPr>
                        <w:rFonts w:ascii="Cambria Math" w:hAnsi="Cambria Math"/>
                      </w:rPr>
                      <m:t>S</m:t>
                    </m:r>
                  </m:e>
                  <m:sub>
                    <m:r>
                      <w:rPr>
                        <w:rFonts w:ascii="Cambria Math" w:hAnsi="Cambria Math"/>
                      </w:rPr>
                      <m:t>0</m:t>
                    </m:r>
                  </m:sub>
                </m:sSub>
              </m:oMath>
            </m:oMathPara>
          </w:p>
        </w:tc>
        <w:tc>
          <w:tcPr>
            <w:tcW w:w="1276" w:type="dxa"/>
            <w:tcBorders>
              <w:top w:val="single" w:sz="4" w:space="0" w:color="auto"/>
            </w:tcBorders>
          </w:tcPr>
          <w:p w14:paraId="142B9022" w14:textId="55AF654E" w:rsidR="007B4E62" w:rsidRPr="00A76B1C" w:rsidRDefault="0046378E" w:rsidP="00CB6EDC">
            <w:pPr>
              <w:pStyle w:val="Paragraf"/>
              <w:ind w:firstLine="0"/>
              <w:jc w:val="center"/>
              <w:rPr>
                <w:rFonts w:ascii="Baskerville Old Face" w:hAnsi="Baskerville Old Face"/>
              </w:rPr>
            </w:pPr>
            <m:oMathPara>
              <m:oMath>
                <m:r>
                  <m:rPr>
                    <m:sty m:val="p"/>
                  </m:rPr>
                  <w:rPr>
                    <w:rFonts w:ascii="Cambria Math" w:hAnsi="Cambria Math"/>
                  </w:rPr>
                  <m:t>8025</m:t>
                </m:r>
              </m:oMath>
            </m:oMathPara>
          </w:p>
        </w:tc>
        <w:tc>
          <w:tcPr>
            <w:tcW w:w="3255" w:type="dxa"/>
            <w:tcBorders>
              <w:top w:val="single" w:sz="4" w:space="0" w:color="auto"/>
            </w:tcBorders>
          </w:tcPr>
          <w:p w14:paraId="66451E99" w14:textId="0C38FDDE" w:rsidR="007B4E62" w:rsidRPr="00A76B1C" w:rsidRDefault="00801DFA" w:rsidP="00CB6EDC">
            <w:pPr>
              <w:pStyle w:val="Paragraf"/>
              <w:ind w:firstLine="0"/>
              <w:jc w:val="center"/>
              <w:rPr>
                <w:rFonts w:ascii="Baskerville Old Face" w:hAnsi="Baskerville Old Face"/>
              </w:rPr>
            </w:pPr>
            <w:r w:rsidRPr="00A76B1C">
              <w:rPr>
                <w:rFonts w:ascii="Baskerville Old Face" w:hAnsi="Baskerville Old Face"/>
              </w:rPr>
              <w:t>Determination of Final Share Price of PT. XYZ</w:t>
            </w:r>
          </w:p>
        </w:tc>
      </w:tr>
      <w:tr w:rsidR="00A76B1C" w:rsidRPr="00A76B1C" w14:paraId="6C992F8D" w14:textId="77777777" w:rsidTr="00CB6EDC">
        <w:tc>
          <w:tcPr>
            <w:tcW w:w="2972" w:type="dxa"/>
          </w:tcPr>
          <w:p w14:paraId="7EFC3847" w14:textId="5BC3AC19" w:rsidR="007B4E62" w:rsidRPr="00A76B1C" w:rsidRDefault="004E6F84" w:rsidP="00CB6EDC">
            <w:pPr>
              <w:pStyle w:val="Paragraf"/>
              <w:ind w:firstLine="0"/>
              <w:jc w:val="center"/>
              <w:rPr>
                <w:rFonts w:ascii="Baskerville Old Face" w:hAnsi="Baskerville Old Face"/>
              </w:rPr>
            </w:pPr>
            <w:r w:rsidRPr="00A76B1C">
              <w:rPr>
                <w:rFonts w:ascii="Baskerville Old Face" w:hAnsi="Baskerville Old Face"/>
              </w:rPr>
              <w:t>Execution Price</w:t>
            </w:r>
          </w:p>
        </w:tc>
        <w:tc>
          <w:tcPr>
            <w:tcW w:w="992" w:type="dxa"/>
          </w:tcPr>
          <w:p w14:paraId="2D07FE3F" w14:textId="77777777" w:rsidR="007B4E62" w:rsidRPr="00A76B1C" w:rsidRDefault="007B4E62" w:rsidP="00CB6EDC">
            <w:pPr>
              <w:pStyle w:val="Paragraf"/>
              <w:ind w:firstLine="0"/>
              <w:jc w:val="center"/>
              <w:rPr>
                <w:rFonts w:ascii="Baskerville Old Face" w:hAnsi="Baskerville Old Face"/>
              </w:rPr>
            </w:pPr>
            <m:oMathPara>
              <m:oMath>
                <m:r>
                  <w:rPr>
                    <w:rFonts w:ascii="Cambria Math" w:hAnsi="Cambria Math"/>
                  </w:rPr>
                  <m:t>E</m:t>
                </m:r>
              </m:oMath>
            </m:oMathPara>
          </w:p>
        </w:tc>
        <w:tc>
          <w:tcPr>
            <w:tcW w:w="1276" w:type="dxa"/>
          </w:tcPr>
          <w:p w14:paraId="26B17381" w14:textId="19B872A9" w:rsidR="007B4E62" w:rsidRPr="00A76B1C" w:rsidRDefault="0046378E" w:rsidP="00CB6EDC">
            <w:pPr>
              <w:pStyle w:val="Paragraf"/>
              <w:ind w:firstLine="0"/>
              <w:jc w:val="center"/>
              <w:rPr>
                <w:rFonts w:ascii="Baskerville Old Face" w:hAnsi="Baskerville Old Face"/>
              </w:rPr>
            </w:pPr>
            <m:oMathPara>
              <m:oMath>
                <m:r>
                  <m:rPr>
                    <m:sty m:val="p"/>
                  </m:rPr>
                  <w:rPr>
                    <w:rFonts w:ascii="Cambria Math" w:hAnsi="Cambria Math"/>
                  </w:rPr>
                  <m:t>8025</m:t>
                </m:r>
              </m:oMath>
            </m:oMathPara>
          </w:p>
        </w:tc>
        <w:tc>
          <w:tcPr>
            <w:tcW w:w="3255" w:type="dxa"/>
          </w:tcPr>
          <w:p w14:paraId="00A8F3AF" w14:textId="1FD13012" w:rsidR="007B4E62" w:rsidRPr="00A76B1C" w:rsidRDefault="003E7C9E" w:rsidP="00CB6EDC">
            <w:pPr>
              <w:pStyle w:val="Paragraf"/>
              <w:ind w:firstLine="0"/>
              <w:jc w:val="center"/>
              <w:rPr>
                <w:rFonts w:ascii="Baskerville Old Face" w:hAnsi="Baskerville Old Face"/>
              </w:rPr>
            </w:pPr>
            <w:r w:rsidRPr="00A76B1C">
              <w:rPr>
                <w:rFonts w:ascii="Baskerville Old Face" w:hAnsi="Baskerville Old Face"/>
              </w:rPr>
              <w:t>At-The-Money (ATM) Scenario</w:t>
            </w:r>
          </w:p>
        </w:tc>
      </w:tr>
      <w:tr w:rsidR="00A76B1C" w:rsidRPr="00A76B1C" w14:paraId="1B3701A0" w14:textId="77777777" w:rsidTr="00CB6EDC">
        <w:tc>
          <w:tcPr>
            <w:tcW w:w="2972" w:type="dxa"/>
          </w:tcPr>
          <w:p w14:paraId="4BC23028" w14:textId="034510C9" w:rsidR="007B4E62" w:rsidRPr="00A76B1C" w:rsidRDefault="004E6F84" w:rsidP="00CB6EDC">
            <w:pPr>
              <w:pStyle w:val="Paragraf"/>
              <w:ind w:firstLine="0"/>
              <w:jc w:val="center"/>
              <w:rPr>
                <w:rFonts w:ascii="Baskerville Old Face" w:hAnsi="Baskerville Old Face"/>
              </w:rPr>
            </w:pPr>
            <w:r w:rsidRPr="00A76B1C">
              <w:rPr>
                <w:rFonts w:ascii="Baskerville Old Face" w:hAnsi="Baskerville Old Face"/>
              </w:rPr>
              <w:t xml:space="preserve">Due date </w:t>
            </w:r>
          </w:p>
        </w:tc>
        <w:tc>
          <w:tcPr>
            <w:tcW w:w="992" w:type="dxa"/>
          </w:tcPr>
          <w:p w14:paraId="73BE3E2D" w14:textId="77777777" w:rsidR="007B4E62" w:rsidRPr="00A76B1C" w:rsidRDefault="007B4E62" w:rsidP="00CB6EDC">
            <w:pPr>
              <w:pStyle w:val="Paragraf"/>
              <w:ind w:firstLine="0"/>
              <w:jc w:val="center"/>
              <w:rPr>
                <w:rFonts w:ascii="Baskerville Old Face" w:hAnsi="Baskerville Old Face"/>
              </w:rPr>
            </w:pPr>
            <m:oMathPara>
              <m:oMath>
                <m:r>
                  <w:rPr>
                    <w:rFonts w:ascii="Cambria Math" w:hAnsi="Cambria Math"/>
                  </w:rPr>
                  <m:t>T</m:t>
                </m:r>
              </m:oMath>
            </m:oMathPara>
          </w:p>
        </w:tc>
        <w:tc>
          <w:tcPr>
            <w:tcW w:w="1276" w:type="dxa"/>
          </w:tcPr>
          <w:p w14:paraId="646447C5" w14:textId="505F21DB" w:rsidR="007B4E62" w:rsidRPr="00A76B1C" w:rsidRDefault="0046378E" w:rsidP="00CB6EDC">
            <w:pPr>
              <w:pStyle w:val="Paragraf"/>
              <w:ind w:firstLine="0"/>
              <w:jc w:val="center"/>
              <w:rPr>
                <w:rFonts w:ascii="Baskerville Old Face" w:hAnsi="Baskerville Old Face"/>
              </w:rPr>
            </w:pPr>
            <m:oMathPara>
              <m:oMath>
                <m:r>
                  <w:rPr>
                    <w:rFonts w:ascii="Cambria Math" w:hAnsi="Cambria Math"/>
                  </w:rPr>
                  <m:t>1</m:t>
                </m:r>
              </m:oMath>
            </m:oMathPara>
          </w:p>
        </w:tc>
        <w:tc>
          <w:tcPr>
            <w:tcW w:w="3255" w:type="dxa"/>
          </w:tcPr>
          <w:p w14:paraId="7622417B" w14:textId="52506A32" w:rsidR="007B4E62" w:rsidRPr="00A76B1C" w:rsidRDefault="007B4E62" w:rsidP="00CB6EDC">
            <w:pPr>
              <w:pStyle w:val="Paragraf"/>
              <w:ind w:firstLine="0"/>
              <w:jc w:val="center"/>
              <w:rPr>
                <w:rFonts w:ascii="Baskerville Old Face" w:hAnsi="Baskerville Old Face"/>
              </w:rPr>
            </w:pPr>
            <w:r w:rsidRPr="00A76B1C">
              <w:rPr>
                <w:rFonts w:ascii="Baskerville Old Face" w:hAnsi="Baskerville Old Face"/>
              </w:rPr>
              <w:t>1 Year</w:t>
            </w:r>
          </w:p>
        </w:tc>
      </w:tr>
      <w:tr w:rsidR="00A76B1C" w:rsidRPr="00A76B1C" w14:paraId="01DE8AB7" w14:textId="77777777" w:rsidTr="00CB6EDC">
        <w:tc>
          <w:tcPr>
            <w:tcW w:w="2972" w:type="dxa"/>
          </w:tcPr>
          <w:p w14:paraId="28460702" w14:textId="10D37A39" w:rsidR="007B4E62" w:rsidRPr="00A76B1C" w:rsidRDefault="004E6F84" w:rsidP="00CB6EDC">
            <w:pPr>
              <w:pStyle w:val="Paragraf"/>
              <w:ind w:firstLine="0"/>
              <w:jc w:val="center"/>
              <w:rPr>
                <w:rFonts w:ascii="Baskerville Old Face" w:hAnsi="Baskerville Old Face"/>
              </w:rPr>
            </w:pPr>
            <w:r w:rsidRPr="00A76B1C">
              <w:rPr>
                <w:rFonts w:ascii="Baskerville Old Face" w:hAnsi="Baskerville Old Face"/>
              </w:rPr>
              <w:t>Risk-Free Interest Rate</w:t>
            </w:r>
          </w:p>
        </w:tc>
        <w:tc>
          <w:tcPr>
            <w:tcW w:w="992" w:type="dxa"/>
          </w:tcPr>
          <w:p w14:paraId="21878DD4" w14:textId="77777777" w:rsidR="007B4E62" w:rsidRPr="00A76B1C" w:rsidRDefault="007B4E62" w:rsidP="00CB6EDC">
            <w:pPr>
              <w:pStyle w:val="Paragraf"/>
              <w:ind w:firstLine="0"/>
              <w:jc w:val="center"/>
              <w:rPr>
                <w:rFonts w:ascii="Baskerville Old Face" w:hAnsi="Baskerville Old Face"/>
              </w:rPr>
            </w:pPr>
            <m:oMathPara>
              <m:oMath>
                <m:r>
                  <w:rPr>
                    <w:rFonts w:ascii="Cambria Math" w:hAnsi="Cambria Math"/>
                  </w:rPr>
                  <m:t>t</m:t>
                </m:r>
              </m:oMath>
            </m:oMathPara>
          </w:p>
        </w:tc>
        <w:tc>
          <w:tcPr>
            <w:tcW w:w="1276" w:type="dxa"/>
          </w:tcPr>
          <w:p w14:paraId="6858B709" w14:textId="373741D2" w:rsidR="007B4E62" w:rsidRPr="00A76B1C" w:rsidRDefault="0046378E" w:rsidP="00CB6EDC">
            <w:pPr>
              <w:pStyle w:val="Paragraf"/>
              <w:ind w:firstLine="0"/>
              <w:jc w:val="center"/>
              <w:rPr>
                <w:rFonts w:ascii="Baskerville Old Face" w:hAnsi="Baskerville Old Face"/>
              </w:rPr>
            </w:pPr>
            <m:oMathPara>
              <m:oMath>
                <m:r>
                  <w:rPr>
                    <w:rFonts w:ascii="Cambria Math" w:hAnsi="Cambria Math"/>
                  </w:rPr>
                  <m:t>0.06</m:t>
                </m:r>
              </m:oMath>
            </m:oMathPara>
          </w:p>
        </w:tc>
        <w:tc>
          <w:tcPr>
            <w:tcW w:w="3255" w:type="dxa"/>
          </w:tcPr>
          <w:p w14:paraId="2E72B6E0" w14:textId="2EDDB32A" w:rsidR="007B4E62" w:rsidRPr="00A76B1C" w:rsidRDefault="003E7C9E" w:rsidP="00CB6EDC">
            <w:pPr>
              <w:pStyle w:val="Paragraf"/>
              <w:ind w:firstLine="0"/>
              <w:jc w:val="center"/>
              <w:rPr>
                <w:rFonts w:ascii="Baskerville Old Face" w:hAnsi="Baskerville Old Face"/>
              </w:rPr>
            </w:pPr>
            <w:r w:rsidRPr="00A76B1C">
              <w:rPr>
                <w:rFonts w:ascii="Baskerville Old Face" w:hAnsi="Baskerville Old Face"/>
              </w:rPr>
              <w:t>Benchmark interest rate assumptions</w:t>
            </w:r>
            <w:r w:rsidR="005F16A4" w:rsidRPr="00A76B1C">
              <w:rPr>
                <w:rFonts w:ascii="Cambria Math" w:hAnsi="Cambria Math"/>
                <w:i/>
              </w:rPr>
              <w:br/>
            </w:r>
            <m:oMathPara>
              <m:oMath>
                <m:r>
                  <w:rPr>
                    <w:rFonts w:ascii="Cambria Math" w:hAnsi="Cambria Math"/>
                  </w:rPr>
                  <m:t>(6%)</m:t>
                </m:r>
              </m:oMath>
            </m:oMathPara>
          </w:p>
        </w:tc>
      </w:tr>
      <w:tr w:rsidR="00A76B1C" w:rsidRPr="00A76B1C" w14:paraId="25F5977D" w14:textId="77777777" w:rsidTr="00CB6EDC">
        <w:tc>
          <w:tcPr>
            <w:tcW w:w="2972" w:type="dxa"/>
          </w:tcPr>
          <w:p w14:paraId="517C5211" w14:textId="43138C2B" w:rsidR="007B4E62" w:rsidRPr="00A76B1C" w:rsidRDefault="004E6F84" w:rsidP="00CB6EDC">
            <w:pPr>
              <w:pStyle w:val="Paragraf"/>
              <w:ind w:firstLine="0"/>
              <w:jc w:val="center"/>
              <w:rPr>
                <w:rFonts w:ascii="Baskerville Old Face" w:hAnsi="Baskerville Old Face"/>
              </w:rPr>
            </w:pPr>
            <w:r w:rsidRPr="00A76B1C">
              <w:rPr>
                <w:rFonts w:ascii="Baskerville Old Face" w:hAnsi="Baskerville Old Face"/>
              </w:rPr>
              <w:t>Historical Volatility</w:t>
            </w:r>
          </w:p>
        </w:tc>
        <w:tc>
          <w:tcPr>
            <w:tcW w:w="992" w:type="dxa"/>
          </w:tcPr>
          <w:p w14:paraId="296529E0" w14:textId="77777777" w:rsidR="007B4E62" w:rsidRPr="00A76B1C" w:rsidRDefault="00000000" w:rsidP="00CB6EDC">
            <w:pPr>
              <w:pStyle w:val="Paragraf"/>
              <w:ind w:firstLine="0"/>
              <w:jc w:val="center"/>
              <w:rPr>
                <w:rFonts w:ascii="Baskerville Old Face" w:hAnsi="Baskerville Old Face"/>
              </w:rPr>
            </w:pPr>
            <m:oMathPara>
              <m:oMath>
                <m:sSub>
                  <m:sSubPr>
                    <m:ctrlPr>
                      <w:rPr>
                        <w:rFonts w:ascii="Cambria Math" w:hAnsi="Cambria Math"/>
                        <w:i/>
                      </w:rPr>
                    </m:ctrlPr>
                  </m:sSubPr>
                  <m:e>
                    <m:r>
                      <w:rPr>
                        <w:rFonts w:ascii="Cambria Math" w:hAnsi="Cambria Math"/>
                      </w:rPr>
                      <m:t>σ</m:t>
                    </m:r>
                  </m:e>
                  <m:sub>
                    <m:r>
                      <w:rPr>
                        <w:rFonts w:ascii="Cambria Math" w:hAnsi="Cambria Math"/>
                      </w:rPr>
                      <m:t>0</m:t>
                    </m:r>
                  </m:sub>
                </m:sSub>
              </m:oMath>
            </m:oMathPara>
          </w:p>
        </w:tc>
        <w:tc>
          <w:tcPr>
            <w:tcW w:w="1276" w:type="dxa"/>
          </w:tcPr>
          <w:p w14:paraId="29043CBC" w14:textId="341546E2" w:rsidR="007B4E62" w:rsidRPr="00A76B1C" w:rsidRDefault="0046378E" w:rsidP="00CB6EDC">
            <w:pPr>
              <w:pStyle w:val="Paragraf"/>
              <w:ind w:firstLine="0"/>
              <w:jc w:val="center"/>
              <w:rPr>
                <w:rFonts w:ascii="Baskerville Old Face" w:hAnsi="Baskerville Old Face"/>
              </w:rPr>
            </w:pPr>
            <m:oMathPara>
              <m:oMath>
                <m:r>
                  <w:rPr>
                    <w:rFonts w:ascii="Cambria Math" w:hAnsi="Cambria Math"/>
                  </w:rPr>
                  <m:t>0.2960</m:t>
                </m:r>
              </m:oMath>
            </m:oMathPara>
          </w:p>
        </w:tc>
        <w:tc>
          <w:tcPr>
            <w:tcW w:w="3255" w:type="dxa"/>
          </w:tcPr>
          <w:p w14:paraId="229AC147" w14:textId="7644D49E" w:rsidR="007B4E62" w:rsidRPr="00A76B1C" w:rsidRDefault="00801DFA" w:rsidP="00CB6EDC">
            <w:pPr>
              <w:pStyle w:val="Paragraf"/>
              <w:ind w:firstLine="0"/>
              <w:jc w:val="center"/>
              <w:rPr>
                <w:rFonts w:ascii="Baskerville Old Face" w:hAnsi="Baskerville Old Face"/>
              </w:rPr>
            </w:pPr>
            <w:r w:rsidRPr="00A76B1C">
              <w:rPr>
                <w:rFonts w:ascii="Baskerville Old Face" w:hAnsi="Baskerville Old Face"/>
              </w:rPr>
              <w:t xml:space="preserve">Estimates from historical data of PT. XYZ </w:t>
            </w:r>
            <m:oMath>
              <m:r>
                <w:rPr>
                  <w:rFonts w:ascii="Cambria Math" w:hAnsi="Cambria Math"/>
                </w:rPr>
                <m:t>(29,49%)</m:t>
              </m:r>
            </m:oMath>
          </w:p>
        </w:tc>
      </w:tr>
      <w:tr w:rsidR="00A76B1C" w:rsidRPr="00A76B1C" w14:paraId="3AA01AFC" w14:textId="77777777" w:rsidTr="00CB6EDC">
        <w:tc>
          <w:tcPr>
            <w:tcW w:w="2972" w:type="dxa"/>
          </w:tcPr>
          <w:p w14:paraId="59C14FF4" w14:textId="42070F38" w:rsidR="007B4E62" w:rsidRPr="00A76B1C" w:rsidRDefault="004E6F84" w:rsidP="00CB6EDC">
            <w:pPr>
              <w:pStyle w:val="Paragraf"/>
              <w:ind w:firstLine="0"/>
              <w:jc w:val="center"/>
              <w:rPr>
                <w:rFonts w:ascii="Baskerville Old Face" w:hAnsi="Baskerville Old Face"/>
              </w:rPr>
            </w:pPr>
            <w:r w:rsidRPr="00A76B1C">
              <w:rPr>
                <w:rFonts w:ascii="Baskerville Old Face" w:hAnsi="Baskerville Old Face"/>
              </w:rPr>
              <w:t>Transaction Cost Parameters</w:t>
            </w:r>
          </w:p>
        </w:tc>
        <w:tc>
          <w:tcPr>
            <w:tcW w:w="992" w:type="dxa"/>
          </w:tcPr>
          <w:p w14:paraId="682530A9" w14:textId="77777777" w:rsidR="007B4E62" w:rsidRPr="00A76B1C" w:rsidRDefault="007B4E62" w:rsidP="00CB6EDC">
            <w:pPr>
              <w:pStyle w:val="Paragraf"/>
              <w:ind w:firstLine="0"/>
              <w:jc w:val="center"/>
              <w:rPr>
                <w:rFonts w:ascii="Baskerville Old Face" w:hAnsi="Baskerville Old Face"/>
              </w:rPr>
            </w:pPr>
            <m:oMathPara>
              <m:oMath>
                <m:r>
                  <w:rPr>
                    <w:rFonts w:ascii="Cambria Math" w:hAnsi="Cambria Math"/>
                  </w:rPr>
                  <m:t>α</m:t>
                </m:r>
              </m:oMath>
            </m:oMathPara>
          </w:p>
        </w:tc>
        <w:tc>
          <w:tcPr>
            <w:tcW w:w="1276" w:type="dxa"/>
          </w:tcPr>
          <w:p w14:paraId="75C8A83F" w14:textId="3D08E7FC" w:rsidR="007B4E62" w:rsidRPr="00A76B1C" w:rsidRDefault="0046378E" w:rsidP="00CB6EDC">
            <w:pPr>
              <w:pStyle w:val="Paragraf"/>
              <w:ind w:firstLine="0"/>
              <w:jc w:val="center"/>
              <w:rPr>
                <w:rFonts w:ascii="Baskerville Old Face" w:hAnsi="Baskerville Old Face"/>
              </w:rPr>
            </w:pPr>
            <m:oMathPara>
              <m:oMath>
                <m:r>
                  <w:rPr>
                    <w:rFonts w:ascii="Cambria Math" w:hAnsi="Cambria Math"/>
                  </w:rPr>
                  <m:t>0,0.02,0.05</m:t>
                </m:r>
              </m:oMath>
            </m:oMathPara>
          </w:p>
        </w:tc>
        <w:tc>
          <w:tcPr>
            <w:tcW w:w="3255" w:type="dxa"/>
          </w:tcPr>
          <w:p w14:paraId="2DEB6576" w14:textId="40C418F5" w:rsidR="007B4E62" w:rsidRPr="00A76B1C" w:rsidRDefault="00801DFA" w:rsidP="00CB6EDC">
            <w:pPr>
              <w:pStyle w:val="Paragraf"/>
              <w:ind w:firstLine="0"/>
              <w:jc w:val="center"/>
              <w:rPr>
                <w:rFonts w:ascii="Baskerville Old Face" w:hAnsi="Baskerville Old Face"/>
              </w:rPr>
            </w:pPr>
            <w:r w:rsidRPr="00A76B1C">
              <w:rPr>
                <w:rFonts w:ascii="Baskerville Old Face" w:hAnsi="Baskerville Old Face"/>
              </w:rPr>
              <w:t>Independent Variable (Free</w:t>
            </w:r>
            <w:r w:rsidR="008E6CDF">
              <w:rPr>
                <w:rFonts w:ascii="Baskerville Old Face" w:hAnsi="Baskerville Old Face"/>
              </w:rPr>
              <w:t xml:space="preserve"> </w:t>
            </w:r>
            <m:oMath>
              <m:r>
                <w:rPr>
                  <w:rFonts w:ascii="Cambria Math" w:hAnsi="Cambria Math"/>
                </w:rPr>
                <m:t>=0</m:t>
              </m:r>
            </m:oMath>
            <w:r w:rsidRPr="00A76B1C">
              <w:rPr>
                <w:rFonts w:ascii="Baskerville Old Face" w:hAnsi="Baskerville Old Face"/>
              </w:rPr>
              <w:t>, Small Fee</w:t>
            </w:r>
            <w:r w:rsidR="008E6CDF">
              <w:rPr>
                <w:rFonts w:ascii="Baskerville Old Face" w:hAnsi="Baskerville Old Face"/>
              </w:rPr>
              <w:t xml:space="preserve"> </w:t>
            </w:r>
            <m:oMath>
              <m:r>
                <w:rPr>
                  <w:rFonts w:ascii="Cambria Math" w:hAnsi="Cambria Math"/>
                </w:rPr>
                <m:t>=0.02</m:t>
              </m:r>
            </m:oMath>
            <w:r w:rsidRPr="00A76B1C">
              <w:rPr>
                <w:rFonts w:ascii="Baskerville Old Face" w:hAnsi="Baskerville Old Face"/>
              </w:rPr>
              <w:t>, Big Costs</w:t>
            </w:r>
            <w:r w:rsidR="008E6CDF">
              <w:rPr>
                <w:rFonts w:ascii="Baskerville Old Face" w:hAnsi="Baskerville Old Face"/>
              </w:rPr>
              <w:t xml:space="preserve"> </w:t>
            </w:r>
            <m:oMath>
              <m:r>
                <w:rPr>
                  <w:rFonts w:ascii="Cambria Math" w:hAnsi="Cambria Math"/>
                </w:rPr>
                <m:t>= 0.02</m:t>
              </m:r>
            </m:oMath>
            <w:r w:rsidR="008E6CDF">
              <w:rPr>
                <w:rFonts w:ascii="Baskerville Old Face" w:hAnsi="Baskerville Old Face"/>
              </w:rPr>
              <w:t>)</w:t>
            </w:r>
          </w:p>
        </w:tc>
      </w:tr>
      <w:tr w:rsidR="00A76B1C" w:rsidRPr="00A76B1C" w14:paraId="08512602" w14:textId="77777777" w:rsidTr="00CB6EDC">
        <w:tc>
          <w:tcPr>
            <w:tcW w:w="2972" w:type="dxa"/>
          </w:tcPr>
          <w:p w14:paraId="2B381B73" w14:textId="0FF8249E" w:rsidR="007B4E62" w:rsidRPr="00A76B1C" w:rsidRDefault="004E6F84" w:rsidP="00CB6EDC">
            <w:pPr>
              <w:pStyle w:val="Paragraf"/>
              <w:ind w:firstLine="0"/>
              <w:jc w:val="center"/>
              <w:rPr>
                <w:rFonts w:ascii="Baskerville Old Face" w:hAnsi="Baskerville Old Face"/>
              </w:rPr>
            </w:pPr>
            <w:r w:rsidRPr="00A76B1C">
              <w:rPr>
                <w:rFonts w:ascii="Baskerville Old Face" w:hAnsi="Baskerville Old Face"/>
              </w:rPr>
              <w:t>Space Steps</w:t>
            </w:r>
          </w:p>
        </w:tc>
        <w:tc>
          <w:tcPr>
            <w:tcW w:w="992" w:type="dxa"/>
          </w:tcPr>
          <w:p w14:paraId="2281E5D1" w14:textId="77777777" w:rsidR="007B4E62" w:rsidRPr="00A76B1C" w:rsidRDefault="007B4E62" w:rsidP="00CB6EDC">
            <w:pPr>
              <w:pStyle w:val="Paragraf"/>
              <w:ind w:firstLine="0"/>
              <w:jc w:val="center"/>
              <w:rPr>
                <w:rFonts w:ascii="Baskerville Old Face" w:hAnsi="Baskerville Old Face"/>
              </w:rPr>
            </w:pPr>
            <m:oMathPara>
              <m:oMath>
                <m:r>
                  <w:rPr>
                    <w:rFonts w:ascii="Cambria Math" w:hAnsi="Cambria Math"/>
                  </w:rPr>
                  <m:t>N</m:t>
                </m:r>
              </m:oMath>
            </m:oMathPara>
          </w:p>
        </w:tc>
        <w:tc>
          <w:tcPr>
            <w:tcW w:w="1276" w:type="dxa"/>
          </w:tcPr>
          <w:p w14:paraId="6C5A5100" w14:textId="0981C551" w:rsidR="007B4E62" w:rsidRPr="00A76B1C" w:rsidRDefault="0046378E" w:rsidP="00CB6EDC">
            <w:pPr>
              <w:pStyle w:val="Paragraf"/>
              <w:ind w:firstLine="0"/>
              <w:jc w:val="center"/>
              <w:rPr>
                <w:rFonts w:ascii="Baskerville Old Face" w:hAnsi="Baskerville Old Face"/>
              </w:rPr>
            </w:pPr>
            <m:oMathPara>
              <m:oMath>
                <m:r>
                  <w:rPr>
                    <w:rFonts w:ascii="Cambria Math" w:hAnsi="Cambria Math"/>
                  </w:rPr>
                  <m:t>100</m:t>
                </m:r>
              </m:oMath>
            </m:oMathPara>
          </w:p>
        </w:tc>
        <w:tc>
          <w:tcPr>
            <w:tcW w:w="3255" w:type="dxa"/>
          </w:tcPr>
          <w:p w14:paraId="5FE2512D" w14:textId="13028F7E" w:rsidR="007B4E62" w:rsidRPr="00A76B1C" w:rsidRDefault="00801DFA" w:rsidP="00CB6EDC">
            <w:pPr>
              <w:pStyle w:val="Paragraf"/>
              <w:ind w:firstLine="0"/>
              <w:jc w:val="center"/>
              <w:rPr>
                <w:rFonts w:ascii="Baskerville Old Face" w:hAnsi="Baskerville Old Face"/>
              </w:rPr>
            </w:pPr>
            <w:r w:rsidRPr="00A76B1C">
              <w:rPr>
                <w:rFonts w:ascii="Baskerville Old Face" w:hAnsi="Baskerville Old Face"/>
              </w:rPr>
              <w:t xml:space="preserve">Number of stock grid points </w:t>
            </w:r>
            <m:oMath>
              <m:r>
                <w:rPr>
                  <w:rFonts w:ascii="Cambria Math" w:hAnsi="Cambria Math"/>
                </w:rPr>
                <m:t>(S)</m:t>
              </m:r>
            </m:oMath>
          </w:p>
        </w:tc>
      </w:tr>
      <w:tr w:rsidR="00A76B1C" w:rsidRPr="00A76B1C" w14:paraId="25C37B8A" w14:textId="77777777" w:rsidTr="00CB6EDC">
        <w:tc>
          <w:tcPr>
            <w:tcW w:w="2972" w:type="dxa"/>
            <w:tcBorders>
              <w:bottom w:val="single" w:sz="4" w:space="0" w:color="auto"/>
            </w:tcBorders>
          </w:tcPr>
          <w:p w14:paraId="2C2BDB77" w14:textId="48542197" w:rsidR="007B4E62" w:rsidRPr="00A76B1C" w:rsidRDefault="004E6F84" w:rsidP="00CB6EDC">
            <w:pPr>
              <w:pStyle w:val="Paragraf"/>
              <w:ind w:firstLine="0"/>
              <w:jc w:val="center"/>
              <w:rPr>
                <w:rFonts w:ascii="Baskerville Old Face" w:hAnsi="Baskerville Old Face"/>
              </w:rPr>
            </w:pPr>
            <w:r w:rsidRPr="00A76B1C">
              <w:rPr>
                <w:rFonts w:ascii="Baskerville Old Face" w:hAnsi="Baskerville Old Face"/>
              </w:rPr>
              <w:t>Time Step</w:t>
            </w:r>
          </w:p>
        </w:tc>
        <w:tc>
          <w:tcPr>
            <w:tcW w:w="992" w:type="dxa"/>
            <w:tcBorders>
              <w:bottom w:val="single" w:sz="4" w:space="0" w:color="auto"/>
            </w:tcBorders>
          </w:tcPr>
          <w:p w14:paraId="298F3BAC" w14:textId="77777777" w:rsidR="007B4E62" w:rsidRPr="00A76B1C" w:rsidRDefault="007B4E62" w:rsidP="00CB6EDC">
            <w:pPr>
              <w:pStyle w:val="Paragraf"/>
              <w:ind w:firstLine="0"/>
              <w:jc w:val="center"/>
              <w:rPr>
                <w:rFonts w:ascii="Baskerville Old Face" w:hAnsi="Baskerville Old Face"/>
              </w:rPr>
            </w:pPr>
            <m:oMathPara>
              <m:oMath>
                <m:r>
                  <w:rPr>
                    <w:rFonts w:ascii="Cambria Math" w:hAnsi="Cambria Math"/>
                  </w:rPr>
                  <m:t>M</m:t>
                </m:r>
              </m:oMath>
            </m:oMathPara>
          </w:p>
        </w:tc>
        <w:tc>
          <w:tcPr>
            <w:tcW w:w="1276" w:type="dxa"/>
            <w:tcBorders>
              <w:bottom w:val="single" w:sz="4" w:space="0" w:color="auto"/>
            </w:tcBorders>
          </w:tcPr>
          <w:p w14:paraId="76F10E59" w14:textId="62878383" w:rsidR="007B4E62" w:rsidRPr="00A76B1C" w:rsidRDefault="0046378E" w:rsidP="00CB6EDC">
            <w:pPr>
              <w:pStyle w:val="Paragraf"/>
              <w:ind w:firstLine="0"/>
              <w:jc w:val="center"/>
              <w:rPr>
                <w:rFonts w:ascii="Baskerville Old Face" w:hAnsi="Baskerville Old Face"/>
              </w:rPr>
            </w:pPr>
            <m:oMathPara>
              <m:oMath>
                <m:r>
                  <w:rPr>
                    <w:rFonts w:ascii="Cambria Math" w:hAnsi="Cambria Math"/>
                  </w:rPr>
                  <m:t>5000</m:t>
                </m:r>
              </m:oMath>
            </m:oMathPara>
          </w:p>
        </w:tc>
        <w:tc>
          <w:tcPr>
            <w:tcW w:w="3255" w:type="dxa"/>
            <w:tcBorders>
              <w:bottom w:val="single" w:sz="4" w:space="0" w:color="auto"/>
            </w:tcBorders>
          </w:tcPr>
          <w:p w14:paraId="18C05682" w14:textId="06482EDB" w:rsidR="007B4E62" w:rsidRPr="00A76B1C" w:rsidRDefault="00801DFA" w:rsidP="00CB6EDC">
            <w:pPr>
              <w:pStyle w:val="Paragraf"/>
              <w:ind w:firstLine="0"/>
              <w:jc w:val="center"/>
              <w:rPr>
                <w:rFonts w:ascii="Baskerville Old Face" w:hAnsi="Baskerville Old Face"/>
              </w:rPr>
            </w:pPr>
            <w:r w:rsidRPr="00A76B1C">
              <w:rPr>
                <w:rFonts w:ascii="Baskerville Old Face" w:hAnsi="Baskerville Old Face"/>
              </w:rPr>
              <w:t xml:space="preserve">Number of time grid points </w:t>
            </w:r>
            <m:oMath>
              <m:r>
                <w:rPr>
                  <w:rFonts w:ascii="Cambria Math" w:hAnsi="Cambria Math"/>
                </w:rPr>
                <m:t>(t)</m:t>
              </m:r>
            </m:oMath>
          </w:p>
        </w:tc>
      </w:tr>
    </w:tbl>
    <w:p w14:paraId="2C069148" w14:textId="495803D1" w:rsidR="00734BE5" w:rsidRPr="00A76B1C" w:rsidRDefault="00734BE5" w:rsidP="00C25F15">
      <w:pPr>
        <w:pStyle w:val="Heading2"/>
        <w:spacing w:before="0"/>
        <w:jc w:val="center"/>
        <w:rPr>
          <w:rFonts w:ascii="Baskerville Old Face" w:hAnsi="Baskerville Old Face" w:cs="Times New Roman"/>
          <w:b w:val="0"/>
          <w:bCs w:val="0"/>
          <w:sz w:val="18"/>
          <w:szCs w:val="18"/>
          <w:lang w:val="id-ID"/>
        </w:rPr>
      </w:pPr>
      <w:r w:rsidRPr="00A76B1C">
        <w:rPr>
          <w:rFonts w:ascii="Baskerville Old Face" w:hAnsi="Baskerville Old Face" w:cs="Times New Roman"/>
          <w:b w:val="0"/>
          <w:bCs w:val="0"/>
          <w:sz w:val="18"/>
          <w:szCs w:val="18"/>
        </w:rPr>
        <w:t>Table 2. Parameter Values</w:t>
      </w:r>
    </w:p>
    <w:p w14:paraId="37F52FC4" w14:textId="3FE21389" w:rsidR="00AD50B5" w:rsidRPr="00C074EC" w:rsidRDefault="00AD50B5" w:rsidP="00C074EC">
      <w:pPr>
        <w:pStyle w:val="ListParagraph"/>
        <w:numPr>
          <w:ilvl w:val="1"/>
          <w:numId w:val="15"/>
        </w:numPr>
        <w:tabs>
          <w:tab w:val="left" w:pos="426"/>
        </w:tabs>
        <w:spacing w:after="0" w:line="240" w:lineRule="auto"/>
        <w:ind w:hanging="786"/>
        <w:jc w:val="both"/>
        <w:rPr>
          <w:rFonts w:ascii="Baskerville Old Face" w:hAnsi="Baskerville Old Face"/>
          <w:b/>
          <w:bCs/>
          <w:i/>
          <w:iCs/>
          <w:sz w:val="20"/>
          <w:szCs w:val="20"/>
          <w:lang w:val="id-ID"/>
        </w:rPr>
      </w:pPr>
      <w:r w:rsidRPr="00C074EC">
        <w:rPr>
          <w:rFonts w:ascii="Baskerville Old Face" w:hAnsi="Baskerville Old Face"/>
          <w:b/>
          <w:bCs/>
          <w:sz w:val="20"/>
          <w:szCs w:val="20"/>
        </w:rPr>
        <w:t>Effect of Transaction Costs on Option Prices</w:t>
      </w:r>
    </w:p>
    <w:p w14:paraId="65C9FDE0" w14:textId="056DFDD4" w:rsidR="00AD50B5" w:rsidRPr="00A76B1C" w:rsidRDefault="00FB713A" w:rsidP="00C074EC">
      <w:pPr>
        <w:pStyle w:val="Paragraf"/>
        <w:ind w:firstLine="426"/>
        <w:rPr>
          <w:rFonts w:ascii="Baskerville Old Face" w:hAnsi="Baskerville Old Face"/>
        </w:rPr>
      </w:pPr>
      <w:r w:rsidRPr="00A76B1C">
        <w:rPr>
          <w:rFonts w:ascii="Baskerville Old Face" w:hAnsi="Baskerville Old Face"/>
        </w:rPr>
        <w:t xml:space="preserve">Before the impact of transaction costs is further analyzed, the accuracy of the proposed numerical scheme needs to be validated first. The validation process is carried out by comparing the price of numerical options generated through the semi-discretization method with the analytical solution that has been obtained from the standard Black-Scholes model on the market conditions given the assumption without any friction </w:t>
      </w:r>
      <m:oMath>
        <m:r>
          <w:rPr>
            <w:rFonts w:ascii="Cambria Math" w:hAnsi="Cambria Math"/>
          </w:rPr>
          <m:t>(a=0)</m:t>
        </m:r>
      </m:oMath>
      <w:r w:rsidR="00667BCA" w:rsidRPr="00A76B1C">
        <w:rPr>
          <w:rFonts w:ascii="Baskerville Old Face" w:hAnsi="Baskerville Old Face"/>
        </w:rPr>
        <w:t xml:space="preserve">. </w:t>
      </w:r>
    </w:p>
    <w:p w14:paraId="74F0C33C" w14:textId="7C71573C" w:rsidR="00667BCA" w:rsidRPr="0046378E" w:rsidRDefault="00000000" w:rsidP="00C074EC">
      <w:pPr>
        <w:spacing w:before="240" w:after="240"/>
        <w:rPr>
          <w:rFonts w:ascii="Baskerville Old Face" w:hAnsi="Baskerville Old Face"/>
        </w:rPr>
      </w:pPr>
      <m:oMathPara>
        <m:oMath>
          <m:sSub>
            <m:sSubPr>
              <m:ctrlPr>
                <w:rPr>
                  <w:rFonts w:ascii="Cambria Math" w:hAnsi="Cambria Math"/>
                  <w:i/>
                </w:rPr>
              </m:ctrlPr>
            </m:sSubPr>
            <m:e>
              <m:r>
                <w:rPr>
                  <w:rFonts w:ascii="Cambria Math" w:hAnsi="Cambria Math"/>
                </w:rPr>
                <m:t>E</m:t>
              </m:r>
            </m:e>
            <m:sub>
              <m:r>
                <w:rPr>
                  <w:rFonts w:ascii="Cambria Math" w:hAnsi="Cambria Math"/>
                </w:rPr>
                <m:t>R</m:t>
              </m:r>
            </m:sub>
          </m:sSub>
          <m:r>
            <w:rPr>
              <w:rFonts w:ascii="Cambria Math" w:hAnsi="Cambria Math"/>
            </w:rPr>
            <m:t>=</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analytical</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numerical</m:t>
                      </m:r>
                    </m:sub>
                  </m:sSub>
                </m:num>
                <m:den>
                  <m:sSub>
                    <m:sSubPr>
                      <m:ctrlPr>
                        <w:rPr>
                          <w:rFonts w:ascii="Cambria Math" w:hAnsi="Cambria Math"/>
                          <w:i/>
                        </w:rPr>
                      </m:ctrlPr>
                    </m:sSubPr>
                    <m:e>
                      <m:r>
                        <w:rPr>
                          <w:rFonts w:ascii="Cambria Math" w:hAnsi="Cambria Math"/>
                        </w:rPr>
                        <m:t>V</m:t>
                      </m:r>
                    </m:e>
                    <m:sub>
                      <m:r>
                        <w:rPr>
                          <w:rFonts w:ascii="Cambria Math" w:hAnsi="Cambria Math"/>
                        </w:rPr>
                        <m:t>analytical</m:t>
                      </m:r>
                    </m:sub>
                  </m:sSub>
                </m:den>
              </m:f>
            </m:e>
          </m:d>
          <m:r>
            <w:rPr>
              <w:rFonts w:ascii="Cambria Math" w:hAnsi="Cambria Math"/>
            </w:rPr>
            <m:t>×100%</m:t>
          </m:r>
        </m:oMath>
      </m:oMathPara>
    </w:p>
    <w:p w14:paraId="02ED7032" w14:textId="78974A27" w:rsidR="00667BCA" w:rsidRDefault="00667BCA" w:rsidP="00667BCA">
      <w:pPr>
        <w:jc w:val="both"/>
        <w:rPr>
          <w:rFonts w:ascii="Baskerville Old Face" w:hAnsi="Baskerville Old Face"/>
        </w:rPr>
      </w:pPr>
      <w:r w:rsidRPr="0046378E">
        <w:rPr>
          <w:rFonts w:ascii="Baskerville Old Face" w:hAnsi="Baskerville Old Face"/>
        </w:rPr>
        <w:t>The analytical Black-Scholes price for the parameters</w:t>
      </w:r>
      <w:r w:rsidR="008E6CDF">
        <w:rPr>
          <w:rFonts w:ascii="Baskerville Old Face" w:hAnsi="Baskerville Old Face"/>
        </w:rPr>
        <w:t xml:space="preserve"> </w:t>
      </w:r>
      <m:oMath>
        <m:sSub>
          <m:sSubPr>
            <m:ctrlPr>
              <w:rPr>
                <w:rFonts w:ascii="Cambria Math" w:hAnsi="Cambria Math"/>
                <w:i/>
              </w:rPr>
            </m:ctrlPr>
          </m:sSubPr>
          <m:e>
            <m:r>
              <w:rPr>
                <w:rFonts w:ascii="Cambria Math" w:hAnsi="Cambria Math"/>
              </w:rPr>
              <m:t>S</m:t>
            </m:r>
          </m:e>
          <m:sub>
            <m:r>
              <w:rPr>
                <w:rFonts w:ascii="Cambria Math" w:hAnsi="Cambria Math"/>
              </w:rPr>
              <m:t>0</m:t>
            </m:r>
          </m:sub>
        </m:sSub>
        <m:r>
          <w:rPr>
            <w:rFonts w:ascii="Cambria Math" w:hAnsi="Cambria Math"/>
          </w:rPr>
          <m:t>=8025, K=8025, r=0.06, σ=0.2960,</m:t>
        </m:r>
      </m:oMath>
      <w:r w:rsidRPr="0046378E">
        <w:rPr>
          <w:rFonts w:ascii="Baskerville Old Face" w:hAnsi="Baskerville Old Face"/>
        </w:rPr>
        <w:t xml:space="preserve"> and</w:t>
      </w:r>
      <w:r w:rsidR="008E6CDF">
        <w:rPr>
          <w:rFonts w:ascii="Baskerville Old Face" w:hAnsi="Baskerville Old Face"/>
        </w:rPr>
        <w:t xml:space="preserve"> </w:t>
      </w:r>
      <m:oMath>
        <m:r>
          <w:rPr>
            <w:rFonts w:ascii="Cambria Math" w:hAnsi="Cambria Math"/>
          </w:rPr>
          <m:t>T=1</m:t>
        </m:r>
      </m:oMath>
      <w:r w:rsidRPr="0046378E">
        <w:rPr>
          <w:rFonts w:ascii="Baskerville Old Face" w:hAnsi="Baskerville Old Face"/>
        </w:rPr>
        <w:t xml:space="preserve"> is calculated as IDR </w:t>
      </w:r>
      <m:oMath>
        <m:r>
          <w:rPr>
            <w:rFonts w:ascii="Cambria Math" w:hAnsi="Cambria Math"/>
          </w:rPr>
          <m:t>1165.73</m:t>
        </m:r>
      </m:oMath>
      <w:r w:rsidRPr="0046378E">
        <w:rPr>
          <w:rFonts w:ascii="Baskerville Old Face" w:hAnsi="Baskerville Old Face"/>
        </w:rPr>
        <w:t>. Table 3 demonstrates that as the number of grid points increases, the numerical solution converges rapidly to the analytical value.</w:t>
      </w:r>
    </w:p>
    <w:p w14:paraId="4B5717C6" w14:textId="77777777" w:rsidR="00C074EC" w:rsidRPr="0046378E" w:rsidRDefault="00C074EC" w:rsidP="00667BCA">
      <w:pPr>
        <w:jc w:val="both"/>
        <w:rPr>
          <w:rFonts w:ascii="Baskerville Old Face" w:hAnsi="Baskerville Old Face"/>
        </w:rPr>
      </w:pPr>
    </w:p>
    <w:p w14:paraId="72103BA4" w14:textId="77777777" w:rsidR="001E5631" w:rsidRPr="0046378E" w:rsidRDefault="001E5631" w:rsidP="00667BCA">
      <w:pPr>
        <w:jc w:val="both"/>
        <w:rPr>
          <w:rFonts w:ascii="Baskerville Old Face" w:hAnsi="Baskerville Old Fac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4"/>
        <w:gridCol w:w="2194"/>
        <w:gridCol w:w="2195"/>
        <w:gridCol w:w="2195"/>
      </w:tblGrid>
      <w:tr w:rsidR="00667BCA" w:rsidRPr="0046378E" w14:paraId="00A98C29" w14:textId="77777777" w:rsidTr="001E5631">
        <w:tc>
          <w:tcPr>
            <w:tcW w:w="2194" w:type="dxa"/>
            <w:tcBorders>
              <w:top w:val="single" w:sz="4" w:space="0" w:color="auto"/>
              <w:bottom w:val="single" w:sz="4" w:space="0" w:color="auto"/>
            </w:tcBorders>
          </w:tcPr>
          <w:p w14:paraId="1F64720D" w14:textId="73CCFD62" w:rsidR="00667BCA" w:rsidRPr="0046378E" w:rsidRDefault="001E5631" w:rsidP="001E5631">
            <w:pPr>
              <w:jc w:val="center"/>
              <w:rPr>
                <w:rFonts w:ascii="Baskerville Old Face" w:hAnsi="Baskerville Old Face"/>
                <w:lang w:val="id-ID"/>
              </w:rPr>
            </w:pPr>
            <w:r w:rsidRPr="0046378E">
              <w:rPr>
                <w:rFonts w:ascii="Baskerville Old Face" w:hAnsi="Baskerville Old Face"/>
              </w:rPr>
              <w:lastRenderedPageBreak/>
              <w:t xml:space="preserve">Number of Spatial Grids </w:t>
            </w:r>
            <m:oMath>
              <m:r>
                <w:rPr>
                  <w:rFonts w:ascii="Cambria Math" w:hAnsi="Cambria Math"/>
                </w:rPr>
                <m:t>(N)</m:t>
              </m:r>
            </m:oMath>
          </w:p>
        </w:tc>
        <w:tc>
          <w:tcPr>
            <w:tcW w:w="2194" w:type="dxa"/>
            <w:tcBorders>
              <w:top w:val="single" w:sz="4" w:space="0" w:color="auto"/>
              <w:bottom w:val="single" w:sz="4" w:space="0" w:color="auto"/>
            </w:tcBorders>
          </w:tcPr>
          <w:p w14:paraId="6B781EE2" w14:textId="0912C6DA" w:rsidR="00667BCA" w:rsidRPr="0046378E" w:rsidRDefault="001E5631" w:rsidP="001E5631">
            <w:pPr>
              <w:jc w:val="center"/>
              <w:rPr>
                <w:rFonts w:ascii="Baskerville Old Face" w:hAnsi="Baskerville Old Face"/>
                <w:lang w:val="id-ID"/>
              </w:rPr>
            </w:pPr>
            <w:r w:rsidRPr="0046378E">
              <w:rPr>
                <w:rFonts w:ascii="Baskerville Old Face" w:hAnsi="Baskerville Old Face"/>
              </w:rPr>
              <w:t>Numerical Option Price (IDR)</w:t>
            </w:r>
          </w:p>
        </w:tc>
        <w:tc>
          <w:tcPr>
            <w:tcW w:w="2195" w:type="dxa"/>
            <w:tcBorders>
              <w:top w:val="single" w:sz="4" w:space="0" w:color="auto"/>
              <w:bottom w:val="single" w:sz="4" w:space="0" w:color="auto"/>
            </w:tcBorders>
          </w:tcPr>
          <w:p w14:paraId="7A45ACD9" w14:textId="027E183E" w:rsidR="00667BCA" w:rsidRPr="0046378E" w:rsidRDefault="001E5631" w:rsidP="001E5631">
            <w:pPr>
              <w:jc w:val="center"/>
              <w:rPr>
                <w:rFonts w:ascii="Baskerville Old Face" w:hAnsi="Baskerville Old Face"/>
                <w:lang w:val="id-ID"/>
              </w:rPr>
            </w:pPr>
            <w:r w:rsidRPr="0046378E">
              <w:rPr>
                <w:rFonts w:ascii="Baskerville Old Face" w:hAnsi="Baskerville Old Face"/>
              </w:rPr>
              <w:t>Analytical Option Price (IDR)</w:t>
            </w:r>
          </w:p>
        </w:tc>
        <w:tc>
          <w:tcPr>
            <w:tcW w:w="2195" w:type="dxa"/>
            <w:tcBorders>
              <w:top w:val="single" w:sz="4" w:space="0" w:color="auto"/>
              <w:bottom w:val="single" w:sz="4" w:space="0" w:color="auto"/>
            </w:tcBorders>
          </w:tcPr>
          <w:p w14:paraId="5E04FEA3" w14:textId="289C1473" w:rsidR="00667BCA" w:rsidRPr="0046378E" w:rsidRDefault="001E5631" w:rsidP="001E5631">
            <w:pPr>
              <w:jc w:val="center"/>
              <w:rPr>
                <w:rFonts w:ascii="Baskerville Old Face" w:hAnsi="Baskerville Old Face"/>
                <w:lang w:val="id-ID"/>
              </w:rPr>
            </w:pPr>
            <w:r w:rsidRPr="0046378E">
              <w:rPr>
                <w:rFonts w:ascii="Baskerville Old Face" w:hAnsi="Baskerville Old Face"/>
              </w:rPr>
              <w:t xml:space="preserve">Relative Error </w:t>
            </w:r>
            <m:oMath>
              <m:d>
                <m:dPr>
                  <m:ctrlPr>
                    <w:rPr>
                      <w:rFonts w:ascii="Cambria Math" w:hAnsi="Cambria Math"/>
                      <w:i/>
                    </w:rPr>
                  </m:ctrlPr>
                </m:dPr>
                <m:e>
                  <m:sSub>
                    <m:sSubPr>
                      <m:ctrlPr>
                        <w:rPr>
                          <w:rFonts w:ascii="Cambria Math" w:hAnsi="Cambria Math"/>
                          <w:i/>
                        </w:rPr>
                      </m:ctrlPr>
                    </m:sSubPr>
                    <m:e>
                      <m:r>
                        <w:rPr>
                          <w:rFonts w:ascii="Cambria Math" w:hAnsi="Cambria Math"/>
                        </w:rPr>
                        <m:t>E</m:t>
                      </m:r>
                    </m:e>
                    <m:sub>
                      <m:r>
                        <w:rPr>
                          <w:rFonts w:ascii="Cambria Math" w:hAnsi="Cambria Math"/>
                        </w:rPr>
                        <m:t>R</m:t>
                      </m:r>
                    </m:sub>
                  </m:sSub>
                </m:e>
              </m:d>
            </m:oMath>
          </w:p>
        </w:tc>
      </w:tr>
      <w:tr w:rsidR="001E5631" w:rsidRPr="0046378E" w14:paraId="1EF7ADA6" w14:textId="77777777" w:rsidTr="001E5631">
        <w:tc>
          <w:tcPr>
            <w:tcW w:w="2194" w:type="dxa"/>
            <w:tcBorders>
              <w:top w:val="single" w:sz="4" w:space="0" w:color="auto"/>
            </w:tcBorders>
          </w:tcPr>
          <w:p w14:paraId="0372A550" w14:textId="5C8380FB" w:rsidR="001E5631" w:rsidRPr="0046378E" w:rsidRDefault="001E5631" w:rsidP="001E5631">
            <w:pPr>
              <w:jc w:val="both"/>
              <w:rPr>
                <w:rFonts w:ascii="Baskerville Old Face" w:hAnsi="Baskerville Old Face"/>
                <w:lang w:val="id-ID"/>
              </w:rPr>
            </w:pPr>
            <m:oMathPara>
              <m:oMath>
                <m:r>
                  <w:rPr>
                    <w:rFonts w:ascii="Cambria Math" w:hAnsi="Cambria Math"/>
                    <w:lang w:val="id-ID"/>
                  </w:rPr>
                  <m:t>50</m:t>
                </m:r>
              </m:oMath>
            </m:oMathPara>
          </w:p>
        </w:tc>
        <w:tc>
          <w:tcPr>
            <w:tcW w:w="2194" w:type="dxa"/>
            <w:tcBorders>
              <w:top w:val="single" w:sz="4" w:space="0" w:color="auto"/>
            </w:tcBorders>
          </w:tcPr>
          <w:p w14:paraId="603CAC2D" w14:textId="487E970F" w:rsidR="001E5631" w:rsidRPr="0046378E" w:rsidRDefault="001E5631" w:rsidP="001E5631">
            <w:pPr>
              <w:jc w:val="both"/>
              <w:rPr>
                <w:rFonts w:ascii="Baskerville Old Face" w:hAnsi="Baskerville Old Face"/>
                <w:lang w:val="id-ID"/>
              </w:rPr>
            </w:pPr>
            <m:oMathPara>
              <m:oMath>
                <m:r>
                  <w:rPr>
                    <w:rFonts w:ascii="Cambria Math" w:hAnsi="Cambria Math"/>
                    <w:lang w:val="id-ID"/>
                  </w:rPr>
                  <m:t>1169.33</m:t>
                </m:r>
              </m:oMath>
            </m:oMathPara>
          </w:p>
        </w:tc>
        <w:tc>
          <w:tcPr>
            <w:tcW w:w="2195" w:type="dxa"/>
            <w:tcBorders>
              <w:top w:val="single" w:sz="4" w:space="0" w:color="auto"/>
            </w:tcBorders>
          </w:tcPr>
          <w:p w14:paraId="12A635F1" w14:textId="7D49E7D1" w:rsidR="001E5631" w:rsidRPr="0046378E" w:rsidRDefault="001E5631" w:rsidP="001E5631">
            <w:pPr>
              <w:jc w:val="both"/>
              <w:rPr>
                <w:rFonts w:ascii="Baskerville Old Face" w:hAnsi="Baskerville Old Face"/>
                <w:lang w:val="id-ID"/>
              </w:rPr>
            </w:pPr>
            <m:oMathPara>
              <m:oMath>
                <m:r>
                  <w:rPr>
                    <w:rFonts w:ascii="Cambria Math" w:hAnsi="Cambria Math"/>
                    <w:lang w:val="id-ID"/>
                  </w:rPr>
                  <m:t>1165.73</m:t>
                </m:r>
              </m:oMath>
            </m:oMathPara>
          </w:p>
        </w:tc>
        <w:tc>
          <w:tcPr>
            <w:tcW w:w="2195" w:type="dxa"/>
            <w:tcBorders>
              <w:top w:val="single" w:sz="4" w:space="0" w:color="auto"/>
            </w:tcBorders>
          </w:tcPr>
          <w:p w14:paraId="0D700EE2" w14:textId="1EAB12CA" w:rsidR="001E5631" w:rsidRPr="0046378E" w:rsidRDefault="001E5631" w:rsidP="001E5631">
            <w:pPr>
              <w:jc w:val="both"/>
              <w:rPr>
                <w:rFonts w:ascii="Baskerville Old Face" w:hAnsi="Baskerville Old Face"/>
                <w:lang w:val="id-ID"/>
              </w:rPr>
            </w:pPr>
            <m:oMathPara>
              <m:oMath>
                <m:r>
                  <w:rPr>
                    <w:rFonts w:ascii="Cambria Math" w:hAnsi="Cambria Math"/>
                    <w:lang w:val="id-ID"/>
                  </w:rPr>
                  <m:t>0.308%</m:t>
                </m:r>
              </m:oMath>
            </m:oMathPara>
          </w:p>
        </w:tc>
      </w:tr>
      <w:tr w:rsidR="001E5631" w:rsidRPr="0046378E" w14:paraId="4AA5F471" w14:textId="77777777" w:rsidTr="001E5631">
        <w:tc>
          <w:tcPr>
            <w:tcW w:w="2194" w:type="dxa"/>
          </w:tcPr>
          <w:p w14:paraId="1ECD7FF7" w14:textId="29E6076E" w:rsidR="001E5631" w:rsidRPr="0046378E" w:rsidRDefault="001E5631" w:rsidP="001E5631">
            <w:pPr>
              <w:jc w:val="both"/>
              <w:rPr>
                <w:rFonts w:ascii="Baskerville Old Face" w:hAnsi="Baskerville Old Face"/>
                <w:lang w:val="id-ID"/>
              </w:rPr>
            </w:pPr>
            <m:oMathPara>
              <m:oMath>
                <m:r>
                  <w:rPr>
                    <w:rFonts w:ascii="Cambria Math" w:hAnsi="Cambria Math"/>
                    <w:lang w:val="id-ID"/>
                  </w:rPr>
                  <m:t>100</m:t>
                </m:r>
              </m:oMath>
            </m:oMathPara>
          </w:p>
        </w:tc>
        <w:tc>
          <w:tcPr>
            <w:tcW w:w="2194" w:type="dxa"/>
          </w:tcPr>
          <w:p w14:paraId="4CB2E538" w14:textId="5E9B805E" w:rsidR="001E5631" w:rsidRPr="0046378E" w:rsidRDefault="001E5631" w:rsidP="001E5631">
            <w:pPr>
              <w:jc w:val="both"/>
              <w:rPr>
                <w:rFonts w:ascii="Baskerville Old Face" w:hAnsi="Baskerville Old Face"/>
                <w:lang w:val="id-ID"/>
              </w:rPr>
            </w:pPr>
            <m:oMathPara>
              <m:oMath>
                <m:r>
                  <w:rPr>
                    <w:rFonts w:ascii="Cambria Math" w:hAnsi="Cambria Math"/>
                    <w:lang w:val="id-ID"/>
                  </w:rPr>
                  <m:t>1166.62</m:t>
                </m:r>
              </m:oMath>
            </m:oMathPara>
          </w:p>
        </w:tc>
        <w:tc>
          <w:tcPr>
            <w:tcW w:w="2195" w:type="dxa"/>
          </w:tcPr>
          <w:p w14:paraId="061081EB" w14:textId="13735C06" w:rsidR="001E5631" w:rsidRPr="0046378E" w:rsidRDefault="001E5631" w:rsidP="001E5631">
            <w:pPr>
              <w:jc w:val="both"/>
              <w:rPr>
                <w:rFonts w:ascii="Baskerville Old Face" w:hAnsi="Baskerville Old Face"/>
                <w:lang w:val="id-ID"/>
              </w:rPr>
            </w:pPr>
            <m:oMathPara>
              <m:oMath>
                <m:r>
                  <w:rPr>
                    <w:rFonts w:ascii="Cambria Math" w:hAnsi="Cambria Math"/>
                    <w:lang w:val="id-ID"/>
                  </w:rPr>
                  <m:t>1165.73</m:t>
                </m:r>
              </m:oMath>
            </m:oMathPara>
          </w:p>
        </w:tc>
        <w:tc>
          <w:tcPr>
            <w:tcW w:w="2195" w:type="dxa"/>
          </w:tcPr>
          <w:p w14:paraId="4254CF6A" w14:textId="2D21AFAA" w:rsidR="001E5631" w:rsidRPr="0046378E" w:rsidRDefault="001E5631" w:rsidP="001E5631">
            <w:pPr>
              <w:jc w:val="both"/>
              <w:rPr>
                <w:rFonts w:ascii="Baskerville Old Face" w:hAnsi="Baskerville Old Face"/>
                <w:lang w:val="id-ID"/>
              </w:rPr>
            </w:pPr>
            <m:oMathPara>
              <m:oMath>
                <m:r>
                  <w:rPr>
                    <w:rFonts w:ascii="Cambria Math" w:hAnsi="Cambria Math"/>
                    <w:lang w:val="id-ID"/>
                  </w:rPr>
                  <m:t>0.076%</m:t>
                </m:r>
              </m:oMath>
            </m:oMathPara>
          </w:p>
        </w:tc>
      </w:tr>
      <w:tr w:rsidR="001E5631" w:rsidRPr="0046378E" w14:paraId="5767AC09" w14:textId="77777777" w:rsidTr="001E5631">
        <w:tc>
          <w:tcPr>
            <w:tcW w:w="2194" w:type="dxa"/>
          </w:tcPr>
          <w:p w14:paraId="5B9F7235" w14:textId="0162FBF6" w:rsidR="001E5631" w:rsidRPr="0046378E" w:rsidRDefault="001E5631" w:rsidP="001E5631">
            <w:pPr>
              <w:jc w:val="both"/>
              <w:rPr>
                <w:rFonts w:ascii="Baskerville Old Face" w:hAnsi="Baskerville Old Face"/>
                <w:lang w:val="id-ID"/>
              </w:rPr>
            </w:pPr>
            <m:oMathPara>
              <m:oMath>
                <m:r>
                  <w:rPr>
                    <w:rFonts w:ascii="Cambria Math" w:hAnsi="Cambria Math"/>
                    <w:lang w:val="id-ID"/>
                  </w:rPr>
                  <m:t>200</m:t>
                </m:r>
              </m:oMath>
            </m:oMathPara>
          </w:p>
        </w:tc>
        <w:tc>
          <w:tcPr>
            <w:tcW w:w="2194" w:type="dxa"/>
          </w:tcPr>
          <w:p w14:paraId="0EED4F52" w14:textId="43B6000F" w:rsidR="001E5631" w:rsidRPr="0046378E" w:rsidRDefault="001E5631" w:rsidP="001E5631">
            <w:pPr>
              <w:jc w:val="both"/>
              <w:rPr>
                <w:rFonts w:ascii="Baskerville Old Face" w:hAnsi="Baskerville Old Face"/>
                <w:lang w:val="id-ID"/>
              </w:rPr>
            </w:pPr>
            <m:oMathPara>
              <m:oMath>
                <m:r>
                  <w:rPr>
                    <w:rFonts w:ascii="Cambria Math" w:hAnsi="Cambria Math"/>
                    <w:lang w:val="id-ID"/>
                  </w:rPr>
                  <m:t>1165.96</m:t>
                </m:r>
              </m:oMath>
            </m:oMathPara>
          </w:p>
        </w:tc>
        <w:tc>
          <w:tcPr>
            <w:tcW w:w="2195" w:type="dxa"/>
          </w:tcPr>
          <w:p w14:paraId="4108BE20" w14:textId="0C28A338" w:rsidR="001E5631" w:rsidRPr="0046378E" w:rsidRDefault="001E5631" w:rsidP="001E5631">
            <w:pPr>
              <w:jc w:val="both"/>
              <w:rPr>
                <w:rFonts w:ascii="Baskerville Old Face" w:hAnsi="Baskerville Old Face"/>
                <w:lang w:val="id-ID"/>
              </w:rPr>
            </w:pPr>
            <m:oMathPara>
              <m:oMath>
                <m:r>
                  <w:rPr>
                    <w:rFonts w:ascii="Cambria Math" w:hAnsi="Cambria Math"/>
                    <w:lang w:val="id-ID"/>
                  </w:rPr>
                  <m:t>1165.73</m:t>
                </m:r>
              </m:oMath>
            </m:oMathPara>
          </w:p>
        </w:tc>
        <w:tc>
          <w:tcPr>
            <w:tcW w:w="2195" w:type="dxa"/>
          </w:tcPr>
          <w:p w14:paraId="0772BA74" w14:textId="4FA20905" w:rsidR="001E5631" w:rsidRPr="0046378E" w:rsidRDefault="001E5631" w:rsidP="001E5631">
            <w:pPr>
              <w:jc w:val="both"/>
              <w:rPr>
                <w:rFonts w:ascii="Baskerville Old Face" w:hAnsi="Baskerville Old Face"/>
                <w:lang w:val="id-ID"/>
              </w:rPr>
            </w:pPr>
            <m:oMathPara>
              <m:oMath>
                <m:r>
                  <w:rPr>
                    <w:rFonts w:ascii="Cambria Math" w:hAnsi="Cambria Math"/>
                    <w:lang w:val="id-ID"/>
                  </w:rPr>
                  <m:t>0.020%</m:t>
                </m:r>
              </m:oMath>
            </m:oMathPara>
          </w:p>
        </w:tc>
      </w:tr>
      <w:tr w:rsidR="001E5631" w:rsidRPr="0046378E" w14:paraId="225F95C3" w14:textId="77777777" w:rsidTr="001E5631">
        <w:tc>
          <w:tcPr>
            <w:tcW w:w="2194" w:type="dxa"/>
            <w:tcBorders>
              <w:bottom w:val="single" w:sz="4" w:space="0" w:color="auto"/>
            </w:tcBorders>
          </w:tcPr>
          <w:p w14:paraId="3F3FC271" w14:textId="6F8CDAB5" w:rsidR="001E5631" w:rsidRPr="0046378E" w:rsidRDefault="001E5631" w:rsidP="001E5631">
            <w:pPr>
              <w:jc w:val="both"/>
              <w:rPr>
                <w:rFonts w:ascii="Baskerville Old Face" w:hAnsi="Baskerville Old Face"/>
                <w:lang w:val="id-ID"/>
              </w:rPr>
            </w:pPr>
            <m:oMathPara>
              <m:oMath>
                <m:r>
                  <w:rPr>
                    <w:rFonts w:ascii="Cambria Math" w:hAnsi="Cambria Math"/>
                    <w:lang w:val="id-ID"/>
                  </w:rPr>
                  <m:t>400</m:t>
                </m:r>
              </m:oMath>
            </m:oMathPara>
          </w:p>
        </w:tc>
        <w:tc>
          <w:tcPr>
            <w:tcW w:w="2194" w:type="dxa"/>
            <w:tcBorders>
              <w:bottom w:val="single" w:sz="4" w:space="0" w:color="auto"/>
            </w:tcBorders>
          </w:tcPr>
          <w:p w14:paraId="0C13357B" w14:textId="210985CC" w:rsidR="001E5631" w:rsidRPr="0046378E" w:rsidRDefault="001E5631" w:rsidP="001E5631">
            <w:pPr>
              <w:jc w:val="both"/>
              <w:rPr>
                <w:rFonts w:ascii="Baskerville Old Face" w:hAnsi="Baskerville Old Face"/>
                <w:lang w:val="id-ID"/>
              </w:rPr>
            </w:pPr>
            <m:oMathPara>
              <m:oMath>
                <m:r>
                  <w:rPr>
                    <w:rFonts w:ascii="Cambria Math" w:hAnsi="Cambria Math"/>
                    <w:lang w:val="id-ID"/>
                  </w:rPr>
                  <m:t>1165.79</m:t>
                </m:r>
              </m:oMath>
            </m:oMathPara>
          </w:p>
        </w:tc>
        <w:tc>
          <w:tcPr>
            <w:tcW w:w="2195" w:type="dxa"/>
            <w:tcBorders>
              <w:bottom w:val="single" w:sz="4" w:space="0" w:color="auto"/>
            </w:tcBorders>
          </w:tcPr>
          <w:p w14:paraId="57F76DA6" w14:textId="3CB25DA2" w:rsidR="001E5631" w:rsidRPr="0046378E" w:rsidRDefault="001E5631" w:rsidP="001E5631">
            <w:pPr>
              <w:jc w:val="both"/>
              <w:rPr>
                <w:rFonts w:ascii="Baskerville Old Face" w:hAnsi="Baskerville Old Face"/>
                <w:lang w:val="id-ID"/>
              </w:rPr>
            </w:pPr>
            <m:oMathPara>
              <m:oMath>
                <m:r>
                  <w:rPr>
                    <w:rFonts w:ascii="Cambria Math" w:hAnsi="Cambria Math"/>
                    <w:lang w:val="id-ID"/>
                  </w:rPr>
                  <m:t>1165.73</m:t>
                </m:r>
              </m:oMath>
            </m:oMathPara>
          </w:p>
        </w:tc>
        <w:tc>
          <w:tcPr>
            <w:tcW w:w="2195" w:type="dxa"/>
            <w:tcBorders>
              <w:bottom w:val="single" w:sz="4" w:space="0" w:color="auto"/>
            </w:tcBorders>
          </w:tcPr>
          <w:p w14:paraId="4A365B76" w14:textId="164EEBDA" w:rsidR="001E5631" w:rsidRPr="0046378E" w:rsidRDefault="001E5631" w:rsidP="001E5631">
            <w:pPr>
              <w:jc w:val="both"/>
              <w:rPr>
                <w:rFonts w:ascii="Baskerville Old Face" w:hAnsi="Baskerville Old Face"/>
                <w:lang w:val="id-ID"/>
              </w:rPr>
            </w:pPr>
            <m:oMathPara>
              <m:oMath>
                <m:r>
                  <w:rPr>
                    <w:rFonts w:ascii="Cambria Math" w:hAnsi="Cambria Math"/>
                    <w:lang w:val="id-ID"/>
                  </w:rPr>
                  <m:t>0.005%</m:t>
                </m:r>
              </m:oMath>
            </m:oMathPara>
          </w:p>
        </w:tc>
      </w:tr>
    </w:tbl>
    <w:p w14:paraId="6A71793E" w14:textId="20B81388" w:rsidR="00667BCA" w:rsidRDefault="001E5631" w:rsidP="001E5631">
      <w:pPr>
        <w:jc w:val="center"/>
        <w:rPr>
          <w:rFonts w:ascii="Baskerville Old Face" w:hAnsi="Baskerville Old Face"/>
          <w:i/>
          <w:lang w:val="id-ID"/>
        </w:rPr>
      </w:pPr>
      <w:r w:rsidRPr="0046378E">
        <w:rPr>
          <w:rFonts w:ascii="Baskerville Old Face" w:hAnsi="Baskerville Old Face"/>
          <w:i/>
          <w:iCs/>
        </w:rPr>
        <w:t xml:space="preserve">Table 3. Convergence of Numerical Solution towards Analytical Black-Scholes Price </w:t>
      </w:r>
      <m:oMath>
        <m:r>
          <w:rPr>
            <w:rFonts w:ascii="Cambria Math" w:hAnsi="Cambria Math"/>
            <w:lang w:val="id-ID"/>
          </w:rPr>
          <m:t>(a=0)</m:t>
        </m:r>
      </m:oMath>
    </w:p>
    <w:p w14:paraId="7FDA452E" w14:textId="77777777" w:rsidR="00C074EC" w:rsidRPr="0046378E" w:rsidRDefault="00C074EC" w:rsidP="00C074EC">
      <w:pPr>
        <w:rPr>
          <w:rFonts w:ascii="Baskerville Old Face" w:hAnsi="Baskerville Old Face"/>
          <w:lang w:val="id-ID"/>
        </w:rPr>
      </w:pPr>
    </w:p>
    <w:p w14:paraId="7810FE73" w14:textId="4D4B2EB7" w:rsidR="007B4E62" w:rsidRPr="00C074EC" w:rsidRDefault="007B4E62" w:rsidP="00C074EC">
      <w:pPr>
        <w:pStyle w:val="ListParagraph"/>
        <w:numPr>
          <w:ilvl w:val="1"/>
          <w:numId w:val="15"/>
        </w:numPr>
        <w:tabs>
          <w:tab w:val="left" w:pos="426"/>
        </w:tabs>
        <w:spacing w:after="0" w:line="240" w:lineRule="auto"/>
        <w:ind w:hanging="786"/>
        <w:jc w:val="both"/>
        <w:rPr>
          <w:rFonts w:ascii="Baskerville Old Face" w:hAnsi="Baskerville Old Face"/>
          <w:b/>
          <w:bCs/>
          <w:i/>
          <w:iCs/>
          <w:sz w:val="20"/>
          <w:szCs w:val="20"/>
          <w:lang w:val="id-ID"/>
        </w:rPr>
      </w:pPr>
      <w:r w:rsidRPr="00C074EC">
        <w:rPr>
          <w:rFonts w:ascii="Baskerville Old Face" w:hAnsi="Baskerville Old Face"/>
          <w:b/>
          <w:bCs/>
          <w:sz w:val="20"/>
          <w:szCs w:val="20"/>
        </w:rPr>
        <w:t>Effect of Transaction and Convergence Analysis</w:t>
      </w:r>
    </w:p>
    <w:p w14:paraId="62A75E8A" w14:textId="673738C9" w:rsidR="00E830C2" w:rsidRDefault="00FB713A" w:rsidP="002B79BD">
      <w:pPr>
        <w:pStyle w:val="Paragraf"/>
        <w:ind w:firstLine="426"/>
        <w:rPr>
          <w:rFonts w:ascii="Baskerville Old Face" w:hAnsi="Baskerville Old Face"/>
          <w:lang w:val="en-US"/>
        </w:rPr>
      </w:pPr>
      <w:r w:rsidRPr="002B79BD">
        <w:rPr>
          <w:rFonts w:ascii="Baskerville Old Face" w:hAnsi="Baskerville Old Face"/>
        </w:rPr>
        <w:t>B</w:t>
      </w:r>
      <w:r w:rsidRPr="00A76B1C">
        <w:rPr>
          <w:rFonts w:ascii="Baskerville Old Face" w:hAnsi="Baskerville Old Face"/>
        </w:rPr>
        <w:t>ased on the model that has gone through the validation process, the simulation is then expanded by including transaction cost elements</w:t>
      </w:r>
      <w:r w:rsidR="008E6CDF">
        <w:rPr>
          <w:rFonts w:ascii="Baskerville Old Face" w:hAnsi="Baskerville Old Face"/>
        </w:rPr>
        <w:t xml:space="preserve"> </w:t>
      </w:r>
      <m:oMath>
        <m:r>
          <w:rPr>
            <w:rFonts w:ascii="Cambria Math" w:hAnsi="Cambria Math"/>
          </w:rPr>
          <m:t>(a)</m:t>
        </m:r>
      </m:oMath>
      <w:r w:rsidRPr="00A76B1C">
        <w:rPr>
          <w:rFonts w:ascii="Baskerville Old Face" w:hAnsi="Baskerville Old Face"/>
        </w:rPr>
        <w:t xml:space="preserve"> using the Barles-Soner model. A comparison of the option price curve at various transaction fee parameter values can be shown in Figure 1</w:t>
      </w:r>
      <w:r w:rsidR="00E830C2" w:rsidRPr="00A76B1C">
        <w:rPr>
          <w:rFonts w:ascii="Baskerville Old Face" w:hAnsi="Baskerville Old Face"/>
        </w:rPr>
        <w:t xml:space="preserve">. </w:t>
      </w:r>
    </w:p>
    <w:p w14:paraId="7F0B61D3" w14:textId="77777777" w:rsidR="002B79BD" w:rsidRPr="002B79BD" w:rsidRDefault="002B79BD" w:rsidP="002B79BD">
      <w:pPr>
        <w:pStyle w:val="Paragraf"/>
        <w:ind w:firstLine="426"/>
        <w:rPr>
          <w:rFonts w:ascii="Baskerville Old Face" w:hAnsi="Baskerville Old Face"/>
          <w:lang w:val="en-US"/>
        </w:rPr>
      </w:pPr>
    </w:p>
    <w:p w14:paraId="001A3800" w14:textId="7235DBC8" w:rsidR="007B4E62" w:rsidRPr="00A76B1C" w:rsidRDefault="00930566" w:rsidP="007B4E62">
      <w:pPr>
        <w:pStyle w:val="Paragraf"/>
        <w:ind w:firstLine="0"/>
        <w:jc w:val="center"/>
      </w:pPr>
      <w:r w:rsidRPr="00A76B1C">
        <w:rPr>
          <w:noProof/>
        </w:rPr>
        <w:drawing>
          <wp:inline distT="0" distB="0" distL="0" distR="0" wp14:anchorId="173D8D2E" wp14:editId="6E9686B4">
            <wp:extent cx="4539320" cy="2705100"/>
            <wp:effectExtent l="0" t="0" r="0" b="0"/>
            <wp:docPr id="14535725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572527" name="Picture 1453572527"/>
                    <pic:cNvPicPr/>
                  </pic:nvPicPr>
                  <pic:blipFill>
                    <a:blip r:embed="rId14">
                      <a:extLst>
                        <a:ext uri="{28A0092B-C50C-407E-A947-70E740481C1C}">
                          <a14:useLocalDpi xmlns:a14="http://schemas.microsoft.com/office/drawing/2010/main" val="0"/>
                        </a:ext>
                      </a:extLst>
                    </a:blip>
                    <a:stretch>
                      <a:fillRect/>
                    </a:stretch>
                  </pic:blipFill>
                  <pic:spPr>
                    <a:xfrm>
                      <a:off x="0" y="0"/>
                      <a:ext cx="4544286" cy="2708060"/>
                    </a:xfrm>
                    <a:prstGeom prst="rect">
                      <a:avLst/>
                    </a:prstGeom>
                  </pic:spPr>
                </pic:pic>
              </a:graphicData>
            </a:graphic>
          </wp:inline>
        </w:drawing>
      </w:r>
    </w:p>
    <w:p w14:paraId="079BDDBF" w14:textId="738BBFBA" w:rsidR="00930566" w:rsidRPr="00A76B1C" w:rsidRDefault="00930566" w:rsidP="00930566">
      <w:pPr>
        <w:pStyle w:val="Paragraf"/>
        <w:ind w:firstLine="0"/>
        <w:jc w:val="center"/>
        <w:rPr>
          <w:i/>
          <w:iCs/>
          <w:sz w:val="18"/>
          <w:szCs w:val="18"/>
          <w:lang w:val="en-ID"/>
        </w:rPr>
      </w:pPr>
      <w:r w:rsidRPr="00A76B1C">
        <w:rPr>
          <w:b/>
          <w:bCs/>
          <w:i/>
          <w:iCs/>
          <w:sz w:val="18"/>
          <w:szCs w:val="18"/>
        </w:rPr>
        <w:t>Figure 1.</w:t>
      </w:r>
      <w:r w:rsidRPr="00A76B1C">
        <w:rPr>
          <w:i/>
          <w:iCs/>
          <w:sz w:val="18"/>
          <w:szCs w:val="18"/>
        </w:rPr>
        <w:t xml:space="preserve"> Numerical comparison of European call option prices between the classical Black-Scholes model and the Barles-Soner model with transaction cost parameters and </w:t>
      </w:r>
      <m:oMath>
        <m:d>
          <m:dPr>
            <m:ctrlPr>
              <w:rPr>
                <w:rFonts w:ascii="Cambria Math" w:hAnsi="Cambria Math"/>
                <w:i/>
                <w:iCs/>
                <w:sz w:val="18"/>
                <w:szCs w:val="18"/>
                <w:lang w:val="en-ID"/>
              </w:rPr>
            </m:ctrlPr>
          </m:dPr>
          <m:e>
            <m:r>
              <w:rPr>
                <w:rFonts w:ascii="Cambria Math" w:hAnsi="Cambria Math"/>
                <w:sz w:val="18"/>
                <w:szCs w:val="18"/>
                <w:lang w:val="en-ID"/>
              </w:rPr>
              <m:t>a=0</m:t>
            </m:r>
          </m:e>
        </m:d>
        <m:d>
          <m:dPr>
            <m:ctrlPr>
              <w:rPr>
                <w:rFonts w:ascii="Cambria Math" w:hAnsi="Cambria Math"/>
                <w:i/>
                <w:iCs/>
                <w:sz w:val="18"/>
                <w:szCs w:val="18"/>
                <w:lang w:val="en-ID"/>
              </w:rPr>
            </m:ctrlPr>
          </m:dPr>
          <m:e>
            <m:r>
              <w:rPr>
                <w:rFonts w:ascii="Cambria Math" w:hAnsi="Cambria Math"/>
                <w:sz w:val="18"/>
                <w:szCs w:val="18"/>
                <w:lang w:val="en-ID"/>
              </w:rPr>
              <m:t>a=0.015</m:t>
            </m:r>
          </m:e>
        </m:d>
        <m:r>
          <w:rPr>
            <w:rFonts w:ascii="Cambria Math" w:hAnsi="Cambria Math"/>
            <w:sz w:val="18"/>
            <w:szCs w:val="18"/>
            <w:lang w:val="en-ID"/>
          </w:rPr>
          <m:t>(a=0.03)</m:t>
        </m:r>
      </m:oMath>
    </w:p>
    <w:p w14:paraId="115AB17D" w14:textId="77777777" w:rsidR="00634792" w:rsidRPr="00A76B1C" w:rsidRDefault="00634792" w:rsidP="00930566">
      <w:pPr>
        <w:pStyle w:val="Paragraf"/>
        <w:ind w:firstLine="0"/>
        <w:jc w:val="center"/>
        <w:rPr>
          <w:i/>
          <w:iCs/>
          <w:lang w:val="en-ID"/>
        </w:rPr>
      </w:pPr>
    </w:p>
    <w:p w14:paraId="655B6235" w14:textId="10119F26" w:rsidR="00930566" w:rsidRPr="00930566" w:rsidRDefault="00930566" w:rsidP="002B79BD">
      <w:pPr>
        <w:pStyle w:val="Paragraf"/>
        <w:ind w:firstLine="426"/>
        <w:rPr>
          <w:rFonts w:ascii="Baskerville Old Face" w:hAnsi="Baskerville Old Face"/>
          <w:lang w:val="en-ID"/>
        </w:rPr>
      </w:pPr>
      <w:r w:rsidRPr="00A76B1C">
        <w:rPr>
          <w:rFonts w:ascii="Baskerville Old Face" w:hAnsi="Baskerville Old Face"/>
        </w:rPr>
        <w:t>Based on Figure 1, a clear divergence pattern is observed between the classical model and the transaction cost models. The dashed black line represents the theoretical Black-Scholes price in a frictionless market</w:t>
      </w:r>
      <w:r w:rsidR="008E6CDF">
        <w:rPr>
          <w:rFonts w:ascii="Baskerville Old Face" w:hAnsi="Baskerville Old Face"/>
        </w:rPr>
        <w:t xml:space="preserve"> </w:t>
      </w:r>
      <m:oMath>
        <m:r>
          <w:rPr>
            <w:rFonts w:ascii="Cambria Math" w:hAnsi="Cambria Math"/>
            <w:lang w:val="en-ID"/>
          </w:rPr>
          <m:t>(a=0)</m:t>
        </m:r>
      </m:oMath>
      <w:r w:rsidRPr="00A76B1C">
        <w:rPr>
          <w:rFonts w:ascii="Baskerville Old Face" w:hAnsi="Baskerville Old Face"/>
        </w:rPr>
        <w:t xml:space="preserve"> . The solid blue and red lines represent the option prices </w:t>
      </w:r>
      <w:r w:rsidRPr="00930566">
        <w:rPr>
          <w:rFonts w:ascii="Baskerville Old Face" w:hAnsi="Baskerville Old Face"/>
        </w:rPr>
        <w:t xml:space="preserve">calculated using the Barles-Soner model with transaction cost parameters of </w:t>
      </w:r>
      <m:oMath>
        <m:r>
          <w:rPr>
            <w:rFonts w:ascii="Cambria Math" w:hAnsi="Cambria Math"/>
            <w:lang w:val="en-ID"/>
          </w:rPr>
          <m:t>(a=0.015)</m:t>
        </m:r>
      </m:oMath>
      <w:r w:rsidR="008E6CDF">
        <w:rPr>
          <w:rFonts w:ascii="Baskerville Old Face" w:hAnsi="Baskerville Old Face"/>
          <w:lang w:val="en-ID"/>
        </w:rPr>
        <w:t xml:space="preserve"> </w:t>
      </w:r>
      <w:r w:rsidRPr="00930566">
        <w:rPr>
          <w:rFonts w:ascii="Baskerville Old Face" w:hAnsi="Baskerville Old Face"/>
        </w:rPr>
        <w:t>and</w:t>
      </w:r>
      <w:r w:rsidR="008E6CDF">
        <w:rPr>
          <w:rFonts w:ascii="Baskerville Old Face" w:hAnsi="Baskerville Old Face"/>
        </w:rPr>
        <w:t xml:space="preserve"> </w:t>
      </w:r>
      <m:oMath>
        <m:r>
          <w:rPr>
            <w:rFonts w:ascii="Cambria Math" w:hAnsi="Cambria Math"/>
            <w:lang w:val="en-ID"/>
          </w:rPr>
          <m:t>(a=0.03)</m:t>
        </m:r>
      </m:oMath>
      <w:r w:rsidRPr="00930566">
        <w:rPr>
          <w:rFonts w:ascii="Baskerville Old Face" w:hAnsi="Baskerville Old Face"/>
        </w:rPr>
        <w:t xml:space="preserve"> , respectively.</w:t>
      </w:r>
    </w:p>
    <w:p w14:paraId="7DD36AC9" w14:textId="68EF9643" w:rsidR="00930566" w:rsidRPr="00930566" w:rsidRDefault="00930566" w:rsidP="002B79BD">
      <w:pPr>
        <w:pStyle w:val="Paragraf"/>
        <w:ind w:firstLine="426"/>
        <w:rPr>
          <w:rFonts w:ascii="Baskerville Old Face" w:hAnsi="Baskerville Old Face"/>
          <w:lang w:val="en-ID"/>
        </w:rPr>
      </w:pPr>
      <w:r w:rsidRPr="00930566">
        <w:rPr>
          <w:rFonts w:ascii="Baskerville Old Face" w:hAnsi="Baskerville Old Face"/>
        </w:rPr>
        <w:t xml:space="preserve">The graph demonstrates that the inclusion of transaction costs results in an increase in option prices across the entire domain, which is consistent with nonlinear option pricing theory under transaction costs (Barles and Soner, 1998). The curves incorporating transaction costs consistently lie above the classical benchmark. Specifically, the red curve </w:t>
      </w:r>
      <m:oMath>
        <m:d>
          <m:dPr>
            <m:ctrlPr>
              <w:rPr>
                <w:rFonts w:ascii="Cambria Math" w:hAnsi="Cambria Math"/>
                <w:i/>
                <w:lang w:val="en-ID"/>
              </w:rPr>
            </m:ctrlPr>
          </m:dPr>
          <m:e>
            <m:r>
              <w:rPr>
                <w:rFonts w:ascii="Cambria Math" w:hAnsi="Cambria Math"/>
                <w:lang w:val="en-ID"/>
              </w:rPr>
              <m:t>a=0.03</m:t>
            </m:r>
          </m:e>
        </m:d>
      </m:oMath>
      <w:r w:rsidR="008E6CDF">
        <w:rPr>
          <w:rFonts w:ascii="Baskerville Old Face" w:hAnsi="Baskerville Old Face"/>
          <w:lang w:val="en-ID"/>
        </w:rPr>
        <w:t xml:space="preserve"> </w:t>
      </w:r>
      <w:r w:rsidRPr="00930566">
        <w:rPr>
          <w:rFonts w:ascii="Baskerville Old Face" w:hAnsi="Baskerville Old Face"/>
        </w:rPr>
        <w:t>exhibits the highest premium, followed by the blue curve</w:t>
      </w:r>
      <w:r w:rsidR="008E6CDF">
        <w:rPr>
          <w:rFonts w:ascii="Baskerville Old Face" w:hAnsi="Baskerville Old Face"/>
        </w:rPr>
        <w:t xml:space="preserve"> </w:t>
      </w:r>
      <m:oMath>
        <m:r>
          <w:rPr>
            <w:rFonts w:ascii="Cambria Math" w:hAnsi="Cambria Math"/>
          </w:rPr>
          <m:t>(</m:t>
        </m:r>
        <m:r>
          <w:rPr>
            <w:rFonts w:ascii="Cambria Math" w:hAnsi="Cambria Math"/>
            <w:lang w:val="en-ID"/>
          </w:rPr>
          <m:t>a=0.015)</m:t>
        </m:r>
      </m:oMath>
      <w:r w:rsidRPr="00930566">
        <w:rPr>
          <w:rFonts w:ascii="Baskerville Old Face" w:hAnsi="Baskerville Old Face"/>
        </w:rPr>
        <w:t>. This phenomenon confirms that transaction costs amplify the effective volatility, as documented in previous studies on option pricing with market frictions (Leland, 1985; Avellaneda and Parás, 1994). Since option prices are positively correlated with volatility, a higher transaction cost parameter imposes a larger premium surcharge to compensate for the hedging costs incurred by the option writer.</w:t>
      </w:r>
    </w:p>
    <w:p w14:paraId="4E241192" w14:textId="77777777" w:rsidR="00E830C2" w:rsidRPr="00930566" w:rsidRDefault="00E830C2" w:rsidP="00C342CD">
      <w:pPr>
        <w:pStyle w:val="Paragraf"/>
        <w:ind w:left="1985" w:hanging="1985"/>
        <w:rPr>
          <w:rFonts w:ascii="Baskerville Old Face" w:hAnsi="Baskerville Old Face"/>
          <w:lang w:val="en-ID"/>
        </w:rPr>
      </w:pPr>
    </w:p>
    <w:p w14:paraId="370FB28A" w14:textId="18BF7F15" w:rsidR="007B4E62" w:rsidRPr="0046378E" w:rsidRDefault="00E830C2" w:rsidP="00E830C2">
      <w:pPr>
        <w:pStyle w:val="Paragraf"/>
        <w:ind w:left="1985" w:hanging="1985"/>
        <w:rPr>
          <w:rFonts w:ascii="Baskerville Old Face" w:hAnsi="Baskerville Old Face"/>
          <w:lang w:val="en-ID"/>
        </w:rPr>
      </w:pPr>
      <w:r w:rsidRPr="0046378E">
        <w:rPr>
          <w:rFonts w:ascii="Baskerville Old Face" w:hAnsi="Baskerville Old Face"/>
        </w:rPr>
        <w:t>The detailed comparison of option prices at the At-The-Money (ATM) position is presented in Table 4.</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6"/>
        <w:gridCol w:w="2108"/>
        <w:gridCol w:w="2105"/>
        <w:gridCol w:w="2109"/>
      </w:tblGrid>
      <w:tr w:rsidR="00D25C3D" w:rsidRPr="0046378E" w14:paraId="6483039E" w14:textId="77777777" w:rsidTr="008E6CDF">
        <w:trPr>
          <w:jc w:val="center"/>
        </w:trPr>
        <w:tc>
          <w:tcPr>
            <w:tcW w:w="2106" w:type="dxa"/>
            <w:tcBorders>
              <w:top w:val="single" w:sz="4" w:space="0" w:color="auto"/>
              <w:bottom w:val="single" w:sz="4" w:space="0" w:color="auto"/>
            </w:tcBorders>
          </w:tcPr>
          <w:p w14:paraId="38A97EA4" w14:textId="04BEEDCE" w:rsidR="00D25C3D" w:rsidRPr="0046378E" w:rsidRDefault="00E830C2" w:rsidP="008E6CDF">
            <w:pPr>
              <w:pStyle w:val="Paragraf"/>
              <w:ind w:firstLine="0"/>
              <w:jc w:val="center"/>
              <w:rPr>
                <w:rFonts w:ascii="Baskerville Old Face" w:hAnsi="Baskerville Old Face"/>
              </w:rPr>
            </w:pPr>
            <w:r w:rsidRPr="0046378E">
              <w:rPr>
                <w:rFonts w:ascii="Baskerville Old Face" w:hAnsi="Baskerville Old Face"/>
              </w:rPr>
              <w:t>Scenario</w:t>
            </w:r>
          </w:p>
        </w:tc>
        <w:tc>
          <w:tcPr>
            <w:tcW w:w="2108" w:type="dxa"/>
            <w:tcBorders>
              <w:top w:val="single" w:sz="4" w:space="0" w:color="auto"/>
              <w:bottom w:val="single" w:sz="4" w:space="0" w:color="auto"/>
            </w:tcBorders>
          </w:tcPr>
          <w:p w14:paraId="596C2149" w14:textId="77777777" w:rsidR="00D25C3D" w:rsidRPr="0046378E" w:rsidRDefault="00D25C3D" w:rsidP="008E6CDF">
            <w:pPr>
              <w:pStyle w:val="Paragraf"/>
              <w:ind w:firstLine="0"/>
              <w:jc w:val="center"/>
              <w:rPr>
                <w:rFonts w:ascii="Baskerville Old Face" w:hAnsi="Baskerville Old Face"/>
              </w:rPr>
            </w:pPr>
            <w:r w:rsidRPr="0046378E">
              <w:rPr>
                <w:rFonts w:ascii="Baskerville Old Face" w:hAnsi="Baskerville Old Face"/>
              </w:rPr>
              <w:t xml:space="preserve">Parameters </w:t>
            </w:r>
            <m:oMath>
              <m:r>
                <w:rPr>
                  <w:rFonts w:ascii="Cambria Math" w:hAnsi="Cambria Math"/>
                </w:rPr>
                <m:t>(a)</m:t>
              </m:r>
            </m:oMath>
          </w:p>
        </w:tc>
        <w:tc>
          <w:tcPr>
            <w:tcW w:w="2105" w:type="dxa"/>
            <w:tcBorders>
              <w:top w:val="single" w:sz="4" w:space="0" w:color="auto"/>
              <w:bottom w:val="single" w:sz="4" w:space="0" w:color="auto"/>
            </w:tcBorders>
          </w:tcPr>
          <w:p w14:paraId="2445C0D8" w14:textId="081D0187" w:rsidR="00D25C3D" w:rsidRPr="0046378E" w:rsidRDefault="00E830C2" w:rsidP="008E6CDF">
            <w:pPr>
              <w:pStyle w:val="Paragraf"/>
              <w:ind w:firstLine="0"/>
              <w:jc w:val="center"/>
              <w:rPr>
                <w:rFonts w:ascii="Baskerville Old Face" w:hAnsi="Baskerville Old Face"/>
              </w:rPr>
            </w:pPr>
            <w:r w:rsidRPr="0046378E">
              <w:rPr>
                <w:rFonts w:ascii="Baskerville Old Face" w:hAnsi="Baskerville Old Face"/>
              </w:rPr>
              <w:t>Option Price (IDR)</w:t>
            </w:r>
          </w:p>
        </w:tc>
        <w:tc>
          <w:tcPr>
            <w:tcW w:w="2109" w:type="dxa"/>
            <w:tcBorders>
              <w:top w:val="single" w:sz="4" w:space="0" w:color="auto"/>
              <w:bottom w:val="single" w:sz="4" w:space="0" w:color="auto"/>
            </w:tcBorders>
          </w:tcPr>
          <w:p w14:paraId="2303D159" w14:textId="3FE748F5" w:rsidR="00D25C3D" w:rsidRPr="0046378E" w:rsidRDefault="00E830C2" w:rsidP="008E6CDF">
            <w:pPr>
              <w:pStyle w:val="Paragraf"/>
              <w:ind w:firstLine="0"/>
              <w:jc w:val="center"/>
              <w:rPr>
                <w:rFonts w:ascii="Baskerville Old Face" w:hAnsi="Baskerville Old Face"/>
              </w:rPr>
            </w:pPr>
            <w:r w:rsidRPr="0046378E">
              <w:rPr>
                <w:rFonts w:ascii="Baskerville Old Face" w:hAnsi="Baskerville Old Face"/>
              </w:rPr>
              <w:t>Deviation from Classical</w:t>
            </w:r>
          </w:p>
        </w:tc>
      </w:tr>
      <w:tr w:rsidR="00D25C3D" w:rsidRPr="0046378E" w14:paraId="43DB27CB" w14:textId="77777777" w:rsidTr="008E6CDF">
        <w:trPr>
          <w:jc w:val="center"/>
        </w:trPr>
        <w:tc>
          <w:tcPr>
            <w:tcW w:w="2106" w:type="dxa"/>
            <w:tcBorders>
              <w:top w:val="single" w:sz="4" w:space="0" w:color="auto"/>
            </w:tcBorders>
          </w:tcPr>
          <w:p w14:paraId="112EBEC2" w14:textId="10752608" w:rsidR="00D25C3D" w:rsidRPr="0046378E" w:rsidRDefault="00E830C2" w:rsidP="00CB6EDC">
            <w:pPr>
              <w:pStyle w:val="Paragraf"/>
              <w:ind w:firstLine="0"/>
              <w:rPr>
                <w:rFonts w:ascii="Baskerville Old Face" w:hAnsi="Baskerville Old Face"/>
              </w:rPr>
            </w:pPr>
            <w:r w:rsidRPr="0046378E">
              <w:rPr>
                <w:rFonts w:ascii="Baskerville Old Face" w:hAnsi="Baskerville Old Face"/>
              </w:rPr>
              <w:t>Model (Benchmark)</w:t>
            </w:r>
          </w:p>
        </w:tc>
        <w:tc>
          <w:tcPr>
            <w:tcW w:w="2108" w:type="dxa"/>
            <w:tcBorders>
              <w:top w:val="single" w:sz="4" w:space="0" w:color="auto"/>
            </w:tcBorders>
          </w:tcPr>
          <w:p w14:paraId="4958E3B4" w14:textId="51A7D321" w:rsidR="00D25C3D" w:rsidRPr="0046378E" w:rsidRDefault="00E830C2" w:rsidP="00CB6EDC">
            <w:pPr>
              <w:pStyle w:val="Paragraf"/>
              <w:ind w:firstLine="0"/>
              <w:rPr>
                <w:rFonts w:ascii="Baskerville Old Face" w:hAnsi="Baskerville Old Face"/>
              </w:rPr>
            </w:pPr>
            <m:oMathPara>
              <m:oMath>
                <m:r>
                  <w:rPr>
                    <w:rFonts w:ascii="Cambria Math" w:hAnsi="Cambria Math"/>
                  </w:rPr>
                  <m:t>0</m:t>
                </m:r>
              </m:oMath>
            </m:oMathPara>
          </w:p>
        </w:tc>
        <w:tc>
          <w:tcPr>
            <w:tcW w:w="2105" w:type="dxa"/>
            <w:tcBorders>
              <w:top w:val="single" w:sz="4" w:space="0" w:color="auto"/>
            </w:tcBorders>
          </w:tcPr>
          <w:p w14:paraId="72245850" w14:textId="7BACF45C" w:rsidR="00D25C3D" w:rsidRPr="0046378E" w:rsidRDefault="00E830C2" w:rsidP="00CB6EDC">
            <w:pPr>
              <w:pStyle w:val="Paragraf"/>
              <w:ind w:firstLine="0"/>
              <w:rPr>
                <w:rFonts w:ascii="Baskerville Old Face" w:hAnsi="Baskerville Old Face"/>
              </w:rPr>
            </w:pPr>
            <m:oMathPara>
              <m:oMath>
                <m:r>
                  <w:rPr>
                    <w:rFonts w:ascii="Cambria Math" w:hAnsi="Cambria Math"/>
                  </w:rPr>
                  <m:t>1165,79</m:t>
                </m:r>
              </m:oMath>
            </m:oMathPara>
          </w:p>
        </w:tc>
        <w:tc>
          <w:tcPr>
            <w:tcW w:w="2109" w:type="dxa"/>
            <w:tcBorders>
              <w:top w:val="single" w:sz="4" w:space="0" w:color="auto"/>
            </w:tcBorders>
          </w:tcPr>
          <w:p w14:paraId="775CF2CA" w14:textId="0AE68ACA" w:rsidR="00D25C3D" w:rsidRPr="0046378E" w:rsidRDefault="00E830C2" w:rsidP="00CB6EDC">
            <w:pPr>
              <w:pStyle w:val="Paragraf"/>
              <w:ind w:firstLine="0"/>
              <w:rPr>
                <w:rFonts w:ascii="Baskerville Old Face" w:hAnsi="Baskerville Old Face"/>
              </w:rPr>
            </w:pPr>
            <m:oMathPara>
              <m:oMath>
                <m:r>
                  <w:rPr>
                    <w:rFonts w:ascii="Cambria Math" w:hAnsi="Cambria Math"/>
                  </w:rPr>
                  <m:t>-</m:t>
                </m:r>
              </m:oMath>
            </m:oMathPara>
          </w:p>
        </w:tc>
      </w:tr>
      <w:tr w:rsidR="00D25C3D" w:rsidRPr="0046378E" w14:paraId="3142D3F9" w14:textId="77777777" w:rsidTr="008E6CDF">
        <w:trPr>
          <w:jc w:val="center"/>
        </w:trPr>
        <w:tc>
          <w:tcPr>
            <w:tcW w:w="2106" w:type="dxa"/>
          </w:tcPr>
          <w:p w14:paraId="49926CB0" w14:textId="158F6495" w:rsidR="00D25C3D" w:rsidRPr="0046378E" w:rsidRDefault="00E830C2" w:rsidP="00CB6EDC">
            <w:pPr>
              <w:pStyle w:val="Paragraf"/>
              <w:ind w:firstLine="0"/>
              <w:rPr>
                <w:rFonts w:ascii="Baskerville Old Face" w:hAnsi="Baskerville Old Face"/>
              </w:rPr>
            </w:pPr>
            <w:r w:rsidRPr="0046378E">
              <w:rPr>
                <w:rFonts w:ascii="Baskerville Old Face" w:hAnsi="Baskerville Old Face"/>
              </w:rPr>
              <w:t>Low Transaction Cost</w:t>
            </w:r>
          </w:p>
        </w:tc>
        <w:tc>
          <w:tcPr>
            <w:tcW w:w="2108" w:type="dxa"/>
          </w:tcPr>
          <w:p w14:paraId="116082E4" w14:textId="20401A49" w:rsidR="00D25C3D" w:rsidRPr="0046378E" w:rsidRDefault="00E830C2" w:rsidP="00CB6EDC">
            <w:pPr>
              <w:pStyle w:val="Paragraf"/>
              <w:ind w:firstLine="0"/>
              <w:rPr>
                <w:rFonts w:ascii="Baskerville Old Face" w:hAnsi="Baskerville Old Face"/>
              </w:rPr>
            </w:pPr>
            <m:oMathPara>
              <m:oMath>
                <m:r>
                  <w:rPr>
                    <w:rFonts w:ascii="Cambria Math" w:hAnsi="Cambria Math"/>
                  </w:rPr>
                  <m:t>0.015</m:t>
                </m:r>
              </m:oMath>
            </m:oMathPara>
          </w:p>
        </w:tc>
        <w:tc>
          <w:tcPr>
            <w:tcW w:w="2105" w:type="dxa"/>
          </w:tcPr>
          <w:p w14:paraId="3E8A2E55" w14:textId="76883618" w:rsidR="00D25C3D" w:rsidRPr="0046378E" w:rsidRDefault="00E830C2" w:rsidP="00CB6EDC">
            <w:pPr>
              <w:pStyle w:val="Paragraf"/>
              <w:ind w:firstLine="0"/>
              <w:rPr>
                <w:rFonts w:ascii="Baskerville Old Face" w:hAnsi="Baskerville Old Face"/>
              </w:rPr>
            </w:pPr>
            <m:oMathPara>
              <m:oMath>
                <m:r>
                  <w:rPr>
                    <w:rFonts w:ascii="Cambria Math" w:hAnsi="Cambria Math"/>
                  </w:rPr>
                  <m:t>1558.12</m:t>
                </m:r>
              </m:oMath>
            </m:oMathPara>
          </w:p>
        </w:tc>
        <w:tc>
          <w:tcPr>
            <w:tcW w:w="2109" w:type="dxa"/>
          </w:tcPr>
          <w:p w14:paraId="562053FC" w14:textId="6DC0FBA8" w:rsidR="00D25C3D" w:rsidRPr="0046378E" w:rsidRDefault="00E830C2" w:rsidP="00CB6EDC">
            <w:pPr>
              <w:pStyle w:val="Paragraf"/>
              <w:ind w:firstLine="0"/>
              <w:rPr>
                <w:rFonts w:ascii="Baskerville Old Face" w:hAnsi="Baskerville Old Face"/>
              </w:rPr>
            </w:pPr>
            <m:oMathPara>
              <m:oMath>
                <m:r>
                  <w:rPr>
                    <w:rFonts w:ascii="Cambria Math" w:hAnsi="Cambria Math"/>
                  </w:rPr>
                  <m:t>+392.33</m:t>
                </m:r>
              </m:oMath>
            </m:oMathPara>
          </w:p>
        </w:tc>
      </w:tr>
      <w:tr w:rsidR="00D25C3D" w:rsidRPr="0046378E" w14:paraId="600B3F16" w14:textId="77777777" w:rsidTr="008E6CDF">
        <w:trPr>
          <w:jc w:val="center"/>
        </w:trPr>
        <w:tc>
          <w:tcPr>
            <w:tcW w:w="2106" w:type="dxa"/>
            <w:tcBorders>
              <w:bottom w:val="single" w:sz="4" w:space="0" w:color="auto"/>
            </w:tcBorders>
          </w:tcPr>
          <w:p w14:paraId="6BCAC0BC" w14:textId="56195AA1" w:rsidR="00D25C3D" w:rsidRPr="0046378E" w:rsidRDefault="00D347C1" w:rsidP="00CB6EDC">
            <w:pPr>
              <w:pStyle w:val="Paragraf"/>
              <w:ind w:firstLine="0"/>
              <w:rPr>
                <w:rFonts w:ascii="Baskerville Old Face" w:hAnsi="Baskerville Old Face"/>
              </w:rPr>
            </w:pPr>
            <w:r w:rsidRPr="00D347C1">
              <w:rPr>
                <w:rFonts w:ascii="Baskerville Old Face" w:hAnsi="Baskerville Old Face"/>
              </w:rPr>
              <w:t>High Transaction Cost</w:t>
            </w:r>
          </w:p>
        </w:tc>
        <w:tc>
          <w:tcPr>
            <w:tcW w:w="2108" w:type="dxa"/>
            <w:tcBorders>
              <w:bottom w:val="single" w:sz="4" w:space="0" w:color="auto"/>
            </w:tcBorders>
          </w:tcPr>
          <w:p w14:paraId="5C50DEDC" w14:textId="5B73DAC6" w:rsidR="00D25C3D" w:rsidRPr="0046378E" w:rsidRDefault="00E830C2" w:rsidP="00CB6EDC">
            <w:pPr>
              <w:pStyle w:val="Paragraf"/>
              <w:ind w:firstLine="0"/>
              <w:rPr>
                <w:rFonts w:ascii="Baskerville Old Face" w:hAnsi="Baskerville Old Face"/>
              </w:rPr>
            </w:pPr>
            <m:oMathPara>
              <m:oMath>
                <m:r>
                  <w:rPr>
                    <w:rFonts w:ascii="Cambria Math" w:hAnsi="Cambria Math"/>
                  </w:rPr>
                  <m:t>0.030</m:t>
                </m:r>
              </m:oMath>
            </m:oMathPara>
          </w:p>
        </w:tc>
        <w:tc>
          <w:tcPr>
            <w:tcW w:w="2105" w:type="dxa"/>
            <w:tcBorders>
              <w:bottom w:val="single" w:sz="4" w:space="0" w:color="auto"/>
            </w:tcBorders>
          </w:tcPr>
          <w:p w14:paraId="258293C9" w14:textId="6592C82A" w:rsidR="00D25C3D" w:rsidRPr="0046378E" w:rsidRDefault="00E830C2" w:rsidP="00CB6EDC">
            <w:pPr>
              <w:pStyle w:val="Paragraf"/>
              <w:ind w:firstLine="0"/>
              <w:rPr>
                <w:rFonts w:ascii="Baskerville Old Face" w:hAnsi="Baskerville Old Face"/>
              </w:rPr>
            </w:pPr>
            <m:oMathPara>
              <m:oMath>
                <m:r>
                  <w:rPr>
                    <w:rFonts w:ascii="Cambria Math" w:hAnsi="Cambria Math"/>
                  </w:rPr>
                  <m:t>1942.45</m:t>
                </m:r>
              </m:oMath>
            </m:oMathPara>
          </w:p>
        </w:tc>
        <w:tc>
          <w:tcPr>
            <w:tcW w:w="2109" w:type="dxa"/>
            <w:tcBorders>
              <w:bottom w:val="single" w:sz="4" w:space="0" w:color="auto"/>
            </w:tcBorders>
          </w:tcPr>
          <w:p w14:paraId="1D6C5525" w14:textId="371BCE58" w:rsidR="00D25C3D" w:rsidRPr="0046378E" w:rsidRDefault="00E830C2" w:rsidP="00CB6EDC">
            <w:pPr>
              <w:pStyle w:val="Paragraf"/>
              <w:ind w:firstLine="0"/>
              <w:rPr>
                <w:rFonts w:ascii="Baskerville Old Face" w:hAnsi="Baskerville Old Face"/>
              </w:rPr>
            </w:pPr>
            <m:oMathPara>
              <m:oMath>
                <m:r>
                  <w:rPr>
                    <w:rFonts w:ascii="Cambria Math" w:hAnsi="Cambria Math"/>
                  </w:rPr>
                  <m:t>+776.66</m:t>
                </m:r>
              </m:oMath>
            </m:oMathPara>
          </w:p>
        </w:tc>
      </w:tr>
    </w:tbl>
    <w:p w14:paraId="388B71ED" w14:textId="6278E575" w:rsidR="00C25F15" w:rsidRPr="0046378E" w:rsidRDefault="00E830C2" w:rsidP="00C25F15">
      <w:pPr>
        <w:jc w:val="center"/>
        <w:rPr>
          <w:rFonts w:ascii="Baskerville Old Face" w:hAnsi="Baskerville Old Face"/>
          <w:i/>
          <w:iCs/>
          <w:sz w:val="18"/>
          <w:szCs w:val="18"/>
          <w:lang w:val="id-ID"/>
        </w:rPr>
      </w:pPr>
      <w:r w:rsidRPr="0046378E">
        <w:rPr>
          <w:rFonts w:ascii="Baskerville Old Face" w:hAnsi="Baskerville Old Face"/>
          <w:i/>
          <w:iCs/>
          <w:sz w:val="18"/>
          <w:szCs w:val="18"/>
        </w:rPr>
        <w:t>Table 4. Option Price Comparison under Transaction Costs</w:t>
      </w:r>
    </w:p>
    <w:p w14:paraId="75F5BDEE" w14:textId="77777777" w:rsidR="009D7980" w:rsidRPr="00C25F15" w:rsidRDefault="009D7980" w:rsidP="00133AEE">
      <w:pPr>
        <w:rPr>
          <w:sz w:val="18"/>
          <w:szCs w:val="18"/>
          <w:lang w:val="id-ID"/>
        </w:rPr>
      </w:pPr>
    </w:p>
    <w:p w14:paraId="1FBF75A7" w14:textId="3115CFBE" w:rsidR="00D25C3D" w:rsidRPr="0046378E" w:rsidRDefault="00D25C3D" w:rsidP="002B79BD">
      <w:pPr>
        <w:pStyle w:val="ListParagraph"/>
        <w:numPr>
          <w:ilvl w:val="1"/>
          <w:numId w:val="15"/>
        </w:numPr>
        <w:tabs>
          <w:tab w:val="left" w:pos="426"/>
        </w:tabs>
        <w:spacing w:after="0" w:line="240" w:lineRule="auto"/>
        <w:ind w:hanging="786"/>
        <w:jc w:val="both"/>
        <w:rPr>
          <w:rFonts w:ascii="Baskerville Old Face" w:hAnsi="Baskerville Old Face"/>
          <w:b/>
          <w:bCs/>
          <w:lang w:val="id-ID"/>
        </w:rPr>
      </w:pPr>
      <w:r w:rsidRPr="002B79BD">
        <w:rPr>
          <w:rFonts w:ascii="Baskerville Old Face" w:hAnsi="Baskerville Old Face"/>
          <w:b/>
          <w:bCs/>
          <w:sz w:val="20"/>
          <w:szCs w:val="20"/>
        </w:rPr>
        <w:t>Practical</w:t>
      </w:r>
      <w:r w:rsidRPr="0046378E">
        <w:rPr>
          <w:rFonts w:ascii="Baskerville Old Face" w:hAnsi="Baskerville Old Face"/>
          <w:b/>
          <w:bCs/>
        </w:rPr>
        <w:t xml:space="preserve"> Implications</w:t>
      </w:r>
    </w:p>
    <w:p w14:paraId="131293BA" w14:textId="49EE549C" w:rsidR="007B4E62" w:rsidRPr="00A76B1C" w:rsidRDefault="0046378E" w:rsidP="00FB713A">
      <w:pPr>
        <w:tabs>
          <w:tab w:val="left" w:pos="426"/>
        </w:tabs>
        <w:jc w:val="both"/>
        <w:rPr>
          <w:lang w:val="en-ID"/>
        </w:rPr>
      </w:pPr>
      <w:r>
        <w:tab/>
      </w:r>
      <w:r w:rsidR="00FB713A" w:rsidRPr="00A76B1C">
        <w:t xml:space="preserve">The results of the study were able to show that during periods with high levels of market fluctuations that were able to cause transaction costs to increase. From a practical point of view, this finding indicates that investors in PT XYZ should not only rely on the use of the standard Black-Scholes formula. Neglect of transaction fees has the potential to result in an undervaluation of options if it is more specific from the </w:t>
      </w:r>
      <w:r w:rsidR="00FB713A" w:rsidRPr="00A76B1C">
        <w:lastRenderedPageBreak/>
        <w:t>perspective of the option writer who is faced with hedging risks (</w:t>
      </w:r>
      <w:proofErr w:type="spellStart"/>
      <w:r w:rsidR="00FB713A" w:rsidRPr="00A76B1C">
        <w:t>Barles</w:t>
      </w:r>
      <w:proofErr w:type="spellEnd"/>
      <w:r w:rsidR="00FB713A" w:rsidRPr="00A76B1C">
        <w:t xml:space="preserve"> and Soner, 1998) so that significant risks may arise for the seller of the option. The proposed non-linear numerical model is able to provide a more conservative and realistic estimate of the fair value of the option.</w:t>
      </w:r>
    </w:p>
    <w:p w14:paraId="1DBCD4B8" w14:textId="77777777" w:rsidR="0046378E" w:rsidRPr="00A76B1C" w:rsidRDefault="0046378E" w:rsidP="007B4E62">
      <w:pPr>
        <w:tabs>
          <w:tab w:val="left" w:pos="426"/>
        </w:tabs>
        <w:rPr>
          <w:rFonts w:ascii="Baskerville Old Face" w:hAnsi="Baskerville Old Face"/>
          <w:b/>
          <w:bCs/>
          <w:sz w:val="22"/>
          <w:szCs w:val="22"/>
          <w:lang w:val="en-ID"/>
        </w:rPr>
      </w:pPr>
    </w:p>
    <w:p w14:paraId="10FD4707" w14:textId="77777777" w:rsidR="00734BE5" w:rsidRPr="002B79BD" w:rsidRDefault="00534DFC" w:rsidP="00CD5420">
      <w:pPr>
        <w:numPr>
          <w:ilvl w:val="0"/>
          <w:numId w:val="15"/>
        </w:numPr>
        <w:tabs>
          <w:tab w:val="left" w:pos="426"/>
        </w:tabs>
        <w:ind w:left="426" w:hanging="426"/>
        <w:rPr>
          <w:rFonts w:ascii="Baskerville Old Face" w:hAnsi="Baskerville Old Face"/>
          <w:b/>
          <w:bCs/>
        </w:rPr>
      </w:pPr>
      <w:r w:rsidRPr="002B79BD">
        <w:rPr>
          <w:rFonts w:ascii="Baskerville Old Face" w:hAnsi="Baskerville Old Face"/>
          <w:b/>
          <w:bCs/>
        </w:rPr>
        <w:t>CONCLUSION</w:t>
      </w:r>
    </w:p>
    <w:p w14:paraId="6F4EC51D" w14:textId="48C5EFB8" w:rsidR="00523ED4" w:rsidRPr="00A76B1C" w:rsidRDefault="00523ED4" w:rsidP="00523ED4">
      <w:pPr>
        <w:tabs>
          <w:tab w:val="left" w:pos="426"/>
        </w:tabs>
        <w:jc w:val="both"/>
        <w:rPr>
          <w:rFonts w:ascii="Baskerville Old Face" w:hAnsi="Baskerville Old Face"/>
          <w:lang w:val="en-ID"/>
        </w:rPr>
      </w:pPr>
      <w:r w:rsidRPr="00A76B1C">
        <w:rPr>
          <w:rFonts w:ascii="Baskerville Old Face" w:hAnsi="Baskerville Old Face"/>
        </w:rPr>
        <w:tab/>
        <w:t xml:space="preserve">This research succeeded in applying different numerical methods to a semi-discretized approach to be able to calculate the price of European options with transaction costs so that the stability of the solution can be provided as a nonlinear </w:t>
      </w:r>
      <w:proofErr w:type="spellStart"/>
      <w:r w:rsidRPr="00A76B1C">
        <w:rPr>
          <w:rFonts w:ascii="Baskerville Old Face" w:hAnsi="Baskerville Old Face"/>
        </w:rPr>
        <w:t>Barles</w:t>
      </w:r>
      <w:proofErr w:type="spellEnd"/>
      <w:r w:rsidRPr="00A76B1C">
        <w:rPr>
          <w:rFonts w:ascii="Baskerville Old Face" w:hAnsi="Baskerville Old Face"/>
        </w:rPr>
        <w:t>-Soner model that does not have an analytical solution in closed form. The main results indicate that when transaction costs are taken into account, the price of options becomes much higher than valuations using the classic Black-Scholes model with a greater degree of divergence as the intensity of market friction increases. The increase in the option premium is a reflection of the strengthening of effective volatility which plays a role as a form of compensation for hedging risks that cannot be done perfectly.</w:t>
      </w:r>
    </w:p>
    <w:p w14:paraId="6E60EA54" w14:textId="56BF0A8B" w:rsidR="00DC62A2" w:rsidRPr="00A76B1C" w:rsidRDefault="000E2374" w:rsidP="000E2374">
      <w:pPr>
        <w:tabs>
          <w:tab w:val="left" w:pos="426"/>
        </w:tabs>
        <w:jc w:val="both"/>
        <w:rPr>
          <w:rFonts w:ascii="Baskerville Old Face" w:hAnsi="Baskerville Old Face"/>
          <w:lang w:val="en-ID"/>
        </w:rPr>
      </w:pPr>
      <w:r w:rsidRPr="00A76B1C">
        <w:rPr>
          <w:rFonts w:ascii="Baskerville Old Face" w:hAnsi="Baskerville Old Face"/>
        </w:rPr>
        <w:tab/>
      </w:r>
      <w:r w:rsidR="00DC62A2" w:rsidRPr="00A76B1C">
        <w:rPr>
          <w:rFonts w:ascii="Baskerville Old Face" w:hAnsi="Baskerville Old Face"/>
        </w:rPr>
        <w:t>From a practical point of view, the findings can provide confirmation of the use of the classic Black-Scholes model directly without having to include transaction cost adjustments, which has the potential to cause the undervaluation of options which can ultimately pose a risk of stiffness for the option author. Therefore, the proposed numerical approach is able to provide a more conservative and realistic estimate of fair value so that it can be used as an appropriate reference for investors and financial institutions in an effort to design pricing strategies and manage risks in the derivatives market.</w:t>
      </w:r>
    </w:p>
    <w:p w14:paraId="56EC2597" w14:textId="686AA79B" w:rsidR="00FA2C4C" w:rsidRPr="00A76B1C" w:rsidRDefault="00FA2C4C" w:rsidP="000E2374">
      <w:pPr>
        <w:tabs>
          <w:tab w:val="left" w:pos="426"/>
        </w:tabs>
        <w:jc w:val="both"/>
        <w:rPr>
          <w:rFonts w:ascii="Baskerville Old Face" w:hAnsi="Baskerville Old Face"/>
          <w:lang w:val="en-ID"/>
        </w:rPr>
      </w:pPr>
    </w:p>
    <w:p w14:paraId="134ECEFF" w14:textId="77777777" w:rsidR="000E2374" w:rsidRDefault="00D908A4" w:rsidP="000E2374">
      <w:pPr>
        <w:numPr>
          <w:ilvl w:val="0"/>
          <w:numId w:val="15"/>
        </w:numPr>
        <w:ind w:left="426" w:hanging="426"/>
        <w:rPr>
          <w:rFonts w:ascii="Baskerville Old Face" w:hAnsi="Baskerville Old Face"/>
          <w:b/>
          <w:bCs/>
          <w:sz w:val="22"/>
          <w:szCs w:val="22"/>
        </w:rPr>
      </w:pPr>
      <w:r w:rsidRPr="00206768">
        <w:rPr>
          <w:rFonts w:ascii="Baskerville Old Face" w:hAnsi="Baskerville Old Face"/>
          <w:b/>
          <w:bCs/>
          <w:sz w:val="22"/>
          <w:szCs w:val="22"/>
        </w:rPr>
        <w:t>REFERENCES</w:t>
      </w:r>
    </w:p>
    <w:p w14:paraId="1E3404FB" w14:textId="2FDE6911" w:rsidR="002B79BD" w:rsidRDefault="000E2374" w:rsidP="00805304">
      <w:pPr>
        <w:tabs>
          <w:tab w:val="left" w:pos="426"/>
        </w:tabs>
        <w:jc w:val="both"/>
      </w:pPr>
      <w:r>
        <w:t xml:space="preserve">[1] </w:t>
      </w:r>
      <w:r w:rsidR="00805304">
        <w:tab/>
      </w:r>
      <w:r>
        <w:t xml:space="preserve">F. Black and M. Scholes, "The pricing of options and corporate liabilities," </w:t>
      </w:r>
      <w:r>
        <w:rPr>
          <w:rStyle w:val="Emphasis"/>
        </w:rPr>
        <w:t>Journal of Political Economy</w:t>
      </w:r>
      <w:r>
        <w:t xml:space="preserve">, </w:t>
      </w:r>
    </w:p>
    <w:p w14:paraId="0845819C" w14:textId="471F7E10" w:rsidR="000E2374" w:rsidRDefault="000E2374" w:rsidP="00805304">
      <w:pPr>
        <w:ind w:left="284" w:firstLine="142"/>
        <w:jc w:val="both"/>
      </w:pPr>
      <w:r>
        <w:t xml:space="preserve">vol. 81, no. 3, pp. 637–654, 1973, </w:t>
      </w:r>
      <w:proofErr w:type="spellStart"/>
      <w:r>
        <w:t>doi</w:t>
      </w:r>
      <w:proofErr w:type="spellEnd"/>
      <w:r>
        <w:t xml:space="preserve">: </w:t>
      </w:r>
      <w:hyperlink r:id="rId15" w:tgtFrame="_new" w:history="1">
        <w:r>
          <w:rPr>
            <w:rStyle w:val="Hyperlink"/>
          </w:rPr>
          <w:t>https://doi.org/10.1086/260062</w:t>
        </w:r>
      </w:hyperlink>
      <w:r>
        <w:t>.</w:t>
      </w:r>
    </w:p>
    <w:p w14:paraId="1918EA85" w14:textId="6C0F8AB2" w:rsidR="002B79BD" w:rsidRDefault="000E2374" w:rsidP="00805304">
      <w:pPr>
        <w:tabs>
          <w:tab w:val="left" w:pos="426"/>
        </w:tabs>
        <w:jc w:val="both"/>
      </w:pPr>
      <w:r>
        <w:t xml:space="preserve">[2] </w:t>
      </w:r>
      <w:r w:rsidR="00805304">
        <w:tab/>
      </w:r>
      <w:r>
        <w:t xml:space="preserve">H. E. Leland, "Option pricing and replication with transaction costs," </w:t>
      </w:r>
      <w:r w:rsidRPr="002B79BD">
        <w:rPr>
          <w:i/>
          <w:iCs/>
        </w:rPr>
        <w:t>Journal of Finance</w:t>
      </w:r>
      <w:r>
        <w:t xml:space="preserve">, vol. 40, no. 5, </w:t>
      </w:r>
    </w:p>
    <w:p w14:paraId="26844EFB" w14:textId="2BFCB783" w:rsidR="000E2374" w:rsidRDefault="000E2374" w:rsidP="00805304">
      <w:pPr>
        <w:ind w:left="284" w:firstLine="142"/>
        <w:jc w:val="both"/>
      </w:pPr>
      <w:r>
        <w:t xml:space="preserve">pp. 1283–1301, 1985, </w:t>
      </w:r>
      <w:proofErr w:type="spellStart"/>
      <w:r>
        <w:t>doi</w:t>
      </w:r>
      <w:proofErr w:type="spellEnd"/>
      <w:r>
        <w:t xml:space="preserve">: </w:t>
      </w:r>
      <w:hyperlink r:id="rId16" w:history="1"/>
      <w:r>
        <w:t>https://doi.org/10.1111/j.1540-6261.1985.tb02383.x.</w:t>
      </w:r>
    </w:p>
    <w:p w14:paraId="5AE86BDF" w14:textId="715D2052" w:rsidR="00805304" w:rsidRDefault="000E2374" w:rsidP="00805304">
      <w:pPr>
        <w:tabs>
          <w:tab w:val="left" w:pos="426"/>
        </w:tabs>
        <w:jc w:val="both"/>
      </w:pPr>
      <w:r>
        <w:t xml:space="preserve">[3] </w:t>
      </w:r>
      <w:r w:rsidR="00805304">
        <w:tab/>
      </w:r>
      <w:r>
        <w:t xml:space="preserve">P. P. Boyle and T. Vorst, "Option replication in discrete time with transaction costs," </w:t>
      </w:r>
      <w:r>
        <w:rPr>
          <w:rStyle w:val="Emphasis"/>
        </w:rPr>
        <w:t>Journal of Finance</w:t>
      </w:r>
      <w:r>
        <w:t xml:space="preserve">, </w:t>
      </w:r>
    </w:p>
    <w:p w14:paraId="4857056B" w14:textId="345C7B06" w:rsidR="000E2374" w:rsidRDefault="000E2374" w:rsidP="00805304">
      <w:pPr>
        <w:ind w:left="284" w:firstLine="142"/>
        <w:jc w:val="both"/>
      </w:pPr>
      <w:r>
        <w:t xml:space="preserve">vol. 47, no. 1, pp. 271–293, 1992, </w:t>
      </w:r>
      <w:proofErr w:type="spellStart"/>
      <w:r>
        <w:t>doi</w:t>
      </w:r>
      <w:proofErr w:type="spellEnd"/>
      <w:r>
        <w:t xml:space="preserve">: </w:t>
      </w:r>
      <w:hyperlink r:id="rId17" w:history="1">
        <w:r w:rsidRPr="00D1113F">
          <w:rPr>
            <w:rStyle w:val="Hyperlink"/>
          </w:rPr>
          <w:t>https://doi.org/10.1111/j.1540-6261.1992.tb03986.x</w:t>
        </w:r>
      </w:hyperlink>
      <w:r>
        <w:t>.</w:t>
      </w:r>
    </w:p>
    <w:p w14:paraId="768BD2C4" w14:textId="2CAF3F0A" w:rsidR="000E2374" w:rsidRDefault="000E2374" w:rsidP="00805304">
      <w:pPr>
        <w:tabs>
          <w:tab w:val="left" w:pos="426"/>
        </w:tabs>
        <w:ind w:left="426" w:hanging="426"/>
        <w:jc w:val="both"/>
      </w:pPr>
      <w:r>
        <w:t xml:space="preserve">[4] </w:t>
      </w:r>
      <w:r w:rsidR="00805304">
        <w:tab/>
      </w:r>
      <w:r>
        <w:t>M. Avellaneda and A. Parás, "Dynamic hedging portfolios for derivative securities in the presence of large</w:t>
      </w:r>
      <w:r w:rsidR="00805304">
        <w:t xml:space="preserve"> </w:t>
      </w:r>
      <w:r>
        <w:t xml:space="preserve">transaction costs," </w:t>
      </w:r>
      <w:r>
        <w:rPr>
          <w:rStyle w:val="Emphasis"/>
        </w:rPr>
        <w:t>Applied Mathematical Finance</w:t>
      </w:r>
      <w:r>
        <w:t xml:space="preserve">, vol. 1, no. 2, pp. 165–193, 1994, </w:t>
      </w:r>
      <w:proofErr w:type="spellStart"/>
      <w:r>
        <w:t>doi</w:t>
      </w:r>
      <w:proofErr w:type="spellEnd"/>
      <w:r>
        <w:t xml:space="preserve">: </w:t>
      </w:r>
      <w:hyperlink r:id="rId18" w:history="1">
        <w:r w:rsidR="00805304" w:rsidRPr="00961C83">
          <w:rPr>
            <w:rStyle w:val="Hyperlink"/>
          </w:rPr>
          <w:t>https://doi.org/10.1080/13504869400000010</w:t>
        </w:r>
      </w:hyperlink>
      <w:r>
        <w:t>.</w:t>
      </w:r>
    </w:p>
    <w:p w14:paraId="19DB48C6" w14:textId="6A239336" w:rsidR="000E2374" w:rsidRDefault="000E2374" w:rsidP="00805304">
      <w:pPr>
        <w:tabs>
          <w:tab w:val="left" w:pos="426"/>
        </w:tabs>
        <w:ind w:left="426" w:hanging="426"/>
        <w:jc w:val="both"/>
      </w:pPr>
      <w:r>
        <w:t xml:space="preserve">[5] </w:t>
      </w:r>
      <w:r w:rsidR="00805304">
        <w:tab/>
      </w:r>
      <w:r>
        <w:t xml:space="preserve">G. </w:t>
      </w:r>
      <w:proofErr w:type="spellStart"/>
      <w:r>
        <w:t>Barles</w:t>
      </w:r>
      <w:proofErr w:type="spellEnd"/>
      <w:r>
        <w:t xml:space="preserve"> and H. M. Soner, "Option pricing with transaction costs and a nonlinear Black–Scholes equation,"</w:t>
      </w:r>
      <w:r w:rsidR="00805304">
        <w:t xml:space="preserve"> </w:t>
      </w:r>
      <w:r w:rsidRPr="00805304">
        <w:rPr>
          <w:i/>
          <w:iCs/>
        </w:rPr>
        <w:t>Finance</w:t>
      </w:r>
      <w:r>
        <w:rPr>
          <w:rStyle w:val="Emphasis"/>
        </w:rPr>
        <w:t xml:space="preserve"> and Stochastics</w:t>
      </w:r>
      <w:r>
        <w:t xml:space="preserve">, vol. 2, no. 4, pp. 369–397, 1998, </w:t>
      </w:r>
      <w:proofErr w:type="spellStart"/>
      <w:r>
        <w:t>doi</w:t>
      </w:r>
      <w:proofErr w:type="spellEnd"/>
      <w:r>
        <w:t xml:space="preserve">: </w:t>
      </w:r>
      <w:hyperlink r:id="rId19" w:history="1">
        <w:r w:rsidRPr="00D1113F">
          <w:rPr>
            <w:rStyle w:val="Hyperlink"/>
          </w:rPr>
          <w:t>https://doi.org/10.1007/s007800050046</w:t>
        </w:r>
      </w:hyperlink>
      <w:r>
        <w:t>.</w:t>
      </w:r>
    </w:p>
    <w:p w14:paraId="334E0B98" w14:textId="763F0124" w:rsidR="00805304" w:rsidRDefault="000E2374" w:rsidP="00805304">
      <w:pPr>
        <w:tabs>
          <w:tab w:val="left" w:pos="426"/>
        </w:tabs>
        <w:jc w:val="both"/>
      </w:pPr>
      <w:r>
        <w:t xml:space="preserve">[6] </w:t>
      </w:r>
      <w:r w:rsidR="00805304">
        <w:tab/>
      </w:r>
      <w:r>
        <w:t xml:space="preserve">R. Company, E. Navarro, J. R. Pintos, and E. </w:t>
      </w:r>
      <w:proofErr w:type="spellStart"/>
      <w:r>
        <w:t>Ponsoda</w:t>
      </w:r>
      <w:proofErr w:type="spellEnd"/>
      <w:r>
        <w:t>, "Numerical solution of linear and nonlinear Black–</w:t>
      </w:r>
    </w:p>
    <w:p w14:paraId="611AF705" w14:textId="14888BF7" w:rsidR="000E2374" w:rsidRDefault="000E2374" w:rsidP="007F50C7">
      <w:pPr>
        <w:tabs>
          <w:tab w:val="left" w:pos="426"/>
        </w:tabs>
        <w:ind w:left="426"/>
        <w:jc w:val="both"/>
      </w:pPr>
      <w:r>
        <w:t xml:space="preserve">Scholes option pricing equations," </w:t>
      </w:r>
      <w:r>
        <w:rPr>
          <w:rStyle w:val="Emphasis"/>
        </w:rPr>
        <w:t>Computers &amp; Mathematics with Applications</w:t>
      </w:r>
      <w:r>
        <w:t xml:space="preserve">, vol. 56, no. 3, pp. 813–821, 2008, </w:t>
      </w:r>
      <w:proofErr w:type="spellStart"/>
      <w:r>
        <w:t>doi</w:t>
      </w:r>
      <w:proofErr w:type="spellEnd"/>
      <w:r>
        <w:t xml:space="preserve">: </w:t>
      </w:r>
      <w:hyperlink r:id="rId20" w:history="1">
        <w:r w:rsidRPr="00D1113F">
          <w:rPr>
            <w:rStyle w:val="Hyperlink"/>
          </w:rPr>
          <w:t>https://doi.org/10.1016/j.camwa.2008.02.010</w:t>
        </w:r>
      </w:hyperlink>
      <w:r>
        <w:t>.</w:t>
      </w:r>
    </w:p>
    <w:p w14:paraId="0FB2D75E" w14:textId="613B160E" w:rsidR="00805304" w:rsidRDefault="000E2374" w:rsidP="007F50C7">
      <w:pPr>
        <w:tabs>
          <w:tab w:val="left" w:pos="426"/>
        </w:tabs>
        <w:jc w:val="both"/>
      </w:pPr>
      <w:r>
        <w:t xml:space="preserve">[7] </w:t>
      </w:r>
      <w:r w:rsidR="007F50C7">
        <w:tab/>
      </w:r>
      <w:r>
        <w:t xml:space="preserve">R. Company, L. Jódar, and J. R. Pintos, "A numerical method for solving a nonlinear Black–Scholes </w:t>
      </w:r>
    </w:p>
    <w:p w14:paraId="2BEEDBF8" w14:textId="71E2B1FA" w:rsidR="000E2374" w:rsidRDefault="000E2374" w:rsidP="007F50C7">
      <w:pPr>
        <w:tabs>
          <w:tab w:val="left" w:pos="426"/>
        </w:tabs>
        <w:ind w:left="426"/>
        <w:jc w:val="both"/>
      </w:pPr>
      <w:r>
        <w:t xml:space="preserve">equation modeling transaction costs," </w:t>
      </w:r>
      <w:r w:rsidRPr="002B79BD">
        <w:rPr>
          <w:i/>
          <w:iCs/>
        </w:rPr>
        <w:t>Computers &amp; Mathematics with Applications</w:t>
      </w:r>
      <w:r>
        <w:t xml:space="preserve">, vol. 57, no. 10, pp. 1639–1650, 2009, </w:t>
      </w:r>
      <w:proofErr w:type="spellStart"/>
      <w:r>
        <w:t>doi</w:t>
      </w:r>
      <w:proofErr w:type="spellEnd"/>
      <w:r>
        <w:t xml:space="preserve">: </w:t>
      </w:r>
      <w:hyperlink r:id="rId21" w:tgtFrame="_new" w:history="1">
        <w:r w:rsidRPr="002B79BD">
          <w:t>https://doi.org/10.1016/j.cam.2008.07.006</w:t>
        </w:r>
      </w:hyperlink>
      <w:r>
        <w:t>.</w:t>
      </w:r>
    </w:p>
    <w:p w14:paraId="69375CD7" w14:textId="5AC68BF9" w:rsidR="00805304" w:rsidRDefault="000E2374" w:rsidP="007F50C7">
      <w:pPr>
        <w:tabs>
          <w:tab w:val="left" w:pos="426"/>
        </w:tabs>
        <w:jc w:val="both"/>
      </w:pPr>
      <w:r>
        <w:t xml:space="preserve">[8] </w:t>
      </w:r>
      <w:r w:rsidR="007F50C7">
        <w:tab/>
      </w:r>
      <w:r>
        <w:t xml:space="preserve">F. Soleymani, "Analysis of a meshless finite difference method for solving 2D nonlinear Black–Scholes </w:t>
      </w:r>
    </w:p>
    <w:p w14:paraId="77E19A06" w14:textId="5716DE5A" w:rsidR="000E2374" w:rsidRDefault="000E2374" w:rsidP="007F50C7">
      <w:pPr>
        <w:tabs>
          <w:tab w:val="left" w:pos="426"/>
        </w:tabs>
        <w:ind w:left="426"/>
        <w:jc w:val="both"/>
      </w:pPr>
      <w:r>
        <w:t xml:space="preserve">equations," </w:t>
      </w:r>
      <w:r w:rsidRPr="002B79BD">
        <w:rPr>
          <w:i/>
          <w:iCs/>
        </w:rPr>
        <w:t>Engineering Analysis with Boundary Elements</w:t>
      </w:r>
      <w:r>
        <w:t xml:space="preserve">, vol. 110, pp. 24–32, 2020, </w:t>
      </w:r>
      <w:proofErr w:type="spellStart"/>
      <w:r>
        <w:t>doi</w:t>
      </w:r>
      <w:proofErr w:type="spellEnd"/>
      <w:r>
        <w:t xml:space="preserve">: </w:t>
      </w:r>
      <w:hyperlink r:id="rId22" w:history="1">
        <w:r w:rsidR="007F50C7" w:rsidRPr="00961C83">
          <w:rPr>
            <w:rStyle w:val="Hyperlink"/>
          </w:rPr>
          <w:t>https://doi.org/10.1016/j.enganabound.2019.09.012</w:t>
        </w:r>
      </w:hyperlink>
      <w:r>
        <w:t>.</w:t>
      </w:r>
    </w:p>
    <w:p w14:paraId="7C32F129" w14:textId="154FA5DD" w:rsidR="00805304" w:rsidRDefault="000E2374" w:rsidP="007F50C7">
      <w:pPr>
        <w:tabs>
          <w:tab w:val="left" w:pos="426"/>
        </w:tabs>
        <w:jc w:val="both"/>
      </w:pPr>
      <w:r>
        <w:t xml:space="preserve">[9] </w:t>
      </w:r>
      <w:r w:rsidR="007F50C7">
        <w:tab/>
      </w:r>
      <w:r>
        <w:t xml:space="preserve">S. Gonzalez-Pinto, D. Hernandez-Abreu, and S. Perez-Rodriguez, "Stable numerical methods for pricing </w:t>
      </w:r>
    </w:p>
    <w:p w14:paraId="510ADD46" w14:textId="27297324" w:rsidR="000E2374" w:rsidRDefault="000E2374" w:rsidP="007F50C7">
      <w:pPr>
        <w:tabs>
          <w:tab w:val="left" w:pos="426"/>
        </w:tabs>
        <w:ind w:left="426"/>
        <w:jc w:val="both"/>
      </w:pPr>
      <w:r>
        <w:t xml:space="preserve">options under transaction costs with the </w:t>
      </w:r>
      <w:proofErr w:type="spellStart"/>
      <w:r>
        <w:t>Barles</w:t>
      </w:r>
      <w:proofErr w:type="spellEnd"/>
      <w:r>
        <w:t xml:space="preserve">–Soner model," </w:t>
      </w:r>
      <w:r w:rsidRPr="002B79BD">
        <w:rPr>
          <w:i/>
          <w:iCs/>
        </w:rPr>
        <w:t>Journal of Computational and Applied Mathematics</w:t>
      </w:r>
      <w:r>
        <w:t xml:space="preserve">, vol. 393, p. 113524, 2021, </w:t>
      </w:r>
      <w:proofErr w:type="spellStart"/>
      <w:r>
        <w:t>doi</w:t>
      </w:r>
      <w:proofErr w:type="spellEnd"/>
      <w:r>
        <w:t xml:space="preserve">: </w:t>
      </w:r>
      <w:hyperlink r:id="rId23" w:tgtFrame="_new" w:history="1">
        <w:r w:rsidRPr="002B79BD">
          <w:t>https://doi.org/10.1016/j.cam.2021.113524</w:t>
        </w:r>
      </w:hyperlink>
      <w:r>
        <w:t>.</w:t>
      </w:r>
    </w:p>
    <w:p w14:paraId="3F57CE6C" w14:textId="09452707" w:rsidR="000E2374" w:rsidRDefault="000E2374" w:rsidP="007F50C7">
      <w:pPr>
        <w:tabs>
          <w:tab w:val="left" w:pos="426"/>
        </w:tabs>
        <w:ind w:left="426" w:hanging="426"/>
        <w:jc w:val="both"/>
      </w:pPr>
      <w:r>
        <w:t xml:space="preserve">[10] </w:t>
      </w:r>
      <w:r w:rsidR="007F50C7">
        <w:tab/>
      </w:r>
      <w:r>
        <w:t>L. Zhang and Y. Wang, "Pricing European options with transaction costs using a high-order compact finite</w:t>
      </w:r>
      <w:r w:rsidR="007F50C7">
        <w:t xml:space="preserve"> </w:t>
      </w:r>
      <w:r>
        <w:t xml:space="preserve">difference scheme," </w:t>
      </w:r>
      <w:r w:rsidRPr="002B79BD">
        <w:rPr>
          <w:i/>
          <w:iCs/>
        </w:rPr>
        <w:t>Advances in Difference Equations</w:t>
      </w:r>
      <w:r>
        <w:t xml:space="preserve">, vol. 2021, pp. 1–15, 2021, </w:t>
      </w:r>
      <w:proofErr w:type="spellStart"/>
      <w:r>
        <w:t>doi</w:t>
      </w:r>
      <w:proofErr w:type="spellEnd"/>
      <w:r>
        <w:t xml:space="preserve">: </w:t>
      </w:r>
      <w:hyperlink r:id="rId24" w:history="1">
        <w:r w:rsidR="007F50C7" w:rsidRPr="00961C83">
          <w:rPr>
            <w:rStyle w:val="Hyperlink"/>
          </w:rPr>
          <w:t>https://doi.org/10.1186/s13662-021-03289-w</w:t>
        </w:r>
      </w:hyperlink>
      <w:r>
        <w:t>.</w:t>
      </w:r>
    </w:p>
    <w:p w14:paraId="75B0F8AE" w14:textId="4A4FC8DA" w:rsidR="00805304" w:rsidRDefault="000E2374" w:rsidP="007F50C7">
      <w:pPr>
        <w:tabs>
          <w:tab w:val="left" w:pos="426"/>
        </w:tabs>
        <w:jc w:val="both"/>
      </w:pPr>
      <w:r>
        <w:t xml:space="preserve">[11] </w:t>
      </w:r>
      <w:r w:rsidR="007F50C7">
        <w:tab/>
      </w:r>
      <w:r>
        <w:t xml:space="preserve">A. R. Nuwairan and M. S. Alqarni, "Solving the nonlinear Black–Scholes equation using a novel finite </w:t>
      </w:r>
    </w:p>
    <w:p w14:paraId="2BE05445" w14:textId="5B381AB9" w:rsidR="000E2374" w:rsidRDefault="000E2374" w:rsidP="007F50C7">
      <w:pPr>
        <w:tabs>
          <w:tab w:val="left" w:pos="426"/>
        </w:tabs>
        <w:ind w:left="426"/>
        <w:jc w:val="both"/>
      </w:pPr>
      <w:r>
        <w:t xml:space="preserve">difference scheme," </w:t>
      </w:r>
      <w:r w:rsidRPr="002B79BD">
        <w:rPr>
          <w:i/>
          <w:iCs/>
        </w:rPr>
        <w:t>Mathematics</w:t>
      </w:r>
      <w:r>
        <w:t xml:space="preserve">, vol. 10, no. 9, p. 1546, 2022, </w:t>
      </w:r>
      <w:proofErr w:type="spellStart"/>
      <w:r>
        <w:t>doi</w:t>
      </w:r>
      <w:proofErr w:type="spellEnd"/>
      <w:r>
        <w:t xml:space="preserve">: </w:t>
      </w:r>
      <w:hyperlink r:id="rId25" w:history="1">
        <w:r w:rsidR="007F50C7" w:rsidRPr="00961C83">
          <w:rPr>
            <w:rStyle w:val="Hyperlink"/>
          </w:rPr>
          <w:t>https://doi.org/10.3390/math10091546</w:t>
        </w:r>
      </w:hyperlink>
      <w:r>
        <w:t>.</w:t>
      </w:r>
    </w:p>
    <w:p w14:paraId="34F644D8" w14:textId="6EA5E00D" w:rsidR="00805304" w:rsidRDefault="000E2374" w:rsidP="007F50C7">
      <w:pPr>
        <w:tabs>
          <w:tab w:val="left" w:pos="426"/>
        </w:tabs>
        <w:jc w:val="both"/>
      </w:pPr>
      <w:r>
        <w:t xml:space="preserve">[12] </w:t>
      </w:r>
      <w:r w:rsidR="007F50C7">
        <w:tab/>
      </w:r>
      <w:r>
        <w:t>H. R. Al-</w:t>
      </w:r>
      <w:proofErr w:type="spellStart"/>
      <w:r>
        <w:t>Zoubi</w:t>
      </w:r>
      <w:proofErr w:type="spellEnd"/>
      <w:r>
        <w:t xml:space="preserve">, "Numerical simulation of the nonlinear Black–Scholes model for option pricing with </w:t>
      </w:r>
    </w:p>
    <w:p w14:paraId="7CB95EE1" w14:textId="06BE444D" w:rsidR="000E2374" w:rsidRDefault="000E2374" w:rsidP="007F50C7">
      <w:pPr>
        <w:tabs>
          <w:tab w:val="left" w:pos="426"/>
        </w:tabs>
        <w:ind w:left="426"/>
        <w:jc w:val="both"/>
      </w:pPr>
      <w:r>
        <w:t xml:space="preserve">transaction costs," </w:t>
      </w:r>
      <w:r w:rsidRPr="002B79BD">
        <w:rPr>
          <w:i/>
          <w:iCs/>
        </w:rPr>
        <w:t>Alexandria Engineering Journal</w:t>
      </w:r>
      <w:r>
        <w:t xml:space="preserve">, vol. 61, no. 12, pp. 10453–10462, 2022, </w:t>
      </w:r>
      <w:proofErr w:type="spellStart"/>
      <w:r>
        <w:t>doi</w:t>
      </w:r>
      <w:proofErr w:type="spellEnd"/>
      <w:r>
        <w:t xml:space="preserve">: </w:t>
      </w:r>
      <w:hyperlink r:id="rId26" w:history="1">
        <w:r w:rsidR="007F50C7" w:rsidRPr="00961C83">
          <w:rPr>
            <w:rStyle w:val="Hyperlink"/>
          </w:rPr>
          <w:t>https://doi.org/10.1016/j.aej.2022.03.064</w:t>
        </w:r>
      </w:hyperlink>
      <w:r>
        <w:t>.</w:t>
      </w:r>
    </w:p>
    <w:p w14:paraId="5380A666" w14:textId="42BCE7AE" w:rsidR="00805304" w:rsidRDefault="000E2374" w:rsidP="007F50C7">
      <w:pPr>
        <w:tabs>
          <w:tab w:val="left" w:pos="426"/>
        </w:tabs>
        <w:jc w:val="both"/>
      </w:pPr>
      <w:r>
        <w:t xml:space="preserve">[13] </w:t>
      </w:r>
      <w:r w:rsidR="007F50C7">
        <w:tab/>
      </w:r>
      <w:r>
        <w:t xml:space="preserve">S. Kumar and R. K. Pandey, "A robust numerical scheme for the nonlinear Black–Scholes equation </w:t>
      </w:r>
    </w:p>
    <w:p w14:paraId="5DE5483B" w14:textId="15F5BF4B" w:rsidR="000E2374" w:rsidRDefault="000E2374" w:rsidP="007F50C7">
      <w:pPr>
        <w:tabs>
          <w:tab w:val="left" w:pos="426"/>
        </w:tabs>
        <w:ind w:left="426"/>
        <w:jc w:val="both"/>
      </w:pPr>
      <w:r>
        <w:t xml:space="preserve">governing European option pricing," </w:t>
      </w:r>
      <w:r w:rsidRPr="002B79BD">
        <w:rPr>
          <w:i/>
          <w:iCs/>
        </w:rPr>
        <w:t>Computational Economics</w:t>
      </w:r>
      <w:r>
        <w:t xml:space="preserve">, vol. 62, no. 3, pp. 987–1012, 2023, </w:t>
      </w:r>
      <w:proofErr w:type="spellStart"/>
      <w:r>
        <w:t>doi</w:t>
      </w:r>
      <w:proofErr w:type="spellEnd"/>
      <w:r>
        <w:t xml:space="preserve">: </w:t>
      </w:r>
      <w:hyperlink r:id="rId27" w:history="1">
        <w:r w:rsidR="007F50C7" w:rsidRPr="00961C83">
          <w:rPr>
            <w:rStyle w:val="Hyperlink"/>
          </w:rPr>
          <w:t>https://doi.org/10.1007/s10614-022-10258-x</w:t>
        </w:r>
      </w:hyperlink>
      <w:r>
        <w:t>.</w:t>
      </w:r>
    </w:p>
    <w:p w14:paraId="5EAE62EB" w14:textId="54AD5339" w:rsidR="00805304" w:rsidRDefault="000E2374" w:rsidP="007F50C7">
      <w:pPr>
        <w:tabs>
          <w:tab w:val="left" w:pos="426"/>
        </w:tabs>
        <w:jc w:val="both"/>
      </w:pPr>
      <w:r>
        <w:t xml:space="preserve">[14] </w:t>
      </w:r>
      <w:r w:rsidR="007F50C7">
        <w:tab/>
      </w:r>
      <w:r>
        <w:t>C. Lee, S. Kwak, Y. Hwang, and J. Kim, "Accurate and efficient finite difference method for the Black–</w:t>
      </w:r>
    </w:p>
    <w:p w14:paraId="4C61D0C4" w14:textId="32E03718" w:rsidR="000E2374" w:rsidRDefault="000E2374" w:rsidP="007F50C7">
      <w:pPr>
        <w:tabs>
          <w:tab w:val="left" w:pos="426"/>
        </w:tabs>
        <w:ind w:left="426"/>
        <w:jc w:val="both"/>
      </w:pPr>
      <w:r>
        <w:t xml:space="preserve">Scholes model with no far-field boundary conditions," </w:t>
      </w:r>
      <w:r w:rsidRPr="002B79BD">
        <w:rPr>
          <w:i/>
          <w:iCs/>
        </w:rPr>
        <w:t>Computational Economics</w:t>
      </w:r>
      <w:r>
        <w:t xml:space="preserve">, vol. 61, no. 3, pp. 1207–1224, 2023, </w:t>
      </w:r>
      <w:proofErr w:type="spellStart"/>
      <w:r>
        <w:t>doi</w:t>
      </w:r>
      <w:proofErr w:type="spellEnd"/>
      <w:r>
        <w:t xml:space="preserve">: </w:t>
      </w:r>
      <w:hyperlink r:id="rId28" w:history="1">
        <w:r w:rsidRPr="002B79BD">
          <w:t>https://doi.org/10.1007/s10614-022-10242-w</w:t>
        </w:r>
      </w:hyperlink>
      <w:r>
        <w:t>.</w:t>
      </w:r>
    </w:p>
    <w:p w14:paraId="280FA6EB" w14:textId="53B13EA9" w:rsidR="00805304" w:rsidRDefault="000E2374" w:rsidP="007F50C7">
      <w:pPr>
        <w:tabs>
          <w:tab w:val="left" w:pos="426"/>
        </w:tabs>
        <w:jc w:val="both"/>
      </w:pPr>
      <w:r>
        <w:t xml:space="preserve">[15] </w:t>
      </w:r>
      <w:r w:rsidR="007F50C7">
        <w:tab/>
      </w:r>
      <w:r>
        <w:t xml:space="preserve">S. Kang, S. Kwak, G. Lee, Y. Hwang, S. Ham, and J. Kim, "A convergent fourth-order finite difference </w:t>
      </w:r>
    </w:p>
    <w:p w14:paraId="79D81735" w14:textId="466FC9CC" w:rsidR="000E2374" w:rsidRDefault="000E2374" w:rsidP="007F50C7">
      <w:pPr>
        <w:tabs>
          <w:tab w:val="left" w:pos="426"/>
        </w:tabs>
        <w:ind w:left="426"/>
        <w:jc w:val="both"/>
      </w:pPr>
      <w:r>
        <w:lastRenderedPageBreak/>
        <w:t xml:space="preserve">scheme for the Black–Scholes equation," </w:t>
      </w:r>
      <w:r w:rsidRPr="002B79BD">
        <w:rPr>
          <w:i/>
          <w:iCs/>
        </w:rPr>
        <w:t>Computational Economics</w:t>
      </w:r>
      <w:r>
        <w:t xml:space="preserve">, 2025, </w:t>
      </w:r>
      <w:proofErr w:type="spellStart"/>
      <w:r>
        <w:t>doi</w:t>
      </w:r>
      <w:proofErr w:type="spellEnd"/>
      <w:r>
        <w:t xml:space="preserve">: </w:t>
      </w:r>
      <w:hyperlink r:id="rId29" w:history="1">
        <w:r w:rsidR="007F50C7" w:rsidRPr="00961C83">
          <w:rPr>
            <w:rStyle w:val="Hyperlink"/>
          </w:rPr>
          <w:t>https://doi.org/10.1007/s10614-025-10945-w</w:t>
        </w:r>
      </w:hyperlink>
      <w:r>
        <w:t>.</w:t>
      </w:r>
    </w:p>
    <w:p w14:paraId="491D2F0A" w14:textId="64070744" w:rsidR="000E2374" w:rsidRDefault="000E2374" w:rsidP="007F50C7">
      <w:pPr>
        <w:tabs>
          <w:tab w:val="left" w:pos="426"/>
        </w:tabs>
        <w:ind w:left="426" w:hanging="426"/>
        <w:jc w:val="both"/>
      </w:pPr>
      <w:r>
        <w:t xml:space="preserve">[16] </w:t>
      </w:r>
      <w:r w:rsidR="007F50C7">
        <w:tab/>
      </w:r>
      <w:r>
        <w:t xml:space="preserve">R. F. </w:t>
      </w:r>
      <w:proofErr w:type="spellStart"/>
      <w:r>
        <w:t>Rusmaningtyas</w:t>
      </w:r>
      <w:proofErr w:type="spellEnd"/>
      <w:r>
        <w:t xml:space="preserve">, N. Satyahadewi, and S. W. </w:t>
      </w:r>
      <w:proofErr w:type="spellStart"/>
      <w:r>
        <w:t>Rizki</w:t>
      </w:r>
      <w:proofErr w:type="spellEnd"/>
      <w:r>
        <w:t xml:space="preserve">, "Comparison of European-type stock option prices using Black–Scholes and Black–Scholes fractional models," </w:t>
      </w:r>
      <w:proofErr w:type="spellStart"/>
      <w:r w:rsidRPr="002B79BD">
        <w:rPr>
          <w:i/>
          <w:iCs/>
        </w:rPr>
        <w:t>EurekaMatika</w:t>
      </w:r>
      <w:proofErr w:type="spellEnd"/>
      <w:r w:rsidRPr="002B79BD">
        <w:rPr>
          <w:i/>
          <w:iCs/>
        </w:rPr>
        <w:t xml:space="preserve"> Journal</w:t>
      </w:r>
      <w:r>
        <w:t xml:space="preserve">, vol. 9, no. 2, pp. 177–184, 2022, </w:t>
      </w:r>
      <w:proofErr w:type="spellStart"/>
      <w:r>
        <w:t>doi</w:t>
      </w:r>
      <w:proofErr w:type="spellEnd"/>
      <w:r>
        <w:t xml:space="preserve">: </w:t>
      </w:r>
      <w:hyperlink r:id="rId30" w:history="1">
        <w:r w:rsidRPr="002B79BD">
          <w:t>https://doi.org/10.17509/jem.v10i1.44454</w:t>
        </w:r>
      </w:hyperlink>
      <w:r>
        <w:t>.</w:t>
      </w:r>
    </w:p>
    <w:p w14:paraId="6B520DDA" w14:textId="2EE90978" w:rsidR="00805304" w:rsidRDefault="000E2374" w:rsidP="007F50C7">
      <w:pPr>
        <w:tabs>
          <w:tab w:val="left" w:pos="426"/>
        </w:tabs>
        <w:jc w:val="both"/>
      </w:pPr>
      <w:r>
        <w:t xml:space="preserve">[17] </w:t>
      </w:r>
      <w:r w:rsidR="007F50C7">
        <w:tab/>
      </w:r>
      <w:r>
        <w:t xml:space="preserve">J. C. Hull, </w:t>
      </w:r>
      <w:r w:rsidRPr="002B79BD">
        <w:rPr>
          <w:i/>
          <w:iCs/>
        </w:rPr>
        <w:t>Options, Futures, and Other Derivatives</w:t>
      </w:r>
      <w:r>
        <w:t xml:space="preserve">, 7th ed. Upper Saddle River, NJ, USA: Pearson </w:t>
      </w:r>
    </w:p>
    <w:p w14:paraId="2762B5AA" w14:textId="67DCFC1D" w:rsidR="000E2374" w:rsidRPr="002B79BD" w:rsidRDefault="007F50C7" w:rsidP="007F50C7">
      <w:pPr>
        <w:tabs>
          <w:tab w:val="left" w:pos="426"/>
        </w:tabs>
        <w:jc w:val="both"/>
      </w:pPr>
      <w:r>
        <w:tab/>
      </w:r>
      <w:r w:rsidR="000E2374">
        <w:t>Education, 2009.</w:t>
      </w:r>
    </w:p>
    <w:p w14:paraId="3CC6B960" w14:textId="3395C5DD" w:rsidR="00231A19" w:rsidRDefault="00231A19" w:rsidP="00EC01EF">
      <w:pPr>
        <w:rPr>
          <w:color w:val="000000"/>
          <w:sz w:val="18"/>
          <w:szCs w:val="18"/>
        </w:rPr>
      </w:pPr>
    </w:p>
    <w:sectPr w:rsidR="00231A19" w:rsidSect="00375614">
      <w:headerReference w:type="even" r:id="rId31"/>
      <w:headerReference w:type="default" r:id="rId32"/>
      <w:footerReference w:type="even" r:id="rId33"/>
      <w:footerReference w:type="default" r:id="rId34"/>
      <w:headerReference w:type="first" r:id="rId35"/>
      <w:footerReference w:type="first" r:id="rId36"/>
      <w:pgSz w:w="11907" w:h="16840" w:code="9"/>
      <w:pgMar w:top="1418" w:right="1418" w:bottom="1418" w:left="1701" w:header="529"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3886A" w14:textId="77777777" w:rsidR="002F3725" w:rsidRDefault="002F3725">
      <w:r>
        <w:separator/>
      </w:r>
    </w:p>
  </w:endnote>
  <w:endnote w:type="continuationSeparator" w:id="0">
    <w:p w14:paraId="5CFA0435" w14:textId="77777777" w:rsidR="002F3725" w:rsidRDefault="002F3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Palatino">
    <w:altName w:val="Palatino Linotype"/>
    <w:charset w:val="4D"/>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NimbusRomNo9L-Medi">
    <w:altName w:val="Cambria"/>
    <w:panose1 w:val="00000000000000000000"/>
    <w:charset w:val="00"/>
    <w:family w:val="roman"/>
    <w:notTrueType/>
    <w:pitch w:val="default"/>
  </w:font>
  <w:font w:name="NimbusRomNo9L-Regu">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846A3" w14:textId="42D41618" w:rsidR="00097958" w:rsidRPr="00534DFC" w:rsidRDefault="00050148" w:rsidP="00C07BEF">
    <w:pPr>
      <w:pStyle w:val="Header"/>
      <w:tabs>
        <w:tab w:val="clear" w:pos="4320"/>
        <w:tab w:val="clear" w:pos="8640"/>
        <w:tab w:val="left" w:pos="2992"/>
      </w:tabs>
      <w:spacing w:before="240"/>
      <w:rPr>
        <w:rFonts w:ascii="Baskerville Old Face" w:hAnsi="Baskerville Old Face"/>
        <w:sz w:val="18"/>
        <w:szCs w:val="18"/>
      </w:rPr>
    </w:pPr>
    <w:r w:rsidRPr="00534DFC">
      <w:rPr>
        <w:rFonts w:ascii="Baskerville Old Face" w:hAnsi="Baskerville Old Face"/>
        <w:noProof/>
        <w:sz w:val="18"/>
        <w:szCs w:val="18"/>
      </w:rPr>
      <mc:AlternateContent>
        <mc:Choice Requires="wps">
          <w:drawing>
            <wp:anchor distT="0" distB="0" distL="114300" distR="114300" simplePos="0" relativeHeight="251758592" behindDoc="0" locked="0" layoutInCell="1" allowOverlap="1" wp14:anchorId="7F9DC794" wp14:editId="62FE796A">
              <wp:simplePos x="0" y="0"/>
              <wp:positionH relativeFrom="column">
                <wp:posOffset>-12065</wp:posOffset>
              </wp:positionH>
              <wp:positionV relativeFrom="paragraph">
                <wp:posOffset>145415</wp:posOffset>
              </wp:positionV>
              <wp:extent cx="5580380" cy="0"/>
              <wp:effectExtent l="6985" t="12065" r="13335" b="698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3"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" from="-.95pt,11.45pt" to="438.45pt,11.45pt" w14:anchorId="51C9E8BB"/>
          </w:pict>
        </mc:Fallback>
      </mc:AlternateContent>
    </w:r>
    <w:r w:rsidR="00534DFC" w:rsidRPr="00534DFC">
      <w:rPr>
        <w:rFonts w:ascii="Baskerville Old Face" w:hAnsi="Baskerville Old Face"/>
        <w:noProof/>
        <w:sz w:val="18"/>
        <w:szCs w:val="18"/>
        <w:lang w:eastAsia="en-GB"/>
      </w:rPr>
      <w:t>Zero: Journal of Science, Mathematics and Applied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2EE25" w14:textId="6A0AD6D3" w:rsidR="00097958" w:rsidRPr="00BE762E" w:rsidRDefault="00BE762E" w:rsidP="00B26C7F">
    <w:pPr>
      <w:pStyle w:val="Footer"/>
      <w:pBdr>
        <w:top w:val="single" w:sz="4" w:space="1" w:color="auto"/>
      </w:pBdr>
      <w:jc w:val="right"/>
      <w:rPr>
        <w:i/>
        <w:sz w:val="12"/>
        <w:szCs w:val="12"/>
      </w:rPr>
    </w:pPr>
    <w:r>
      <w:rPr>
        <w:rFonts w:ascii="Baskerville Old Face" w:hAnsi="Baskerville Old Face"/>
        <w:b/>
        <w:bCs/>
        <w:sz w:val="12"/>
        <w:szCs w:val="12"/>
      </w:rPr>
      <w:tab/>
    </w:r>
    <w:r w:rsidRPr="00BE762E">
      <w:rPr>
        <w:rFonts w:ascii="Baskerville Old Face" w:hAnsi="Baskerville Old Face"/>
        <w:b/>
        <w:bCs/>
        <w:sz w:val="12"/>
        <w:szCs w:val="12"/>
      </w:rPr>
      <w:t xml:space="preserve">                                                                  Article of Tittle ( Firs Author)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6C23D" w14:textId="2FD22E5B" w:rsidR="00097958" w:rsidRPr="001911C8" w:rsidRDefault="00C854C1" w:rsidP="00C07BEF">
    <w:pPr>
      <w:pStyle w:val="Footer"/>
      <w:pBdr>
        <w:top w:val="single" w:sz="4" w:space="1" w:color="auto"/>
      </w:pBdr>
      <w:spacing w:before="240"/>
      <w:rPr>
        <w:rFonts w:ascii="Baskerville Old Face" w:hAnsi="Baskerville Old Face"/>
        <w:iCs/>
        <w:sz w:val="18"/>
        <w:szCs w:val="18"/>
      </w:rPr>
    </w:pPr>
    <w:r w:rsidRPr="001911C8">
      <w:rPr>
        <w:rFonts w:ascii="Baskerville Old Face" w:hAnsi="Baskerville Old Face"/>
        <w:b/>
        <w:iCs/>
        <w:sz w:val="18"/>
        <w:szCs w:val="18"/>
      </w:rPr>
      <w:t>Newspaper homepage</w:t>
    </w:r>
    <w:r w:rsidRPr="001911C8">
      <w:rPr>
        <w:rFonts w:ascii="Baskerville Old Face" w:hAnsi="Baskerville Old Face"/>
        <w:iCs/>
        <w:sz w:val="18"/>
        <w:szCs w:val="18"/>
      </w:rPr>
      <w:t xml:space="preserve">: </w:t>
    </w:r>
    <w:hyperlink r:id="rId1" w:history="1">
      <w:r w:rsidR="00534DFC" w:rsidRPr="001911C8">
        <w:rPr>
          <w:rStyle w:val="Hyperlink"/>
          <w:rFonts w:ascii="Baskerville Old Face" w:hAnsi="Baskerville Old Face"/>
          <w:iCs/>
          <w:color w:val="auto"/>
          <w:sz w:val="18"/>
          <w:szCs w:val="18"/>
          <w:u w:val="none"/>
        </w:rPr>
        <w:t>http://jurnal.uinsu.ac.id/index.php/zero/index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9F0B6" w14:textId="77777777" w:rsidR="002F3725" w:rsidRDefault="002F3725">
      <w:r>
        <w:separator/>
      </w:r>
    </w:p>
  </w:footnote>
  <w:footnote w:type="continuationSeparator" w:id="0">
    <w:p w14:paraId="377DECE0" w14:textId="77777777" w:rsidR="002F3725" w:rsidRDefault="002F3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40AF" w14:textId="77777777" w:rsidR="00097958" w:rsidRPr="003D5B84" w:rsidRDefault="00C3666D" w:rsidP="008B04B3">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BB5D09">
      <w:rPr>
        <w:rStyle w:val="PageNumber"/>
        <w:noProof/>
      </w:rPr>
      <w:t>2</w:t>
    </w:r>
    <w:r w:rsidRPr="003D5B84">
      <w:rPr>
        <w:rStyle w:val="PageNumber"/>
      </w:rPr>
      <w:fldChar w:fldCharType="end"/>
    </w:r>
  </w:p>
  <w:p w14:paraId="48B4094E" w14:textId="472A3E1A" w:rsidR="00534DFC" w:rsidRDefault="00050148" w:rsidP="00534DFC">
    <w:pPr>
      <w:pStyle w:val="Header"/>
      <w:tabs>
        <w:tab w:val="left" w:pos="7938"/>
        <w:tab w:val="right" w:pos="8789"/>
      </w:tabs>
      <w:rPr>
        <w:rFonts w:ascii="Baskerville Old Face" w:hAnsi="Baskerville Old Face"/>
      </w:rPr>
    </w:pPr>
    <w:r>
      <w:rPr>
        <w:noProof/>
      </w:rPr>
      <mc:AlternateContent>
        <mc:Choice Requires="wps">
          <w:drawing>
            <wp:anchor distT="0" distB="0" distL="114300" distR="114300" simplePos="0" relativeHeight="251688960" behindDoc="0" locked="0" layoutInCell="1" allowOverlap="1" wp14:anchorId="423992E9" wp14:editId="35C5C831">
              <wp:simplePos x="0" y="0"/>
              <wp:positionH relativeFrom="column">
                <wp:posOffset>23495</wp:posOffset>
              </wp:positionH>
              <wp:positionV relativeFrom="paragraph">
                <wp:posOffset>182880</wp:posOffset>
              </wp:positionV>
              <wp:extent cx="5544820" cy="0"/>
              <wp:effectExtent l="13970" t="11430" r="13335" b="762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type id="_x0000_t32" coordsize="21600,21600" o:oned="t" filled="f" o:spt="32" path="m,l21600,21600e" w14:anchorId="334823D7">
              <v:path fillok="f" arrowok="t" o:connecttype="none"/>
              <o:lock v:ext="edit" shapetype="t"/>
            </v:shapetype>
            <v:shape id="AutoShape 7" style="position:absolute;margin-left:1.85pt;margin-top:14.4pt;width:436.6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"/>
          </w:pict>
        </mc:Fallback>
      </mc:AlternateContent>
    </w:r>
    <w:r w:rsidR="00E5155C" w:rsidRPr="003D5B84">
      <w:t xml:space="preserve">     </w:t>
    </w:r>
    <w:r w:rsidR="00C854C1">
      <w:sym w:font="Wingdings" w:char="F072"/>
    </w:r>
    <w:r w:rsidR="00097958" w:rsidRPr="003D5B84">
      <w:t xml:space="preserve"> </w:t>
    </w:r>
    <w:r w:rsidR="00534DFC">
      <w:tab/>
    </w:r>
    <w:r w:rsidR="00097958" w:rsidRPr="003D5B84">
      <w:t xml:space="preserve">                                                                                                 </w:t>
    </w:r>
    <w:r w:rsidR="00534DFC" w:rsidRPr="006C51C3">
      <w:rPr>
        <w:rFonts w:ascii="Baskerville Old Face" w:hAnsi="Baskerville Old Face"/>
      </w:rPr>
      <w:t>E-ISSN:</w:t>
    </w:r>
    <w:hyperlink r:id="rId1" w:history="1">
      <w:r w:rsidR="00534DFC" w:rsidRPr="006C51C3">
        <w:rPr>
          <w:rStyle w:val="Hyperlink"/>
          <w:rFonts w:ascii="Baskerville Old Face" w:hAnsi="Baskerville Old Face"/>
          <w:color w:val="auto"/>
          <w:u w:val="none"/>
        </w:rPr>
        <w:t>2580-5754</w:t>
      </w:r>
    </w:hyperlink>
    <w:r w:rsidR="00534DFC">
      <w:rPr>
        <w:rFonts w:ascii="Baskerville Old Face" w:hAnsi="Baskerville Old Face"/>
      </w:rPr>
      <w:t>; P-</w:t>
    </w:r>
    <w:proofErr w:type="gramStart"/>
    <w:r w:rsidR="00534DFC">
      <w:rPr>
        <w:rFonts w:ascii="Baskerville Old Face" w:hAnsi="Baskerville Old Face"/>
      </w:rPr>
      <w:t>ISSN :</w:t>
    </w:r>
    <w:proofErr w:type="gramEnd"/>
    <w:r w:rsidR="00534DFC">
      <w:rPr>
        <w:rFonts w:ascii="Baskerville Old Face" w:hAnsi="Baskerville Old Face"/>
      </w:rPr>
      <w:t xml:space="preserve"> 2580-569X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F2B4" w14:textId="77777777" w:rsidR="00097958" w:rsidRPr="003D5B84" w:rsidRDefault="00C3666D" w:rsidP="00F173DD">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BB5D09">
      <w:rPr>
        <w:rStyle w:val="PageNumber"/>
        <w:noProof/>
      </w:rPr>
      <w:t>3</w:t>
    </w:r>
    <w:r w:rsidRPr="003D5B84">
      <w:rPr>
        <w:rStyle w:val="PageNumber"/>
      </w:rPr>
      <w:fldChar w:fldCharType="end"/>
    </w:r>
  </w:p>
  <w:p w14:paraId="4A13BD87" w14:textId="0C2D9C48" w:rsidR="00097958" w:rsidRPr="003D5B84" w:rsidRDefault="00534DFC" w:rsidP="00EC01EF">
    <w:pPr>
      <w:pStyle w:val="Header"/>
      <w:pBdr>
        <w:bottom w:val="single" w:sz="4" w:space="1" w:color="auto"/>
      </w:pBdr>
      <w:tabs>
        <w:tab w:val="clear" w:pos="4320"/>
        <w:tab w:val="clear" w:pos="8640"/>
        <w:tab w:val="left" w:pos="0"/>
        <w:tab w:val="center" w:pos="5954"/>
        <w:tab w:val="left" w:pos="8222"/>
      </w:tabs>
    </w:pPr>
    <w:r w:rsidRPr="00534DFC">
      <w:rPr>
        <w:rFonts w:ascii="Baskerville Old Face" w:hAnsi="Baskerville Old Face"/>
        <w:noProof/>
        <w:sz w:val="18"/>
        <w:szCs w:val="18"/>
        <w:lang w:eastAsia="en-GB"/>
      </w:rPr>
      <w:t>Zero: Journal of Science, Mathematics and Applied</w:t>
    </w:r>
    <w:r w:rsidR="00097958" w:rsidRPr="003D5B84">
      <w:tab/>
    </w:r>
    <w:r w:rsidR="00EF1185" w:rsidRPr="003D5B84">
      <w:tab/>
    </w:r>
    <w:r w:rsidR="00C854C1">
      <w:sym w:font="Wingdings" w:char="F072"/>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0FCC3" w14:textId="77777777" w:rsidR="00375614" w:rsidRPr="00375614" w:rsidRDefault="00375614" w:rsidP="00375614">
    <w:pPr>
      <w:spacing w:after="160" w:line="259" w:lineRule="auto"/>
      <w:ind w:right="45"/>
      <w:contextualSpacing/>
      <w:rPr>
        <w:rFonts w:ascii="Arial" w:eastAsia="Calibri" w:hAnsi="Arial" w:cs="Arial"/>
        <w:b/>
        <w:bCs/>
        <w:color w:val="002060"/>
      </w:rPr>
    </w:pPr>
  </w:p>
  <w:p w14:paraId="2D4D89DA" w14:textId="77777777" w:rsidR="00375614" w:rsidRPr="00375614" w:rsidRDefault="00375614" w:rsidP="00375614">
    <w:pPr>
      <w:spacing w:after="160" w:line="259" w:lineRule="auto"/>
      <w:ind w:right="45"/>
      <w:contextualSpacing/>
      <w:rPr>
        <w:rFonts w:ascii="Arial" w:eastAsia="Calibri" w:hAnsi="Arial" w:cs="Arial"/>
        <w:b/>
        <w:bCs/>
        <w:color w:val="002060"/>
      </w:rPr>
    </w:pPr>
    <w:r w:rsidRPr="00375614">
      <w:rPr>
        <w:rFonts w:ascii="Arial" w:eastAsia="Calibri" w:hAnsi="Arial" w:cs="Arial"/>
        <w:b/>
        <w:bCs/>
        <w:noProof/>
        <w:color w:val="002060"/>
      </w:rPr>
      <w:drawing>
        <wp:anchor distT="0" distB="0" distL="114300" distR="114300" simplePos="0" relativeHeight="251760640" behindDoc="0" locked="0" layoutInCell="1" allowOverlap="1" wp14:anchorId="19323C4D" wp14:editId="37401B0F">
          <wp:simplePos x="0" y="0"/>
          <wp:positionH relativeFrom="column">
            <wp:posOffset>5099050</wp:posOffset>
          </wp:positionH>
          <wp:positionV relativeFrom="paragraph">
            <wp:posOffset>90541</wp:posOffset>
          </wp:positionV>
          <wp:extent cx="547255" cy="684431"/>
          <wp:effectExtent l="0" t="0" r="5715" b="190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ver.png"/>
                  <pic:cNvPicPr/>
                </pic:nvPicPr>
                <pic:blipFill>
                  <a:blip r:embed="rId1">
                    <a:extLst>
                      <a:ext uri="{28A0092B-C50C-407E-A947-70E740481C1C}">
                        <a14:useLocalDpi xmlns:a14="http://schemas.microsoft.com/office/drawing/2010/main" val="0"/>
                      </a:ext>
                    </a:extLst>
                  </a:blip>
                  <a:stretch>
                    <a:fillRect/>
                  </a:stretch>
                </pic:blipFill>
                <pic:spPr>
                  <a:xfrm>
                    <a:off x="0" y="0"/>
                    <a:ext cx="547255" cy="684431"/>
                  </a:xfrm>
                  <a:prstGeom prst="rect">
                    <a:avLst/>
                  </a:prstGeom>
                </pic:spPr>
              </pic:pic>
            </a:graphicData>
          </a:graphic>
          <wp14:sizeRelH relativeFrom="margin">
            <wp14:pctWidth>0</wp14:pctWidth>
          </wp14:sizeRelH>
          <wp14:sizeRelV relativeFrom="margin">
            <wp14:pctHeight>0</wp14:pctHeight>
          </wp14:sizeRelV>
        </wp:anchor>
      </w:drawing>
    </w:r>
    <w:proofErr w:type="gramStart"/>
    <w:r w:rsidRPr="00375614">
      <w:rPr>
        <w:rFonts w:ascii="Arial" w:eastAsia="Calibri" w:hAnsi="Arial" w:cs="Arial"/>
        <w:b/>
        <w:bCs/>
        <w:color w:val="002060"/>
      </w:rPr>
      <w:t>Zero :</w:t>
    </w:r>
    <w:proofErr w:type="gramEnd"/>
    <w:r w:rsidRPr="00375614">
      <w:rPr>
        <w:rFonts w:ascii="Arial" w:eastAsia="Calibri" w:hAnsi="Arial" w:cs="Arial"/>
        <w:b/>
        <w:bCs/>
        <w:color w:val="002060"/>
      </w:rPr>
      <w:t xml:space="preserve"> Journal of Science, Mathematics, and Applied</w:t>
    </w:r>
  </w:p>
  <w:p w14:paraId="12AE2ED7" w14:textId="77777777" w:rsidR="00375614" w:rsidRPr="00375614" w:rsidRDefault="00375614" w:rsidP="00375614">
    <w:pPr>
      <w:tabs>
        <w:tab w:val="left" w:pos="7938"/>
        <w:tab w:val="right" w:pos="8789"/>
      </w:tabs>
      <w:spacing w:after="160" w:line="259" w:lineRule="auto"/>
      <w:contextualSpacing/>
      <w:rPr>
        <w:rFonts w:ascii="Arial" w:eastAsia="Calibri" w:hAnsi="Arial" w:cs="Arial"/>
        <w:color w:val="2F5496"/>
      </w:rPr>
    </w:pPr>
    <w:r w:rsidRPr="00375614">
      <w:rPr>
        <w:rFonts w:ascii="Arial" w:eastAsia="Calibri" w:hAnsi="Arial" w:cs="Arial"/>
        <w:color w:val="2F5496"/>
      </w:rPr>
      <w:t>E-ISSN: 2580-5754; P-</w:t>
    </w:r>
    <w:proofErr w:type="gramStart"/>
    <w:r w:rsidRPr="00375614">
      <w:rPr>
        <w:rFonts w:ascii="Arial" w:eastAsia="Calibri" w:hAnsi="Arial" w:cs="Arial"/>
        <w:color w:val="2F5496"/>
      </w:rPr>
      <w:t>ISSN :</w:t>
    </w:r>
    <w:proofErr w:type="gramEnd"/>
    <w:r w:rsidRPr="00375614">
      <w:rPr>
        <w:rFonts w:ascii="Arial" w:eastAsia="Calibri" w:hAnsi="Arial" w:cs="Arial"/>
        <w:color w:val="2F5496"/>
      </w:rPr>
      <w:t xml:space="preserve"> 2580-569X</w:t>
    </w:r>
  </w:p>
  <w:p w14:paraId="3F479BE3" w14:textId="77777777" w:rsidR="00375614" w:rsidRPr="00375614" w:rsidRDefault="00375614" w:rsidP="00375614">
    <w:pPr>
      <w:spacing w:after="160" w:line="259" w:lineRule="auto"/>
      <w:ind w:right="45"/>
      <w:contextualSpacing/>
      <w:rPr>
        <w:rFonts w:ascii="Arial" w:eastAsia="Calibri" w:hAnsi="Arial" w:cs="Arial"/>
        <w:color w:val="2F5496"/>
      </w:rPr>
    </w:pPr>
    <w:r w:rsidRPr="00375614">
      <w:rPr>
        <w:rFonts w:ascii="Arial" w:eastAsia="Calibri" w:hAnsi="Arial" w:cs="Arial"/>
        <w:color w:val="2F5496"/>
      </w:rPr>
      <w:t>Volume 9, Number 2, 2025</w:t>
    </w:r>
  </w:p>
  <w:p w14:paraId="39342CA1" w14:textId="1D89E92D" w:rsidR="00375614" w:rsidRPr="00375614" w:rsidRDefault="00375614" w:rsidP="00375614">
    <w:pPr>
      <w:snapToGrid w:val="0"/>
      <w:spacing w:after="160" w:line="259" w:lineRule="auto"/>
      <w:ind w:right="45"/>
      <w:contextualSpacing/>
      <w:rPr>
        <w:rFonts w:ascii="Arial" w:eastAsia="Calibri" w:hAnsi="Arial" w:cs="Arial"/>
        <w:color w:val="2F5496"/>
      </w:rPr>
    </w:pPr>
    <w:r w:rsidRPr="00375614">
      <w:rPr>
        <w:rFonts w:ascii="Arial" w:eastAsia="Calibri" w:hAnsi="Arial" w:cs="Arial"/>
        <w:color w:val="2F5496"/>
      </w:rPr>
      <w:t>DOI: 10.30829/</w:t>
    </w:r>
    <w:proofErr w:type="gramStart"/>
    <w:r w:rsidRPr="00375614">
      <w:rPr>
        <w:rFonts w:ascii="Arial" w:eastAsia="Calibri" w:hAnsi="Arial" w:cs="Arial"/>
        <w:color w:val="2F5496"/>
      </w:rPr>
      <w:t>zero.v</w:t>
    </w:r>
    <w:proofErr w:type="gramEnd"/>
    <w:r w:rsidRPr="00375614">
      <w:rPr>
        <w:rFonts w:ascii="Arial" w:eastAsia="Calibri" w:hAnsi="Arial" w:cs="Arial"/>
        <w:color w:val="2F5496"/>
      </w:rPr>
      <w:t>9i2.25</w:t>
    </w:r>
  </w:p>
  <w:p w14:paraId="21A0FC2D" w14:textId="386DC724" w:rsidR="00375614" w:rsidRPr="00375614" w:rsidRDefault="00375614" w:rsidP="00375614">
    <w:pPr>
      <w:snapToGrid w:val="0"/>
      <w:spacing w:after="160" w:line="259" w:lineRule="auto"/>
      <w:contextualSpacing/>
      <w:rPr>
        <w:rFonts w:ascii="Calibri" w:eastAsia="Calibri" w:hAnsi="Calibri"/>
        <w:sz w:val="22"/>
        <w:szCs w:val="22"/>
      </w:rPr>
    </w:pPr>
    <w:r w:rsidRPr="00375614">
      <w:rPr>
        <w:rFonts w:ascii="Arial" w:eastAsia="Calibri" w:hAnsi="Arial" w:cs="Arial"/>
        <w:color w:val="2F5496"/>
      </w:rPr>
      <w:t xml:space="preserve">Page: </w:t>
    </w:r>
    <w:r w:rsidRPr="00375614">
      <w:rPr>
        <w:rFonts w:ascii="Baskerville Old Face" w:eastAsia="Calibri" w:hAnsi="Baskerville Old Face"/>
        <w:sz w:val="22"/>
        <w:szCs w:val="22"/>
      </w:rPr>
      <w:tab/>
    </w:r>
    <w:r w:rsidRPr="00375614">
      <w:rPr>
        <w:rFonts w:ascii="Baskerville Old Face" w:eastAsia="Calibri" w:hAnsi="Baskerville Old Face"/>
        <w:sz w:val="22"/>
        <w:szCs w:val="22"/>
      </w:rPr>
      <w:tab/>
    </w:r>
    <w:r w:rsidRPr="00375614">
      <w:rPr>
        <w:rFonts w:ascii="Baskerville Old Face" w:eastAsia="Calibri" w:hAnsi="Baskerville Old Face"/>
        <w:sz w:val="22"/>
        <w:szCs w:val="22"/>
      </w:rPr>
      <w:tab/>
    </w:r>
    <w:r w:rsidRPr="00375614">
      <w:rPr>
        <w:rFonts w:ascii="Baskerville Old Face" w:eastAsia="Calibri" w:hAnsi="Baskerville Old Face"/>
        <w:sz w:val="22"/>
        <w:szCs w:val="22"/>
      </w:rPr>
      <w:tab/>
    </w:r>
    <w:r w:rsidRPr="00375614">
      <w:rPr>
        <w:rFonts w:ascii="Baskerville Old Face" w:eastAsia="Calibri" w:hAnsi="Baskerville Old Face"/>
        <w:sz w:val="22"/>
        <w:szCs w:val="22"/>
      </w:rPr>
      <w:tab/>
    </w:r>
    <w:r w:rsidRPr="00375614">
      <w:rPr>
        <w:rFonts w:ascii="Baskerville Old Face" w:eastAsia="Calibri" w:hAnsi="Baskerville Old Face"/>
        <w:sz w:val="22"/>
        <w:szCs w:val="22"/>
      </w:rPr>
      <w:tab/>
    </w:r>
    <w:r w:rsidRPr="00375614">
      <w:rPr>
        <w:rFonts w:ascii="Baskerville Old Face" w:eastAsia="Calibri" w:hAnsi="Baskerville Old Face"/>
        <w:sz w:val="22"/>
        <w:szCs w:val="22"/>
      </w:rPr>
      <w:tab/>
    </w:r>
    <w:r w:rsidRPr="00375614">
      <w:rPr>
        <w:rFonts w:ascii="Baskerville Old Face" w:eastAsia="Calibri" w:hAnsi="Baskerville Old Face"/>
        <w:sz w:val="22"/>
        <w:szCs w:val="22"/>
      </w:rPr>
      <w:tab/>
      <w:t xml:space="preserve">                                          </w:t>
    </w:r>
    <w:r w:rsidRPr="00375614">
      <w:rPr>
        <w:rFonts w:ascii="Calibri" w:eastAsia="Calibri" w:hAnsi="Calibri"/>
        <w:sz w:val="22"/>
        <w:szCs w:val="22"/>
      </w:rPr>
      <w:sym w:font="Wingdings" w:char="F072"/>
    </w:r>
    <w:r w:rsidRPr="00375614">
      <w:rPr>
        <w:rFonts w:ascii="Calibri" w:eastAsia="Calibri" w:hAnsi="Calibri"/>
        <w:sz w:val="22"/>
        <w:szCs w:val="22"/>
      </w:rPr>
      <w:t xml:space="preserve">   </w:t>
    </w:r>
    <w:sdt>
      <w:sdtPr>
        <w:rPr>
          <w:rFonts w:ascii="Calibri" w:eastAsia="Calibri" w:hAnsi="Calibri"/>
          <w:sz w:val="22"/>
          <w:szCs w:val="22"/>
        </w:rPr>
        <w:id w:val="-1738087105"/>
        <w:docPartObj>
          <w:docPartGallery w:val="Page Numbers (Top of Page)"/>
          <w:docPartUnique/>
        </w:docPartObj>
      </w:sdtPr>
      <w:sdtEndPr>
        <w:rPr>
          <w:rFonts w:ascii="Baskerville Old Face" w:hAnsi="Baskerville Old Face"/>
          <w:noProof/>
        </w:rPr>
      </w:sdtEndPr>
      <w:sdtContent>
        <w:r w:rsidRPr="00375614">
          <w:rPr>
            <w:rFonts w:ascii="Baskerville Old Face" w:eastAsia="Calibri" w:hAnsi="Baskerville Old Face"/>
            <w:sz w:val="22"/>
            <w:szCs w:val="22"/>
          </w:rPr>
          <w:fldChar w:fldCharType="begin"/>
        </w:r>
        <w:r w:rsidRPr="00375614">
          <w:rPr>
            <w:rFonts w:ascii="Baskerville Old Face" w:eastAsia="Calibri" w:hAnsi="Baskerville Old Face"/>
            <w:sz w:val="22"/>
            <w:szCs w:val="22"/>
          </w:rPr>
          <w:instrText xml:space="preserve"> PAGE   \* MERGEFORMAT </w:instrText>
        </w:r>
        <w:r w:rsidRPr="00375614">
          <w:rPr>
            <w:rFonts w:ascii="Baskerville Old Face" w:eastAsia="Calibri" w:hAnsi="Baskerville Old Face"/>
            <w:sz w:val="22"/>
            <w:szCs w:val="22"/>
          </w:rPr>
          <w:fldChar w:fldCharType="separate"/>
        </w:r>
        <w:r w:rsidRPr="00375614">
          <w:rPr>
            <w:rFonts w:ascii="Baskerville Old Face" w:eastAsia="Calibri" w:hAnsi="Baskerville Old Face"/>
            <w:sz w:val="22"/>
            <w:szCs w:val="22"/>
          </w:rPr>
          <w:t>314</w:t>
        </w:r>
        <w:r w:rsidRPr="00375614">
          <w:rPr>
            <w:rFonts w:ascii="Baskerville Old Face" w:eastAsia="Calibri" w:hAnsi="Baskerville Old Face"/>
            <w:noProof/>
            <w:sz w:val="22"/>
            <w:szCs w:val="22"/>
          </w:rPr>
          <w:fldChar w:fldCharType="end"/>
        </w:r>
      </w:sdtContent>
    </w:sdt>
  </w:p>
  <w:p w14:paraId="71E0D15A" w14:textId="0D47907D" w:rsidR="00097958" w:rsidRPr="00375614" w:rsidRDefault="00375614" w:rsidP="00506C0C">
    <w:pPr>
      <w:tabs>
        <w:tab w:val="left" w:pos="3235"/>
      </w:tabs>
      <w:spacing w:after="160" w:line="259" w:lineRule="auto"/>
      <w:rPr>
        <w:rStyle w:val="PageNumber"/>
        <w:rFonts w:ascii="Calibri" w:eastAsia="Calibri" w:hAnsi="Calibri"/>
        <w:sz w:val="22"/>
        <w:szCs w:val="22"/>
      </w:rPr>
    </w:pPr>
    <w:r w:rsidRPr="00375614">
      <w:rPr>
        <w:rFonts w:ascii="Calibri" w:eastAsia="Calibri" w:hAnsi="Calibri"/>
        <w:noProof/>
        <w:sz w:val="22"/>
        <w:szCs w:val="22"/>
      </w:rPr>
      <mc:AlternateContent>
        <mc:Choice Requires="wps">
          <w:drawing>
            <wp:anchor distT="0" distB="0" distL="114300" distR="114300" simplePos="0" relativeHeight="251761664" behindDoc="0" locked="0" layoutInCell="1" allowOverlap="1" wp14:anchorId="315AD40F" wp14:editId="0486137A">
              <wp:simplePos x="0" y="0"/>
              <wp:positionH relativeFrom="column">
                <wp:posOffset>-8145</wp:posOffset>
              </wp:positionH>
              <wp:positionV relativeFrom="paragraph">
                <wp:posOffset>14605</wp:posOffset>
              </wp:positionV>
              <wp:extent cx="5661001" cy="0"/>
              <wp:effectExtent l="0" t="0" r="16510" b="12700"/>
              <wp:wrapNone/>
              <wp:docPr id="25" name="Straight Connector 25"/>
              <wp:cNvGraphicFramePr/>
              <a:graphic xmlns:a="http://schemas.openxmlformats.org/drawingml/2006/main">
                <a:graphicData uri="http://schemas.microsoft.com/office/word/2010/wordprocessingShape">
                  <wps:wsp>
                    <wps:cNvCnPr/>
                    <wps:spPr>
                      <a:xfrm>
                        <a:off x="0" y="0"/>
                        <a:ext cx="5661001" cy="0"/>
                      </a:xfrm>
                      <a:prstGeom prst="line">
                        <a:avLst/>
                      </a:prstGeom>
                      <a:noFill/>
                      <a:ln w="12700" cap="flat" cmpd="sng" algn="ctr">
                        <a:solidFill>
                          <a:srgbClr val="4472C4"/>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line id="Straight Connector 25" style="position:absolute;z-index:251761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4472c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" from="-.65pt,1.15pt" to="445.1pt,1.15pt" w14:anchorId="2E96A631">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15927"/>
    <w:multiLevelType w:val="hybridMultilevel"/>
    <w:tmpl w:val="291A4A84"/>
    <w:lvl w:ilvl="0" w:tplc="08090001">
      <w:start w:val="1"/>
      <w:numFmt w:val="bullet"/>
      <w:lvlText w:val=""/>
      <w:lvlJc w:val="left"/>
      <w:pPr>
        <w:ind w:left="1146" w:hanging="360"/>
      </w:pPr>
      <w:rPr>
        <w:rFonts w:ascii="Symbol" w:hAnsi="Symbol"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 w15:restartNumberingAfterBreak="0">
    <w:nsid w:val="12B13B37"/>
    <w:multiLevelType w:val="multilevel"/>
    <w:tmpl w:val="E08E2D18"/>
    <w:lvl w:ilvl="0">
      <w:start w:val="2"/>
      <w:numFmt w:val="decimal"/>
      <w:lvlText w:val="%1"/>
      <w:lvlJc w:val="left"/>
      <w:pPr>
        <w:ind w:left="360" w:hanging="360"/>
      </w:pPr>
      <w:rPr>
        <w:rFonts w:hint="default"/>
      </w:rPr>
    </w:lvl>
    <w:lvl w:ilvl="1">
      <w:start w:val="4"/>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 w15:restartNumberingAfterBreak="0">
    <w:nsid w:val="1CF5206B"/>
    <w:multiLevelType w:val="hybridMultilevel"/>
    <w:tmpl w:val="2C88AC22"/>
    <w:lvl w:ilvl="0" w:tplc="D074B24A">
      <w:start w:val="1"/>
      <w:numFmt w:val="decimal"/>
      <w:lvlText w:val="[%1]"/>
      <w:lvlJc w:val="left"/>
      <w:pPr>
        <w:tabs>
          <w:tab w:val="num" w:pos="5246"/>
        </w:tabs>
        <w:ind w:left="5246" w:hanging="360"/>
      </w:pPr>
      <w:rPr>
        <w:rFonts w:hint="default"/>
      </w:rPr>
    </w:lvl>
    <w:lvl w:ilvl="1" w:tplc="0409000F">
      <w:start w:val="1"/>
      <w:numFmt w:val="decimal"/>
      <w:lvlText w:val="%2."/>
      <w:lvlJc w:val="left"/>
      <w:pPr>
        <w:tabs>
          <w:tab w:val="num" w:pos="5966"/>
        </w:tabs>
        <w:ind w:left="5966" w:hanging="360"/>
      </w:pPr>
      <w:rPr>
        <w:rFonts w:hint="default"/>
      </w:rPr>
    </w:lvl>
    <w:lvl w:ilvl="2" w:tplc="0409001B" w:tentative="1">
      <w:start w:val="1"/>
      <w:numFmt w:val="lowerRoman"/>
      <w:lvlText w:val="%3."/>
      <w:lvlJc w:val="right"/>
      <w:pPr>
        <w:tabs>
          <w:tab w:val="num" w:pos="6686"/>
        </w:tabs>
        <w:ind w:left="6686" w:hanging="180"/>
      </w:pPr>
    </w:lvl>
    <w:lvl w:ilvl="3" w:tplc="0409000F" w:tentative="1">
      <w:start w:val="1"/>
      <w:numFmt w:val="decimal"/>
      <w:lvlText w:val="%4."/>
      <w:lvlJc w:val="left"/>
      <w:pPr>
        <w:tabs>
          <w:tab w:val="num" w:pos="7406"/>
        </w:tabs>
        <w:ind w:left="7406" w:hanging="360"/>
      </w:pPr>
    </w:lvl>
    <w:lvl w:ilvl="4" w:tplc="04090019" w:tentative="1">
      <w:start w:val="1"/>
      <w:numFmt w:val="lowerLetter"/>
      <w:lvlText w:val="%5."/>
      <w:lvlJc w:val="left"/>
      <w:pPr>
        <w:tabs>
          <w:tab w:val="num" w:pos="8126"/>
        </w:tabs>
        <w:ind w:left="8126" w:hanging="360"/>
      </w:pPr>
    </w:lvl>
    <w:lvl w:ilvl="5" w:tplc="0409001B" w:tentative="1">
      <w:start w:val="1"/>
      <w:numFmt w:val="lowerRoman"/>
      <w:lvlText w:val="%6."/>
      <w:lvlJc w:val="right"/>
      <w:pPr>
        <w:tabs>
          <w:tab w:val="num" w:pos="8846"/>
        </w:tabs>
        <w:ind w:left="8846" w:hanging="180"/>
      </w:pPr>
    </w:lvl>
    <w:lvl w:ilvl="6" w:tplc="0409000F" w:tentative="1">
      <w:start w:val="1"/>
      <w:numFmt w:val="decimal"/>
      <w:lvlText w:val="%7."/>
      <w:lvlJc w:val="left"/>
      <w:pPr>
        <w:tabs>
          <w:tab w:val="num" w:pos="9566"/>
        </w:tabs>
        <w:ind w:left="9566" w:hanging="360"/>
      </w:pPr>
    </w:lvl>
    <w:lvl w:ilvl="7" w:tplc="04090019" w:tentative="1">
      <w:start w:val="1"/>
      <w:numFmt w:val="lowerLetter"/>
      <w:lvlText w:val="%8."/>
      <w:lvlJc w:val="left"/>
      <w:pPr>
        <w:tabs>
          <w:tab w:val="num" w:pos="10286"/>
        </w:tabs>
        <w:ind w:left="10286" w:hanging="360"/>
      </w:pPr>
    </w:lvl>
    <w:lvl w:ilvl="8" w:tplc="0409001B" w:tentative="1">
      <w:start w:val="1"/>
      <w:numFmt w:val="lowerRoman"/>
      <w:lvlText w:val="%9."/>
      <w:lvlJc w:val="right"/>
      <w:pPr>
        <w:tabs>
          <w:tab w:val="num" w:pos="11006"/>
        </w:tabs>
        <w:ind w:left="11006" w:hanging="180"/>
      </w:pPr>
    </w:lvl>
  </w:abstractNum>
  <w:abstractNum w:abstractNumId="3"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8273D7"/>
    <w:multiLevelType w:val="multilevel"/>
    <w:tmpl w:val="9C8E938C"/>
    <w:numStyleLink w:val="IEEEBullet1"/>
  </w:abstractNum>
  <w:abstractNum w:abstractNumId="6"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3"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7" w15:restartNumberingAfterBreak="0">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18" w15:restartNumberingAfterBreak="0">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0A3B17"/>
    <w:multiLevelType w:val="multilevel"/>
    <w:tmpl w:val="88FA4642"/>
    <w:lvl w:ilvl="0">
      <w:start w:val="1"/>
      <w:numFmt w:val="decimal"/>
      <w:lvlText w:val="%1."/>
      <w:lvlJc w:val="left"/>
      <w:pPr>
        <w:ind w:left="786" w:hanging="360"/>
      </w:pPr>
      <w:rPr>
        <w:rFonts w:ascii="Baskerville Old Face" w:hAnsi="Baskerville Old Face" w:hint="default"/>
        <w:b/>
        <w:i w:val="0"/>
        <w:sz w:val="20"/>
        <w:szCs w:val="20"/>
      </w:rPr>
    </w:lvl>
    <w:lvl w:ilvl="1">
      <w:start w:val="1"/>
      <w:numFmt w:val="decimal"/>
      <w:isLgl/>
      <w:lvlText w:val="%1.%2"/>
      <w:lvlJc w:val="left"/>
      <w:pPr>
        <w:ind w:left="786" w:hanging="360"/>
      </w:pPr>
      <w:rPr>
        <w:rFonts w:ascii="Baskerville Old Face" w:hAnsi="Baskerville Old Face" w:hint="default"/>
        <w:i w:val="0"/>
        <w:iCs w:val="0"/>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20"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21" w15:restartNumberingAfterBreak="0">
    <w:nsid w:val="7D806961"/>
    <w:multiLevelType w:val="multilevel"/>
    <w:tmpl w:val="03CE6526"/>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num w:numId="1" w16cid:durableId="1150094205">
    <w:abstractNumId w:val="16"/>
  </w:num>
  <w:num w:numId="2" w16cid:durableId="1092624617">
    <w:abstractNumId w:val="12"/>
  </w:num>
  <w:num w:numId="3" w16cid:durableId="415126759">
    <w:abstractNumId w:val="20"/>
  </w:num>
  <w:num w:numId="4" w16cid:durableId="269315577">
    <w:abstractNumId w:val="11"/>
  </w:num>
  <w:num w:numId="5" w16cid:durableId="138809137">
    <w:abstractNumId w:val="14"/>
  </w:num>
  <w:num w:numId="6" w16cid:durableId="1889103678">
    <w:abstractNumId w:val="17"/>
  </w:num>
  <w:num w:numId="7" w16cid:durableId="225650156">
    <w:abstractNumId w:val="15"/>
  </w:num>
  <w:num w:numId="8" w16cid:durableId="2028171688">
    <w:abstractNumId w:val="13"/>
  </w:num>
  <w:num w:numId="9" w16cid:durableId="1534612599">
    <w:abstractNumId w:val="9"/>
  </w:num>
  <w:num w:numId="10" w16cid:durableId="254948075">
    <w:abstractNumId w:val="3"/>
  </w:num>
  <w:num w:numId="11" w16cid:durableId="1741782420">
    <w:abstractNumId w:val="2"/>
  </w:num>
  <w:num w:numId="12" w16cid:durableId="340009596">
    <w:abstractNumId w:val="6"/>
  </w:num>
  <w:num w:numId="13" w16cid:durableId="551115512">
    <w:abstractNumId w:val="4"/>
  </w:num>
  <w:num w:numId="14" w16cid:durableId="1312950194">
    <w:abstractNumId w:val="7"/>
  </w:num>
  <w:num w:numId="15" w16cid:durableId="144013293">
    <w:abstractNumId w:val="19"/>
  </w:num>
  <w:num w:numId="16" w16cid:durableId="1982297824">
    <w:abstractNumId w:val="8"/>
  </w:num>
  <w:num w:numId="17" w16cid:durableId="1878733341">
    <w:abstractNumId w:val="18"/>
  </w:num>
  <w:num w:numId="18" w16cid:durableId="2041737167">
    <w:abstractNumId w:val="0"/>
  </w:num>
  <w:num w:numId="19" w16cid:durableId="108401036">
    <w:abstractNumId w:val="10"/>
  </w:num>
  <w:num w:numId="20" w16cid:durableId="731125570">
    <w:abstractNumId w:val="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360"/>
          </w:tabs>
          <w:ind w:left="360" w:hanging="360"/>
        </w:pPr>
        <w:rPr>
          <w:rFonts w:hint="default"/>
          <w:b/>
          <w:sz w:val="21"/>
          <w:szCs w:val="21"/>
        </w:rPr>
      </w:lvl>
    </w:lvlOverride>
    <w:lvlOverride w:ilvl="4">
      <w:lvl w:ilvl="4">
        <w:start w:val="1"/>
        <w:numFmt w:val="lowerLetter"/>
        <w:lvlText w:val="%5."/>
        <w:lvlJc w:val="left"/>
        <w:pPr>
          <w:tabs>
            <w:tab w:val="num" w:pos="786"/>
          </w:tabs>
          <w:ind w:left="786" w:hanging="360"/>
        </w:pPr>
        <w:rPr>
          <w:rFonts w:asciiTheme="majorHAnsi" w:hAnsiTheme="majorHAnsi" w:hint="default"/>
          <w:sz w:val="24"/>
          <w:szCs w:val="24"/>
        </w:rPr>
      </w:lvl>
    </w:lvlOverride>
  </w:num>
  <w:num w:numId="21" w16cid:durableId="1749620617">
    <w:abstractNumId w:val="21"/>
  </w:num>
  <w:num w:numId="22" w16cid:durableId="991566094">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OwNDE2MDQ1NTMwNDJU0lEKTi0uzszPAykwqQUAvehUUiwAAAA="/>
  </w:docVars>
  <w:rsids>
    <w:rsidRoot w:val="007D0AC6"/>
    <w:rsid w:val="000013CF"/>
    <w:rsid w:val="00002882"/>
    <w:rsid w:val="0000385F"/>
    <w:rsid w:val="00005EFC"/>
    <w:rsid w:val="00006153"/>
    <w:rsid w:val="00007744"/>
    <w:rsid w:val="000106D0"/>
    <w:rsid w:val="00012CEF"/>
    <w:rsid w:val="00014633"/>
    <w:rsid w:val="00015F2A"/>
    <w:rsid w:val="00017858"/>
    <w:rsid w:val="00025578"/>
    <w:rsid w:val="00027142"/>
    <w:rsid w:val="000279BE"/>
    <w:rsid w:val="00034C84"/>
    <w:rsid w:val="000416A3"/>
    <w:rsid w:val="000437AE"/>
    <w:rsid w:val="000442C6"/>
    <w:rsid w:val="00044509"/>
    <w:rsid w:val="000457A2"/>
    <w:rsid w:val="000474E3"/>
    <w:rsid w:val="00047710"/>
    <w:rsid w:val="00050148"/>
    <w:rsid w:val="000523C5"/>
    <w:rsid w:val="00053FB7"/>
    <w:rsid w:val="0006020A"/>
    <w:rsid w:val="00060330"/>
    <w:rsid w:val="00060F5C"/>
    <w:rsid w:val="00061D77"/>
    <w:rsid w:val="00062720"/>
    <w:rsid w:val="00065191"/>
    <w:rsid w:val="00066063"/>
    <w:rsid w:val="0007154C"/>
    <w:rsid w:val="0007236F"/>
    <w:rsid w:val="00073422"/>
    <w:rsid w:val="00073635"/>
    <w:rsid w:val="000762DE"/>
    <w:rsid w:val="00076C16"/>
    <w:rsid w:val="000776D4"/>
    <w:rsid w:val="00080CCD"/>
    <w:rsid w:val="000830A2"/>
    <w:rsid w:val="00083B9D"/>
    <w:rsid w:val="00083DD6"/>
    <w:rsid w:val="00085121"/>
    <w:rsid w:val="00086551"/>
    <w:rsid w:val="000877AC"/>
    <w:rsid w:val="00087876"/>
    <w:rsid w:val="00087AF7"/>
    <w:rsid w:val="00090B78"/>
    <w:rsid w:val="00091730"/>
    <w:rsid w:val="00093380"/>
    <w:rsid w:val="00094911"/>
    <w:rsid w:val="00094EB8"/>
    <w:rsid w:val="00095C3E"/>
    <w:rsid w:val="00096883"/>
    <w:rsid w:val="000973CC"/>
    <w:rsid w:val="00097958"/>
    <w:rsid w:val="00097E2D"/>
    <w:rsid w:val="000A15DA"/>
    <w:rsid w:val="000A592D"/>
    <w:rsid w:val="000A643C"/>
    <w:rsid w:val="000A7ACA"/>
    <w:rsid w:val="000B0641"/>
    <w:rsid w:val="000B1AEE"/>
    <w:rsid w:val="000B5480"/>
    <w:rsid w:val="000B682B"/>
    <w:rsid w:val="000C03DA"/>
    <w:rsid w:val="000C4B17"/>
    <w:rsid w:val="000C730A"/>
    <w:rsid w:val="000D099B"/>
    <w:rsid w:val="000D50C8"/>
    <w:rsid w:val="000D6591"/>
    <w:rsid w:val="000D67F7"/>
    <w:rsid w:val="000D6BC3"/>
    <w:rsid w:val="000E0AE1"/>
    <w:rsid w:val="000E0C84"/>
    <w:rsid w:val="000E0CE9"/>
    <w:rsid w:val="000E0E3C"/>
    <w:rsid w:val="000E1C9D"/>
    <w:rsid w:val="000E2374"/>
    <w:rsid w:val="000E28E0"/>
    <w:rsid w:val="000E46C5"/>
    <w:rsid w:val="000E4FD6"/>
    <w:rsid w:val="000E708C"/>
    <w:rsid w:val="000F279B"/>
    <w:rsid w:val="000F29E1"/>
    <w:rsid w:val="000F61E2"/>
    <w:rsid w:val="000F7ED5"/>
    <w:rsid w:val="0010046E"/>
    <w:rsid w:val="0010053D"/>
    <w:rsid w:val="00102A61"/>
    <w:rsid w:val="001041EB"/>
    <w:rsid w:val="001045B1"/>
    <w:rsid w:val="00104BF1"/>
    <w:rsid w:val="00106F02"/>
    <w:rsid w:val="001078A8"/>
    <w:rsid w:val="00107904"/>
    <w:rsid w:val="001129DE"/>
    <w:rsid w:val="0011369D"/>
    <w:rsid w:val="00113F18"/>
    <w:rsid w:val="00114470"/>
    <w:rsid w:val="00117326"/>
    <w:rsid w:val="00117C85"/>
    <w:rsid w:val="00121C37"/>
    <w:rsid w:val="00122833"/>
    <w:rsid w:val="00122C6F"/>
    <w:rsid w:val="0012593C"/>
    <w:rsid w:val="00125C41"/>
    <w:rsid w:val="00126B1A"/>
    <w:rsid w:val="0013179E"/>
    <w:rsid w:val="00131A6C"/>
    <w:rsid w:val="00131E4C"/>
    <w:rsid w:val="00133AEE"/>
    <w:rsid w:val="00133B59"/>
    <w:rsid w:val="00136716"/>
    <w:rsid w:val="00137465"/>
    <w:rsid w:val="00137E25"/>
    <w:rsid w:val="00137F36"/>
    <w:rsid w:val="001434C3"/>
    <w:rsid w:val="001441CB"/>
    <w:rsid w:val="00145453"/>
    <w:rsid w:val="00145A9F"/>
    <w:rsid w:val="0014611F"/>
    <w:rsid w:val="00146861"/>
    <w:rsid w:val="001517E4"/>
    <w:rsid w:val="00151E7C"/>
    <w:rsid w:val="00153387"/>
    <w:rsid w:val="001547AF"/>
    <w:rsid w:val="00154C55"/>
    <w:rsid w:val="00157C06"/>
    <w:rsid w:val="00161845"/>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7B69"/>
    <w:rsid w:val="0019050C"/>
    <w:rsid w:val="001911C8"/>
    <w:rsid w:val="00192E8C"/>
    <w:rsid w:val="0019391D"/>
    <w:rsid w:val="00195579"/>
    <w:rsid w:val="001A0839"/>
    <w:rsid w:val="001A33EF"/>
    <w:rsid w:val="001B2439"/>
    <w:rsid w:val="001B2EF9"/>
    <w:rsid w:val="001B4AB3"/>
    <w:rsid w:val="001B5250"/>
    <w:rsid w:val="001B5719"/>
    <w:rsid w:val="001B621C"/>
    <w:rsid w:val="001B64D0"/>
    <w:rsid w:val="001B7915"/>
    <w:rsid w:val="001C0FE6"/>
    <w:rsid w:val="001C19EB"/>
    <w:rsid w:val="001C1DDC"/>
    <w:rsid w:val="001C7AC5"/>
    <w:rsid w:val="001D04CA"/>
    <w:rsid w:val="001D19C3"/>
    <w:rsid w:val="001D218B"/>
    <w:rsid w:val="001E1922"/>
    <w:rsid w:val="001E2071"/>
    <w:rsid w:val="001E2505"/>
    <w:rsid w:val="001E31DF"/>
    <w:rsid w:val="001E5580"/>
    <w:rsid w:val="001E5631"/>
    <w:rsid w:val="001E5CFB"/>
    <w:rsid w:val="001E608B"/>
    <w:rsid w:val="001E69C1"/>
    <w:rsid w:val="001E7DCD"/>
    <w:rsid w:val="001E7FFA"/>
    <w:rsid w:val="001F0AFC"/>
    <w:rsid w:val="001F470F"/>
    <w:rsid w:val="001F4ACD"/>
    <w:rsid w:val="001F6170"/>
    <w:rsid w:val="001F63D7"/>
    <w:rsid w:val="001F6ACF"/>
    <w:rsid w:val="001F6FB1"/>
    <w:rsid w:val="00204431"/>
    <w:rsid w:val="0020464A"/>
    <w:rsid w:val="00204A25"/>
    <w:rsid w:val="00204F74"/>
    <w:rsid w:val="0020608E"/>
    <w:rsid w:val="00206768"/>
    <w:rsid w:val="002073B6"/>
    <w:rsid w:val="002076CA"/>
    <w:rsid w:val="002079DD"/>
    <w:rsid w:val="00212DCC"/>
    <w:rsid w:val="002141C1"/>
    <w:rsid w:val="00215A82"/>
    <w:rsid w:val="00216F2A"/>
    <w:rsid w:val="00220914"/>
    <w:rsid w:val="00221D61"/>
    <w:rsid w:val="00221FB3"/>
    <w:rsid w:val="00224456"/>
    <w:rsid w:val="00225BEA"/>
    <w:rsid w:val="00225C1C"/>
    <w:rsid w:val="00230440"/>
    <w:rsid w:val="00230AAB"/>
    <w:rsid w:val="00231A19"/>
    <w:rsid w:val="00232081"/>
    <w:rsid w:val="00232DA1"/>
    <w:rsid w:val="002351A8"/>
    <w:rsid w:val="002378BD"/>
    <w:rsid w:val="00237B26"/>
    <w:rsid w:val="00240303"/>
    <w:rsid w:val="0024180A"/>
    <w:rsid w:val="0024268D"/>
    <w:rsid w:val="00250442"/>
    <w:rsid w:val="00250A66"/>
    <w:rsid w:val="00254EC2"/>
    <w:rsid w:val="002550AB"/>
    <w:rsid w:val="00256322"/>
    <w:rsid w:val="002575A8"/>
    <w:rsid w:val="00260476"/>
    <w:rsid w:val="00261B88"/>
    <w:rsid w:val="0026229E"/>
    <w:rsid w:val="002622CD"/>
    <w:rsid w:val="00266574"/>
    <w:rsid w:val="002668F8"/>
    <w:rsid w:val="00270C59"/>
    <w:rsid w:val="00270E78"/>
    <w:rsid w:val="00271390"/>
    <w:rsid w:val="002714E9"/>
    <w:rsid w:val="002718C5"/>
    <w:rsid w:val="00271AB9"/>
    <w:rsid w:val="0027245E"/>
    <w:rsid w:val="002743A4"/>
    <w:rsid w:val="00274BCC"/>
    <w:rsid w:val="00275406"/>
    <w:rsid w:val="002769E7"/>
    <w:rsid w:val="00277CFB"/>
    <w:rsid w:val="00281882"/>
    <w:rsid w:val="00281D99"/>
    <w:rsid w:val="002821B9"/>
    <w:rsid w:val="0028450D"/>
    <w:rsid w:val="00291EBF"/>
    <w:rsid w:val="00296388"/>
    <w:rsid w:val="00296D8E"/>
    <w:rsid w:val="002A0772"/>
    <w:rsid w:val="002B0601"/>
    <w:rsid w:val="002B10C7"/>
    <w:rsid w:val="002B66EF"/>
    <w:rsid w:val="002B6EC9"/>
    <w:rsid w:val="002B7609"/>
    <w:rsid w:val="002B79BD"/>
    <w:rsid w:val="002C0665"/>
    <w:rsid w:val="002C2C92"/>
    <w:rsid w:val="002C4749"/>
    <w:rsid w:val="002C49CF"/>
    <w:rsid w:val="002C6317"/>
    <w:rsid w:val="002D07B9"/>
    <w:rsid w:val="002D0C71"/>
    <w:rsid w:val="002D0F04"/>
    <w:rsid w:val="002D31A6"/>
    <w:rsid w:val="002D4A56"/>
    <w:rsid w:val="002D797A"/>
    <w:rsid w:val="002E0BC4"/>
    <w:rsid w:val="002E1270"/>
    <w:rsid w:val="002E184C"/>
    <w:rsid w:val="002E2CAE"/>
    <w:rsid w:val="002E4988"/>
    <w:rsid w:val="002E54F1"/>
    <w:rsid w:val="002E603F"/>
    <w:rsid w:val="002E60FC"/>
    <w:rsid w:val="002E6409"/>
    <w:rsid w:val="002F137A"/>
    <w:rsid w:val="002F267D"/>
    <w:rsid w:val="002F3725"/>
    <w:rsid w:val="002F3971"/>
    <w:rsid w:val="002F3D30"/>
    <w:rsid w:val="002F41A4"/>
    <w:rsid w:val="002F48E3"/>
    <w:rsid w:val="002F6BBA"/>
    <w:rsid w:val="002F6DFA"/>
    <w:rsid w:val="002F7C5F"/>
    <w:rsid w:val="0030038F"/>
    <w:rsid w:val="00302D7F"/>
    <w:rsid w:val="00305125"/>
    <w:rsid w:val="00305722"/>
    <w:rsid w:val="00306442"/>
    <w:rsid w:val="003069FB"/>
    <w:rsid w:val="00312C0C"/>
    <w:rsid w:val="00313AA2"/>
    <w:rsid w:val="003200C9"/>
    <w:rsid w:val="003209C7"/>
    <w:rsid w:val="0032306D"/>
    <w:rsid w:val="00326170"/>
    <w:rsid w:val="003263E9"/>
    <w:rsid w:val="00326D35"/>
    <w:rsid w:val="00331183"/>
    <w:rsid w:val="00332063"/>
    <w:rsid w:val="00333AB9"/>
    <w:rsid w:val="00333C06"/>
    <w:rsid w:val="0033459B"/>
    <w:rsid w:val="00335BE8"/>
    <w:rsid w:val="00337C87"/>
    <w:rsid w:val="0034265F"/>
    <w:rsid w:val="003437DD"/>
    <w:rsid w:val="00343A49"/>
    <w:rsid w:val="0034452C"/>
    <w:rsid w:val="00346441"/>
    <w:rsid w:val="003475EC"/>
    <w:rsid w:val="0035076B"/>
    <w:rsid w:val="00352BEB"/>
    <w:rsid w:val="00353885"/>
    <w:rsid w:val="00361EB1"/>
    <w:rsid w:val="003629D1"/>
    <w:rsid w:val="003637CE"/>
    <w:rsid w:val="00367C6C"/>
    <w:rsid w:val="003715EC"/>
    <w:rsid w:val="00373753"/>
    <w:rsid w:val="003751C8"/>
    <w:rsid w:val="00375614"/>
    <w:rsid w:val="00376867"/>
    <w:rsid w:val="00376A96"/>
    <w:rsid w:val="003772AC"/>
    <w:rsid w:val="00381E56"/>
    <w:rsid w:val="003826FF"/>
    <w:rsid w:val="00382A39"/>
    <w:rsid w:val="00393D9D"/>
    <w:rsid w:val="00393E61"/>
    <w:rsid w:val="00396D02"/>
    <w:rsid w:val="003A0041"/>
    <w:rsid w:val="003A1C3E"/>
    <w:rsid w:val="003A1D2D"/>
    <w:rsid w:val="003A2810"/>
    <w:rsid w:val="003A2970"/>
    <w:rsid w:val="003A5088"/>
    <w:rsid w:val="003A662B"/>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578B"/>
    <w:rsid w:val="003C72E2"/>
    <w:rsid w:val="003D07D2"/>
    <w:rsid w:val="003D5B84"/>
    <w:rsid w:val="003D5F5C"/>
    <w:rsid w:val="003D79CF"/>
    <w:rsid w:val="003E0207"/>
    <w:rsid w:val="003E0E36"/>
    <w:rsid w:val="003E304D"/>
    <w:rsid w:val="003E4AA5"/>
    <w:rsid w:val="003E7C9E"/>
    <w:rsid w:val="003F0964"/>
    <w:rsid w:val="003F18A1"/>
    <w:rsid w:val="003F1D93"/>
    <w:rsid w:val="003F2EB6"/>
    <w:rsid w:val="003F371D"/>
    <w:rsid w:val="003F487F"/>
    <w:rsid w:val="003F4897"/>
    <w:rsid w:val="003F6587"/>
    <w:rsid w:val="00402C7D"/>
    <w:rsid w:val="00403A74"/>
    <w:rsid w:val="00405DAB"/>
    <w:rsid w:val="00407351"/>
    <w:rsid w:val="00407C2D"/>
    <w:rsid w:val="004106DF"/>
    <w:rsid w:val="00411A71"/>
    <w:rsid w:val="00411C0C"/>
    <w:rsid w:val="0041364A"/>
    <w:rsid w:val="0041399A"/>
    <w:rsid w:val="00414535"/>
    <w:rsid w:val="00414EA0"/>
    <w:rsid w:val="00420D64"/>
    <w:rsid w:val="00422BCE"/>
    <w:rsid w:val="00424E85"/>
    <w:rsid w:val="00425BE9"/>
    <w:rsid w:val="00427072"/>
    <w:rsid w:val="0043585C"/>
    <w:rsid w:val="00440379"/>
    <w:rsid w:val="00441F35"/>
    <w:rsid w:val="00443205"/>
    <w:rsid w:val="004439D2"/>
    <w:rsid w:val="004503E9"/>
    <w:rsid w:val="00453463"/>
    <w:rsid w:val="004550E4"/>
    <w:rsid w:val="00461318"/>
    <w:rsid w:val="0046378E"/>
    <w:rsid w:val="004637E8"/>
    <w:rsid w:val="00464137"/>
    <w:rsid w:val="00467368"/>
    <w:rsid w:val="004674CD"/>
    <w:rsid w:val="004710EE"/>
    <w:rsid w:val="0047202C"/>
    <w:rsid w:val="00472E56"/>
    <w:rsid w:val="004740EC"/>
    <w:rsid w:val="004819CF"/>
    <w:rsid w:val="00481DA2"/>
    <w:rsid w:val="00482432"/>
    <w:rsid w:val="00483565"/>
    <w:rsid w:val="00484866"/>
    <w:rsid w:val="004859D6"/>
    <w:rsid w:val="00485FD1"/>
    <w:rsid w:val="0048797E"/>
    <w:rsid w:val="00487DD3"/>
    <w:rsid w:val="004902C8"/>
    <w:rsid w:val="004905D4"/>
    <w:rsid w:val="00492E44"/>
    <w:rsid w:val="004947B9"/>
    <w:rsid w:val="0049514C"/>
    <w:rsid w:val="00496DFD"/>
    <w:rsid w:val="004A0C8B"/>
    <w:rsid w:val="004A187E"/>
    <w:rsid w:val="004A335F"/>
    <w:rsid w:val="004A3F3D"/>
    <w:rsid w:val="004A4FDB"/>
    <w:rsid w:val="004A5FC0"/>
    <w:rsid w:val="004A7C83"/>
    <w:rsid w:val="004B1FFE"/>
    <w:rsid w:val="004B297F"/>
    <w:rsid w:val="004B2F8C"/>
    <w:rsid w:val="004B4EDE"/>
    <w:rsid w:val="004B589F"/>
    <w:rsid w:val="004B661B"/>
    <w:rsid w:val="004B76DC"/>
    <w:rsid w:val="004C0B2C"/>
    <w:rsid w:val="004C1E2F"/>
    <w:rsid w:val="004C3BEB"/>
    <w:rsid w:val="004C59ED"/>
    <w:rsid w:val="004C65D5"/>
    <w:rsid w:val="004C7AE3"/>
    <w:rsid w:val="004D1340"/>
    <w:rsid w:val="004D7295"/>
    <w:rsid w:val="004E140A"/>
    <w:rsid w:val="004E154B"/>
    <w:rsid w:val="004E1914"/>
    <w:rsid w:val="004E3613"/>
    <w:rsid w:val="004E3AFD"/>
    <w:rsid w:val="004E3CAD"/>
    <w:rsid w:val="004E4391"/>
    <w:rsid w:val="004E6C69"/>
    <w:rsid w:val="004E6F84"/>
    <w:rsid w:val="004E7D77"/>
    <w:rsid w:val="004F101E"/>
    <w:rsid w:val="004F2A11"/>
    <w:rsid w:val="004F3166"/>
    <w:rsid w:val="004F3208"/>
    <w:rsid w:val="004F54D2"/>
    <w:rsid w:val="004F6193"/>
    <w:rsid w:val="00501713"/>
    <w:rsid w:val="00501CEC"/>
    <w:rsid w:val="00505F41"/>
    <w:rsid w:val="00506C0C"/>
    <w:rsid w:val="00506C25"/>
    <w:rsid w:val="0050794C"/>
    <w:rsid w:val="0051075B"/>
    <w:rsid w:val="00511236"/>
    <w:rsid w:val="00511539"/>
    <w:rsid w:val="00511A20"/>
    <w:rsid w:val="0051240B"/>
    <w:rsid w:val="00512DE0"/>
    <w:rsid w:val="0051361F"/>
    <w:rsid w:val="00515455"/>
    <w:rsid w:val="005160A8"/>
    <w:rsid w:val="00516317"/>
    <w:rsid w:val="005174FF"/>
    <w:rsid w:val="00517CB9"/>
    <w:rsid w:val="005204F9"/>
    <w:rsid w:val="00520EC3"/>
    <w:rsid w:val="0052138C"/>
    <w:rsid w:val="005213A1"/>
    <w:rsid w:val="00523362"/>
    <w:rsid w:val="00523B26"/>
    <w:rsid w:val="00523ED4"/>
    <w:rsid w:val="0052442F"/>
    <w:rsid w:val="00526CFA"/>
    <w:rsid w:val="00530415"/>
    <w:rsid w:val="00530CAF"/>
    <w:rsid w:val="0053172B"/>
    <w:rsid w:val="00532941"/>
    <w:rsid w:val="00534DFC"/>
    <w:rsid w:val="00535A39"/>
    <w:rsid w:val="005373E3"/>
    <w:rsid w:val="00540DCE"/>
    <w:rsid w:val="00540DD7"/>
    <w:rsid w:val="00541F86"/>
    <w:rsid w:val="00541FCB"/>
    <w:rsid w:val="0054283A"/>
    <w:rsid w:val="00545E9C"/>
    <w:rsid w:val="00547658"/>
    <w:rsid w:val="0054768C"/>
    <w:rsid w:val="0055343D"/>
    <w:rsid w:val="0055649A"/>
    <w:rsid w:val="00563102"/>
    <w:rsid w:val="00572013"/>
    <w:rsid w:val="00573257"/>
    <w:rsid w:val="00575F6D"/>
    <w:rsid w:val="0057622A"/>
    <w:rsid w:val="005778F7"/>
    <w:rsid w:val="00577A3F"/>
    <w:rsid w:val="005805DF"/>
    <w:rsid w:val="0058279C"/>
    <w:rsid w:val="0058326E"/>
    <w:rsid w:val="005833B8"/>
    <w:rsid w:val="00583A03"/>
    <w:rsid w:val="005841BA"/>
    <w:rsid w:val="00584301"/>
    <w:rsid w:val="005857EE"/>
    <w:rsid w:val="00585BF8"/>
    <w:rsid w:val="005877F2"/>
    <w:rsid w:val="00591C16"/>
    <w:rsid w:val="00592442"/>
    <w:rsid w:val="0059283B"/>
    <w:rsid w:val="00593E92"/>
    <w:rsid w:val="005949F1"/>
    <w:rsid w:val="00594C35"/>
    <w:rsid w:val="005956F7"/>
    <w:rsid w:val="00595CB2"/>
    <w:rsid w:val="005978C8"/>
    <w:rsid w:val="005A0A0F"/>
    <w:rsid w:val="005A1AD0"/>
    <w:rsid w:val="005A2060"/>
    <w:rsid w:val="005A2361"/>
    <w:rsid w:val="005A24ED"/>
    <w:rsid w:val="005A2573"/>
    <w:rsid w:val="005A4783"/>
    <w:rsid w:val="005A6B87"/>
    <w:rsid w:val="005B0825"/>
    <w:rsid w:val="005B0A84"/>
    <w:rsid w:val="005B2D16"/>
    <w:rsid w:val="005B4DAF"/>
    <w:rsid w:val="005B56A0"/>
    <w:rsid w:val="005B5788"/>
    <w:rsid w:val="005B60D5"/>
    <w:rsid w:val="005B693A"/>
    <w:rsid w:val="005C11D6"/>
    <w:rsid w:val="005C12EA"/>
    <w:rsid w:val="005C1759"/>
    <w:rsid w:val="005C234E"/>
    <w:rsid w:val="005C41A3"/>
    <w:rsid w:val="005D02EE"/>
    <w:rsid w:val="005D0C1B"/>
    <w:rsid w:val="005D210E"/>
    <w:rsid w:val="005D3D27"/>
    <w:rsid w:val="005D464B"/>
    <w:rsid w:val="005D7D3A"/>
    <w:rsid w:val="005D7EB1"/>
    <w:rsid w:val="005E0A4B"/>
    <w:rsid w:val="005E6EF7"/>
    <w:rsid w:val="005E736A"/>
    <w:rsid w:val="005E75FC"/>
    <w:rsid w:val="005F042D"/>
    <w:rsid w:val="005F16A4"/>
    <w:rsid w:val="005F3D1C"/>
    <w:rsid w:val="005F534C"/>
    <w:rsid w:val="005F75F8"/>
    <w:rsid w:val="006044C7"/>
    <w:rsid w:val="0061049E"/>
    <w:rsid w:val="006123B6"/>
    <w:rsid w:val="00613977"/>
    <w:rsid w:val="00614110"/>
    <w:rsid w:val="0061627D"/>
    <w:rsid w:val="006206C7"/>
    <w:rsid w:val="00622EC4"/>
    <w:rsid w:val="0062488B"/>
    <w:rsid w:val="006327F1"/>
    <w:rsid w:val="00634792"/>
    <w:rsid w:val="00636167"/>
    <w:rsid w:val="00644417"/>
    <w:rsid w:val="00647075"/>
    <w:rsid w:val="00652EBE"/>
    <w:rsid w:val="006549EF"/>
    <w:rsid w:val="00655475"/>
    <w:rsid w:val="00655972"/>
    <w:rsid w:val="00655C14"/>
    <w:rsid w:val="00656420"/>
    <w:rsid w:val="00662070"/>
    <w:rsid w:val="0066237A"/>
    <w:rsid w:val="006628A9"/>
    <w:rsid w:val="00665A9F"/>
    <w:rsid w:val="00665B37"/>
    <w:rsid w:val="00665DA0"/>
    <w:rsid w:val="00667BCA"/>
    <w:rsid w:val="006719D8"/>
    <w:rsid w:val="0067364F"/>
    <w:rsid w:val="00675D81"/>
    <w:rsid w:val="00676455"/>
    <w:rsid w:val="00676EB9"/>
    <w:rsid w:val="00682510"/>
    <w:rsid w:val="00682B00"/>
    <w:rsid w:val="00685AA5"/>
    <w:rsid w:val="00685FB4"/>
    <w:rsid w:val="006863DA"/>
    <w:rsid w:val="00687CA7"/>
    <w:rsid w:val="00687D3A"/>
    <w:rsid w:val="006925E2"/>
    <w:rsid w:val="006A0231"/>
    <w:rsid w:val="006A090C"/>
    <w:rsid w:val="006A1384"/>
    <w:rsid w:val="006A34DA"/>
    <w:rsid w:val="006A6246"/>
    <w:rsid w:val="006A6AEE"/>
    <w:rsid w:val="006B027E"/>
    <w:rsid w:val="006B0965"/>
    <w:rsid w:val="006B15F5"/>
    <w:rsid w:val="006B6754"/>
    <w:rsid w:val="006B71FD"/>
    <w:rsid w:val="006C0661"/>
    <w:rsid w:val="006C0E3B"/>
    <w:rsid w:val="006C18AF"/>
    <w:rsid w:val="006C1D12"/>
    <w:rsid w:val="006C51C3"/>
    <w:rsid w:val="006C5EC9"/>
    <w:rsid w:val="006C7C8B"/>
    <w:rsid w:val="006D29E6"/>
    <w:rsid w:val="006D449D"/>
    <w:rsid w:val="006D5851"/>
    <w:rsid w:val="006D5DAA"/>
    <w:rsid w:val="006D60D9"/>
    <w:rsid w:val="006D6178"/>
    <w:rsid w:val="006E361D"/>
    <w:rsid w:val="006E3810"/>
    <w:rsid w:val="006E395E"/>
    <w:rsid w:val="006E44B1"/>
    <w:rsid w:val="006E492E"/>
    <w:rsid w:val="006E4C9D"/>
    <w:rsid w:val="006E5DCF"/>
    <w:rsid w:val="006E669C"/>
    <w:rsid w:val="006E786F"/>
    <w:rsid w:val="006E7CF8"/>
    <w:rsid w:val="006F01C3"/>
    <w:rsid w:val="006F4C94"/>
    <w:rsid w:val="006F5B9E"/>
    <w:rsid w:val="006F7480"/>
    <w:rsid w:val="0070124C"/>
    <w:rsid w:val="007017C6"/>
    <w:rsid w:val="007027BB"/>
    <w:rsid w:val="00705140"/>
    <w:rsid w:val="007066C5"/>
    <w:rsid w:val="00712FFF"/>
    <w:rsid w:val="007142C8"/>
    <w:rsid w:val="00717A32"/>
    <w:rsid w:val="00720729"/>
    <w:rsid w:val="007212E2"/>
    <w:rsid w:val="00723DEB"/>
    <w:rsid w:val="007240E7"/>
    <w:rsid w:val="00731AEB"/>
    <w:rsid w:val="00734BE5"/>
    <w:rsid w:val="00735AB5"/>
    <w:rsid w:val="00736B82"/>
    <w:rsid w:val="00740C36"/>
    <w:rsid w:val="00741A8F"/>
    <w:rsid w:val="00742008"/>
    <w:rsid w:val="00743BA0"/>
    <w:rsid w:val="00747DFD"/>
    <w:rsid w:val="00754329"/>
    <w:rsid w:val="007547A1"/>
    <w:rsid w:val="00756A93"/>
    <w:rsid w:val="0075769A"/>
    <w:rsid w:val="00765DEF"/>
    <w:rsid w:val="00766E46"/>
    <w:rsid w:val="00767AD4"/>
    <w:rsid w:val="00770E6E"/>
    <w:rsid w:val="00771A7C"/>
    <w:rsid w:val="0077230A"/>
    <w:rsid w:val="00772725"/>
    <w:rsid w:val="00772BBB"/>
    <w:rsid w:val="00773EB7"/>
    <w:rsid w:val="007751AA"/>
    <w:rsid w:val="00777AD7"/>
    <w:rsid w:val="00784C44"/>
    <w:rsid w:val="007912CE"/>
    <w:rsid w:val="0079451D"/>
    <w:rsid w:val="00795966"/>
    <w:rsid w:val="007A04C8"/>
    <w:rsid w:val="007A3102"/>
    <w:rsid w:val="007A3B30"/>
    <w:rsid w:val="007A3FC0"/>
    <w:rsid w:val="007A49BA"/>
    <w:rsid w:val="007A609F"/>
    <w:rsid w:val="007A7484"/>
    <w:rsid w:val="007B3EF9"/>
    <w:rsid w:val="007B4E62"/>
    <w:rsid w:val="007B57A1"/>
    <w:rsid w:val="007B7535"/>
    <w:rsid w:val="007C0D3D"/>
    <w:rsid w:val="007C2A08"/>
    <w:rsid w:val="007C2CB7"/>
    <w:rsid w:val="007C60D8"/>
    <w:rsid w:val="007D0AC6"/>
    <w:rsid w:val="007D2077"/>
    <w:rsid w:val="007D4DC3"/>
    <w:rsid w:val="007D60C6"/>
    <w:rsid w:val="007D7A78"/>
    <w:rsid w:val="007E5812"/>
    <w:rsid w:val="007E68A5"/>
    <w:rsid w:val="007F1EC7"/>
    <w:rsid w:val="007F286F"/>
    <w:rsid w:val="007F2C82"/>
    <w:rsid w:val="007F36F4"/>
    <w:rsid w:val="007F3EAF"/>
    <w:rsid w:val="007F40B0"/>
    <w:rsid w:val="007F50C7"/>
    <w:rsid w:val="007F5F38"/>
    <w:rsid w:val="007F665B"/>
    <w:rsid w:val="00801DFA"/>
    <w:rsid w:val="008042C8"/>
    <w:rsid w:val="00805304"/>
    <w:rsid w:val="00805CFD"/>
    <w:rsid w:val="00807F15"/>
    <w:rsid w:val="00810897"/>
    <w:rsid w:val="0081359D"/>
    <w:rsid w:val="008136A0"/>
    <w:rsid w:val="00813CDD"/>
    <w:rsid w:val="00814164"/>
    <w:rsid w:val="00814AD7"/>
    <w:rsid w:val="00815A2E"/>
    <w:rsid w:val="008167BC"/>
    <w:rsid w:val="008168B9"/>
    <w:rsid w:val="00820B4E"/>
    <w:rsid w:val="00822488"/>
    <w:rsid w:val="00822945"/>
    <w:rsid w:val="0082321C"/>
    <w:rsid w:val="00823B38"/>
    <w:rsid w:val="00823F1C"/>
    <w:rsid w:val="00824697"/>
    <w:rsid w:val="00827A30"/>
    <w:rsid w:val="008318B8"/>
    <w:rsid w:val="00831DDD"/>
    <w:rsid w:val="00832386"/>
    <w:rsid w:val="008332DA"/>
    <w:rsid w:val="008344C2"/>
    <w:rsid w:val="00834BAC"/>
    <w:rsid w:val="00836D01"/>
    <w:rsid w:val="008373F8"/>
    <w:rsid w:val="008379F3"/>
    <w:rsid w:val="00837EA3"/>
    <w:rsid w:val="00840495"/>
    <w:rsid w:val="008439A0"/>
    <w:rsid w:val="00843BE9"/>
    <w:rsid w:val="00847569"/>
    <w:rsid w:val="00847ACA"/>
    <w:rsid w:val="008508FF"/>
    <w:rsid w:val="00850CAC"/>
    <w:rsid w:val="0085238C"/>
    <w:rsid w:val="008530DA"/>
    <w:rsid w:val="0085352C"/>
    <w:rsid w:val="008538D0"/>
    <w:rsid w:val="00853BF4"/>
    <w:rsid w:val="00854ED5"/>
    <w:rsid w:val="00855965"/>
    <w:rsid w:val="00856356"/>
    <w:rsid w:val="008563F2"/>
    <w:rsid w:val="00860671"/>
    <w:rsid w:val="00860F0E"/>
    <w:rsid w:val="00862CD2"/>
    <w:rsid w:val="0086508B"/>
    <w:rsid w:val="00866E4F"/>
    <w:rsid w:val="0087156B"/>
    <w:rsid w:val="00872D7E"/>
    <w:rsid w:val="008754E6"/>
    <w:rsid w:val="0087776F"/>
    <w:rsid w:val="0088071C"/>
    <w:rsid w:val="0088233C"/>
    <w:rsid w:val="0088280A"/>
    <w:rsid w:val="0088380D"/>
    <w:rsid w:val="00883EB7"/>
    <w:rsid w:val="00892C9F"/>
    <w:rsid w:val="00892FBD"/>
    <w:rsid w:val="00893AD8"/>
    <w:rsid w:val="00893D2C"/>
    <w:rsid w:val="00894D11"/>
    <w:rsid w:val="0089523F"/>
    <w:rsid w:val="008967E5"/>
    <w:rsid w:val="00897BCF"/>
    <w:rsid w:val="008A07FE"/>
    <w:rsid w:val="008A12AD"/>
    <w:rsid w:val="008A1677"/>
    <w:rsid w:val="008A4A70"/>
    <w:rsid w:val="008A6436"/>
    <w:rsid w:val="008A6E5D"/>
    <w:rsid w:val="008B04B3"/>
    <w:rsid w:val="008B060F"/>
    <w:rsid w:val="008B144F"/>
    <w:rsid w:val="008B1A88"/>
    <w:rsid w:val="008B21D2"/>
    <w:rsid w:val="008B279B"/>
    <w:rsid w:val="008B3B85"/>
    <w:rsid w:val="008B3F47"/>
    <w:rsid w:val="008B42E3"/>
    <w:rsid w:val="008B4E8C"/>
    <w:rsid w:val="008B60B8"/>
    <w:rsid w:val="008B6638"/>
    <w:rsid w:val="008C12BE"/>
    <w:rsid w:val="008C1B93"/>
    <w:rsid w:val="008C22C7"/>
    <w:rsid w:val="008C38EB"/>
    <w:rsid w:val="008C414B"/>
    <w:rsid w:val="008C54EA"/>
    <w:rsid w:val="008C6701"/>
    <w:rsid w:val="008C671C"/>
    <w:rsid w:val="008D02A6"/>
    <w:rsid w:val="008D28A9"/>
    <w:rsid w:val="008D3BDF"/>
    <w:rsid w:val="008D7EA2"/>
    <w:rsid w:val="008E0F80"/>
    <w:rsid w:val="008E1CA4"/>
    <w:rsid w:val="008E3FAA"/>
    <w:rsid w:val="008E6CDF"/>
    <w:rsid w:val="008E737C"/>
    <w:rsid w:val="008F04A3"/>
    <w:rsid w:val="008F05B8"/>
    <w:rsid w:val="008F0C9D"/>
    <w:rsid w:val="008F0D5A"/>
    <w:rsid w:val="008F1C12"/>
    <w:rsid w:val="008F5A4B"/>
    <w:rsid w:val="008F5EF9"/>
    <w:rsid w:val="008F5F6F"/>
    <w:rsid w:val="00900EC1"/>
    <w:rsid w:val="00901214"/>
    <w:rsid w:val="009047B5"/>
    <w:rsid w:val="00904D6D"/>
    <w:rsid w:val="00904EC8"/>
    <w:rsid w:val="00906951"/>
    <w:rsid w:val="0091187A"/>
    <w:rsid w:val="00912FBC"/>
    <w:rsid w:val="00913D3B"/>
    <w:rsid w:val="00913F75"/>
    <w:rsid w:val="00921D05"/>
    <w:rsid w:val="0092257C"/>
    <w:rsid w:val="00923121"/>
    <w:rsid w:val="00930566"/>
    <w:rsid w:val="009314C3"/>
    <w:rsid w:val="009317FD"/>
    <w:rsid w:val="009406FF"/>
    <w:rsid w:val="00941203"/>
    <w:rsid w:val="009416C1"/>
    <w:rsid w:val="0094264B"/>
    <w:rsid w:val="0094367D"/>
    <w:rsid w:val="00943FA1"/>
    <w:rsid w:val="00945A5C"/>
    <w:rsid w:val="00946389"/>
    <w:rsid w:val="0094738D"/>
    <w:rsid w:val="00950EF7"/>
    <w:rsid w:val="00954DC1"/>
    <w:rsid w:val="00955462"/>
    <w:rsid w:val="00956EB6"/>
    <w:rsid w:val="00957C11"/>
    <w:rsid w:val="009617A9"/>
    <w:rsid w:val="009665BE"/>
    <w:rsid w:val="009673AB"/>
    <w:rsid w:val="00970E84"/>
    <w:rsid w:val="00971153"/>
    <w:rsid w:val="00981036"/>
    <w:rsid w:val="00981E5F"/>
    <w:rsid w:val="00983846"/>
    <w:rsid w:val="00990CC8"/>
    <w:rsid w:val="0099227E"/>
    <w:rsid w:val="009949C5"/>
    <w:rsid w:val="00997C10"/>
    <w:rsid w:val="009A19B2"/>
    <w:rsid w:val="009A4988"/>
    <w:rsid w:val="009B1E03"/>
    <w:rsid w:val="009B3EC0"/>
    <w:rsid w:val="009B4878"/>
    <w:rsid w:val="009B5FE8"/>
    <w:rsid w:val="009B62B1"/>
    <w:rsid w:val="009B76C2"/>
    <w:rsid w:val="009C080D"/>
    <w:rsid w:val="009C5293"/>
    <w:rsid w:val="009D41DF"/>
    <w:rsid w:val="009D709E"/>
    <w:rsid w:val="009D7980"/>
    <w:rsid w:val="009E0249"/>
    <w:rsid w:val="009E055A"/>
    <w:rsid w:val="009E0F0F"/>
    <w:rsid w:val="009E36AC"/>
    <w:rsid w:val="009E4FB4"/>
    <w:rsid w:val="009E5694"/>
    <w:rsid w:val="009E585B"/>
    <w:rsid w:val="009E7D5A"/>
    <w:rsid w:val="009F040E"/>
    <w:rsid w:val="009F151E"/>
    <w:rsid w:val="009F1C56"/>
    <w:rsid w:val="00A01765"/>
    <w:rsid w:val="00A02DD3"/>
    <w:rsid w:val="00A03CB7"/>
    <w:rsid w:val="00A04D6C"/>
    <w:rsid w:val="00A05622"/>
    <w:rsid w:val="00A073BD"/>
    <w:rsid w:val="00A100B6"/>
    <w:rsid w:val="00A1136A"/>
    <w:rsid w:val="00A16250"/>
    <w:rsid w:val="00A16EB7"/>
    <w:rsid w:val="00A17296"/>
    <w:rsid w:val="00A17D28"/>
    <w:rsid w:val="00A21621"/>
    <w:rsid w:val="00A22457"/>
    <w:rsid w:val="00A22900"/>
    <w:rsid w:val="00A310F2"/>
    <w:rsid w:val="00A31E71"/>
    <w:rsid w:val="00A3340E"/>
    <w:rsid w:val="00A42248"/>
    <w:rsid w:val="00A426C8"/>
    <w:rsid w:val="00A42ABF"/>
    <w:rsid w:val="00A4427E"/>
    <w:rsid w:val="00A46733"/>
    <w:rsid w:val="00A46ECF"/>
    <w:rsid w:val="00A477B8"/>
    <w:rsid w:val="00A47AD5"/>
    <w:rsid w:val="00A47F03"/>
    <w:rsid w:val="00A51683"/>
    <w:rsid w:val="00A51892"/>
    <w:rsid w:val="00A52037"/>
    <w:rsid w:val="00A52149"/>
    <w:rsid w:val="00A52366"/>
    <w:rsid w:val="00A52EAC"/>
    <w:rsid w:val="00A54A08"/>
    <w:rsid w:val="00A5654D"/>
    <w:rsid w:val="00A5724F"/>
    <w:rsid w:val="00A6261F"/>
    <w:rsid w:val="00A6345F"/>
    <w:rsid w:val="00A662A3"/>
    <w:rsid w:val="00A6661A"/>
    <w:rsid w:val="00A6697F"/>
    <w:rsid w:val="00A70307"/>
    <w:rsid w:val="00A71C8A"/>
    <w:rsid w:val="00A71ED6"/>
    <w:rsid w:val="00A760E0"/>
    <w:rsid w:val="00A76B1C"/>
    <w:rsid w:val="00A77E76"/>
    <w:rsid w:val="00A80090"/>
    <w:rsid w:val="00A82646"/>
    <w:rsid w:val="00A837A6"/>
    <w:rsid w:val="00A85A64"/>
    <w:rsid w:val="00A93118"/>
    <w:rsid w:val="00A94C5E"/>
    <w:rsid w:val="00AA3EC5"/>
    <w:rsid w:val="00AA48F5"/>
    <w:rsid w:val="00AA4B39"/>
    <w:rsid w:val="00AA512B"/>
    <w:rsid w:val="00AA5FB6"/>
    <w:rsid w:val="00AA608B"/>
    <w:rsid w:val="00AA77C0"/>
    <w:rsid w:val="00AA7E18"/>
    <w:rsid w:val="00AB1CD7"/>
    <w:rsid w:val="00AB1F5C"/>
    <w:rsid w:val="00AB2683"/>
    <w:rsid w:val="00AB4311"/>
    <w:rsid w:val="00AB49DA"/>
    <w:rsid w:val="00AB59A7"/>
    <w:rsid w:val="00AB68F7"/>
    <w:rsid w:val="00AC06A7"/>
    <w:rsid w:val="00AC077B"/>
    <w:rsid w:val="00AC0C82"/>
    <w:rsid w:val="00AC1F08"/>
    <w:rsid w:val="00AC60ED"/>
    <w:rsid w:val="00AD2373"/>
    <w:rsid w:val="00AD4DF3"/>
    <w:rsid w:val="00AD50B5"/>
    <w:rsid w:val="00AD564C"/>
    <w:rsid w:val="00AD7639"/>
    <w:rsid w:val="00AE3182"/>
    <w:rsid w:val="00AE43A3"/>
    <w:rsid w:val="00AF095A"/>
    <w:rsid w:val="00AF1119"/>
    <w:rsid w:val="00AF39C0"/>
    <w:rsid w:val="00AF59C3"/>
    <w:rsid w:val="00B011BB"/>
    <w:rsid w:val="00B012F2"/>
    <w:rsid w:val="00B0163B"/>
    <w:rsid w:val="00B04312"/>
    <w:rsid w:val="00B0539A"/>
    <w:rsid w:val="00B06669"/>
    <w:rsid w:val="00B06F09"/>
    <w:rsid w:val="00B07DF0"/>
    <w:rsid w:val="00B14782"/>
    <w:rsid w:val="00B14B32"/>
    <w:rsid w:val="00B14BA4"/>
    <w:rsid w:val="00B14C9C"/>
    <w:rsid w:val="00B14CD3"/>
    <w:rsid w:val="00B14E05"/>
    <w:rsid w:val="00B162E1"/>
    <w:rsid w:val="00B163F3"/>
    <w:rsid w:val="00B17156"/>
    <w:rsid w:val="00B17A29"/>
    <w:rsid w:val="00B17D85"/>
    <w:rsid w:val="00B21966"/>
    <w:rsid w:val="00B2363C"/>
    <w:rsid w:val="00B252F9"/>
    <w:rsid w:val="00B25977"/>
    <w:rsid w:val="00B26C7F"/>
    <w:rsid w:val="00B271D8"/>
    <w:rsid w:val="00B27C45"/>
    <w:rsid w:val="00B313EB"/>
    <w:rsid w:val="00B3198A"/>
    <w:rsid w:val="00B34812"/>
    <w:rsid w:val="00B357AE"/>
    <w:rsid w:val="00B37818"/>
    <w:rsid w:val="00B37E57"/>
    <w:rsid w:val="00B42FA5"/>
    <w:rsid w:val="00B50C1D"/>
    <w:rsid w:val="00B514D3"/>
    <w:rsid w:val="00B51BC7"/>
    <w:rsid w:val="00B52134"/>
    <w:rsid w:val="00B56063"/>
    <w:rsid w:val="00B570B0"/>
    <w:rsid w:val="00B57714"/>
    <w:rsid w:val="00B61620"/>
    <w:rsid w:val="00B6192E"/>
    <w:rsid w:val="00B64061"/>
    <w:rsid w:val="00B65BB6"/>
    <w:rsid w:val="00B7048C"/>
    <w:rsid w:val="00B71D8A"/>
    <w:rsid w:val="00B73F7D"/>
    <w:rsid w:val="00B743B9"/>
    <w:rsid w:val="00B768D7"/>
    <w:rsid w:val="00B778A3"/>
    <w:rsid w:val="00B809F3"/>
    <w:rsid w:val="00B85932"/>
    <w:rsid w:val="00B87588"/>
    <w:rsid w:val="00B92474"/>
    <w:rsid w:val="00B93C9E"/>
    <w:rsid w:val="00BA2419"/>
    <w:rsid w:val="00BA79FD"/>
    <w:rsid w:val="00BB0F2F"/>
    <w:rsid w:val="00BB1C66"/>
    <w:rsid w:val="00BB3596"/>
    <w:rsid w:val="00BB524D"/>
    <w:rsid w:val="00BB5385"/>
    <w:rsid w:val="00BB5653"/>
    <w:rsid w:val="00BB5D09"/>
    <w:rsid w:val="00BB66F4"/>
    <w:rsid w:val="00BB6E3C"/>
    <w:rsid w:val="00BC06CF"/>
    <w:rsid w:val="00BC133D"/>
    <w:rsid w:val="00BC3E9C"/>
    <w:rsid w:val="00BC3FCA"/>
    <w:rsid w:val="00BC4AF5"/>
    <w:rsid w:val="00BC5AA5"/>
    <w:rsid w:val="00BC7CC2"/>
    <w:rsid w:val="00BD049F"/>
    <w:rsid w:val="00BD0E9D"/>
    <w:rsid w:val="00BD218A"/>
    <w:rsid w:val="00BD399A"/>
    <w:rsid w:val="00BD557E"/>
    <w:rsid w:val="00BD5B18"/>
    <w:rsid w:val="00BD5F64"/>
    <w:rsid w:val="00BE0201"/>
    <w:rsid w:val="00BE3232"/>
    <w:rsid w:val="00BE3FB1"/>
    <w:rsid w:val="00BE4AAB"/>
    <w:rsid w:val="00BE520C"/>
    <w:rsid w:val="00BE762E"/>
    <w:rsid w:val="00BF0D5F"/>
    <w:rsid w:val="00BF16AD"/>
    <w:rsid w:val="00BF2C8B"/>
    <w:rsid w:val="00BF34A7"/>
    <w:rsid w:val="00BF3B14"/>
    <w:rsid w:val="00BF6218"/>
    <w:rsid w:val="00C00EA2"/>
    <w:rsid w:val="00C011EE"/>
    <w:rsid w:val="00C02535"/>
    <w:rsid w:val="00C0352A"/>
    <w:rsid w:val="00C0425B"/>
    <w:rsid w:val="00C05811"/>
    <w:rsid w:val="00C0712B"/>
    <w:rsid w:val="00C074EC"/>
    <w:rsid w:val="00C07BEF"/>
    <w:rsid w:val="00C1015B"/>
    <w:rsid w:val="00C103A1"/>
    <w:rsid w:val="00C108BD"/>
    <w:rsid w:val="00C10A10"/>
    <w:rsid w:val="00C10D6A"/>
    <w:rsid w:val="00C10EC0"/>
    <w:rsid w:val="00C13B9C"/>
    <w:rsid w:val="00C14063"/>
    <w:rsid w:val="00C15102"/>
    <w:rsid w:val="00C15A56"/>
    <w:rsid w:val="00C16D96"/>
    <w:rsid w:val="00C20353"/>
    <w:rsid w:val="00C22F0A"/>
    <w:rsid w:val="00C2325B"/>
    <w:rsid w:val="00C255F5"/>
    <w:rsid w:val="00C25B1C"/>
    <w:rsid w:val="00C25F15"/>
    <w:rsid w:val="00C26299"/>
    <w:rsid w:val="00C311E4"/>
    <w:rsid w:val="00C322BB"/>
    <w:rsid w:val="00C33540"/>
    <w:rsid w:val="00C342CD"/>
    <w:rsid w:val="00C350F2"/>
    <w:rsid w:val="00C35B73"/>
    <w:rsid w:val="00C35B8F"/>
    <w:rsid w:val="00C35FBE"/>
    <w:rsid w:val="00C3666D"/>
    <w:rsid w:val="00C40E59"/>
    <w:rsid w:val="00C418BF"/>
    <w:rsid w:val="00C4258F"/>
    <w:rsid w:val="00C44562"/>
    <w:rsid w:val="00C453FB"/>
    <w:rsid w:val="00C4630B"/>
    <w:rsid w:val="00C50166"/>
    <w:rsid w:val="00C502FF"/>
    <w:rsid w:val="00C55BED"/>
    <w:rsid w:val="00C55D03"/>
    <w:rsid w:val="00C55F3E"/>
    <w:rsid w:val="00C57311"/>
    <w:rsid w:val="00C61929"/>
    <w:rsid w:val="00C62E71"/>
    <w:rsid w:val="00C63059"/>
    <w:rsid w:val="00C631FE"/>
    <w:rsid w:val="00C63C08"/>
    <w:rsid w:val="00C66CCC"/>
    <w:rsid w:val="00C676A4"/>
    <w:rsid w:val="00C67EA4"/>
    <w:rsid w:val="00C700B6"/>
    <w:rsid w:val="00C7182A"/>
    <w:rsid w:val="00C72659"/>
    <w:rsid w:val="00C734AC"/>
    <w:rsid w:val="00C73BD7"/>
    <w:rsid w:val="00C74056"/>
    <w:rsid w:val="00C80CAC"/>
    <w:rsid w:val="00C8516B"/>
    <w:rsid w:val="00C854C1"/>
    <w:rsid w:val="00C85B81"/>
    <w:rsid w:val="00C86C15"/>
    <w:rsid w:val="00C9178F"/>
    <w:rsid w:val="00C93F76"/>
    <w:rsid w:val="00C9655A"/>
    <w:rsid w:val="00C96FCA"/>
    <w:rsid w:val="00C9754D"/>
    <w:rsid w:val="00C975DF"/>
    <w:rsid w:val="00CA5D84"/>
    <w:rsid w:val="00CC1960"/>
    <w:rsid w:val="00CD4F70"/>
    <w:rsid w:val="00CD5420"/>
    <w:rsid w:val="00CE1CF3"/>
    <w:rsid w:val="00CE70F3"/>
    <w:rsid w:val="00CE7659"/>
    <w:rsid w:val="00CF0E18"/>
    <w:rsid w:val="00CF29A4"/>
    <w:rsid w:val="00CF2F2E"/>
    <w:rsid w:val="00CF376B"/>
    <w:rsid w:val="00CF624D"/>
    <w:rsid w:val="00CF6E34"/>
    <w:rsid w:val="00D0495F"/>
    <w:rsid w:val="00D05022"/>
    <w:rsid w:val="00D066D9"/>
    <w:rsid w:val="00D076EF"/>
    <w:rsid w:val="00D108C5"/>
    <w:rsid w:val="00D10D7A"/>
    <w:rsid w:val="00D1187F"/>
    <w:rsid w:val="00D11C2D"/>
    <w:rsid w:val="00D1618D"/>
    <w:rsid w:val="00D167B1"/>
    <w:rsid w:val="00D16D1B"/>
    <w:rsid w:val="00D21F66"/>
    <w:rsid w:val="00D24B66"/>
    <w:rsid w:val="00D24C22"/>
    <w:rsid w:val="00D25C3D"/>
    <w:rsid w:val="00D26476"/>
    <w:rsid w:val="00D2728B"/>
    <w:rsid w:val="00D31492"/>
    <w:rsid w:val="00D31735"/>
    <w:rsid w:val="00D3478B"/>
    <w:rsid w:val="00D347C1"/>
    <w:rsid w:val="00D35E12"/>
    <w:rsid w:val="00D413DD"/>
    <w:rsid w:val="00D4189D"/>
    <w:rsid w:val="00D424E3"/>
    <w:rsid w:val="00D42604"/>
    <w:rsid w:val="00D43436"/>
    <w:rsid w:val="00D4389A"/>
    <w:rsid w:val="00D4436A"/>
    <w:rsid w:val="00D45829"/>
    <w:rsid w:val="00D45DEF"/>
    <w:rsid w:val="00D45FB7"/>
    <w:rsid w:val="00D46347"/>
    <w:rsid w:val="00D46954"/>
    <w:rsid w:val="00D51E72"/>
    <w:rsid w:val="00D520E6"/>
    <w:rsid w:val="00D534EA"/>
    <w:rsid w:val="00D540A4"/>
    <w:rsid w:val="00D54DBC"/>
    <w:rsid w:val="00D570F3"/>
    <w:rsid w:val="00D61C85"/>
    <w:rsid w:val="00D624E5"/>
    <w:rsid w:val="00D634A8"/>
    <w:rsid w:val="00D64C3D"/>
    <w:rsid w:val="00D65A1C"/>
    <w:rsid w:val="00D67099"/>
    <w:rsid w:val="00D67F99"/>
    <w:rsid w:val="00D71939"/>
    <w:rsid w:val="00D72D27"/>
    <w:rsid w:val="00D73317"/>
    <w:rsid w:val="00D743C8"/>
    <w:rsid w:val="00D743DA"/>
    <w:rsid w:val="00D744B5"/>
    <w:rsid w:val="00D745B1"/>
    <w:rsid w:val="00D74C5F"/>
    <w:rsid w:val="00D753F3"/>
    <w:rsid w:val="00D9045B"/>
    <w:rsid w:val="00D908A4"/>
    <w:rsid w:val="00D90EA9"/>
    <w:rsid w:val="00D941C3"/>
    <w:rsid w:val="00D94A99"/>
    <w:rsid w:val="00D95324"/>
    <w:rsid w:val="00D95482"/>
    <w:rsid w:val="00DA0390"/>
    <w:rsid w:val="00DA1940"/>
    <w:rsid w:val="00DA3184"/>
    <w:rsid w:val="00DA3C3C"/>
    <w:rsid w:val="00DA4C50"/>
    <w:rsid w:val="00DB05EC"/>
    <w:rsid w:val="00DB166E"/>
    <w:rsid w:val="00DB3D8C"/>
    <w:rsid w:val="00DB3E4C"/>
    <w:rsid w:val="00DB43B8"/>
    <w:rsid w:val="00DB601A"/>
    <w:rsid w:val="00DB7BD1"/>
    <w:rsid w:val="00DB7C8A"/>
    <w:rsid w:val="00DC0025"/>
    <w:rsid w:val="00DC2DC5"/>
    <w:rsid w:val="00DC341B"/>
    <w:rsid w:val="00DC4D0D"/>
    <w:rsid w:val="00DC62A2"/>
    <w:rsid w:val="00DD07E5"/>
    <w:rsid w:val="00DD2BCD"/>
    <w:rsid w:val="00DD35E7"/>
    <w:rsid w:val="00DD5486"/>
    <w:rsid w:val="00DD650E"/>
    <w:rsid w:val="00DD65F0"/>
    <w:rsid w:val="00DD7968"/>
    <w:rsid w:val="00DE0B7E"/>
    <w:rsid w:val="00DE1418"/>
    <w:rsid w:val="00DE2205"/>
    <w:rsid w:val="00DE2920"/>
    <w:rsid w:val="00DE421E"/>
    <w:rsid w:val="00DE5454"/>
    <w:rsid w:val="00DE7F41"/>
    <w:rsid w:val="00DF0F50"/>
    <w:rsid w:val="00DF0FE1"/>
    <w:rsid w:val="00DF2309"/>
    <w:rsid w:val="00DF28DC"/>
    <w:rsid w:val="00DF3915"/>
    <w:rsid w:val="00DF44AC"/>
    <w:rsid w:val="00DF4CE2"/>
    <w:rsid w:val="00E0168F"/>
    <w:rsid w:val="00E112F8"/>
    <w:rsid w:val="00E12071"/>
    <w:rsid w:val="00E12660"/>
    <w:rsid w:val="00E12838"/>
    <w:rsid w:val="00E13F9E"/>
    <w:rsid w:val="00E14E4F"/>
    <w:rsid w:val="00E15BBF"/>
    <w:rsid w:val="00E15ECD"/>
    <w:rsid w:val="00E2065F"/>
    <w:rsid w:val="00E23F00"/>
    <w:rsid w:val="00E2599A"/>
    <w:rsid w:val="00E26A0F"/>
    <w:rsid w:val="00E30D48"/>
    <w:rsid w:val="00E318D4"/>
    <w:rsid w:val="00E339EE"/>
    <w:rsid w:val="00E3557A"/>
    <w:rsid w:val="00E4014C"/>
    <w:rsid w:val="00E401FC"/>
    <w:rsid w:val="00E42D1B"/>
    <w:rsid w:val="00E4558E"/>
    <w:rsid w:val="00E46C0B"/>
    <w:rsid w:val="00E46FAB"/>
    <w:rsid w:val="00E474DC"/>
    <w:rsid w:val="00E5155C"/>
    <w:rsid w:val="00E5385B"/>
    <w:rsid w:val="00E55C6E"/>
    <w:rsid w:val="00E55EA9"/>
    <w:rsid w:val="00E56307"/>
    <w:rsid w:val="00E56691"/>
    <w:rsid w:val="00E56D55"/>
    <w:rsid w:val="00E56F52"/>
    <w:rsid w:val="00E57D47"/>
    <w:rsid w:val="00E57F76"/>
    <w:rsid w:val="00E60696"/>
    <w:rsid w:val="00E6152A"/>
    <w:rsid w:val="00E62028"/>
    <w:rsid w:val="00E6393C"/>
    <w:rsid w:val="00E67E51"/>
    <w:rsid w:val="00E76BE0"/>
    <w:rsid w:val="00E7790B"/>
    <w:rsid w:val="00E81714"/>
    <w:rsid w:val="00E830C2"/>
    <w:rsid w:val="00E900D5"/>
    <w:rsid w:val="00E91546"/>
    <w:rsid w:val="00E91678"/>
    <w:rsid w:val="00E9206E"/>
    <w:rsid w:val="00E93438"/>
    <w:rsid w:val="00E93F64"/>
    <w:rsid w:val="00E96092"/>
    <w:rsid w:val="00E96737"/>
    <w:rsid w:val="00EA0668"/>
    <w:rsid w:val="00EA127F"/>
    <w:rsid w:val="00EA1F53"/>
    <w:rsid w:val="00EA4376"/>
    <w:rsid w:val="00EA70DC"/>
    <w:rsid w:val="00EA7B56"/>
    <w:rsid w:val="00EB01FF"/>
    <w:rsid w:val="00EB06C6"/>
    <w:rsid w:val="00EB1B47"/>
    <w:rsid w:val="00EB3A34"/>
    <w:rsid w:val="00EB4548"/>
    <w:rsid w:val="00EB46E1"/>
    <w:rsid w:val="00EB7BD6"/>
    <w:rsid w:val="00EC01EF"/>
    <w:rsid w:val="00EC20FD"/>
    <w:rsid w:val="00EC2EF8"/>
    <w:rsid w:val="00EC3DAC"/>
    <w:rsid w:val="00EC42FF"/>
    <w:rsid w:val="00EC5A73"/>
    <w:rsid w:val="00ED3B7C"/>
    <w:rsid w:val="00ED3D0C"/>
    <w:rsid w:val="00ED4AEF"/>
    <w:rsid w:val="00ED527A"/>
    <w:rsid w:val="00ED570E"/>
    <w:rsid w:val="00ED5CFE"/>
    <w:rsid w:val="00ED7D8C"/>
    <w:rsid w:val="00EE005A"/>
    <w:rsid w:val="00EE05CF"/>
    <w:rsid w:val="00EE10AE"/>
    <w:rsid w:val="00EE2DA2"/>
    <w:rsid w:val="00EE4290"/>
    <w:rsid w:val="00EE589E"/>
    <w:rsid w:val="00EE76D0"/>
    <w:rsid w:val="00EE7C89"/>
    <w:rsid w:val="00EE7FB7"/>
    <w:rsid w:val="00EF1185"/>
    <w:rsid w:val="00EF754D"/>
    <w:rsid w:val="00F027E9"/>
    <w:rsid w:val="00F0775E"/>
    <w:rsid w:val="00F15F69"/>
    <w:rsid w:val="00F1612D"/>
    <w:rsid w:val="00F173DD"/>
    <w:rsid w:val="00F21119"/>
    <w:rsid w:val="00F25164"/>
    <w:rsid w:val="00F277D3"/>
    <w:rsid w:val="00F30997"/>
    <w:rsid w:val="00F32896"/>
    <w:rsid w:val="00F33C08"/>
    <w:rsid w:val="00F3444A"/>
    <w:rsid w:val="00F377C3"/>
    <w:rsid w:val="00F41AE7"/>
    <w:rsid w:val="00F41F44"/>
    <w:rsid w:val="00F42D17"/>
    <w:rsid w:val="00F4458D"/>
    <w:rsid w:val="00F457A0"/>
    <w:rsid w:val="00F46492"/>
    <w:rsid w:val="00F477B5"/>
    <w:rsid w:val="00F47B01"/>
    <w:rsid w:val="00F5057E"/>
    <w:rsid w:val="00F53410"/>
    <w:rsid w:val="00F541F8"/>
    <w:rsid w:val="00F5470A"/>
    <w:rsid w:val="00F551E6"/>
    <w:rsid w:val="00F5563D"/>
    <w:rsid w:val="00F56891"/>
    <w:rsid w:val="00F64CD4"/>
    <w:rsid w:val="00F64F37"/>
    <w:rsid w:val="00F65AB2"/>
    <w:rsid w:val="00F73E78"/>
    <w:rsid w:val="00F740C2"/>
    <w:rsid w:val="00F7591E"/>
    <w:rsid w:val="00F75EF9"/>
    <w:rsid w:val="00F77A9B"/>
    <w:rsid w:val="00F81F05"/>
    <w:rsid w:val="00F83035"/>
    <w:rsid w:val="00F866B0"/>
    <w:rsid w:val="00F869EF"/>
    <w:rsid w:val="00F86BE4"/>
    <w:rsid w:val="00F86C7B"/>
    <w:rsid w:val="00F86D61"/>
    <w:rsid w:val="00F905B6"/>
    <w:rsid w:val="00F90B31"/>
    <w:rsid w:val="00F914B2"/>
    <w:rsid w:val="00F926B9"/>
    <w:rsid w:val="00F9541D"/>
    <w:rsid w:val="00F95DDD"/>
    <w:rsid w:val="00FA0403"/>
    <w:rsid w:val="00FA0CE6"/>
    <w:rsid w:val="00FA2C4C"/>
    <w:rsid w:val="00FA597D"/>
    <w:rsid w:val="00FA5B9A"/>
    <w:rsid w:val="00FB01B9"/>
    <w:rsid w:val="00FB498F"/>
    <w:rsid w:val="00FB713A"/>
    <w:rsid w:val="00FB755D"/>
    <w:rsid w:val="00FB763A"/>
    <w:rsid w:val="00FB79C0"/>
    <w:rsid w:val="00FC2EB8"/>
    <w:rsid w:val="00FC5C43"/>
    <w:rsid w:val="00FC739A"/>
    <w:rsid w:val="00FD0518"/>
    <w:rsid w:val="00FD1598"/>
    <w:rsid w:val="00FD576E"/>
    <w:rsid w:val="00FD596B"/>
    <w:rsid w:val="00FD72EC"/>
    <w:rsid w:val="00FE58CC"/>
    <w:rsid w:val="00FE5A53"/>
    <w:rsid w:val="00FE75A9"/>
    <w:rsid w:val="00FF058D"/>
    <w:rsid w:val="00FF1D8E"/>
    <w:rsid w:val="00FF2440"/>
    <w:rsid w:val="00FF322C"/>
    <w:rsid w:val="00FF3922"/>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ms-MY"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23595"/>
  <w15:docId w15:val="{26925FF5-B6D8-4251-A9CD-78A38397F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C5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fontstyle01">
    <w:name w:val="fontstyle01"/>
    <w:basedOn w:val="DefaultParagraphFont"/>
    <w:rsid w:val="002E4988"/>
    <w:rPr>
      <w:rFonts w:ascii="NimbusRomNo9L-Medi" w:hAnsi="NimbusRomNo9L-Medi" w:hint="default"/>
      <w:b/>
      <w:bCs/>
      <w:i w:val="0"/>
      <w:iCs w:val="0"/>
      <w:color w:val="000000"/>
      <w:sz w:val="20"/>
      <w:szCs w:val="20"/>
    </w:rPr>
  </w:style>
  <w:style w:type="character" w:customStyle="1" w:styleId="fontstyle21">
    <w:name w:val="fontstyle21"/>
    <w:basedOn w:val="DefaultParagraphFont"/>
    <w:rsid w:val="002E4988"/>
    <w:rPr>
      <w:rFonts w:ascii="NimbusRomNo9L-Regu" w:hAnsi="NimbusRomNo9L-Regu" w:hint="default"/>
      <w:b w:val="0"/>
      <w:bCs w:val="0"/>
      <w:i w:val="0"/>
      <w:iCs w:val="0"/>
      <w:color w:val="000000"/>
      <w:sz w:val="20"/>
      <w:szCs w:val="20"/>
    </w:rPr>
  </w:style>
  <w:style w:type="character" w:styleId="UnresolvedMention">
    <w:name w:val="Unresolved Mention"/>
    <w:basedOn w:val="DefaultParagraphFont"/>
    <w:uiPriority w:val="99"/>
    <w:semiHidden/>
    <w:unhideWhenUsed/>
    <w:rsid w:val="006C51C3"/>
    <w:rPr>
      <w:color w:val="605E5C"/>
      <w:shd w:val="clear" w:color="auto" w:fill="E1DFDD"/>
    </w:rPr>
  </w:style>
  <w:style w:type="character" w:styleId="FollowedHyperlink">
    <w:name w:val="FollowedHyperlink"/>
    <w:basedOn w:val="DefaultParagraphFont"/>
    <w:uiPriority w:val="99"/>
    <w:semiHidden/>
    <w:unhideWhenUsed/>
    <w:rsid w:val="003F371D"/>
    <w:rPr>
      <w:color w:val="800080" w:themeColor="followedHyperlink"/>
      <w:u w:val="single"/>
    </w:rPr>
  </w:style>
  <w:style w:type="numbering" w:customStyle="1" w:styleId="IEEEBullet1">
    <w:name w:val="IEEE Bullet 1"/>
    <w:basedOn w:val="NoList"/>
    <w:rsid w:val="00614110"/>
    <w:pPr>
      <w:numPr>
        <w:numId w:val="19"/>
      </w:numPr>
    </w:pPr>
  </w:style>
  <w:style w:type="paragraph" w:customStyle="1" w:styleId="Paragraf">
    <w:name w:val="Paragraf"/>
    <w:basedOn w:val="Normal"/>
    <w:link w:val="ParagrafChar"/>
    <w:qFormat/>
    <w:rsid w:val="007B4E62"/>
    <w:pPr>
      <w:ind w:firstLine="720"/>
      <w:jc w:val="both"/>
    </w:pPr>
    <w:rPr>
      <w:lang w:val="id-ID"/>
    </w:rPr>
  </w:style>
  <w:style w:type="character" w:customStyle="1" w:styleId="ParagrafChar">
    <w:name w:val="Paragraf Char"/>
    <w:link w:val="Paragraf"/>
    <w:rsid w:val="007B4E62"/>
    <w:rPr>
      <w:lang w:val="id-ID"/>
    </w:rPr>
  </w:style>
  <w:style w:type="character" w:customStyle="1" w:styleId="citation-127">
    <w:name w:val="citation-127"/>
    <w:basedOn w:val="DefaultParagraphFont"/>
    <w:rsid w:val="00DD07E5"/>
  </w:style>
  <w:style w:type="character" w:customStyle="1" w:styleId="citation-126">
    <w:name w:val="citation-126"/>
    <w:basedOn w:val="DefaultParagraphFont"/>
    <w:rsid w:val="00DD07E5"/>
  </w:style>
  <w:style w:type="character" w:customStyle="1" w:styleId="citation-125">
    <w:name w:val="citation-125"/>
    <w:basedOn w:val="DefaultParagraphFont"/>
    <w:rsid w:val="00DD07E5"/>
  </w:style>
  <w:style w:type="character" w:customStyle="1" w:styleId="button-label">
    <w:name w:val="button-label"/>
    <w:basedOn w:val="DefaultParagraphFont"/>
    <w:rsid w:val="00DD07E5"/>
  </w:style>
  <w:style w:type="character" w:customStyle="1" w:styleId="citation-124">
    <w:name w:val="citation-124"/>
    <w:basedOn w:val="DefaultParagraphFont"/>
    <w:rsid w:val="00DD07E5"/>
  </w:style>
  <w:style w:type="character" w:customStyle="1" w:styleId="citation-123">
    <w:name w:val="citation-123"/>
    <w:basedOn w:val="DefaultParagraphFont"/>
    <w:rsid w:val="00DD07E5"/>
  </w:style>
  <w:style w:type="character" w:customStyle="1" w:styleId="citation-122">
    <w:name w:val="citation-122"/>
    <w:basedOn w:val="DefaultParagraphFont"/>
    <w:rsid w:val="00DD07E5"/>
  </w:style>
  <w:style w:type="character" w:customStyle="1" w:styleId="citation-121">
    <w:name w:val="citation-121"/>
    <w:basedOn w:val="DefaultParagraphFont"/>
    <w:rsid w:val="00DD07E5"/>
  </w:style>
  <w:style w:type="character" w:customStyle="1" w:styleId="citation-120">
    <w:name w:val="citation-120"/>
    <w:basedOn w:val="DefaultParagraphFont"/>
    <w:rsid w:val="00DD07E5"/>
  </w:style>
  <w:style w:type="character" w:customStyle="1" w:styleId="citation-119">
    <w:name w:val="citation-119"/>
    <w:basedOn w:val="DefaultParagraphFont"/>
    <w:rsid w:val="00DD07E5"/>
  </w:style>
  <w:style w:type="character" w:customStyle="1" w:styleId="citation-118">
    <w:name w:val="citation-118"/>
    <w:basedOn w:val="DefaultParagraphFont"/>
    <w:rsid w:val="00DD07E5"/>
  </w:style>
  <w:style w:type="character" w:customStyle="1" w:styleId="citation-117">
    <w:name w:val="citation-117"/>
    <w:basedOn w:val="DefaultParagraphFont"/>
    <w:rsid w:val="00DD07E5"/>
  </w:style>
  <w:style w:type="character" w:styleId="PlaceholderText">
    <w:name w:val="Placeholder Text"/>
    <w:basedOn w:val="DefaultParagraphFont"/>
    <w:uiPriority w:val="99"/>
    <w:semiHidden/>
    <w:rsid w:val="00DD65F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3118">
      <w:bodyDiv w:val="1"/>
      <w:marLeft w:val="0"/>
      <w:marRight w:val="0"/>
      <w:marTop w:val="0"/>
      <w:marBottom w:val="0"/>
      <w:divBdr>
        <w:top w:val="none" w:sz="0" w:space="0" w:color="auto"/>
        <w:left w:val="none" w:sz="0" w:space="0" w:color="auto"/>
        <w:bottom w:val="none" w:sz="0" w:space="0" w:color="auto"/>
        <w:right w:val="none" w:sz="0" w:space="0" w:color="auto"/>
      </w:divBdr>
    </w:div>
    <w:div w:id="112941300">
      <w:bodyDiv w:val="1"/>
      <w:marLeft w:val="0"/>
      <w:marRight w:val="0"/>
      <w:marTop w:val="0"/>
      <w:marBottom w:val="0"/>
      <w:divBdr>
        <w:top w:val="none" w:sz="0" w:space="0" w:color="auto"/>
        <w:left w:val="none" w:sz="0" w:space="0" w:color="auto"/>
        <w:bottom w:val="none" w:sz="0" w:space="0" w:color="auto"/>
        <w:right w:val="none" w:sz="0" w:space="0" w:color="auto"/>
      </w:divBdr>
    </w:div>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263464822">
      <w:bodyDiv w:val="1"/>
      <w:marLeft w:val="0"/>
      <w:marRight w:val="0"/>
      <w:marTop w:val="0"/>
      <w:marBottom w:val="0"/>
      <w:divBdr>
        <w:top w:val="none" w:sz="0" w:space="0" w:color="auto"/>
        <w:left w:val="none" w:sz="0" w:space="0" w:color="auto"/>
        <w:bottom w:val="none" w:sz="0" w:space="0" w:color="auto"/>
        <w:right w:val="none" w:sz="0" w:space="0" w:color="auto"/>
      </w:divBdr>
    </w:div>
    <w:div w:id="358119623">
      <w:bodyDiv w:val="1"/>
      <w:marLeft w:val="0"/>
      <w:marRight w:val="0"/>
      <w:marTop w:val="0"/>
      <w:marBottom w:val="0"/>
      <w:divBdr>
        <w:top w:val="none" w:sz="0" w:space="0" w:color="auto"/>
        <w:left w:val="none" w:sz="0" w:space="0" w:color="auto"/>
        <w:bottom w:val="none" w:sz="0" w:space="0" w:color="auto"/>
        <w:right w:val="none" w:sz="0" w:space="0" w:color="auto"/>
      </w:divBdr>
    </w:div>
    <w:div w:id="388387406">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687217445">
      <w:bodyDiv w:val="1"/>
      <w:marLeft w:val="0"/>
      <w:marRight w:val="0"/>
      <w:marTop w:val="0"/>
      <w:marBottom w:val="0"/>
      <w:divBdr>
        <w:top w:val="none" w:sz="0" w:space="0" w:color="auto"/>
        <w:left w:val="none" w:sz="0" w:space="0" w:color="auto"/>
        <w:bottom w:val="none" w:sz="0" w:space="0" w:color="auto"/>
        <w:right w:val="none" w:sz="0" w:space="0" w:color="auto"/>
      </w:divBdr>
    </w:div>
    <w:div w:id="739909067">
      <w:bodyDiv w:val="1"/>
      <w:marLeft w:val="0"/>
      <w:marRight w:val="0"/>
      <w:marTop w:val="0"/>
      <w:marBottom w:val="0"/>
      <w:divBdr>
        <w:top w:val="none" w:sz="0" w:space="0" w:color="auto"/>
        <w:left w:val="none" w:sz="0" w:space="0" w:color="auto"/>
        <w:bottom w:val="none" w:sz="0" w:space="0" w:color="auto"/>
        <w:right w:val="none" w:sz="0" w:space="0" w:color="auto"/>
      </w:divBdr>
    </w:div>
    <w:div w:id="747076603">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984315314">
      <w:bodyDiv w:val="1"/>
      <w:marLeft w:val="0"/>
      <w:marRight w:val="0"/>
      <w:marTop w:val="0"/>
      <w:marBottom w:val="0"/>
      <w:divBdr>
        <w:top w:val="none" w:sz="0" w:space="0" w:color="auto"/>
        <w:left w:val="none" w:sz="0" w:space="0" w:color="auto"/>
        <w:bottom w:val="none" w:sz="0" w:space="0" w:color="auto"/>
        <w:right w:val="none" w:sz="0" w:space="0" w:color="auto"/>
      </w:divBdr>
    </w:div>
    <w:div w:id="1072194801">
      <w:bodyDiv w:val="1"/>
      <w:marLeft w:val="0"/>
      <w:marRight w:val="0"/>
      <w:marTop w:val="0"/>
      <w:marBottom w:val="0"/>
      <w:divBdr>
        <w:top w:val="none" w:sz="0" w:space="0" w:color="auto"/>
        <w:left w:val="none" w:sz="0" w:space="0" w:color="auto"/>
        <w:bottom w:val="none" w:sz="0" w:space="0" w:color="auto"/>
        <w:right w:val="none" w:sz="0" w:space="0" w:color="auto"/>
      </w:divBdr>
    </w:div>
    <w:div w:id="1140999648">
      <w:bodyDiv w:val="1"/>
      <w:marLeft w:val="0"/>
      <w:marRight w:val="0"/>
      <w:marTop w:val="0"/>
      <w:marBottom w:val="0"/>
      <w:divBdr>
        <w:top w:val="none" w:sz="0" w:space="0" w:color="auto"/>
        <w:left w:val="none" w:sz="0" w:space="0" w:color="auto"/>
        <w:bottom w:val="none" w:sz="0" w:space="0" w:color="auto"/>
        <w:right w:val="none" w:sz="0" w:space="0" w:color="auto"/>
      </w:divBdr>
    </w:div>
    <w:div w:id="1224177777">
      <w:bodyDiv w:val="1"/>
      <w:marLeft w:val="0"/>
      <w:marRight w:val="0"/>
      <w:marTop w:val="0"/>
      <w:marBottom w:val="0"/>
      <w:divBdr>
        <w:top w:val="none" w:sz="0" w:space="0" w:color="auto"/>
        <w:left w:val="none" w:sz="0" w:space="0" w:color="auto"/>
        <w:bottom w:val="none" w:sz="0" w:space="0" w:color="auto"/>
        <w:right w:val="none" w:sz="0" w:space="0" w:color="auto"/>
      </w:divBdr>
    </w:div>
    <w:div w:id="1347631803">
      <w:bodyDiv w:val="1"/>
      <w:marLeft w:val="0"/>
      <w:marRight w:val="0"/>
      <w:marTop w:val="0"/>
      <w:marBottom w:val="0"/>
      <w:divBdr>
        <w:top w:val="none" w:sz="0" w:space="0" w:color="auto"/>
        <w:left w:val="none" w:sz="0" w:space="0" w:color="auto"/>
        <w:bottom w:val="none" w:sz="0" w:space="0" w:color="auto"/>
        <w:right w:val="none" w:sz="0" w:space="0" w:color="auto"/>
      </w:divBdr>
    </w:div>
    <w:div w:id="135164638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510680637">
      <w:bodyDiv w:val="1"/>
      <w:marLeft w:val="0"/>
      <w:marRight w:val="0"/>
      <w:marTop w:val="0"/>
      <w:marBottom w:val="0"/>
      <w:divBdr>
        <w:top w:val="none" w:sz="0" w:space="0" w:color="auto"/>
        <w:left w:val="none" w:sz="0" w:space="0" w:color="auto"/>
        <w:bottom w:val="none" w:sz="0" w:space="0" w:color="auto"/>
        <w:right w:val="none" w:sz="0" w:space="0" w:color="auto"/>
      </w:divBdr>
    </w:div>
    <w:div w:id="1570385484">
      <w:bodyDiv w:val="1"/>
      <w:marLeft w:val="0"/>
      <w:marRight w:val="0"/>
      <w:marTop w:val="0"/>
      <w:marBottom w:val="0"/>
      <w:divBdr>
        <w:top w:val="none" w:sz="0" w:space="0" w:color="auto"/>
        <w:left w:val="none" w:sz="0" w:space="0" w:color="auto"/>
        <w:bottom w:val="none" w:sz="0" w:space="0" w:color="auto"/>
        <w:right w:val="none" w:sz="0" w:space="0" w:color="auto"/>
      </w:divBdr>
    </w:div>
    <w:div w:id="1604334975">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679235986">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771197349">
      <w:bodyDiv w:val="1"/>
      <w:marLeft w:val="0"/>
      <w:marRight w:val="0"/>
      <w:marTop w:val="0"/>
      <w:marBottom w:val="0"/>
      <w:divBdr>
        <w:top w:val="none" w:sz="0" w:space="0" w:color="auto"/>
        <w:left w:val="none" w:sz="0" w:space="0" w:color="auto"/>
        <w:bottom w:val="none" w:sz="0" w:space="0" w:color="auto"/>
        <w:right w:val="none" w:sz="0" w:space="0" w:color="auto"/>
      </w:divBdr>
    </w:div>
    <w:div w:id="1780026524">
      <w:bodyDiv w:val="1"/>
      <w:marLeft w:val="0"/>
      <w:marRight w:val="0"/>
      <w:marTop w:val="0"/>
      <w:marBottom w:val="0"/>
      <w:divBdr>
        <w:top w:val="none" w:sz="0" w:space="0" w:color="auto"/>
        <w:left w:val="none" w:sz="0" w:space="0" w:color="auto"/>
        <w:bottom w:val="none" w:sz="0" w:space="0" w:color="auto"/>
        <w:right w:val="none" w:sz="0" w:space="0" w:color="auto"/>
      </w:divBdr>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913543133">
      <w:bodyDiv w:val="1"/>
      <w:marLeft w:val="0"/>
      <w:marRight w:val="0"/>
      <w:marTop w:val="0"/>
      <w:marBottom w:val="0"/>
      <w:divBdr>
        <w:top w:val="none" w:sz="0" w:space="0" w:color="auto"/>
        <w:left w:val="none" w:sz="0" w:space="0" w:color="auto"/>
        <w:bottom w:val="none" w:sz="0" w:space="0" w:color="auto"/>
        <w:right w:val="none" w:sz="0" w:space="0" w:color="auto"/>
      </w:divBdr>
    </w:div>
    <w:div w:id="1930845665">
      <w:bodyDiv w:val="1"/>
      <w:marLeft w:val="0"/>
      <w:marRight w:val="0"/>
      <w:marTop w:val="0"/>
      <w:marBottom w:val="0"/>
      <w:divBdr>
        <w:top w:val="none" w:sz="0" w:space="0" w:color="auto"/>
        <w:left w:val="none" w:sz="0" w:space="0" w:color="auto"/>
        <w:bottom w:val="none" w:sz="0" w:space="0" w:color="auto"/>
        <w:right w:val="none" w:sz="0" w:space="0" w:color="auto"/>
      </w:divBdr>
    </w:div>
    <w:div w:id="1935358692">
      <w:bodyDiv w:val="1"/>
      <w:marLeft w:val="0"/>
      <w:marRight w:val="0"/>
      <w:marTop w:val="0"/>
      <w:marBottom w:val="0"/>
      <w:divBdr>
        <w:top w:val="none" w:sz="0" w:space="0" w:color="auto"/>
        <w:left w:val="none" w:sz="0" w:space="0" w:color="auto"/>
        <w:bottom w:val="none" w:sz="0" w:space="0" w:color="auto"/>
        <w:right w:val="none" w:sz="0" w:space="0" w:color="auto"/>
      </w:divBdr>
    </w:div>
    <w:div w:id="1963997394">
      <w:bodyDiv w:val="1"/>
      <w:marLeft w:val="0"/>
      <w:marRight w:val="0"/>
      <w:marTop w:val="0"/>
      <w:marBottom w:val="0"/>
      <w:divBdr>
        <w:top w:val="none" w:sz="0" w:space="0" w:color="auto"/>
        <w:left w:val="none" w:sz="0" w:space="0" w:color="auto"/>
        <w:bottom w:val="none" w:sz="0" w:space="0" w:color="auto"/>
        <w:right w:val="none" w:sz="0" w:space="0" w:color="auto"/>
      </w:divBdr>
    </w:div>
    <w:div w:id="1975407538">
      <w:bodyDiv w:val="1"/>
      <w:marLeft w:val="0"/>
      <w:marRight w:val="0"/>
      <w:marTop w:val="0"/>
      <w:marBottom w:val="0"/>
      <w:divBdr>
        <w:top w:val="none" w:sz="0" w:space="0" w:color="auto"/>
        <w:left w:val="none" w:sz="0" w:space="0" w:color="auto"/>
        <w:bottom w:val="none" w:sz="0" w:space="0" w:color="auto"/>
        <w:right w:val="none" w:sz="0" w:space="0" w:color="auto"/>
      </w:divBdr>
    </w:div>
    <w:div w:id="1976984335">
      <w:bodyDiv w:val="1"/>
      <w:marLeft w:val="0"/>
      <w:marRight w:val="0"/>
      <w:marTop w:val="0"/>
      <w:marBottom w:val="0"/>
      <w:divBdr>
        <w:top w:val="none" w:sz="0" w:space="0" w:color="auto"/>
        <w:left w:val="none" w:sz="0" w:space="0" w:color="auto"/>
        <w:bottom w:val="none" w:sz="0" w:space="0" w:color="auto"/>
        <w:right w:val="none" w:sz="0" w:space="0" w:color="auto"/>
      </w:divBdr>
    </w:div>
    <w:div w:id="1987391876">
      <w:bodyDiv w:val="1"/>
      <w:marLeft w:val="0"/>
      <w:marRight w:val="0"/>
      <w:marTop w:val="0"/>
      <w:marBottom w:val="0"/>
      <w:divBdr>
        <w:top w:val="none" w:sz="0" w:space="0" w:color="auto"/>
        <w:left w:val="none" w:sz="0" w:space="0" w:color="auto"/>
        <w:bottom w:val="none" w:sz="0" w:space="0" w:color="auto"/>
        <w:right w:val="none" w:sz="0" w:space="0" w:color="auto"/>
      </w:divBdr>
    </w:div>
    <w:div w:id="2002346615">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15450375">
      <w:bodyDiv w:val="1"/>
      <w:marLeft w:val="0"/>
      <w:marRight w:val="0"/>
      <w:marTop w:val="0"/>
      <w:marBottom w:val="0"/>
      <w:divBdr>
        <w:top w:val="none" w:sz="0" w:space="0" w:color="auto"/>
        <w:left w:val="none" w:sz="0" w:space="0" w:color="auto"/>
        <w:bottom w:val="none" w:sz="0" w:space="0" w:color="auto"/>
        <w:right w:val="none" w:sz="0" w:space="0" w:color="auto"/>
      </w:divBdr>
    </w:div>
    <w:div w:id="2031834753">
      <w:bodyDiv w:val="1"/>
      <w:marLeft w:val="0"/>
      <w:marRight w:val="0"/>
      <w:marTop w:val="0"/>
      <w:marBottom w:val="0"/>
      <w:divBdr>
        <w:top w:val="none" w:sz="0" w:space="0" w:color="auto"/>
        <w:left w:val="none" w:sz="0" w:space="0" w:color="auto"/>
        <w:bottom w:val="none" w:sz="0" w:space="0" w:color="auto"/>
        <w:right w:val="none" w:sz="0" w:space="0" w:color="auto"/>
      </w:divBdr>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doi.org/10.1080/13504869400000010" TargetMode="External"/><Relationship Id="rId26" Type="http://schemas.openxmlformats.org/officeDocument/2006/relationships/hyperlink" Target="https://doi.org/10.1016/j.aej.2022.03.064" TargetMode="External"/><Relationship Id="rId21" Type="http://schemas.openxmlformats.org/officeDocument/2006/relationships/hyperlink" Target="https://doi.org/10.1016/j.cam.2008.07.006"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rudiantoartiono@unesa.ac.id" TargetMode="External"/><Relationship Id="rId17" Type="http://schemas.openxmlformats.org/officeDocument/2006/relationships/hyperlink" Target="https://doi.org/10.1111/j.1540-6261.1992.tb03986.x" TargetMode="External"/><Relationship Id="rId25" Type="http://schemas.openxmlformats.org/officeDocument/2006/relationships/hyperlink" Target="https://doi.org/10.3390/math10091546"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111/j.1540-6261.1985.tb02383.x" TargetMode="External"/><Relationship Id="rId20" Type="http://schemas.openxmlformats.org/officeDocument/2006/relationships/hyperlink" Target="https://doi.org/10.1016/j.camwa.2008.02.010" TargetMode="External"/><Relationship Id="rId29" Type="http://schemas.openxmlformats.org/officeDocument/2006/relationships/hyperlink" Target="https://doi.org/10.1007/s10614-025-10945-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1186/s13662-021-03289-w"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86/260062" TargetMode="External"/><Relationship Id="rId23" Type="http://schemas.openxmlformats.org/officeDocument/2006/relationships/hyperlink" Target="https://doi.org/10.1016/j.cam.2021.113524" TargetMode="External"/><Relationship Id="rId28" Type="http://schemas.openxmlformats.org/officeDocument/2006/relationships/hyperlink" Target="https://doi.org/10.1007/s10614-022-10242-w" TargetMode="External"/><Relationship Id="rId36" Type="http://schemas.openxmlformats.org/officeDocument/2006/relationships/footer" Target="footer3.xml"/><Relationship Id="rId10" Type="http://schemas.openxmlformats.org/officeDocument/2006/relationships/hyperlink" Target="https://creativecommons.org/licenses/by-sa/4.0/" TargetMode="External"/><Relationship Id="rId19" Type="http://schemas.openxmlformats.org/officeDocument/2006/relationships/hyperlink" Target="https://doi.org/10.1007/s007800050046"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5.png"/><Relationship Id="rId22" Type="http://schemas.openxmlformats.org/officeDocument/2006/relationships/hyperlink" Target="https://doi.org/10.1016/j.enganabound.2019.09.012" TargetMode="External"/><Relationship Id="rId27" Type="http://schemas.openxmlformats.org/officeDocument/2006/relationships/hyperlink" Target="https://doi.org/10.1007/s10614-022-10258-x" TargetMode="External"/><Relationship Id="rId30" Type="http://schemas.openxmlformats.org/officeDocument/2006/relationships/hyperlink" Target="https://doi.org/10.17509/jem.v10i1.44454" TargetMode="External"/><Relationship Id="rId35" Type="http://schemas.openxmlformats.org/officeDocument/2006/relationships/header" Target="header3.xml"/><Relationship Id="rId8" Type="http://schemas.openxmlformats.org/officeDocument/2006/relationships/image" Target="media/image1.png"/><Relationship Id="rId3" Type="http://schemas.openxmlformats.org/officeDocument/2006/relationships/styles" Target="styles.xml"/></Relationships>
</file>

<file path=word/_rels/footer3.xml.rels><?xml version="1.0" encoding="UTF-8" standalone="yes"?>
<Relationships xmlns="http://schemas.openxmlformats.org/package/2006/relationships"><Relationship Id="rId1" Type="http://schemas.openxmlformats.org/officeDocument/2006/relationships/hyperlink" Target="http://jurnal.uinsu.ac.id/index.php/zero/index"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issn.pdii.lipi.go.id/issn.cgi?daftar&amp;1496817420&amp;1&amp;&amp;"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C23D6-5E91-4D6B-BD17-4992D2F00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TotalTime>
  <Pages>9</Pages>
  <Words>4199</Words>
  <Characters>23939</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Zero : Journal of Science, Mathematics, and Applied</vt:lpstr>
    </vt:vector>
  </TitlesOfParts>
  <Manager>Husein</Manager>
  <Company>UINSU</Company>
  <LinksUpToDate>false</LinksUpToDate>
  <CharactersWithSpaces>28082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Zero : Journal of Science, Mathematics, and Applied</dc:title>
  <dc:subject>Zero : Journal of Science, Mathematics, and Applied</dc:subject>
  <dc:creator>Zero : Jurnal Sains, Matematika, dan Terapan</dc:creator>
  <cp:keywords>Zero : Jurnal Sains, Matematika, dan Terapan</cp:keywords>
  <dc:description>Template of 
Zero : Journal of Science, Mathematics, and Applied</dc:description>
  <cp:lastModifiedBy>dwi maya</cp:lastModifiedBy>
  <cp:revision>8</cp:revision>
  <cp:lastPrinted>2026-01-07T12:50:00Z</cp:lastPrinted>
  <dcterms:created xsi:type="dcterms:W3CDTF">2026-01-07T12:38:00Z</dcterms:created>
  <dcterms:modified xsi:type="dcterms:W3CDTF">2026-01-10T00:14:00Z</dcterms:modified>
  <cp:category>Zero : Journal of Science, Mathematics, and Applied</cp:category>
</cp:coreProperties>
</file>